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63" w:lineRule="exact"/>
        <w:rPr>
          <w:sz w:val="24"/>
          <w:szCs w:val="24"/>
          <w:color w:val="auto"/>
        </w:rPr>
      </w:pPr>
    </w:p>
    <w:p>
      <w:pPr>
        <w:jc w:val="center"/>
        <w:ind w:right="-119"/>
        <w:spacing w:after="0"/>
        <w:tabs>
          <w:tab w:leader="none" w:pos="200" w:val="left"/>
        </w:tabs>
        <w:rPr>
          <w:sz w:val="20"/>
          <w:szCs w:val="20"/>
          <w:color w:val="auto"/>
        </w:rPr>
      </w:pPr>
      <w:r>
        <w:rPr>
          <w:rFonts w:ascii="Times New Roman" w:cs="Times New Roman" w:eastAsia="Times New Roman" w:hAnsi="Times New Roman"/>
          <w:sz w:val="22"/>
          <w:szCs w:val="22"/>
          <w:color w:val="auto"/>
        </w:rPr>
        <w:t>Date of report (Date of earliest event reported)</w:t>
      </w:r>
      <w:r>
        <w:rPr>
          <w:sz w:val="20"/>
          <w:szCs w:val="20"/>
          <w:color w:val="auto"/>
        </w:rPr>
        <w:tab/>
      </w:r>
      <w:r>
        <w:rPr>
          <w:rFonts w:ascii="Times New Roman" w:cs="Times New Roman" w:eastAsia="Times New Roman" w:hAnsi="Times New Roman"/>
          <w:sz w:val="21"/>
          <w:szCs w:val="21"/>
          <w:color w:val="auto"/>
        </w:rPr>
        <w:t>June 16, 2006</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p>
      <w:pPr>
        <w:ind w:left="1740"/>
        <w:spacing w:after="0"/>
        <w:tabs>
          <w:tab w:leader="none" w:pos="5300" w:val="left"/>
          <w:tab w:leader="none" w:pos="9000" w:val="left"/>
        </w:tabs>
        <w:rPr>
          <w:sz w:val="20"/>
          <w:szCs w:val="20"/>
          <w:color w:val="auto"/>
        </w:rPr>
      </w:pPr>
      <w:r>
        <w:rPr>
          <w:rFonts w:ascii="Times New Roman" w:cs="Times New Roman" w:eastAsia="Times New Roman" w:hAnsi="Times New Roman"/>
          <w:sz w:val="22"/>
          <w:szCs w:val="22"/>
          <w:color w:val="auto"/>
        </w:rPr>
        <w:t>Iowa</w:t>
      </w:r>
      <w:r>
        <w:rPr>
          <w:sz w:val="20"/>
          <w:szCs w:val="20"/>
          <w:color w:val="auto"/>
        </w:rPr>
        <w:tab/>
      </w:r>
      <w:r>
        <w:rPr>
          <w:rFonts w:ascii="Times New Roman" w:cs="Times New Roman" w:eastAsia="Times New Roman" w:hAnsi="Times New Roman"/>
          <w:sz w:val="22"/>
          <w:szCs w:val="22"/>
          <w:color w:val="auto"/>
        </w:rPr>
        <w:t>001-06403</w:t>
      </w:r>
      <w:r>
        <w:rPr>
          <w:sz w:val="20"/>
          <w:szCs w:val="20"/>
          <w:color w:val="auto"/>
        </w:rPr>
        <w:tab/>
      </w:r>
      <w:r>
        <w:rPr>
          <w:rFonts w:ascii="Times New Roman" w:cs="Times New Roman" w:eastAsia="Times New Roman" w:hAnsi="Times New Roman"/>
          <w:sz w:val="21"/>
          <w:szCs w:val="21"/>
          <w:color w:val="auto"/>
        </w:rPr>
        <w:t>42-0802678</w:t>
      </w:r>
    </w:p>
    <w:p>
      <w:pPr>
        <w:spacing w:after="0" w:line="23" w:lineRule="exact"/>
        <w:rPr>
          <w:sz w:val="24"/>
          <w:szCs w:val="24"/>
          <w:color w:val="auto"/>
        </w:rPr>
      </w:pPr>
    </w:p>
    <w:p>
      <w:pPr>
        <w:ind w:left="1000"/>
        <w:spacing w:after="0"/>
        <w:tabs>
          <w:tab w:leader="none" w:pos="4800" w:val="left"/>
          <w:tab w:leader="none" w:pos="8980" w:val="left"/>
        </w:tabs>
        <w:rPr>
          <w:sz w:val="20"/>
          <w:szCs w:val="20"/>
          <w:color w:val="auto"/>
        </w:rPr>
      </w:pPr>
      <w:r>
        <w:rPr>
          <w:rFonts w:ascii="Times New Roman" w:cs="Times New Roman" w:eastAsia="Times New Roman" w:hAnsi="Times New Roman"/>
          <w:sz w:val="18"/>
          <w:szCs w:val="18"/>
          <w:color w:val="auto"/>
        </w:rPr>
        <w:t>(State or Other Jurisdiction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6"/>
          <w:szCs w:val="16"/>
          <w:color w:val="auto"/>
        </w:rPr>
        <w:t>(IRS Employer</w:t>
      </w:r>
    </w:p>
    <w:p>
      <w:pPr>
        <w:spacing w:after="0" w:line="16" w:lineRule="exact"/>
        <w:rPr>
          <w:sz w:val="24"/>
          <w:szCs w:val="24"/>
          <w:color w:val="auto"/>
        </w:rPr>
      </w:pPr>
    </w:p>
    <w:p>
      <w:pPr>
        <w:ind w:left="1360"/>
        <w:spacing w:after="0"/>
        <w:tabs>
          <w:tab w:leader="none" w:pos="886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6"/>
          <w:szCs w:val="16"/>
          <w:color w:val="auto"/>
        </w:rPr>
        <w:t>Identification No.)</w:t>
      </w:r>
    </w:p>
    <w:p>
      <w:pPr>
        <w:spacing w:after="0" w:line="239" w:lineRule="exact"/>
        <w:rPr>
          <w:sz w:val="24"/>
          <w:szCs w:val="24"/>
          <w:color w:val="auto"/>
        </w:rPr>
      </w:pPr>
    </w:p>
    <w:p>
      <w:pPr>
        <w:ind w:left="580"/>
        <w:spacing w:after="0"/>
        <w:tabs>
          <w:tab w:leader="none" w:pos="9260" w:val="left"/>
        </w:tabs>
        <w:rPr>
          <w:sz w:val="20"/>
          <w:szCs w:val="20"/>
          <w:color w:val="auto"/>
        </w:rPr>
      </w:pPr>
      <w:r>
        <w:rPr>
          <w:rFonts w:ascii="Times New Roman" w:cs="Times New Roman" w:eastAsia="Times New Roman" w:hAnsi="Times New Roman"/>
          <w:sz w:val="22"/>
          <w:szCs w:val="22"/>
          <w:color w:val="auto"/>
        </w:rPr>
        <w:t>P.O. Box 152, Forest City, Iowa</w:t>
      </w:r>
      <w:r>
        <w:rPr>
          <w:sz w:val="20"/>
          <w:szCs w:val="20"/>
          <w:color w:val="auto"/>
        </w:rPr>
        <w:tab/>
      </w:r>
      <w:r>
        <w:rPr>
          <w:rFonts w:ascii="Times New Roman" w:cs="Times New Roman" w:eastAsia="Times New Roman" w:hAnsi="Times New Roman"/>
          <w:sz w:val="21"/>
          <w:szCs w:val="21"/>
          <w:color w:val="auto"/>
        </w:rPr>
        <w:t>50436</w:t>
      </w:r>
    </w:p>
    <w:p>
      <w:pPr>
        <w:spacing w:after="0" w:line="23" w:lineRule="exact"/>
        <w:rPr>
          <w:sz w:val="24"/>
          <w:szCs w:val="24"/>
          <w:color w:val="auto"/>
        </w:rPr>
      </w:pPr>
    </w:p>
    <w:p>
      <w:pPr>
        <w:ind w:left="520"/>
        <w:spacing w:after="0"/>
        <w:tabs>
          <w:tab w:leader="none" w:pos="914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pacing w:after="0" w:line="235" w:lineRule="exact"/>
        <w:rPr>
          <w:sz w:val="24"/>
          <w:szCs w:val="24"/>
          <w:color w:val="auto"/>
        </w:rPr>
      </w:pPr>
    </w:p>
    <w:p>
      <w:pPr>
        <w:jc w:val="center"/>
        <w:ind w:right="-119"/>
        <w:spacing w:after="0"/>
        <w:tabs>
          <w:tab w:leader="none" w:pos="200" w:val="left"/>
        </w:tabs>
        <w:rPr>
          <w:sz w:val="20"/>
          <w:szCs w:val="20"/>
          <w:color w:val="auto"/>
        </w:rPr>
      </w:pPr>
      <w:r>
        <w:rPr>
          <w:rFonts w:ascii="Times New Roman" w:cs="Times New Roman" w:eastAsia="Times New Roman" w:hAnsi="Times New Roman"/>
          <w:sz w:val="22"/>
          <w:szCs w:val="22"/>
          <w:color w:val="auto"/>
        </w:rPr>
        <w:t>Registrant’s telephone number, including area code</w:t>
      </w:r>
      <w:r>
        <w:rPr>
          <w:sz w:val="20"/>
          <w:szCs w:val="20"/>
          <w:color w:val="auto"/>
        </w:rPr>
        <w:tab/>
      </w:r>
      <w:r>
        <w:rPr>
          <w:rFonts w:ascii="Times New Roman" w:cs="Times New Roman" w:eastAsia="Times New Roman" w:hAnsi="Times New Roman"/>
          <w:sz w:val="21"/>
          <w:szCs w:val="21"/>
          <w:color w:val="auto"/>
        </w:rPr>
        <w:t>641-585-3535</w:t>
      </w:r>
    </w:p>
    <w:p>
      <w:pPr>
        <w:spacing w:after="0" w:line="219"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9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Winnebago Industries, Inc. is filing herewith a press release issued on June 16, 2006, as Exhibit 99.1 which is included herein. The press release was issued to report earnings for the third quarter of fiscal 2006 and nine months ended May 27, 2006.</w:t>
      </w:r>
    </w:p>
    <w:p>
      <w:pPr>
        <w:spacing w:after="0" w:line="222"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91" w:lineRule="exact"/>
        <w:rPr>
          <w:sz w:val="24"/>
          <w:szCs w:val="24"/>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Exhibits</w:t>
      </w:r>
    </w:p>
    <w:p>
      <w:pPr>
        <w:spacing w:after="0" w:line="20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8" w:lineRule="exact"/>
        <w:rPr>
          <w:sz w:val="24"/>
          <w:szCs w:val="24"/>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22"/>
          <w:szCs w:val="22"/>
          <w:b w:val="1"/>
          <w:bCs w:val="1"/>
          <w:color w:val="auto"/>
        </w:rPr>
        <w:t>Number</w:t>
        <w:tab/>
        <w:t>Description</w:t>
      </w:r>
    </w:p>
    <w:p>
      <w:pPr>
        <w:spacing w:after="0" w:line="209" w:lineRule="exact"/>
        <w:rPr>
          <w:sz w:val="24"/>
          <w:szCs w:val="24"/>
          <w:color w:val="auto"/>
        </w:rPr>
      </w:pPr>
    </w:p>
    <w:p>
      <w:pPr>
        <w:ind w:left="800"/>
        <w:spacing w:after="0"/>
        <w:tabs>
          <w:tab w:leader="none" w:pos="16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of Winnebago Industries, Inc. dated June 16, 2006.</w:t>
      </w:r>
    </w:p>
    <w:p>
      <w:pPr>
        <w:sectPr>
          <w:pgSz w:w="11900" w:h="16838" w:orient="portrait"/>
          <w:cols w:equalWidth="0" w:num="1">
            <w:col w:w="11320"/>
          </w:cols>
          <w:pgMar w:left="240" w:top="1309"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SIGNATURES</w:t>
      </w:r>
    </w:p>
    <w:p>
      <w:pPr>
        <w:sectPr>
          <w:pgSz w:w="11900" w:h="16838" w:orient="portrait"/>
          <w:cols w:equalWidth="0" w:num="1">
            <w:col w:w="11320"/>
          </w:cols>
          <w:pgMar w:left="240" w:top="1309" w:right="33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1" w:right="49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16,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21"/>
          <w:szCs w:val="21"/>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W</w:t>
      </w:r>
      <w:r>
        <w:rPr>
          <w:rFonts w:ascii="Times New Roman" w:cs="Times New Roman" w:eastAsia="Times New Roman" w:hAnsi="Times New Roman"/>
          <w:sz w:val="17"/>
          <w:szCs w:val="17"/>
          <w:color w:val="auto"/>
        </w:rPr>
        <w:t>INNEBAGO</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NDUSTRIES,</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Bruce D. Hertzke</w:t>
            </w:r>
          </w:p>
        </w:tc>
      </w:tr>
      <w:tr>
        <w:trPr>
          <w:trHeight w:val="236"/>
        </w:trPr>
        <w:tc>
          <w:tcPr>
            <w:tcW w:w="7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52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Bruce D. Hertzke</w:t>
            </w: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6"/>
          <w:szCs w:val="26"/>
          <w:b w:val="1"/>
          <w:bCs w:val="1"/>
          <w:color w:val="auto"/>
        </w:rPr>
        <w:t>E</w:t>
      </w:r>
      <w:r>
        <w:rPr>
          <w:rFonts w:ascii="Times New Roman" w:cs="Times New Roman" w:eastAsia="Times New Roman" w:hAnsi="Times New Roman"/>
          <w:sz w:val="21"/>
          <w:szCs w:val="21"/>
          <w:b w:val="1"/>
          <w:bCs w:val="1"/>
          <w:color w:val="auto"/>
        </w:rPr>
        <w:t>XHIBIT</w:t>
      </w:r>
      <w:r>
        <w:rPr>
          <w:rFonts w:ascii="Times New Roman" w:cs="Times New Roman" w:eastAsia="Times New Roman" w:hAnsi="Times New Roman"/>
          <w:sz w:val="26"/>
          <w:szCs w:val="26"/>
          <w:b w:val="1"/>
          <w:bCs w:val="1"/>
          <w:color w:val="auto"/>
        </w:rPr>
        <w:t xml:space="preserve"> I</w:t>
      </w:r>
      <w:r>
        <w:rPr>
          <w:rFonts w:ascii="Times New Roman" w:cs="Times New Roman" w:eastAsia="Times New Roman" w:hAnsi="Times New Roman"/>
          <w:sz w:val="21"/>
          <w:szCs w:val="21"/>
          <w:b w:val="1"/>
          <w:bCs w:val="1"/>
          <w:color w:val="auto"/>
        </w:rPr>
        <w:t>NDEX</w:t>
      </w:r>
    </w:p>
    <w:p>
      <w:pPr>
        <w:spacing w:after="0" w:line="1011" w:lineRule="exact"/>
        <w:rPr>
          <w:sz w:val="20"/>
          <w:szCs w:val="20"/>
          <w:color w:val="auto"/>
        </w:rPr>
      </w:pPr>
    </w:p>
    <w:p>
      <w:pPr>
        <w:sectPr>
          <w:pgSz w:w="11900" w:h="16838" w:orient="portrait"/>
          <w:cols w:equalWidth="0" w:num="2">
            <w:col w:w="3920" w:space="720"/>
            <w:col w:w="6520"/>
          </w:cols>
          <w:pgMar w:left="240" w:top="111" w:right="499" w:bottom="1440" w:gutter="0" w:footer="0" w:header="0"/>
          <w:type w:val="continuous"/>
        </w:sectPr>
      </w:pPr>
    </w:p>
    <w:p>
      <w:pPr>
        <w:spacing w:after="0" w:line="21" w:lineRule="exact"/>
        <w:rPr>
          <w:sz w:val="20"/>
          <w:szCs w:val="20"/>
          <w:color w:val="auto"/>
        </w:rPr>
      </w:pPr>
    </w:p>
    <w:p>
      <w:pPr>
        <w:ind w:left="800"/>
        <w:spacing w:after="0"/>
        <w:tabs>
          <w:tab w:leader="none" w:pos="16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of Winnebago Industries, Inc. dated 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Sheila Davis, PR/IR Manager</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641/585-6803</w:t>
      </w:r>
    </w:p>
    <w:p>
      <w:pPr>
        <w:ind w:left="800"/>
        <w:spacing w:after="0"/>
        <w:rPr>
          <w:sz w:val="20"/>
          <w:szCs w:val="20"/>
          <w:color w:val="auto"/>
        </w:rPr>
      </w:pPr>
      <w:r>
        <w:rPr>
          <w:rFonts w:ascii="Times New Roman" w:cs="Times New Roman" w:eastAsia="Times New Roman" w:hAnsi="Times New Roman"/>
          <w:sz w:val="22"/>
          <w:szCs w:val="22"/>
          <w:color w:val="auto"/>
        </w:rPr>
        <w:t>sdavis@winnebagoind.com</w:t>
      </w:r>
    </w:p>
    <w:p>
      <w:pPr>
        <w:spacing w:after="0" w:line="200" w:lineRule="exact"/>
        <w:rPr>
          <w:sz w:val="20"/>
          <w:szCs w:val="20"/>
          <w:color w:val="auto"/>
        </w:rPr>
      </w:pPr>
    </w:p>
    <w:p>
      <w:pPr>
        <w:spacing w:after="0" w:line="28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4"/>
          <w:szCs w:val="24"/>
          <w:b w:val="1"/>
          <w:bCs w:val="1"/>
          <w:color w:val="auto"/>
        </w:rPr>
        <w:t>WINNEBAGO INDUSTRIES REPORTS THIRD QUARTER</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4"/>
          <w:szCs w:val="24"/>
          <w:b w:val="1"/>
          <w:bCs w:val="1"/>
          <w:color w:val="auto"/>
        </w:rPr>
        <w:t>AND FIRST NINE MONTHS FISCAL 2006 RESULTS</w:t>
      </w:r>
    </w:p>
    <w:p>
      <w:pPr>
        <w:spacing w:after="0" w:line="278"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21"/>
          <w:szCs w:val="21"/>
          <w:color w:val="auto"/>
        </w:rPr>
        <w:t>FOREST CITY, IOWA, June 16, 2006 – Winnebago Industries, Inc. (NYSE: WGO), the nation’s leading motor home manufacturer, today reported financial results for the Company’s third quarter and first nine months ended May 27, 2006.</w:t>
      </w:r>
    </w:p>
    <w:p>
      <w:pPr>
        <w:spacing w:after="0" w:line="135"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Net income for the third quarter of fiscal 2006 was $13.2 million, compared to net income of $17.6 million for the same period last year. On a diluted per share basis, the Company earned 40 cents for the third quarter of fiscal 2006, compared to 52 cents for the same period last year. Included as a reduction to net income in the third quarter of fiscal 2006 was $807,000 or 2 cents per diluted share, of stock option expense due to the adoption of Statement of Financial Accounting Standards No. 123R, </w:t>
      </w:r>
      <w:r>
        <w:rPr>
          <w:rFonts w:ascii="Times New Roman" w:cs="Times New Roman" w:eastAsia="Times New Roman" w:hAnsi="Times New Roman"/>
          <w:sz w:val="22"/>
          <w:szCs w:val="22"/>
          <w:i w:val="1"/>
          <w:iCs w:val="1"/>
          <w:color w:val="auto"/>
        </w:rPr>
        <w:t>Share-Based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beginning August 28, 2005, which was not effective in the third quarter of last year.</w:t>
      </w:r>
    </w:p>
    <w:p>
      <w:pPr>
        <w:spacing w:after="0" w:line="177"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22"/>
          <w:szCs w:val="22"/>
          <w:color w:val="auto"/>
        </w:rPr>
        <w:t>Revenues for the third quarter ended May 27, 2006 were $220.3 million, a decrease of 13.6 percent compared to revenues of $255.0 million for the third quarter of fiscal 2005.</w:t>
      </w:r>
    </w:p>
    <w:p>
      <w:pPr>
        <w:spacing w:after="0" w:line="158"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22"/>
          <w:szCs w:val="22"/>
          <w:color w:val="auto"/>
        </w:rPr>
        <w:t>Net income for the first nine months of fiscal 2006 was $35.4 million, compared to $49.7 million for the same period last year. On a diluted per share basis, the Company earned $1.08 for the first nine months of fiscal 2006, compared to $1.46 for the same period last year. Included as a reduction to net income for the first nine months of fiscal 2006, was $3.1 million, or 9 cents per diluted share, of stock option expense.</w:t>
      </w:r>
    </w:p>
    <w:p>
      <w:pPr>
        <w:spacing w:after="0" w:line="181"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22"/>
          <w:szCs w:val="22"/>
          <w:color w:val="auto"/>
        </w:rPr>
        <w:t>Revenues for the first nine months of fiscal 2006 were $659.0 million, a decrease of 13.3 percent compared to $760.5 million for the same period last year.</w:t>
      </w:r>
    </w:p>
    <w:p>
      <w:pPr>
        <w:spacing w:after="0" w:line="158"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color w:val="auto"/>
        </w:rPr>
        <w:t>“Results for the third quarter and first nine months of fiscal 2006 were negatively impacted by a continued shift in product mix towards lower priced motor homes as well as by lower motor home deliveries as a result of decreased industry demand,” said Winnebago Industries’ Chairman and CEO Bruce Hertzke. “We have seen continued weakness in retail demand for Class A products, partially offset by the increased retail demand of Class C products, driven in part by the success of our Winnebago View and Itasca Navion diesel Class C motor homes.”</w:t>
      </w:r>
    </w:p>
    <w:p>
      <w:pPr>
        <w:spacing w:after="0" w:line="177"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22"/>
          <w:szCs w:val="22"/>
          <w:color w:val="auto"/>
        </w:rPr>
        <w:t>The Company’s sales order backlog was 1,642 units at May 27, 2006, up from the backlog of 1,523 units at the end of the third quarter of fiscal 2005.</w:t>
      </w:r>
    </w:p>
    <w:p>
      <w:pPr>
        <w:spacing w:after="0" w:line="158" w:lineRule="exact"/>
        <w:rPr>
          <w:sz w:val="20"/>
          <w:szCs w:val="20"/>
          <w:color w:val="auto"/>
        </w:rPr>
      </w:pPr>
    </w:p>
    <w:p>
      <w:pPr>
        <w:jc w:val="both"/>
        <w:ind w:right="140" w:firstLine="428"/>
        <w:spacing w:after="0" w:line="244" w:lineRule="auto"/>
        <w:rPr>
          <w:sz w:val="20"/>
          <w:szCs w:val="20"/>
          <w:color w:val="auto"/>
        </w:rPr>
      </w:pPr>
      <w:r>
        <w:rPr>
          <w:rFonts w:ascii="Times New Roman" w:cs="Times New Roman" w:eastAsia="Times New Roman" w:hAnsi="Times New Roman"/>
          <w:sz w:val="22"/>
          <w:szCs w:val="22"/>
          <w:color w:val="auto"/>
        </w:rPr>
        <w:t>Winnebago Industries is the top-selling motor home manufacturer in the United States. According to Statistical Surveys, Inc., an independent retail reporting service, Winnebago Industries leads the industry with 19.1 percent of the combined Class A and C retail market for the first four months of calendar 2006 compared to 17.4 percent for the same period last year.</w:t>
      </w:r>
    </w:p>
    <w:p>
      <w:pPr>
        <w:spacing w:after="0" w:line="174" w:lineRule="exact"/>
        <w:rPr>
          <w:sz w:val="20"/>
          <w:szCs w:val="20"/>
          <w:color w:val="auto"/>
        </w:rPr>
      </w:pPr>
    </w:p>
    <w:p>
      <w:pPr>
        <w:ind w:right="80" w:firstLine="432"/>
        <w:spacing w:after="0" w:line="236" w:lineRule="auto"/>
        <w:rPr>
          <w:sz w:val="20"/>
          <w:szCs w:val="20"/>
          <w:color w:val="auto"/>
        </w:rPr>
      </w:pPr>
      <w:r>
        <w:rPr>
          <w:rFonts w:ascii="Times New Roman" w:cs="Times New Roman" w:eastAsia="Times New Roman" w:hAnsi="Times New Roman"/>
          <w:sz w:val="22"/>
          <w:szCs w:val="22"/>
          <w:color w:val="auto"/>
        </w:rPr>
        <w:t>“The success of our Class C products, particularly the new View and Navion, are helping us increase our market share,” said Winnebago Industries’ President Ed Barker. “With continued sensitivity to fuel prices nationwide, our View and Navion diesel motor homes, with fuel economy of 17-19 miles per gallon, have been extremely timely. During the third quarter, we also introduced the new 2007 Winnebago Access and Itasca Impulse value-priced, Class C motor homes to our dealers and they have also been well received. I believe we have the best Class C lineup in our Company’s 48-year history and look forward to continued market share improvement throughout calendar 2006.”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During the Company’s third quarter ended May 27, 2006, Winnebago Industries repurchased 1,466,000 shares of common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for $43.3 million. During the first nine months of fiscal 2006, the Company repurchased 1,758,000 shares of its stock for</w:t>
      </w:r>
    </w:p>
    <w:p>
      <w:pPr>
        <w:spacing w:after="0"/>
        <w:rPr>
          <w:sz w:val="20"/>
          <w:szCs w:val="20"/>
          <w:color w:val="auto"/>
        </w:rPr>
      </w:pPr>
      <w:r>
        <w:rPr>
          <w:rFonts w:ascii="Times New Roman" w:cs="Times New Roman" w:eastAsia="Times New Roman" w:hAnsi="Times New Roman"/>
          <w:sz w:val="21"/>
          <w:szCs w:val="21"/>
          <w:color w:val="auto"/>
        </w:rPr>
        <w:t>$51.6 million. On April 12, 2006 Winnebago Industries announced the completion of its $30 million stock repurchase plan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authorization by the Board of Directors to repurchase additional common stock for an aggregate consideration of up to $50 million.</w:t>
      </w:r>
    </w:p>
    <w:p>
      <w:pPr>
        <w:spacing w:after="0" w:line="232" w:lineRule="auto"/>
        <w:rPr>
          <w:sz w:val="20"/>
          <w:szCs w:val="20"/>
          <w:color w:val="auto"/>
        </w:rPr>
      </w:pPr>
      <w:r>
        <w:rPr>
          <w:rFonts w:ascii="Times New Roman" w:cs="Times New Roman" w:eastAsia="Times New Roman" w:hAnsi="Times New Roman"/>
          <w:sz w:val="22"/>
          <w:szCs w:val="22"/>
          <w:color w:val="auto"/>
        </w:rPr>
        <w:t>Since April 12, Winnebago Industries has repurchased 751,000 shares of the Company’s common stock for $21.6 million. As of</w:t>
      </w:r>
    </w:p>
    <w:p>
      <w:pPr>
        <w:spacing w:after="0"/>
        <w:rPr>
          <w:sz w:val="20"/>
          <w:szCs w:val="20"/>
          <w:color w:val="auto"/>
        </w:rPr>
      </w:pPr>
      <w:r>
        <w:rPr>
          <w:rFonts w:ascii="Times New Roman" w:cs="Times New Roman" w:eastAsia="Times New Roman" w:hAnsi="Times New Roman"/>
          <w:sz w:val="22"/>
          <w:szCs w:val="22"/>
          <w:color w:val="auto"/>
        </w:rPr>
        <w:t>May 27, 2006, the Company had $28.4 million remaining on the current share repurchase authorization.</w:t>
      </w:r>
    </w:p>
    <w:p>
      <w:pPr>
        <w:sectPr>
          <w:pgSz w:w="11900" w:h="16838" w:orient="portrait"/>
          <w:cols w:equalWidth="0" w:num="1">
            <w:col w:w="11420"/>
          </w:cols>
          <w:pgMar w:left="240" w:top="878" w:right="239" w:bottom="0" w:gutter="0" w:footer="0" w:header="0"/>
        </w:sectPr>
      </w:pPr>
    </w:p>
    <w:bookmarkStart w:id="3" w:name="page4"/>
    <w:bookmarkEnd w:id="3"/>
    <w:p>
      <w:pPr>
        <w:ind w:right="120" w:firstLine="428"/>
        <w:spacing w:after="0"/>
        <w:rPr>
          <w:sz w:val="20"/>
          <w:szCs w:val="20"/>
          <w:color w:val="auto"/>
        </w:rPr>
      </w:pPr>
      <w:r>
        <w:rPr>
          <w:rFonts w:ascii="Times New Roman" w:cs="Times New Roman" w:eastAsia="Times New Roman" w:hAnsi="Times New Roman"/>
          <w:sz w:val="22"/>
          <w:szCs w:val="22"/>
          <w:color w:val="auto"/>
        </w:rPr>
        <w:t xml:space="preserve">Winnebago Industries will conduct a conference call in conjunction with this release at 10 a.m. ET today, Friday, June 16, 2006. Members of the news media, investors and the general public are invited to access a live broadcast of the conference call via the Company’s website at </w:t>
      </w:r>
      <w:r>
        <w:rPr>
          <w:rFonts w:ascii="Times New Roman" w:cs="Times New Roman" w:eastAsia="Times New Roman" w:hAnsi="Times New Roman"/>
          <w:sz w:val="22"/>
          <w:szCs w:val="22"/>
          <w:u w:val="single" w:color="auto"/>
          <w:color w:val="auto"/>
        </w:rPr>
        <w:t>www.winnebagoind.com/html/company/investorRelations.html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www.vcall.com</w:t>
      </w:r>
      <w:r>
        <w:rPr>
          <w:rFonts w:ascii="Times New Roman" w:cs="Times New Roman" w:eastAsia="Times New Roman" w:hAnsi="Times New Roman"/>
          <w:sz w:val="22"/>
          <w:szCs w:val="22"/>
          <w:color w:val="auto"/>
        </w:rPr>
        <w:t>. The event will be archived and available for replay for the next 90 days.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Winnebago Industries</w:t>
      </w:r>
    </w:p>
    <w:p>
      <w:pPr>
        <w:spacing w:after="0" w:line="291" w:lineRule="exact"/>
        <w:rPr>
          <w:sz w:val="20"/>
          <w:szCs w:val="20"/>
          <w:color w:val="auto"/>
        </w:rPr>
      </w:pPr>
    </w:p>
    <w:p>
      <w:pPr>
        <w:ind w:firstLine="428"/>
        <w:spacing w:after="0" w:line="235" w:lineRule="auto"/>
        <w:rPr>
          <w:sz w:val="20"/>
          <w:szCs w:val="20"/>
          <w:color w:val="auto"/>
        </w:rPr>
      </w:pPr>
      <w:r>
        <w:rPr>
          <w:rFonts w:ascii="Times New Roman" w:cs="Times New Roman" w:eastAsia="Times New Roman" w:hAnsi="Times New Roman"/>
          <w:sz w:val="22"/>
          <w:szCs w:val="22"/>
          <w:color w:val="auto"/>
        </w:rPr>
        <w:t xml:space="preserve">Winnebago Industries, Inc. is the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22"/>
          <w:szCs w:val="22"/>
          <w:u w:val="single" w:color="auto"/>
          <w:color w:val="auto"/>
        </w:rPr>
        <w:t>http://www.winnebagoind.com/html/company/investorRelations.html</w:t>
      </w:r>
    </w:p>
    <w:p>
      <w:pPr>
        <w:spacing w:after="0" w:line="179" w:lineRule="exact"/>
        <w:rPr>
          <w:sz w:val="20"/>
          <w:szCs w:val="20"/>
          <w:color w:val="auto"/>
        </w:rPr>
      </w:pPr>
    </w:p>
    <w:p>
      <w:pPr>
        <w:ind w:firstLine="428"/>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declines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Unaudited Consolidated Statements of Income</w:t>
      </w:r>
    </w:p>
    <w:p>
      <w:pPr>
        <w:ind w:left="3940"/>
        <w:spacing w:after="0"/>
        <w:rPr>
          <w:sz w:val="20"/>
          <w:szCs w:val="20"/>
          <w:color w:val="auto"/>
        </w:rPr>
      </w:pPr>
      <w:r>
        <w:rPr>
          <w:rFonts w:ascii="Times New Roman" w:cs="Times New Roman" w:eastAsia="Times New Roman" w:hAnsi="Times New Roman"/>
          <w:sz w:val="22"/>
          <w:szCs w:val="22"/>
          <w:color w:val="auto"/>
        </w:rPr>
        <w:t>(In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2780" w:type="dxa"/>
            <w:vAlign w:val="bottom"/>
            <w:gridSpan w:val="5"/>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20"/>
        </w:trPr>
        <w:tc>
          <w:tcPr>
            <w:tcW w:w="4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5/27/2006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5/28/2005</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5/27/2006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5/28/2005</w:t>
            </w:r>
          </w:p>
        </w:tc>
        <w:tc>
          <w:tcPr>
            <w:tcW w:w="0" w:type="dxa"/>
            <w:vAlign w:val="bottom"/>
          </w:tcPr>
          <w:p>
            <w:pPr>
              <w:spacing w:after="0"/>
              <w:rPr>
                <w:sz w:val="1"/>
                <w:szCs w:val="1"/>
                <w:color w:val="auto"/>
              </w:rPr>
            </w:pPr>
          </w:p>
        </w:tc>
      </w:tr>
      <w:tr>
        <w:trPr>
          <w:trHeight w:val="120"/>
        </w:trPr>
        <w:tc>
          <w:tcPr>
            <w:tcW w:w="4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220,312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255,022</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658,992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760,514</w:t>
            </w:r>
          </w:p>
        </w:tc>
        <w:tc>
          <w:tcPr>
            <w:tcW w:w="0" w:type="dxa"/>
            <w:vAlign w:val="bottom"/>
          </w:tcPr>
          <w:p>
            <w:pPr>
              <w:spacing w:after="0"/>
              <w:rPr>
                <w:sz w:val="1"/>
                <w:szCs w:val="1"/>
                <w:color w:val="auto"/>
              </w:rPr>
            </w:pPr>
          </w:p>
        </w:tc>
      </w:t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192,236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219,828</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579,432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655,995</w:t>
            </w: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4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28,076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35,194</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79,560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104,519</w:t>
            </w:r>
          </w:p>
        </w:tc>
        <w:tc>
          <w:tcPr>
            <w:tcW w:w="0" w:type="dxa"/>
            <w:vAlign w:val="bottom"/>
          </w:tcPr>
          <w:p>
            <w:pPr>
              <w:spacing w:after="0"/>
              <w:rPr>
                <w:sz w:val="1"/>
                <w:szCs w:val="1"/>
                <w:color w:val="auto"/>
              </w:rPr>
            </w:pPr>
          </w:p>
        </w:tc>
      </w:tr>
      <w:tr>
        <w:trPr>
          <w:trHeight w:val="106"/>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4"/>
        </w:trPr>
        <w:tc>
          <w:tcPr>
            <w:tcW w:w="4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Selling</w:t>
            </w:r>
          </w:p>
        </w:tc>
        <w:tc>
          <w:tcPr>
            <w:tcW w:w="1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4,536</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right"/>
              <w:ind w:right="1020"/>
              <w:spacing w:after="0" w:line="243" w:lineRule="exact"/>
              <w:rPr>
                <w:sz w:val="20"/>
                <w:szCs w:val="20"/>
                <w:color w:val="auto"/>
              </w:rPr>
            </w:pPr>
            <w:r>
              <w:rPr>
                <w:rFonts w:ascii="Times New Roman" w:cs="Times New Roman" w:eastAsia="Times New Roman" w:hAnsi="Times New Roman"/>
                <w:sz w:val="22"/>
                <w:szCs w:val="22"/>
                <w:color w:val="auto"/>
              </w:rPr>
              <w:t>4,302</w:t>
            </w:r>
          </w:p>
        </w:tc>
        <w:tc>
          <w:tcPr>
            <w:tcW w:w="16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13,714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13,420</w:t>
            </w:r>
          </w:p>
        </w:tc>
        <w:tc>
          <w:tcPr>
            <w:tcW w:w="0" w:type="dxa"/>
            <w:vAlign w:val="bottom"/>
          </w:tcPr>
          <w:p>
            <w:pPr>
              <w:spacing w:after="0"/>
              <w:rPr>
                <w:sz w:val="1"/>
                <w:szCs w:val="1"/>
                <w:color w:val="auto"/>
              </w:rPr>
            </w:pPr>
          </w:p>
        </w:tc>
      </w:tr>
      <w:tr>
        <w:trPr>
          <w:trHeight w:val="283"/>
        </w:trPr>
        <w:tc>
          <w:tcPr>
            <w:tcW w:w="4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5,160</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4,537</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15,493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15,892</w:t>
            </w: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4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9,696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8,839</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29,207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29,312</w:t>
            </w: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18,380</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26,355</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50,353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75,207</w:t>
            </w:r>
          </w:p>
        </w:tc>
        <w:tc>
          <w:tcPr>
            <w:tcW w:w="0" w:type="dxa"/>
            <w:vAlign w:val="bottom"/>
          </w:tcPr>
          <w:p>
            <w:pPr>
              <w:spacing w:after="0"/>
              <w:rPr>
                <w:sz w:val="1"/>
                <w:szCs w:val="1"/>
                <w:color w:val="auto"/>
              </w:rPr>
            </w:pPr>
          </w:p>
        </w:tc>
      </w:t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Financial income</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1,418</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761</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3,654</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1,894</w:t>
            </w: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19,798</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27,116</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54,007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77,101</w:t>
            </w:r>
          </w:p>
        </w:tc>
        <w:tc>
          <w:tcPr>
            <w:tcW w:w="0" w:type="dxa"/>
            <w:vAlign w:val="bottom"/>
          </w:tcPr>
          <w:p>
            <w:pPr>
              <w:spacing w:after="0"/>
              <w:rPr>
                <w:sz w:val="1"/>
                <w:szCs w:val="1"/>
                <w:color w:val="auto"/>
              </w:rPr>
            </w:pPr>
          </w:p>
        </w:tc>
      </w:t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Provision for taxes</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6,641</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22"/>
                <w:szCs w:val="22"/>
                <w:color w:val="auto"/>
              </w:rPr>
              <w:t>9,536</w:t>
            </w:r>
          </w:p>
        </w:tc>
        <w:tc>
          <w:tcPr>
            <w:tcW w:w="16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18,580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27,406</w:t>
            </w: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-3393440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-3393440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-3393440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-3393440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-3101340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-3101340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-3101340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-3101340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-3101340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-3101340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-3101340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-3101340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-2638425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-2638425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-2638425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-2638425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-2638425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-2638425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-2638425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-2638425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-2329815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-2329815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-2329815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-2329815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-2329815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-2329815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-2329815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-2329815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-1557655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-1557655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-1557655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-1557655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-1557655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-1557655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-1557655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-1249045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-1249045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-1249045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-1249045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-1249045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-1249045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-1249045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-631825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-631825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-631825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-631825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-631825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-631825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-631825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-631825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13,157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35,427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49,695</w:t>
            </w:r>
          </w:p>
        </w:tc>
        <w:tc>
          <w:tcPr>
            <w:tcW w:w="0" w:type="dxa"/>
            <w:vAlign w:val="bottom"/>
          </w:tcPr>
          <w:p>
            <w:pPr>
              <w:spacing w:after="0"/>
              <w:rPr>
                <w:sz w:val="1"/>
                <w:szCs w:val="1"/>
                <w:color w:val="auto"/>
              </w:rPr>
            </w:pPr>
          </w:p>
        </w:tc>
      </w:tr>
      <w:tr>
        <w:trPr>
          <w:trHeight w:val="120"/>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per share</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34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0.41</w:t>
            </w:r>
          </w:p>
        </w:tc>
        <w:tc>
          <w:tcPr>
            <w:tcW w:w="10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0.53</w:t>
            </w:r>
          </w:p>
        </w:tc>
        <w:tc>
          <w:tcPr>
            <w:tcW w:w="13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w:t>
            </w:r>
          </w:p>
        </w:tc>
        <w:tc>
          <w:tcPr>
            <w:tcW w:w="10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Diluted</w:t>
            </w:r>
          </w:p>
        </w:tc>
        <w:tc>
          <w:tcPr>
            <w:tcW w:w="34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0.40</w:t>
            </w:r>
          </w:p>
        </w:tc>
        <w:tc>
          <w:tcPr>
            <w:tcW w:w="10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0.52</w:t>
            </w:r>
          </w:p>
        </w:tc>
        <w:tc>
          <w:tcPr>
            <w:tcW w:w="134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10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average common</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Shares outstanding:</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3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32,195</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33,289</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32,645</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33,528</w:t>
            </w:r>
          </w:p>
        </w:tc>
        <w:tc>
          <w:tcPr>
            <w:tcW w:w="0" w:type="dxa"/>
            <w:vAlign w:val="bottom"/>
          </w:tcPr>
          <w:p>
            <w:pPr>
              <w:spacing w:after="0"/>
              <w:rPr>
                <w:sz w:val="1"/>
                <w:szCs w:val="1"/>
                <w:color w:val="auto"/>
              </w:rPr>
            </w:pPr>
          </w:p>
        </w:tc>
      </w:tr>
      <w:tr>
        <w:trPr>
          <w:trHeight w:val="283"/>
        </w:trPr>
        <w:tc>
          <w:tcPr>
            <w:tcW w:w="42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Diluted</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32,496</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33,747</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32,937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-1183640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-1183640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-1183640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-1183640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-1183640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-1183640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-1183640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-1183640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1448435</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Unaudited Consolidated Condensed Balance Sheets</w:t>
      </w:r>
    </w:p>
    <w:p>
      <w:pPr>
        <w:jc w:val="center"/>
        <w:ind w:right="-219"/>
        <w:spacing w:after="0"/>
        <w:rPr>
          <w:sz w:val="20"/>
          <w:szCs w:val="20"/>
          <w:color w:val="auto"/>
        </w:rPr>
      </w:pPr>
      <w:r>
        <w:rPr>
          <w:rFonts w:ascii="Times New Roman" w:cs="Times New Roman" w:eastAsia="Times New Roman" w:hAnsi="Times New Roman"/>
          <w:sz w:val="22"/>
          <w:szCs w:val="22"/>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27, 2006</w:t>
            </w:r>
          </w:p>
        </w:tc>
        <w:tc>
          <w:tcPr>
            <w:tcW w:w="1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4"/>
              </w:rPr>
              <w:t>Aug. 27, 2005</w:t>
            </w:r>
          </w:p>
        </w:tc>
        <w:tc>
          <w:tcPr>
            <w:tcW w:w="0" w:type="dxa"/>
            <w:vAlign w:val="bottom"/>
          </w:tcPr>
          <w:p>
            <w:pPr>
              <w:spacing w:after="0"/>
              <w:rPr>
                <w:sz w:val="1"/>
                <w:szCs w:val="1"/>
                <w:color w:val="auto"/>
              </w:rPr>
            </w:pPr>
          </w:p>
        </w:tc>
      </w:tr>
      <w:tr>
        <w:trPr>
          <w:trHeight w:val="12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ASSETS</w:t>
            </w: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Current assets: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15,419</w:t>
            </w:r>
          </w:p>
        </w:tc>
        <w:tc>
          <w:tcPr>
            <w:tcW w:w="90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19,484</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Short-term investments</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125,000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93,100</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Receivables, net</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23,681</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40,910</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Inventories</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88,199</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120,655</w:t>
            </w:r>
          </w:p>
        </w:tc>
        <w:tc>
          <w:tcPr>
            <w:tcW w:w="0" w:type="dxa"/>
            <w:vAlign w:val="bottom"/>
          </w:tcPr>
          <w:p>
            <w:pPr>
              <w:spacing w:after="0"/>
              <w:rPr>
                <w:sz w:val="1"/>
                <w:szCs w:val="1"/>
                <w:color w:val="auto"/>
              </w:rPr>
            </w:pPr>
          </w:p>
        </w:tc>
      </w:tr>
      <w:tr>
        <w:trPr>
          <w:trHeight w:val="283"/>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Prepaid and other</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15,250</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13,943</w:t>
            </w:r>
          </w:p>
        </w:tc>
        <w:tc>
          <w:tcPr>
            <w:tcW w:w="0" w:type="dxa"/>
            <w:vAlign w:val="bottom"/>
          </w:tcPr>
          <w:p>
            <w:pPr>
              <w:spacing w:after="0"/>
              <w:rPr>
                <w:sz w:val="1"/>
                <w:szCs w:val="1"/>
                <w:color w:val="auto"/>
              </w:rPr>
            </w:pPr>
          </w:p>
        </w:tc>
      </w:tr>
      <w:tr>
        <w:trPr>
          <w:trHeight w:val="106"/>
        </w:trPr>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Total current assets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267,549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288,092</w:t>
            </w: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Property and equipment, net</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58,520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63,853</w:t>
            </w: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24,146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24,997</w:t>
            </w: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Investment in life insurance</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20,741</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22,066</w:t>
            </w:r>
          </w:p>
        </w:tc>
        <w:tc>
          <w:tcPr>
            <w:tcW w:w="0" w:type="dxa"/>
            <w:vAlign w:val="bottom"/>
          </w:tcPr>
          <w:p>
            <w:pPr>
              <w:spacing w:after="0"/>
              <w:rPr>
                <w:sz w:val="1"/>
                <w:szCs w:val="1"/>
                <w:color w:val="auto"/>
              </w:rPr>
            </w:pPr>
          </w:p>
        </w:tc>
      </w:tr>
      <w:tr>
        <w:trPr>
          <w:trHeight w:val="283"/>
        </w:trPr>
        <w:tc>
          <w:tcPr>
            <w:tcW w:w="7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assets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15,377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13,952</w:t>
            </w:r>
          </w:p>
        </w:tc>
        <w:tc>
          <w:tcPr>
            <w:tcW w:w="0" w:type="dxa"/>
            <w:vAlign w:val="bottom"/>
          </w:tcPr>
          <w:p>
            <w:pPr>
              <w:spacing w:after="0"/>
              <w:rPr>
                <w:sz w:val="1"/>
                <w:szCs w:val="1"/>
                <w:color w:val="auto"/>
              </w:rPr>
            </w:pPr>
          </w:p>
        </w:tc>
      </w:tr>
      <w:tr>
        <w:trPr>
          <w:trHeight w:val="106"/>
        </w:trPr>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386,333</w:t>
            </w:r>
          </w:p>
        </w:tc>
        <w:tc>
          <w:tcPr>
            <w:tcW w:w="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412,960</w:t>
            </w:r>
          </w:p>
        </w:tc>
        <w:tc>
          <w:tcPr>
            <w:tcW w:w="0" w:type="dxa"/>
            <w:vAlign w:val="bottom"/>
          </w:tcPr>
          <w:p>
            <w:pPr>
              <w:spacing w:after="0"/>
              <w:rPr>
                <w:sz w:val="1"/>
                <w:szCs w:val="1"/>
                <w:color w:val="auto"/>
              </w:rPr>
            </w:pPr>
          </w:p>
        </w:tc>
      </w:tr>
      <w:tr>
        <w:trPr>
          <w:trHeight w:val="120"/>
        </w:trPr>
        <w:tc>
          <w:tcPr>
            <w:tcW w:w="7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7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LIABILITIES AND STOCKHOLDERS’ EQUITY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Current liabilities: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Accounts payable</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31,209</w:t>
            </w:r>
          </w:p>
        </w:tc>
        <w:tc>
          <w:tcPr>
            <w:tcW w:w="90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37,229</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Income taxes payable</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9,256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4,458</w:t>
            </w:r>
          </w:p>
        </w:tc>
        <w:tc>
          <w:tcPr>
            <w:tcW w:w="0" w:type="dxa"/>
            <w:vAlign w:val="bottom"/>
          </w:tcPr>
          <w:p>
            <w:pPr>
              <w:spacing w:after="0"/>
              <w:rPr>
                <w:sz w:val="1"/>
                <w:szCs w:val="1"/>
                <w:color w:val="auto"/>
              </w:rPr>
            </w:pPr>
          </w:p>
        </w:tc>
      </w:tr>
      <w:tr>
        <w:trPr>
          <w:trHeight w:val="283"/>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Accrued expenses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43,052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48,936</w:t>
            </w:r>
          </w:p>
        </w:tc>
        <w:tc>
          <w:tcPr>
            <w:tcW w:w="0" w:type="dxa"/>
            <w:vAlign w:val="bottom"/>
          </w:tcPr>
          <w:p>
            <w:pPr>
              <w:spacing w:after="0"/>
              <w:rPr>
                <w:sz w:val="1"/>
                <w:szCs w:val="1"/>
                <w:color w:val="auto"/>
              </w:rPr>
            </w:pPr>
          </w:p>
        </w:tc>
      </w:tr>
      <w:tr>
        <w:trPr>
          <w:trHeight w:val="106"/>
        </w:trPr>
        <w:tc>
          <w:tcPr>
            <w:tcW w:w="780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83,517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90,623</w:t>
            </w: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Postretirement health care and deferred</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 benefits, net of current portion</w:t>
            </w:r>
          </w:p>
        </w:tc>
        <w:tc>
          <w:tcPr>
            <w:tcW w:w="1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86,366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86,450</w:t>
            </w:r>
          </w:p>
        </w:tc>
        <w:tc>
          <w:tcPr>
            <w:tcW w:w="0" w:type="dxa"/>
            <w:vAlign w:val="bottom"/>
          </w:tcPr>
          <w:p>
            <w:pPr>
              <w:spacing w:after="0"/>
              <w:rPr>
                <w:sz w:val="1"/>
                <w:szCs w:val="1"/>
                <w:color w:val="auto"/>
              </w:rPr>
            </w:pPr>
          </w:p>
        </w:tc>
      </w:tr>
      <w:tr>
        <w:trPr>
          <w:trHeight w:val="283"/>
        </w:trPr>
        <w:tc>
          <w:tcPr>
            <w:tcW w:w="7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Stockholders’ equity</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216,450</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235,887</w:t>
            </w:r>
          </w:p>
        </w:tc>
        <w:tc>
          <w:tcPr>
            <w:tcW w:w="0" w:type="dxa"/>
            <w:vAlign w:val="bottom"/>
          </w:tcPr>
          <w:p>
            <w:pPr>
              <w:spacing w:after="0"/>
              <w:rPr>
                <w:sz w:val="1"/>
                <w:szCs w:val="1"/>
                <w:color w:val="auto"/>
              </w:rPr>
            </w:pPr>
          </w:p>
        </w:tc>
      </w:tr>
      <w:tr>
        <w:trPr>
          <w:trHeight w:val="106"/>
        </w:trPr>
        <w:tc>
          <w:tcPr>
            <w:tcW w:w="780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78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386,333</w:t>
            </w:r>
          </w:p>
        </w:tc>
        <w:tc>
          <w:tcPr>
            <w:tcW w:w="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412,960</w:t>
            </w:r>
          </w:p>
        </w:tc>
        <w:tc>
          <w:tcPr>
            <w:tcW w:w="0" w:type="dxa"/>
            <w:vAlign w:val="bottom"/>
          </w:tcPr>
          <w:p>
            <w:pPr>
              <w:spacing w:after="0"/>
              <w:rPr>
                <w:sz w:val="1"/>
                <w:szCs w:val="1"/>
                <w:color w:val="auto"/>
              </w:rPr>
            </w:pPr>
          </w:p>
        </w:tc>
      </w:tr>
      <w:tr>
        <w:trPr>
          <w:trHeight w:val="120"/>
        </w:trPr>
        <w:tc>
          <w:tcPr>
            <w:tcW w:w="7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-4662170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-4662170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-4662170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-4662170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-3427730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-3427730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-3427730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-3427730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-2501265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-2501265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-2501265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-2501265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-2199005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-2199005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-2199005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-2199005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-1103630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-1103630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-1103630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-1103630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-331470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-331470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-331470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-331470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00"/>
          </w:cols>
          <w:pgMar w:left="240" w:top="355" w:right="4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7940"/>
                    </a:xfrm>
                    <a:prstGeom prst="rect">
                      <a:avLst/>
                    </a:prstGeom>
                    <a:noFill/>
                  </pic:spPr>
                </pic:pic>
              </a:graphicData>
            </a:graphic>
          </wp:anchor>
        </w:drawing>
        <w:t>Winnebago Industries, Inc.</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Unaudited Condensed Statement of Cash Flows</w:t>
      </w:r>
    </w:p>
    <w:p>
      <w:pPr>
        <w:jc w:val="center"/>
        <w:ind w:right="-139"/>
        <w:spacing w:after="0"/>
        <w:rPr>
          <w:sz w:val="20"/>
          <w:szCs w:val="20"/>
          <w:color w:val="auto"/>
        </w:rPr>
      </w:pPr>
      <w:r>
        <w:rPr>
          <w:rFonts w:ascii="Times New Roman" w:cs="Times New Roman" w:eastAsia="Times New Roman" w:hAnsi="Times New Roman"/>
          <w:sz w:val="22"/>
          <w:szCs w:val="22"/>
          <w:color w:val="auto"/>
        </w:rPr>
        <w:t>(Dollars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8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May 27, 2006</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May 28, 2005</w:t>
            </w:r>
          </w:p>
        </w:tc>
        <w:tc>
          <w:tcPr>
            <w:tcW w:w="0" w:type="dxa"/>
            <w:vAlign w:val="bottom"/>
          </w:tcPr>
          <w:p>
            <w:pPr>
              <w:spacing w:after="0"/>
              <w:rPr>
                <w:sz w:val="1"/>
                <w:szCs w:val="1"/>
                <w:color w:val="auto"/>
              </w:rPr>
            </w:pPr>
          </w:p>
        </w:tc>
      </w:tr>
      <w:tr>
        <w:trPr>
          <w:trHeight w:val="1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40" w:type="dxa"/>
            <w:vAlign w:val="bottom"/>
          </w:tcPr>
          <w:p>
            <w:pPr>
              <w:jc w:val="right"/>
              <w:ind w:right="39"/>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35,427</w:t>
            </w:r>
          </w:p>
        </w:tc>
        <w:tc>
          <w:tcPr>
            <w:tcW w:w="780" w:type="dxa"/>
            <w:vAlign w:val="bottom"/>
          </w:tcPr>
          <w:p>
            <w:pPr>
              <w:spacing w:after="0"/>
              <w:rPr>
                <w:sz w:val="21"/>
                <w:szCs w:val="21"/>
                <w:color w:val="auto"/>
              </w:rPr>
            </w:pPr>
          </w:p>
        </w:tc>
        <w:tc>
          <w:tcPr>
            <w:tcW w:w="360" w:type="dxa"/>
            <w:vAlign w:val="bottom"/>
          </w:tcPr>
          <w:p>
            <w:pPr>
              <w:jc w:val="right"/>
              <w:ind w:right="139"/>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49,695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Adjustments to reconcile net income to net cash</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provided by operating activities: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Depreciation</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7,989</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Stock-based compensation</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3,964</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Deferred income taxes</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1,002</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Deferred compensation and postretirement expense</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958</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Excess tax benefit from stock-based compensation</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360" w:type="dxa"/>
            <w:vAlign w:val="bottom"/>
          </w:tcPr>
          <w:p>
            <w:pPr>
              <w:spacing w:after="0"/>
              <w:rPr>
                <w:sz w:val="21"/>
                <w:szCs w:val="21"/>
                <w:color w:val="auto"/>
              </w:rPr>
            </w:pPr>
          </w:p>
        </w:tc>
        <w:tc>
          <w:tcPr>
            <w:tcW w:w="8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(355)</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(162)</w:t>
            </w: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Change in operating assets and liabilities: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Receivable and other assets</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16,030</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20,055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Inventories</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32,456</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Accounts payable and accrued expenses</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(11,696)</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(4,036)</w:t>
            </w: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Income taxes payable</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5,113</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Postretirement and deferred compensation benefits</w:t>
            </w:r>
          </w:p>
        </w:tc>
        <w:tc>
          <w:tcPr>
            <w:tcW w:w="24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22"/>
                <w:szCs w:val="22"/>
                <w:color w:val="auto"/>
              </w:rPr>
              <w:t>(826)</w:t>
            </w: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(701)</w:t>
            </w:r>
          </w:p>
        </w:tc>
        <w:tc>
          <w:tcPr>
            <w:tcW w:w="0" w:type="dxa"/>
            <w:vAlign w:val="bottom"/>
          </w:tcPr>
          <w:p>
            <w:pPr>
              <w:spacing w:after="0"/>
              <w:rPr>
                <w:sz w:val="1"/>
                <w:szCs w:val="1"/>
                <w:color w:val="auto"/>
              </w:rPr>
            </w:pPr>
          </w:p>
        </w:tc>
      </w:tr>
      <w:tr>
        <w:trPr>
          <w:trHeight w:val="106"/>
        </w:trPr>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89,782</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76,456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7"/>
        </w:trPr>
        <w:tc>
          <w:tcPr>
            <w:tcW w:w="8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Purchases of short-term investments</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(150,475)</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w w:val="97"/>
              </w:rPr>
              <w:t>(196,424)</w:t>
            </w: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Proceeds from the sale or maturity of short-term investments</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118,575</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143,497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Purchases of property and equipment</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(3,193)</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(6,666)</w:t>
            </w:r>
          </w:p>
        </w:tc>
        <w:tc>
          <w:tcPr>
            <w:tcW w:w="0" w:type="dxa"/>
            <w:vAlign w:val="bottom"/>
          </w:tcPr>
          <w:p>
            <w:pPr>
              <w:spacing w:after="0"/>
              <w:rPr>
                <w:sz w:val="1"/>
                <w:szCs w:val="1"/>
                <w:color w:val="auto"/>
              </w:rPr>
            </w:pPr>
          </w:p>
        </w:tc>
      </w:tr>
      <w:tr>
        <w:trPr>
          <w:trHeight w:val="283"/>
        </w:trPr>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106"/>
        </w:trPr>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24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22"/>
                <w:szCs w:val="22"/>
                <w:color w:val="auto"/>
              </w:rPr>
              <w:t>(34,925)</w:t>
            </w: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(59,893)</w:t>
            </w:r>
          </w:p>
        </w:tc>
        <w:tc>
          <w:tcPr>
            <w:tcW w:w="0" w:type="dxa"/>
            <w:vAlign w:val="bottom"/>
          </w:tcPr>
          <w:p>
            <w:pPr>
              <w:spacing w:after="0"/>
              <w:rPr>
                <w:sz w:val="1"/>
                <w:szCs w:val="1"/>
                <w:color w:val="auto"/>
              </w:rPr>
            </w:pPr>
          </w:p>
        </w:tc>
      </w:tr>
      <w:tr>
        <w:trPr>
          <w:trHeight w:val="106"/>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7"/>
        </w:trPr>
        <w:tc>
          <w:tcPr>
            <w:tcW w:w="8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Payments for purchase of common stock</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(51,576)</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(26,796)</w:t>
            </w: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Payment of cash dividends</w:t>
            </w:r>
          </w:p>
        </w:tc>
        <w:tc>
          <w:tcPr>
            <w:tcW w:w="240" w:type="dxa"/>
            <w:vAlign w:val="bottom"/>
          </w:tcPr>
          <w:p>
            <w:pPr>
              <w:spacing w:after="0"/>
              <w:rPr>
                <w:sz w:val="21"/>
                <w:szCs w:val="21"/>
                <w:color w:val="auto"/>
              </w:rPr>
            </w:pPr>
          </w:p>
        </w:tc>
        <w:tc>
          <w:tcPr>
            <w:tcW w:w="1680" w:type="dxa"/>
            <w:vAlign w:val="bottom"/>
            <w:gridSpan w:val="2"/>
          </w:tcPr>
          <w:p>
            <w:pPr>
              <w:jc w:val="right"/>
              <w:ind w:right="720"/>
              <w:spacing w:after="0" w:line="243" w:lineRule="exact"/>
              <w:rPr>
                <w:sz w:val="20"/>
                <w:szCs w:val="20"/>
                <w:color w:val="auto"/>
              </w:rPr>
            </w:pPr>
            <w:r>
              <w:rPr>
                <w:rFonts w:ascii="Times New Roman" w:cs="Times New Roman" w:eastAsia="Times New Roman" w:hAnsi="Times New Roman"/>
                <w:sz w:val="22"/>
                <w:szCs w:val="22"/>
                <w:color w:val="auto"/>
              </w:rPr>
              <w:t>(8,871)</w:t>
            </w:r>
          </w:p>
        </w:tc>
        <w:tc>
          <w:tcPr>
            <w:tcW w:w="36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(7,054)</w:t>
            </w:r>
          </w:p>
        </w:tc>
        <w:tc>
          <w:tcPr>
            <w:tcW w:w="0" w:type="dxa"/>
            <w:vAlign w:val="bottom"/>
          </w:tcPr>
          <w:p>
            <w:pPr>
              <w:spacing w:after="0"/>
              <w:rPr>
                <w:sz w:val="1"/>
                <w:szCs w:val="1"/>
                <w:color w:val="auto"/>
              </w:rPr>
            </w:pPr>
          </w:p>
        </w:tc>
      </w:tr>
      <w:tr>
        <w:trPr>
          <w:trHeight w:val="243"/>
        </w:trPr>
        <w:tc>
          <w:tcPr>
            <w:tcW w:w="81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Proceeds from issuance of treasury stock</w:t>
            </w: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1,245</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Excess tax benefit from stock-based compensation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06"/>
        </w:trPr>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cash used in financing activities</w:t>
            </w:r>
          </w:p>
        </w:tc>
        <w:tc>
          <w:tcPr>
            <w:tcW w:w="24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22"/>
                <w:szCs w:val="22"/>
                <w:color w:val="auto"/>
              </w:rPr>
              <w:t>(58,922)</w:t>
            </w: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(30,706)</w:t>
            </w:r>
          </w:p>
        </w:tc>
        <w:tc>
          <w:tcPr>
            <w:tcW w:w="0" w:type="dxa"/>
            <w:vAlign w:val="bottom"/>
          </w:tcPr>
          <w:p>
            <w:pPr>
              <w:spacing w:after="0"/>
              <w:rPr>
                <w:sz w:val="1"/>
                <w:szCs w:val="1"/>
                <w:color w:val="auto"/>
              </w:rPr>
            </w:pPr>
          </w:p>
        </w:tc>
      </w:tr>
      <w:tr>
        <w:trPr>
          <w:trHeight w:val="106"/>
        </w:trPr>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3"/>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decrease in cash and cash equivalents</w:t>
            </w:r>
          </w:p>
        </w:tc>
        <w:tc>
          <w:tcPr>
            <w:tcW w:w="24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22"/>
                <w:szCs w:val="22"/>
                <w:color w:val="auto"/>
              </w:rPr>
              <w:t>(4,065)</w:t>
            </w: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(14,143)</w:t>
            </w:r>
          </w:p>
        </w:tc>
        <w:tc>
          <w:tcPr>
            <w:tcW w:w="0" w:type="dxa"/>
            <w:vAlign w:val="bottom"/>
          </w:tcPr>
          <w:p>
            <w:pPr>
              <w:spacing w:after="0"/>
              <w:rPr>
                <w:sz w:val="1"/>
                <w:szCs w:val="1"/>
                <w:color w:val="auto"/>
              </w:rPr>
            </w:pPr>
          </w:p>
        </w:tc>
      </w:tr>
      <w:tr>
        <w:trPr>
          <w:trHeight w:val="486"/>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19,484</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3"/>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15,419</w:t>
            </w:r>
          </w:p>
        </w:tc>
        <w:tc>
          <w:tcPr>
            <w:tcW w:w="78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-7226300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-7226300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-6934835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-6934835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-6934835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-6934835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-4311015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-4311015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-4311015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-4311015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-4001770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-4001770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-4001770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-4001770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-2938780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-2938780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-2938780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-2938780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-2630170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-2630170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-2630170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-2630170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-1566545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-1566545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-1566545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-1566545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-1257935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-1257935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-1257935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-1257935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-485775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-485775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-485775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-485775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240" w:top="963" w:right="37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prior period information has been reclassified to conform to the current year presentation.</w:t>
      </w:r>
    </w:p>
    <w:p>
      <w:pPr>
        <w:sectPr>
          <w:pgSz w:w="11900" w:h="16838" w:orient="portrait"/>
          <w:cols w:equalWidth="0" w:num="1">
            <w:col w:w="11280"/>
          </w:cols>
          <w:pgMar w:left="240" w:top="963" w:right="379" w:bottom="1440" w:gutter="0" w:footer="0" w:header="0"/>
          <w:type w:val="continuous"/>
        </w:sectPr>
      </w:pPr>
    </w:p>
    <w:bookmarkStart w:id="6" w:name="page7"/>
    <w:bookmarkEnd w:id="6"/>
    <w:p>
      <w:pPr>
        <w:ind w:left="45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7940"/>
                    </a:xfrm>
                    <a:prstGeom prst="rect">
                      <a:avLst/>
                    </a:prstGeom>
                    <a:noFill/>
                  </pic:spPr>
                </pic:pic>
              </a:graphicData>
            </a:graphic>
          </wp:anchor>
        </w:drawing>
        <w:t>Winnebago Industries, Inc.</w:t>
      </w:r>
    </w:p>
    <w:p>
      <w:pPr>
        <w:spacing w:after="0" w:line="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Unaudited Motor Home Deliveries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20" w:type="dxa"/>
            <w:vAlign w:val="bottom"/>
          </w:tcPr>
          <w:p>
            <w:pPr>
              <w:spacing w:after="0"/>
              <w:rPr>
                <w:sz w:val="20"/>
                <w:szCs w:val="20"/>
                <w:color w:val="auto"/>
              </w:rPr>
            </w:pPr>
          </w:p>
        </w:tc>
        <w:tc>
          <w:tcPr>
            <w:tcW w:w="18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5/27/2006</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5/28/2005</w:t>
            </w:r>
          </w:p>
        </w:tc>
        <w:tc>
          <w:tcPr>
            <w:tcW w:w="320" w:type="dxa"/>
            <w:vAlign w:val="bottom"/>
          </w:tcPr>
          <w:p>
            <w:pPr>
              <w:spacing w:after="0"/>
              <w:rPr>
                <w:sz w:val="24"/>
                <w:szCs w:val="24"/>
                <w:color w:val="auto"/>
              </w:rPr>
            </w:pP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5/27/2006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5/28/2005</w:t>
            </w:r>
          </w:p>
        </w:tc>
        <w:tc>
          <w:tcPr>
            <w:tcW w:w="0" w:type="dxa"/>
            <w:vAlign w:val="bottom"/>
          </w:tcPr>
          <w:p>
            <w:pPr>
              <w:spacing w:after="0"/>
              <w:rPr>
                <w:sz w:val="1"/>
                <w:szCs w:val="1"/>
                <w:color w:val="auto"/>
              </w:rPr>
            </w:pPr>
          </w:p>
        </w:tc>
      </w:tr>
      <w:tr>
        <w:trPr>
          <w:trHeight w:val="120"/>
        </w:trPr>
        <w:tc>
          <w:tcPr>
            <w:tcW w:w="3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Unit deliveries</w:t>
            </w:r>
          </w:p>
        </w:tc>
        <w:tc>
          <w:tcPr>
            <w:tcW w:w="7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5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gas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782</w:t>
            </w:r>
          </w:p>
        </w:tc>
        <w:tc>
          <w:tcPr>
            <w:tcW w:w="400" w:type="dxa"/>
            <w:vAlign w:val="bottom"/>
          </w:tcPr>
          <w:p>
            <w:pPr>
              <w:spacing w:after="0"/>
              <w:rPr>
                <w:sz w:val="21"/>
                <w:szCs w:val="21"/>
                <w:color w:val="auto"/>
              </w:rPr>
            </w:pPr>
          </w:p>
        </w:tc>
        <w:tc>
          <w:tcPr>
            <w:tcW w:w="106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1,058</w:t>
            </w:r>
          </w:p>
        </w:tc>
        <w:tc>
          <w:tcPr>
            <w:tcW w:w="1420" w:type="dxa"/>
            <w:vAlign w:val="bottom"/>
            <w:gridSpan w:val="3"/>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2,341</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3,501</w:t>
            </w:r>
          </w:p>
        </w:tc>
        <w:tc>
          <w:tcPr>
            <w:tcW w:w="0" w:type="dxa"/>
            <w:vAlign w:val="bottom"/>
          </w:tcPr>
          <w:p>
            <w:pPr>
              <w:spacing w:after="0"/>
              <w:rPr>
                <w:sz w:val="1"/>
                <w:szCs w:val="1"/>
                <w:color w:val="auto"/>
              </w:rPr>
            </w:pPr>
          </w:p>
        </w:tc>
      </w:tr>
      <w:tr>
        <w:trPr>
          <w:trHeight w:val="243"/>
        </w:trPr>
        <w:tc>
          <w:tcPr>
            <w:tcW w:w="35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diesel</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341</w:t>
            </w:r>
          </w:p>
        </w:tc>
        <w:tc>
          <w:tcPr>
            <w:tcW w:w="400" w:type="dxa"/>
            <w:vAlign w:val="bottom"/>
          </w:tcPr>
          <w:p>
            <w:pPr>
              <w:spacing w:after="0"/>
              <w:rPr>
                <w:sz w:val="21"/>
                <w:szCs w:val="21"/>
                <w:color w:val="auto"/>
              </w:rPr>
            </w:pPr>
          </w:p>
        </w:tc>
        <w:tc>
          <w:tcPr>
            <w:tcW w:w="106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561</w:t>
            </w:r>
          </w:p>
        </w:tc>
        <w:tc>
          <w:tcPr>
            <w:tcW w:w="1420" w:type="dxa"/>
            <w:vAlign w:val="bottom"/>
            <w:gridSpan w:val="3"/>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1,234</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1,707</w:t>
            </w:r>
          </w:p>
        </w:tc>
        <w:tc>
          <w:tcPr>
            <w:tcW w:w="0" w:type="dxa"/>
            <w:vAlign w:val="bottom"/>
          </w:tcPr>
          <w:p>
            <w:pPr>
              <w:spacing w:after="0"/>
              <w:rPr>
                <w:sz w:val="1"/>
                <w:szCs w:val="1"/>
                <w:color w:val="auto"/>
              </w:rPr>
            </w:pPr>
          </w:p>
        </w:tc>
      </w:tr>
      <w:tr>
        <w:trPr>
          <w:trHeight w:val="283"/>
        </w:trPr>
        <w:tc>
          <w:tcPr>
            <w:tcW w:w="3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Class C</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1,443</w:t>
            </w:r>
          </w:p>
        </w:tc>
        <w:tc>
          <w:tcPr>
            <w:tcW w:w="4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1,088</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22"/>
                <w:szCs w:val="22"/>
                <w:color w:val="auto"/>
              </w:rPr>
              <w:t>3,753</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2,878</w:t>
            </w: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3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Total deliveries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2,566</w:t>
            </w:r>
          </w:p>
        </w:tc>
        <w:tc>
          <w:tcPr>
            <w:tcW w:w="4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2,707</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22"/>
                <w:szCs w:val="22"/>
                <w:color w:val="auto"/>
              </w:rPr>
              <w:t>7,328</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-1306195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-1306195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-1306195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-1306195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-1014730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-1014730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-1014730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-1014730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-1014730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-1014730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-1014730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-1014730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-242570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-242570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-242570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-242570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-242570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-242570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-242570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-242570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Unaudited Backlog and Dealer Inventory</w:t>
      </w:r>
    </w:p>
    <w:p>
      <w:pPr>
        <w:jc w:val="center"/>
        <w:ind w:right="-19"/>
        <w:spacing w:after="0"/>
        <w:rPr>
          <w:sz w:val="20"/>
          <w:szCs w:val="20"/>
          <w:color w:val="auto"/>
        </w:rPr>
      </w:pPr>
      <w:r>
        <w:rPr>
          <w:rFonts w:ascii="Times New Roman" w:cs="Times New Roman" w:eastAsia="Times New Roman" w:hAnsi="Times New Roman"/>
          <w:sz w:val="22"/>
          <w:szCs w:val="22"/>
          <w:color w:val="auto"/>
        </w:rPr>
        <w:t>(Units)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20"/>
        </w:trPr>
        <w:tc>
          <w:tcPr>
            <w:tcW w:w="54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5/27/2006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5/28/2005</w:t>
            </w:r>
          </w:p>
        </w:tc>
        <w:tc>
          <w:tcPr>
            <w:tcW w:w="0" w:type="dxa"/>
            <w:vAlign w:val="bottom"/>
          </w:tcPr>
          <w:p>
            <w:pPr>
              <w:spacing w:after="0"/>
              <w:rPr>
                <w:sz w:val="1"/>
                <w:szCs w:val="1"/>
                <w:color w:val="auto"/>
              </w:rPr>
            </w:pPr>
          </w:p>
        </w:tc>
      </w:tr>
      <w:tr>
        <w:trPr>
          <w:trHeight w:val="120"/>
        </w:trPr>
        <w:tc>
          <w:tcPr>
            <w:tcW w:w="5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Sales order backlog</w:t>
            </w:r>
          </w:p>
        </w:tc>
        <w:tc>
          <w:tcPr>
            <w:tcW w:w="90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gas</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408</w:t>
            </w:r>
          </w:p>
        </w:tc>
        <w:tc>
          <w:tcPr>
            <w:tcW w:w="15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566</w:t>
            </w: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diesel</w:t>
            </w: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15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0" w:type="dxa"/>
            <w:vAlign w:val="bottom"/>
          </w:tcPr>
          <w:p>
            <w:pPr>
              <w:spacing w:after="0"/>
              <w:rPr>
                <w:sz w:val="1"/>
                <w:szCs w:val="1"/>
                <w:color w:val="auto"/>
              </w:rPr>
            </w:pPr>
          </w:p>
        </w:tc>
      </w:tr>
      <w:tr>
        <w:trPr>
          <w:trHeight w:val="283"/>
        </w:trPr>
        <w:tc>
          <w:tcPr>
            <w:tcW w:w="5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Class C</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834</w:t>
            </w:r>
          </w:p>
        </w:tc>
        <w:tc>
          <w:tcPr>
            <w:tcW w:w="0" w:type="dxa"/>
            <w:vAlign w:val="bottom"/>
          </w:tcPr>
          <w:p>
            <w:pPr>
              <w:spacing w:after="0"/>
              <w:rPr>
                <w:sz w:val="1"/>
                <w:szCs w:val="1"/>
                <w:color w:val="auto"/>
              </w:rPr>
            </w:pPr>
          </w:p>
        </w:tc>
      </w:tr>
      <w:tr>
        <w:trPr>
          <w:trHeight w:val="106"/>
        </w:trPr>
        <w:tc>
          <w:tcPr>
            <w:tcW w:w="54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54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Total backlog*</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1,523</w:t>
            </w:r>
          </w:p>
        </w:tc>
        <w:tc>
          <w:tcPr>
            <w:tcW w:w="0" w:type="dxa"/>
            <w:vAlign w:val="bottom"/>
          </w:tcPr>
          <w:p>
            <w:pPr>
              <w:spacing w:after="0"/>
              <w:rPr>
                <w:sz w:val="1"/>
                <w:szCs w:val="1"/>
                <w:color w:val="auto"/>
              </w:rPr>
            </w:pPr>
          </w:p>
        </w:tc>
      </w:tr>
      <w:tr>
        <w:trPr>
          <w:trHeight w:val="486"/>
        </w:trPr>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Total approximate revenue dollars (in thousands)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$ 120,950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$ 116,500</w:t>
            </w:r>
          </w:p>
        </w:tc>
        <w:tc>
          <w:tcPr>
            <w:tcW w:w="0" w:type="dxa"/>
            <w:vAlign w:val="bottom"/>
          </w:tcPr>
          <w:p>
            <w:pPr>
              <w:spacing w:after="0"/>
              <w:rPr>
                <w:sz w:val="1"/>
                <w:szCs w:val="1"/>
                <w:color w:val="auto"/>
              </w:rPr>
            </w:pPr>
          </w:p>
        </w:tc>
      </w:tr>
      <w:tr>
        <w:trPr>
          <w:trHeight w:val="486"/>
        </w:trPr>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Dealer inventory</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4,881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-1923415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-1923415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-1631950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-1631950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-1631950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-1631950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-860425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-860425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-860425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-860425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ind w:firstLine="8"/>
        <w:spacing w:after="0" w:line="244"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3" w:lineRule="exact"/>
        <w:rPr>
          <w:rFonts w:ascii="Times New Roman" w:cs="Times New Roman" w:eastAsia="Times New Roman" w:hAnsi="Times New Roman"/>
          <w:sz w:val="22"/>
          <w:szCs w:val="22"/>
          <w:color w:val="auto"/>
        </w:rPr>
      </w:pPr>
    </w:p>
    <w:p>
      <w:pPr>
        <w:ind w:left="5660" w:hanging="216"/>
        <w:spacing w:after="0"/>
        <w:tabs>
          <w:tab w:leader="none" w:pos="5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725043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9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2019-12-13T08:32:18Z</dcterms:created>
  <dcterms:modified xsi:type="dcterms:W3CDTF">2019-12-13T08:32:18Z</dcterms:modified>
</cp:coreProperties>
</file>