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1,695,334.00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1,702,597.00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1,695,334.00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1,695,334.00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5.97 %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1,702,597.00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1,695,334.00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1,695,334.00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519"/>
        <w:spacing w:after="0"/>
        <w:rPr>
          <w:sz w:val="20"/>
          <w:szCs w:val="20"/>
          <w:color w:val="auto"/>
        </w:rPr>
      </w:pPr>
      <w:r>
        <w:rPr>
          <w:rFonts w:ascii="Times New Roman" w:cs="Times New Roman" w:eastAsia="Times New Roman" w:hAnsi="Times New Roman"/>
          <w:sz w:val="22"/>
          <w:szCs w:val="22"/>
          <w:color w:val="auto"/>
        </w:rPr>
        <w:t>Attn: Legal Department, 13200 Pioneer Trail, Eden Prairie, MN 55347, USA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right="3620"/>
        <w:spacing w:after="0" w:line="267" w:lineRule="auto"/>
        <w:rPr>
          <w:sz w:val="20"/>
          <w:szCs w:val="20"/>
          <w:color w:val="auto"/>
        </w:rPr>
      </w:pPr>
      <w:r>
        <w:rPr>
          <w:rFonts w:ascii="Times New Roman" w:cs="Times New Roman" w:eastAsia="Times New Roman" w:hAnsi="Times New Roman"/>
          <w:sz w:val="22"/>
          <w:szCs w:val="22"/>
          <w:color w:val="auto"/>
        </w:rPr>
        <w:t>First Trust Portfolios L.P. First Trust Advisors L.P. The Charger Corporation Address or principal business office or, if none, residence:</w:t>
      </w:r>
    </w:p>
    <w:p>
      <w:pPr>
        <w:spacing w:after="0" w:line="231"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120 East Liberty Drive, Suite 400, Wheaton, Illinois 60187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Illinois, 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974637100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1,695,334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1,702,597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1,695,334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838" w:orient="portrait"/>
          <w:cols w:equalWidth="0" w:num="1">
            <w:col w:w="11140"/>
          </w:cols>
          <w:pgMar w:left="360" w:top="355" w:right="399" w:bottom="0" w:gutter="0" w:footer="0" w:header="0"/>
        </w:sectPr>
      </w:pPr>
    </w:p>
    <w:bookmarkStart w:id="4" w:name="page5"/>
    <w:bookmarkEnd w:id="4"/>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69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This Schedule 13G filing is jointly filed by The Charger Corporation, First Trust Portfolios L.P. and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pursuant to Rule 13d-1(k)(1). The Charger Corporation is the General Partner of both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Portfolios L.P. and First Trust Advisors L.P. First Trust Portfolios L.P. acts as sponsor of certain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which hold shares of the issuer. The total number of shares of the issuer held by these unit investment trusts is set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forth in Row (8) above with respect to First Trust Portfolios L.P. No individual unit investment trust sponsored by</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Portfolios L.P. holds more than 3% of any registered investment company issuer's shares.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an affiliate of First Trust Portfolios L.P., acts as portfolio supervisor of the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sponsored by First Trust Portfolios L.P., certain of which hold shares of the issuer. Neither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Advisors L.P. nor The Charger Corporation have the power to vote the shares of the issuer held by these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unit investment trusts sponsored by First Trust Portfolios L.P. These shares are voted by the trustee of such unit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investment trusts so as to insure that the shares are ordinarily voted as closely as possible in the same manner and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the same general proportion as are the shares held by owners other than such unit investment trusts. Subject to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requirements of Rule 12d1-4 under the Investment Company Act of 1940 and as further explained in the Standard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Terms and Conditions of Trust and related Trust Agreements of the unit investment trusts,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on behalf of the unit investment trusts, may enter into an agreement with a deposited fund which may permit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of such fund to be voted in the best interest of unit holders at the discretion of First Trust Portfolios L.P.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difference, if any, between the aggregate amount of shares beneficially owned by each reporting person, as set forth</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 Row (9) above, and the number of shares of the issuer held by the unit investment trusts sponsored by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Portfolios L.P. represents shares of the issuer which are either held in other registered investment companies, pooled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investment vehicles and/or separately managed accounts for which First Trust Advisors L.P. serves as investment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advisor and/or investment sub-advisor. Each of First Trust Portfolios L.P., First Trust Advisors L.P. and The Charger</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Corporation disclaims beneficial ownership of the shares of the issuer identified in this filing.</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Item 6.</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ectPr>
          <w:pgSz w:w="11900" w:h="16887" w:orient="portrait"/>
          <w:cols w:equalWidth="0" w:num="1">
            <w:col w:w="11140"/>
          </w:cols>
          <w:pgMar w:left="360" w:top="102" w:right="399" w:bottom="0" w:gutter="0" w:footer="0" w:header="0"/>
        </w:sectPr>
      </w:pPr>
    </w:p>
    <w:bookmarkStart w:id="5" w:name="page6"/>
    <w:bookmarkEnd w:id="5"/>
    <w:p>
      <w:pPr>
        <w:jc w:val="right"/>
        <w:spacing w:after="0" w:line="203" w:lineRule="auto"/>
        <w:rPr>
          <w:sz w:val="20"/>
          <w:szCs w:val="20"/>
          <w:color w:val="auto"/>
        </w:rPr>
      </w:pPr>
      <w:r>
        <w:rPr>
          <w:rFonts w:ascii="Times New Roman" w:cs="Times New Roman" w:eastAsia="Times New Roman" w:hAnsi="Times New Roman"/>
          <w:sz w:val="43"/>
          <w:szCs w:val="43"/>
          <w:color w:val="auto"/>
          <w:vertAlign w:val="subscript"/>
        </w:rPr>
        <w:t>Name/Title:</w:t>
      </w:r>
      <w:r>
        <w:rPr>
          <w:rFonts w:ascii="Times New Roman" w:cs="Times New Roman" w:eastAsia="Times New Roman" w:hAnsi="Times New Roman"/>
          <w:sz w:val="22"/>
          <w:szCs w:val="22"/>
          <w:color w:val="auto"/>
        </w:rPr>
        <w:t xml:space="preserve"> James M. Dykas, Chief Financial Officer and</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Treasurer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01/31/2025</w:t>
      </w:r>
    </w:p>
    <w:p>
      <w:pPr>
        <w:spacing w:after="0" w:line="108"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99.1 for Joint Filing Agreement</w:t>
      </w:r>
    </w:p>
    <w:p>
      <w:pPr>
        <w:sectPr>
          <w:pgSz w:w="11900" w:h="16838" w:orient="portrait"/>
          <w:cols w:equalWidth="0" w:num="1">
            <w:col w:w="10660"/>
          </w:cols>
          <w:pgMar w:left="360" w:top="0" w:right="8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99.1 - Joint Filing Agreement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January 31, 2025</w:t>
      </w: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Advisors L.P. and</w:t>
      </w:r>
    </w:p>
    <w:p>
      <w:pPr>
        <w:ind w:left="54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9" w:lineRule="exact"/>
        <w:rPr>
          <w:sz w:val="20"/>
          <w:szCs w:val="20"/>
          <w:color w:val="auto"/>
        </w:rPr>
      </w:pPr>
    </w:p>
    <w:tbl>
      <w:tblPr>
        <w:tblLayout w:type="fixed"/>
        <w:tblInd w:w="5480" w:type="dxa"/>
        <w:tblCellMar>
          <w:top w:w="0" w:type="dxa"/>
          <w:left w:w="0" w:type="dxa"/>
          <w:bottom w:w="0" w:type="dxa"/>
          <w:right w:w="0" w:type="dxa"/>
        </w:tblCellMar>
      </w:tblP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James M. Dykas</w:t>
            </w:r>
          </w:p>
        </w:tc>
      </w:tr>
      <w:tr>
        <w:trPr>
          <w:trHeight w:val="209"/>
        </w:trPr>
        <w:tc>
          <w:tcPr>
            <w:tcW w:w="8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 Dykas</w:t>
            </w:r>
          </w:p>
        </w:tc>
      </w:tr>
      <w:tr>
        <w:trPr>
          <w:trHeight w:val="243"/>
        </w:trPr>
        <w:tc>
          <w:tcPr>
            <w:tcW w:w="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Chief Financial Officer of First Trust</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Portfolios L.P. and First Trust Advisors L.P.,</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and Chief Financial Officer and Treasurer of</w:t>
            </w:r>
          </w:p>
        </w:tc>
      </w:tr>
      <w:tr>
        <w:trPr>
          <w:trHeight w:val="282"/>
        </w:trPr>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2"/>
                <w:szCs w:val="22"/>
                <w:color w:val="auto"/>
              </w:rPr>
              <w:t>The Charger Corporation</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2025-01-31T09:38:32Z</dcterms:created>
  <dcterms:modified xsi:type="dcterms:W3CDTF">2025-01-31T09:38:32Z</dcterms:modified>
</cp:coreProperties>
</file>