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42545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For the quarterly period ended February 25, 2012</w:t>
      </w:r>
    </w:p>
    <w:p>
      <w:pPr>
        <w:spacing w:after="0" w:line="86"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600" w:hanging="2985"/>
        <w:spacing w:after="0" w:line="510" w:lineRule="auto"/>
        <w:tabs>
          <w:tab w:leader="none" w:pos="501"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1920875"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309"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March 29, 2012 was 29,229,219.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 w:name="page2"/>
    <w:bookmarkEnd w:id="1"/>
    <w:p>
      <w:pPr>
        <w:jc w:val="center"/>
        <w:ind w:right="-160"/>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000" w:type="dxa"/>
            <w:vAlign w:val="bottom"/>
            <w:gridSpan w:val="3"/>
          </w:tcPr>
          <w:p>
            <w:pPr>
              <w:ind w:left="620"/>
              <w:spacing w:after="0"/>
              <w:rPr>
                <w:sz w:val="20"/>
                <w:szCs w:val="20"/>
                <w:color w:val="auto"/>
              </w:rPr>
            </w:pPr>
            <w:r>
              <w:rPr>
                <w:rFonts w:ascii="Arial" w:cs="Arial" w:eastAsia="Arial" w:hAnsi="Arial"/>
                <w:sz w:val="16"/>
                <w:szCs w:val="16"/>
                <w:color w:val="auto"/>
                <w:w w:val="96"/>
              </w:rPr>
              <w:t>Page</w:t>
            </w:r>
          </w:p>
        </w:tc>
      </w:tr>
      <w:tr>
        <w:trPr>
          <w:trHeight w:val="357"/>
        </w:trPr>
        <w:tc>
          <w:tcPr>
            <w:tcW w:w="700" w:type="dxa"/>
            <w:vAlign w:val="bottom"/>
            <w:tcBorders>
              <w:bottom w:val="single" w:sz="8" w:color="0000FF"/>
            </w:tcBorders>
            <w:gridSpan w:val="3"/>
          </w:tcPr>
          <w:p>
            <w:pPr>
              <w:spacing w:after="0"/>
              <w:rPr>
                <w:rFonts w:ascii="Arial" w:cs="Arial" w:eastAsia="Arial" w:hAnsi="Arial"/>
                <w:sz w:val="16"/>
                <w:szCs w:val="16"/>
                <w:b w:val="1"/>
                <w:bCs w:val="1"/>
                <w:color w:val="0000FF"/>
                <w:w w:val="99"/>
              </w:rPr>
            </w:pPr>
            <w:hyperlink w:anchor="page2">
              <w:r>
                <w:rPr>
                  <w:rFonts w:ascii="Arial" w:cs="Arial" w:eastAsia="Arial" w:hAnsi="Arial"/>
                  <w:sz w:val="16"/>
                  <w:szCs w:val="16"/>
                  <w:b w:val="1"/>
                  <w:bCs w:val="1"/>
                  <w:color w:val="0000FF"/>
                  <w:w w:val="99"/>
                </w:rPr>
                <w:t>Glossary</w:t>
              </w:r>
            </w:hyperlink>
          </w:p>
        </w:tc>
        <w:tc>
          <w:tcPr>
            <w:tcW w:w="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2">
              <w:r>
                <w:rPr>
                  <w:rFonts w:ascii="Arial" w:cs="Arial" w:eastAsia="Arial" w:hAnsi="Arial"/>
                  <w:sz w:val="16"/>
                  <w:szCs w:val="16"/>
                  <w:color w:val="0000FF"/>
                </w:rPr>
                <w:t>1</w:t>
              </w:r>
            </w:hyperlink>
          </w:p>
        </w:tc>
        <w:tc>
          <w:tcPr>
            <w:tcW w:w="140" w:type="dxa"/>
            <w:vAlign w:val="bottom"/>
          </w:tcPr>
          <w:p>
            <w:pPr>
              <w:spacing w:after="0"/>
              <w:rPr>
                <w:sz w:val="24"/>
                <w:szCs w:val="24"/>
                <w:color w:val="auto"/>
              </w:rPr>
            </w:pPr>
          </w:p>
        </w:tc>
      </w:tr>
      <w:tr>
        <w:trPr>
          <w:trHeight w:val="520"/>
        </w:trPr>
        <w:tc>
          <w:tcPr>
            <w:tcW w:w="840" w:type="dxa"/>
            <w:vAlign w:val="bottom"/>
            <w:gridSpan w:val="4"/>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Part I</w:t>
              </w:r>
            </w:hyperlink>
          </w:p>
        </w:tc>
        <w:tc>
          <w:tcPr>
            <w:tcW w:w="718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860" w:type="dxa"/>
            <w:vAlign w:val="bottom"/>
            <w:gridSpan w:val="2"/>
          </w:tcPr>
          <w:p>
            <w:pPr>
              <w:jc w:val="center"/>
              <w:ind w:left="679"/>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14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Condensed Financial Statements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4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80" w:type="dxa"/>
            <w:vAlign w:val="bottom"/>
          </w:tcPr>
          <w:p>
            <w:pPr>
              <w:ind w:left="440"/>
              <w:spacing w:after="0"/>
              <w:rPr>
                <w:sz w:val="20"/>
                <w:szCs w:val="20"/>
                <w:color w:val="auto"/>
              </w:rPr>
            </w:pPr>
            <w:r>
              <w:rPr>
                <w:rFonts w:ascii="Arial" w:cs="Arial" w:eastAsia="Arial" w:hAnsi="Arial"/>
                <w:sz w:val="16"/>
                <w:szCs w:val="16"/>
                <w:color w:val="auto"/>
              </w:rPr>
              <w:t>Unaudited Consolidated Statements of Operations</w:t>
            </w:r>
          </w:p>
        </w:tc>
        <w:tc>
          <w:tcPr>
            <w:tcW w:w="7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2</w:t>
              </w:r>
            </w:hyperlink>
          </w:p>
        </w:tc>
        <w:tc>
          <w:tcPr>
            <w:tcW w:w="14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80" w:type="dxa"/>
            <w:vAlign w:val="bottom"/>
          </w:tcPr>
          <w:p>
            <w:pPr>
              <w:ind w:left="440"/>
              <w:spacing w:after="0"/>
              <w:rPr>
                <w:sz w:val="20"/>
                <w:szCs w:val="20"/>
                <w:color w:val="auto"/>
              </w:rPr>
            </w:pPr>
            <w:r>
              <w:rPr>
                <w:rFonts w:ascii="Arial" w:cs="Arial" w:eastAsia="Arial" w:hAnsi="Arial"/>
                <w:sz w:val="16"/>
                <w:szCs w:val="16"/>
                <w:color w:val="auto"/>
              </w:rPr>
              <w:t>Unaudited Consolidated Balance Sheets</w:t>
            </w:r>
          </w:p>
        </w:tc>
        <w:tc>
          <w:tcPr>
            <w:tcW w:w="7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14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80" w:type="dxa"/>
            <w:vAlign w:val="bottom"/>
          </w:tcPr>
          <w:p>
            <w:pPr>
              <w:ind w:left="440"/>
              <w:spacing w:after="0"/>
              <w:rPr>
                <w:sz w:val="20"/>
                <w:szCs w:val="20"/>
                <w:color w:val="auto"/>
              </w:rPr>
            </w:pPr>
            <w:r>
              <w:rPr>
                <w:rFonts w:ascii="Arial" w:cs="Arial" w:eastAsia="Arial" w:hAnsi="Arial"/>
                <w:sz w:val="16"/>
                <w:szCs w:val="16"/>
                <w:color w:val="auto"/>
              </w:rPr>
              <w:t>Unaudited Consolidated Statements of Cash Flows</w:t>
            </w:r>
          </w:p>
        </w:tc>
        <w:tc>
          <w:tcPr>
            <w:tcW w:w="7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5">
              <w:r>
                <w:rPr>
                  <w:rFonts w:ascii="Arial" w:cs="Arial" w:eastAsia="Arial" w:hAnsi="Arial"/>
                  <w:sz w:val="16"/>
                  <w:szCs w:val="16"/>
                  <w:color w:val="0000FF"/>
                </w:rPr>
                <w:t>4</w:t>
              </w:r>
            </w:hyperlink>
          </w:p>
        </w:tc>
        <w:tc>
          <w:tcPr>
            <w:tcW w:w="14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80" w:type="dxa"/>
            <w:vAlign w:val="bottom"/>
          </w:tcPr>
          <w:p>
            <w:pPr>
              <w:ind w:left="440"/>
              <w:spacing w:after="0"/>
              <w:rPr>
                <w:sz w:val="20"/>
                <w:szCs w:val="20"/>
                <w:color w:val="auto"/>
              </w:rPr>
            </w:pPr>
            <w:r>
              <w:rPr>
                <w:rFonts w:ascii="Arial" w:cs="Arial" w:eastAsia="Arial" w:hAnsi="Arial"/>
                <w:sz w:val="16"/>
                <w:szCs w:val="16"/>
                <w:color w:val="auto"/>
              </w:rPr>
              <w:t>Unaudited Consolidated Notes to Financial Statements</w:t>
            </w:r>
          </w:p>
        </w:tc>
        <w:tc>
          <w:tcPr>
            <w:tcW w:w="7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c>
          <w:tcPr>
            <w:tcW w:w="140" w:type="dxa"/>
            <w:vAlign w:val="bottom"/>
          </w:tcPr>
          <w:p>
            <w:pPr>
              <w:spacing w:after="0"/>
              <w:rPr>
                <w:sz w:val="21"/>
                <w:szCs w:val="2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Item 2</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000" w:type="dxa"/>
            <w:vAlign w:val="bottom"/>
            <w:gridSpan w:val="3"/>
          </w:tcPr>
          <w:p>
            <w:pPr>
              <w:jc w:val="center"/>
              <w:ind w:left="539"/>
              <w:spacing w:after="0"/>
              <w:rPr>
                <w:rFonts w:ascii="Arial" w:cs="Arial" w:eastAsia="Arial" w:hAnsi="Arial"/>
                <w:sz w:val="16"/>
                <w:szCs w:val="16"/>
                <w:color w:val="0000FF"/>
              </w:rPr>
            </w:pPr>
            <w:hyperlink w:anchor="page15">
              <w:r>
                <w:rPr>
                  <w:rFonts w:ascii="Arial" w:cs="Arial" w:eastAsia="Arial" w:hAnsi="Arial"/>
                  <w:sz w:val="16"/>
                  <w:szCs w:val="16"/>
                  <w:color w:val="0000FF"/>
                </w:rPr>
                <w:t>13</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3</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of Market Risk</w:t>
            </w:r>
          </w:p>
        </w:tc>
        <w:tc>
          <w:tcPr>
            <w:tcW w:w="1000" w:type="dxa"/>
            <w:vAlign w:val="bottom"/>
            <w:gridSpan w:val="3"/>
          </w:tcPr>
          <w:p>
            <w:pPr>
              <w:jc w:val="center"/>
              <w:ind w:left="53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4</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000" w:type="dxa"/>
            <w:vAlign w:val="bottom"/>
            <w:gridSpan w:val="3"/>
          </w:tcPr>
          <w:p>
            <w:pPr>
              <w:jc w:val="center"/>
              <w:ind w:left="53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520"/>
        </w:trPr>
        <w:tc>
          <w:tcPr>
            <w:tcW w:w="460" w:type="dxa"/>
            <w:vAlign w:val="bottom"/>
            <w:gridSpan w:val="2"/>
          </w:tcPr>
          <w:p>
            <w:pPr>
              <w:spacing w:after="0"/>
              <w:rPr>
                <w:rFonts w:ascii="Arial" w:cs="Arial" w:eastAsia="Arial" w:hAnsi="Arial"/>
                <w:sz w:val="16"/>
                <w:szCs w:val="16"/>
                <w:b w:val="1"/>
                <w:bCs w:val="1"/>
                <w:color w:val="0000FF"/>
                <w:w w:val="98"/>
              </w:rPr>
            </w:pPr>
            <w:hyperlink w:anchor="page23">
              <w:r>
                <w:rPr>
                  <w:rFonts w:ascii="Arial" w:cs="Arial" w:eastAsia="Arial" w:hAnsi="Arial"/>
                  <w:sz w:val="16"/>
                  <w:szCs w:val="16"/>
                  <w:b w:val="1"/>
                  <w:bCs w:val="1"/>
                  <w:color w:val="0000FF"/>
                  <w:w w:val="98"/>
                </w:rPr>
                <w:t>Part II</w:t>
              </w:r>
            </w:hyperlink>
          </w:p>
        </w:tc>
        <w:tc>
          <w:tcPr>
            <w:tcW w:w="380" w:type="dxa"/>
            <w:vAlign w:val="bottom"/>
            <w:gridSpan w:val="2"/>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760" w:type="dxa"/>
            <w:vAlign w:val="bottom"/>
          </w:tcPr>
          <w:p>
            <w:pPr>
              <w:spacing w:after="0"/>
              <w:rPr>
                <w:sz w:val="24"/>
                <w:szCs w:val="24"/>
                <w:color w:val="auto"/>
              </w:rPr>
            </w:pPr>
          </w:p>
        </w:tc>
        <w:tc>
          <w:tcPr>
            <w:tcW w:w="240" w:type="dxa"/>
            <w:vAlign w:val="bottom"/>
            <w:gridSpan w:val="2"/>
          </w:tcPr>
          <w:p>
            <w:pPr>
              <w:jc w:val="center"/>
              <w:ind w:right="100"/>
              <w:spacing w:after="0"/>
              <w:rPr>
                <w:rFonts w:ascii="Arial" w:cs="Arial" w:eastAsia="Arial" w:hAnsi="Arial"/>
                <w:sz w:val="16"/>
                <w:szCs w:val="16"/>
                <w:color w:val="0000FF"/>
                <w:w w:val="78"/>
              </w:rPr>
            </w:pPr>
            <w:hyperlink w:anchor="page23">
              <w:r>
                <w:rPr>
                  <w:rFonts w:ascii="Arial" w:cs="Arial" w:eastAsia="Arial" w:hAnsi="Arial"/>
                  <w:sz w:val="16"/>
                  <w:szCs w:val="16"/>
                  <w:color w:val="0000FF"/>
                  <w:w w:val="78"/>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1</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1000" w:type="dxa"/>
            <w:vAlign w:val="bottom"/>
            <w:gridSpan w:val="3"/>
          </w:tcPr>
          <w:p>
            <w:pPr>
              <w:jc w:val="center"/>
              <w:ind w:left="53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2</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Funds</w:t>
            </w:r>
          </w:p>
        </w:tc>
        <w:tc>
          <w:tcPr>
            <w:tcW w:w="1000" w:type="dxa"/>
            <w:vAlign w:val="bottom"/>
            <w:gridSpan w:val="3"/>
          </w:tcPr>
          <w:p>
            <w:pPr>
              <w:jc w:val="center"/>
              <w:ind w:left="53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Item 6</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000" w:type="dxa"/>
            <w:vAlign w:val="bottom"/>
            <w:gridSpan w:val="3"/>
          </w:tcPr>
          <w:p>
            <w:pPr>
              <w:jc w:val="center"/>
              <w:ind w:left="539"/>
              <w:spacing w:after="0"/>
              <w:rPr>
                <w:rFonts w:ascii="Arial" w:cs="Arial" w:eastAsia="Arial" w:hAnsi="Arial"/>
                <w:sz w:val="16"/>
                <w:szCs w:val="16"/>
                <w:color w:val="0000FF"/>
              </w:rPr>
            </w:pPr>
            <w:hyperlink w:anchor="page24">
              <w:r>
                <w:rPr>
                  <w:rFonts w:ascii="Arial" w:cs="Arial" w:eastAsia="Arial" w:hAnsi="Arial"/>
                  <w:sz w:val="16"/>
                  <w:szCs w:val="16"/>
                  <w:color w:val="0000FF"/>
                </w:rPr>
                <w:t>22</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520"/>
        </w:trPr>
        <w:tc>
          <w:tcPr>
            <w:tcW w:w="840" w:type="dxa"/>
            <w:vAlign w:val="bottom"/>
            <w:gridSpan w:val="4"/>
          </w:tcPr>
          <w:p>
            <w:pPr>
              <w:spacing w:after="0"/>
              <w:rPr>
                <w:rFonts w:ascii="Arial" w:cs="Arial" w:eastAsia="Arial" w:hAnsi="Arial"/>
                <w:sz w:val="16"/>
                <w:szCs w:val="16"/>
                <w:b w:val="1"/>
                <w:bCs w:val="1"/>
                <w:color w:val="0000FF"/>
                <w:w w:val="99"/>
              </w:rPr>
            </w:pPr>
            <w:hyperlink w:anchor="page24">
              <w:r>
                <w:rPr>
                  <w:rFonts w:ascii="Arial" w:cs="Arial" w:eastAsia="Arial" w:hAnsi="Arial"/>
                  <w:sz w:val="16"/>
                  <w:szCs w:val="16"/>
                  <w:b w:val="1"/>
                  <w:bCs w:val="1"/>
                  <w:color w:val="0000FF"/>
                  <w:w w:val="99"/>
                </w:rPr>
                <w:t>Signatures</w:t>
              </w:r>
            </w:hyperlink>
          </w:p>
        </w:tc>
        <w:tc>
          <w:tcPr>
            <w:tcW w:w="7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gridSpan w:val="2"/>
          </w:tcPr>
          <w:p>
            <w:pPr>
              <w:jc w:val="center"/>
              <w:ind w:right="100"/>
              <w:spacing w:after="0"/>
              <w:rPr>
                <w:rFonts w:ascii="Arial" w:cs="Arial" w:eastAsia="Arial" w:hAnsi="Arial"/>
                <w:sz w:val="16"/>
                <w:szCs w:val="16"/>
                <w:color w:val="0000FF"/>
                <w:w w:val="78"/>
              </w:rPr>
            </w:pPr>
            <w:hyperlink w:anchor="page24">
              <w:r>
                <w:rPr>
                  <w:rFonts w:ascii="Arial" w:cs="Arial" w:eastAsia="Arial" w:hAnsi="Arial"/>
                  <w:sz w:val="16"/>
                  <w:szCs w:val="16"/>
                  <w:color w:val="0000FF"/>
                  <w:w w:val="78"/>
                </w:rPr>
                <w:t>22</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9179"/>
          </w:cols>
          <w:pgMar w:left="1280" w:top="738"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Auction Rate Securities</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ASC</w:t>
            </w:r>
          </w:p>
        </w:tc>
        <w:tc>
          <w:tcPr>
            <w:tcW w:w="9680" w:type="dxa"/>
            <w:vAlign w:val="bottom"/>
          </w:tcPr>
          <w:p>
            <w:pPr>
              <w:ind w:left="520"/>
              <w:spacing w:after="0"/>
              <w:rPr>
                <w:sz w:val="20"/>
                <w:szCs w:val="20"/>
                <w:color w:val="auto"/>
              </w:rPr>
            </w:pPr>
            <w:r>
              <w:rPr>
                <w:rFonts w:ascii="Arial" w:cs="Arial" w:eastAsia="Arial" w:hAnsi="Arial"/>
                <w:sz w:val="16"/>
                <w:szCs w:val="16"/>
                <w:color w:val="auto"/>
              </w:rPr>
              <w:t>Accounting Standards Codification</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Average Sales Price</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ASU</w:t>
            </w:r>
          </w:p>
        </w:tc>
        <w:tc>
          <w:tcPr>
            <w:tcW w:w="9680" w:type="dxa"/>
            <w:vAlign w:val="bottom"/>
          </w:tcPr>
          <w:p>
            <w:pPr>
              <w:ind w:left="520"/>
              <w:spacing w:after="0"/>
              <w:rPr>
                <w:sz w:val="20"/>
                <w:szCs w:val="20"/>
                <w:color w:val="auto"/>
              </w:rPr>
            </w:pPr>
            <w:r>
              <w:rPr>
                <w:rFonts w:ascii="Arial" w:cs="Arial" w:eastAsia="Arial" w:hAnsi="Arial"/>
                <w:sz w:val="16"/>
                <w:szCs w:val="16"/>
                <w:color w:val="auto"/>
              </w:rPr>
              <w:t>Accounting Standards Update</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CCMF</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Charles City Manufacturing Facility</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COLI</w:t>
            </w:r>
          </w:p>
        </w:tc>
        <w:tc>
          <w:tcPr>
            <w:tcW w:w="9680" w:type="dxa"/>
            <w:vAlign w:val="bottom"/>
          </w:tcPr>
          <w:p>
            <w:pPr>
              <w:ind w:left="520"/>
              <w:spacing w:after="0"/>
              <w:rPr>
                <w:sz w:val="20"/>
                <w:szCs w:val="20"/>
                <w:color w:val="auto"/>
              </w:rPr>
            </w:pPr>
            <w:r>
              <w:rPr>
                <w:rFonts w:ascii="Arial" w:cs="Arial" w:eastAsia="Arial" w:hAnsi="Arial"/>
                <w:sz w:val="16"/>
                <w:szCs w:val="16"/>
                <w:color w:val="auto"/>
              </w:rPr>
              <w:t>Company Owned Life Insurance</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DCF</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Discounted Cash Flow</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FASB</w:t>
            </w:r>
          </w:p>
        </w:tc>
        <w:tc>
          <w:tcPr>
            <w:tcW w:w="9680" w:type="dxa"/>
            <w:vAlign w:val="bottom"/>
          </w:tcPr>
          <w:p>
            <w:pPr>
              <w:ind w:left="520"/>
              <w:spacing w:after="0"/>
              <w:rPr>
                <w:sz w:val="20"/>
                <w:szCs w:val="20"/>
                <w:color w:val="auto"/>
              </w:rPr>
            </w:pPr>
            <w:r>
              <w:rPr>
                <w:rFonts w:ascii="Arial" w:cs="Arial" w:eastAsia="Arial" w:hAnsi="Arial"/>
                <w:sz w:val="16"/>
                <w:szCs w:val="16"/>
                <w:color w:val="auto"/>
              </w:rPr>
              <w:t>Financial Accounting Standards Board</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Generally Accepted Accounting Principles</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IRS</w:t>
            </w:r>
          </w:p>
        </w:tc>
        <w:tc>
          <w:tcPr>
            <w:tcW w:w="9680" w:type="dxa"/>
            <w:vAlign w:val="bottom"/>
          </w:tcPr>
          <w:p>
            <w:pPr>
              <w:ind w:left="520"/>
              <w:spacing w:after="0"/>
              <w:rPr>
                <w:sz w:val="20"/>
                <w:szCs w:val="20"/>
                <w:color w:val="auto"/>
              </w:rPr>
            </w:pPr>
            <w:r>
              <w:rPr>
                <w:rFonts w:ascii="Arial" w:cs="Arial" w:eastAsia="Arial" w:hAnsi="Arial"/>
                <w:sz w:val="16"/>
                <w:szCs w:val="16"/>
                <w:color w:val="auto"/>
              </w:rPr>
              <w:t>Internal Revenue Service</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London Interbank Offered Rate</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LIFO</w:t>
            </w:r>
          </w:p>
        </w:tc>
        <w:tc>
          <w:tcPr>
            <w:tcW w:w="9680" w:type="dxa"/>
            <w:vAlign w:val="bottom"/>
          </w:tcPr>
          <w:p>
            <w:pPr>
              <w:ind w:left="520"/>
              <w:spacing w:after="0"/>
              <w:rPr>
                <w:sz w:val="20"/>
                <w:szCs w:val="20"/>
                <w:color w:val="auto"/>
              </w:rPr>
            </w:pPr>
            <w:r>
              <w:rPr>
                <w:rFonts w:ascii="Arial" w:cs="Arial" w:eastAsia="Arial" w:hAnsi="Arial"/>
                <w:sz w:val="16"/>
                <w:szCs w:val="16"/>
                <w:color w:val="auto"/>
              </w:rPr>
              <w:t>Last In, First Out</w:t>
            </w:r>
          </w:p>
        </w:tc>
      </w:tr>
      <w:tr>
        <w:trPr>
          <w:trHeight w:val="228"/>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 Agreement</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Loan and Security Agreement dated October 13, 2009 by and between Winnebago Industries, Inc. and Wells Fargo Bank,</w:t>
            </w:r>
          </w:p>
        </w:tc>
      </w:tr>
      <w:tr>
        <w:trPr>
          <w:trHeight w:val="214"/>
        </w:trPr>
        <w:tc>
          <w:tcPr>
            <w:tcW w:w="1740" w:type="dxa"/>
            <w:vAlign w:val="bottom"/>
            <w:shd w:val="clear" w:color="auto" w:fill="CCEEFF"/>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National Association, as successor to Burdale Capital Finance, Inc., as Agent</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NYSE</w:t>
            </w:r>
          </w:p>
        </w:tc>
        <w:tc>
          <w:tcPr>
            <w:tcW w:w="9680" w:type="dxa"/>
            <w:vAlign w:val="bottom"/>
          </w:tcPr>
          <w:p>
            <w:pPr>
              <w:ind w:left="520"/>
              <w:spacing w:after="0"/>
              <w:rPr>
                <w:sz w:val="20"/>
                <w:szCs w:val="20"/>
                <w:color w:val="auto"/>
              </w:rPr>
            </w:pPr>
            <w:r>
              <w:rPr>
                <w:rFonts w:ascii="Arial" w:cs="Arial" w:eastAsia="Arial" w:hAnsi="Arial"/>
                <w:sz w:val="16"/>
                <w:szCs w:val="16"/>
                <w:color w:val="auto"/>
              </w:rPr>
              <w:t>New York Stock Exchange</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PDM</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PDM Distribution Services, Inc.</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RV</w:t>
            </w:r>
          </w:p>
        </w:tc>
        <w:tc>
          <w:tcPr>
            <w:tcW w:w="9680" w:type="dxa"/>
            <w:vAlign w:val="bottom"/>
          </w:tcPr>
          <w:p>
            <w:pPr>
              <w:ind w:left="520"/>
              <w:spacing w:after="0"/>
              <w:rPr>
                <w:sz w:val="20"/>
                <w:szCs w:val="20"/>
                <w:color w:val="auto"/>
              </w:rPr>
            </w:pPr>
            <w:r>
              <w:rPr>
                <w:rFonts w:ascii="Arial" w:cs="Arial" w:eastAsia="Arial" w:hAnsi="Arial"/>
                <w:sz w:val="16"/>
                <w:szCs w:val="16"/>
                <w:color w:val="auto"/>
              </w:rPr>
              <w:t>Recreation Vehicle</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Recreation Vehicle Industry Association</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SEC</w:t>
            </w:r>
          </w:p>
        </w:tc>
        <w:tc>
          <w:tcPr>
            <w:tcW w:w="9680" w:type="dxa"/>
            <w:vAlign w:val="bottom"/>
          </w:tcPr>
          <w:p>
            <w:pPr>
              <w:ind w:left="520"/>
              <w:spacing w:after="0"/>
              <w:rPr>
                <w:sz w:val="20"/>
                <w:szCs w:val="20"/>
                <w:color w:val="auto"/>
              </w:rPr>
            </w:pPr>
            <w:r>
              <w:rPr>
                <w:rFonts w:ascii="Arial" w:cs="Arial" w:eastAsia="Arial" w:hAnsi="Arial"/>
                <w:sz w:val="16"/>
                <w:szCs w:val="16"/>
                <w:color w:val="auto"/>
              </w:rPr>
              <w:t>U.S. Securities and Exchange Commission</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Supplemental Executive Retirement Plan</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680" w:type="dxa"/>
            <w:vAlign w:val="bottom"/>
          </w:tcPr>
          <w:p>
            <w:pPr>
              <w:ind w:left="520"/>
              <w:spacing w:after="0"/>
              <w:rPr>
                <w:sz w:val="20"/>
                <w:szCs w:val="20"/>
                <w:color w:val="auto"/>
              </w:rPr>
            </w:pPr>
            <w:r>
              <w:rPr>
                <w:rFonts w:ascii="Arial" w:cs="Arial" w:eastAsia="Arial" w:hAnsi="Arial"/>
                <w:sz w:val="16"/>
                <w:szCs w:val="16"/>
                <w:color w:val="auto"/>
              </w:rPr>
              <w:t>Statistical Surveys, Inc.</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SunnyBrook</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SunnyBrook RV, Inc.</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Towables</w:t>
            </w:r>
          </w:p>
        </w:tc>
        <w:tc>
          <w:tcPr>
            <w:tcW w:w="9680" w:type="dxa"/>
            <w:vAlign w:val="bottom"/>
          </w:tcPr>
          <w:p>
            <w:pPr>
              <w:ind w:left="520"/>
              <w:spacing w:after="0"/>
              <w:rPr>
                <w:sz w:val="20"/>
                <w:szCs w:val="20"/>
                <w:color w:val="auto"/>
              </w:rPr>
            </w:pPr>
            <w:r>
              <w:rPr>
                <w:rFonts w:ascii="Arial" w:cs="Arial" w:eastAsia="Arial" w:hAnsi="Arial"/>
                <w:sz w:val="16"/>
                <w:szCs w:val="16"/>
                <w:color w:val="auto"/>
              </w:rPr>
              <w:t>Winnebago of Indiana, LLC, a wholly-owned subsidiary of Winnebago Industries, Inc.</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United States of America</w:t>
            </w:r>
          </w:p>
        </w:tc>
      </w:tr>
      <w:tr>
        <w:trPr>
          <w:trHeight w:val="224"/>
        </w:trPr>
        <w:tc>
          <w:tcPr>
            <w:tcW w:w="1740" w:type="dxa"/>
            <w:vAlign w:val="bottom"/>
          </w:tcPr>
          <w:p>
            <w:pPr>
              <w:ind w:left="40"/>
              <w:spacing w:after="0"/>
              <w:rPr>
                <w:sz w:val="20"/>
                <w:szCs w:val="20"/>
                <w:color w:val="auto"/>
              </w:rPr>
            </w:pPr>
            <w:r>
              <w:rPr>
                <w:rFonts w:ascii="Arial" w:cs="Arial" w:eastAsia="Arial" w:hAnsi="Arial"/>
                <w:sz w:val="16"/>
                <w:szCs w:val="16"/>
                <w:color w:val="auto"/>
              </w:rPr>
              <w:t>XBRL</w:t>
            </w:r>
          </w:p>
        </w:tc>
        <w:tc>
          <w:tcPr>
            <w:tcW w:w="9680" w:type="dxa"/>
            <w:vAlign w:val="bottom"/>
          </w:tcPr>
          <w:p>
            <w:pPr>
              <w:ind w:left="520"/>
              <w:spacing w:after="0"/>
              <w:rPr>
                <w:sz w:val="20"/>
                <w:szCs w:val="20"/>
                <w:color w:val="auto"/>
              </w:rPr>
            </w:pPr>
            <w:r>
              <w:rPr>
                <w:rFonts w:ascii="Arial" w:cs="Arial" w:eastAsia="Arial" w:hAnsi="Arial"/>
                <w:sz w:val="16"/>
                <w:szCs w:val="16"/>
                <w:color w:val="auto"/>
              </w:rPr>
              <w:t>eXtensible Business Reporting Language</w:t>
            </w:r>
          </w:p>
        </w:tc>
      </w:tr>
      <w:tr>
        <w:trPr>
          <w:trHeight w:val="648"/>
        </w:trPr>
        <w:tc>
          <w:tcPr>
            <w:tcW w:w="1740" w:type="dxa"/>
            <w:vAlign w:val="bottom"/>
          </w:tcPr>
          <w:p>
            <w:pPr>
              <w:spacing w:after="0"/>
              <w:rPr>
                <w:sz w:val="24"/>
                <w:szCs w:val="24"/>
                <w:color w:val="auto"/>
              </w:rPr>
            </w:pPr>
          </w:p>
        </w:tc>
        <w:tc>
          <w:tcPr>
            <w:tcW w:w="9680" w:type="dxa"/>
            <w:vAlign w:val="bottom"/>
          </w:tcPr>
          <w:p>
            <w:pPr>
              <w:ind w:left="3920"/>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25,</w:t>
            </w:r>
          </w:p>
        </w:tc>
        <w:tc>
          <w:tcPr>
            <w:tcW w:w="14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26,</w:t>
            </w:r>
          </w:p>
        </w:tc>
        <w:tc>
          <w:tcPr>
            <w:tcW w:w="16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25,</w:t>
            </w:r>
          </w:p>
        </w:tc>
        <w:tc>
          <w:tcPr>
            <w:tcW w:w="180" w:type="dxa"/>
            <w:vAlign w:val="bottom"/>
          </w:tcPr>
          <w:p>
            <w:pPr>
              <w:spacing w:after="0"/>
              <w:rPr>
                <w:sz w:val="15"/>
                <w:szCs w:val="15"/>
                <w:color w:val="auto"/>
              </w:rPr>
            </w:pPr>
          </w:p>
        </w:tc>
        <w:tc>
          <w:tcPr>
            <w:tcW w:w="1180" w:type="dxa"/>
            <w:vAlign w:val="bottom"/>
          </w:tcPr>
          <w:p>
            <w:pPr>
              <w:jc w:val="right"/>
              <w:ind w:right="180"/>
              <w:spacing w:after="0"/>
              <w:rPr>
                <w:sz w:val="20"/>
                <w:szCs w:val="20"/>
                <w:color w:val="auto"/>
              </w:rPr>
            </w:pPr>
            <w:r>
              <w:rPr>
                <w:rFonts w:ascii="Arial" w:cs="Arial" w:eastAsia="Arial" w:hAnsi="Arial"/>
                <w:sz w:val="14"/>
                <w:szCs w:val="14"/>
                <w:b w:val="1"/>
                <w:bCs w:val="1"/>
                <w:color w:val="auto"/>
              </w:rPr>
              <w:t>February 26,</w:t>
            </w:r>
          </w:p>
        </w:tc>
      </w:tr>
      <w:tr>
        <w:trPr>
          <w:trHeight w:val="196"/>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2011</w:t>
            </w:r>
          </w:p>
        </w:tc>
      </w:tr>
      <w:tr>
        <w:trPr>
          <w:trHeight w:val="256"/>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131,600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106,593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263,437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230,304</w:t>
            </w:r>
          </w:p>
        </w:tc>
      </w:tr>
      <w:tr>
        <w:trPr>
          <w:trHeight w:val="264"/>
        </w:trPr>
        <w:tc>
          <w:tcPr>
            <w:tcW w:w="5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124,754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95,269</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248,095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207,781</w:t>
            </w:r>
          </w:p>
        </w:tc>
      </w:tr>
      <w:tr>
        <w:trPr>
          <w:trHeight w:val="250"/>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6,846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11,324</w:t>
            </w:r>
          </w:p>
        </w:tc>
        <w:tc>
          <w:tcPr>
            <w:tcW w:w="2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15,342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22,523</w:t>
            </w:r>
          </w:p>
        </w:tc>
      </w:tr>
      <w:tr>
        <w:trPr>
          <w:trHeight w:val="270"/>
        </w:trPr>
        <w:tc>
          <w:tcPr>
            <w:tcW w:w="5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5700" w:type="dxa"/>
            <w:vAlign w:val="bottom"/>
            <w:gridSpan w:val="2"/>
          </w:tcPr>
          <w:p>
            <w:pPr>
              <w:ind w:left="280"/>
              <w:spacing w:after="0"/>
              <w:rPr>
                <w:sz w:val="20"/>
                <w:szCs w:val="20"/>
                <w:color w:val="auto"/>
              </w:rPr>
            </w:pPr>
            <w:r>
              <w:rPr>
                <w:rFonts w:ascii="Arial" w:cs="Arial" w:eastAsia="Arial" w:hAnsi="Arial"/>
                <w:sz w:val="16"/>
                <w:szCs w:val="16"/>
                <w:color w:val="auto"/>
              </w:rPr>
              <w:t>Selling</w:t>
            </w:r>
          </w:p>
        </w:tc>
        <w:tc>
          <w:tcPr>
            <w:tcW w:w="16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3,992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3,254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8,154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6,521</w:t>
            </w:r>
          </w:p>
        </w:tc>
      </w:tr>
      <w:tr>
        <w:trPr>
          <w:trHeight w:val="280"/>
        </w:trPr>
        <w:tc>
          <w:tcPr>
            <w:tcW w:w="5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4,018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4,020</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7,725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7,671</w:t>
            </w:r>
          </w:p>
        </w:tc>
      </w:tr>
      <w:tr>
        <w:trPr>
          <w:trHeight w:val="264"/>
        </w:trPr>
        <w:tc>
          <w:tcPr>
            <w:tcW w:w="5700" w:type="dxa"/>
            <w:vAlign w:val="bottom"/>
            <w:gridSpan w:val="2"/>
          </w:tcPr>
          <w:p>
            <w:pPr>
              <w:ind w:left="280"/>
              <w:spacing w:after="0"/>
              <w:rPr>
                <w:sz w:val="20"/>
                <w:szCs w:val="20"/>
                <w:color w:val="auto"/>
              </w:rPr>
            </w:pPr>
            <w:r>
              <w:rPr>
                <w:rFonts w:ascii="Arial" w:cs="Arial" w:eastAsia="Arial" w:hAnsi="Arial"/>
                <w:sz w:val="16"/>
                <w:szCs w:val="16"/>
                <w:color w:val="auto"/>
              </w:rPr>
              <w:t>Gain on sale of asset held for sale</w:t>
            </w:r>
          </w:p>
        </w:tc>
        <w:tc>
          <w:tcPr>
            <w:tcW w:w="160" w:type="dxa"/>
            <w:vAlign w:val="bottom"/>
          </w:tcPr>
          <w:p>
            <w:pPr>
              <w:spacing w:after="0"/>
              <w:rPr>
                <w:sz w:val="22"/>
                <w:szCs w:val="2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(644)</w:t>
            </w:r>
          </w:p>
        </w:tc>
      </w:tr>
      <w:tr>
        <w:trPr>
          <w:trHeight w:val="250"/>
        </w:trPr>
        <w:tc>
          <w:tcPr>
            <w:tcW w:w="570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8,010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7,274</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15,879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13,548</w:t>
            </w:r>
          </w:p>
        </w:tc>
      </w:tr>
      <w:tr>
        <w:trPr>
          <w:trHeight w:val="270"/>
        </w:trPr>
        <w:tc>
          <w:tcPr>
            <w:tcW w:w="5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4,050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8,975</w:t>
            </w:r>
          </w:p>
        </w:tc>
      </w:tr>
      <w:tr>
        <w:trPr>
          <w:trHeight w:val="264"/>
        </w:trPr>
        <w:tc>
          <w:tcPr>
            <w:tcW w:w="5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(expense) income</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322</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474</w:t>
            </w:r>
          </w:p>
        </w:tc>
      </w:tr>
      <w:tr>
        <w:trPr>
          <w:trHeight w:val="257"/>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4,372</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9,449</w:t>
            </w:r>
          </w:p>
        </w:tc>
      </w:tr>
      <w:tr>
        <w:trPr>
          <w:trHeight w:val="270"/>
        </w:trPr>
        <w:tc>
          <w:tcPr>
            <w:tcW w:w="5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64"/>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1,057</w:t>
            </w:r>
          </w:p>
        </w:tc>
        <w:tc>
          <w:tcPr>
            <w:tcW w:w="2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2,348</w:t>
            </w:r>
          </w:p>
        </w:tc>
      </w:tr>
      <w:tr>
        <w:trPr>
          <w:trHeight w:val="280"/>
        </w:trPr>
        <w:tc>
          <w:tcPr>
            <w:tcW w:w="5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(912)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3,315</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7,101</w:t>
            </w:r>
          </w:p>
        </w:tc>
      </w:tr>
      <w:tr>
        <w:trPr>
          <w:trHeight w:val="254"/>
        </w:trPr>
        <w:tc>
          <w:tcPr>
            <w:tcW w:w="5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0"/>
        </w:trPr>
        <w:tc>
          <w:tcPr>
            <w:tcW w:w="5700" w:type="dxa"/>
            <w:vAlign w:val="bottom"/>
            <w:gridSpan w:val="2"/>
          </w:tcPr>
          <w:p>
            <w:pPr>
              <w:ind w:left="40"/>
              <w:spacing w:after="0"/>
              <w:rPr>
                <w:sz w:val="20"/>
                <w:szCs w:val="20"/>
                <w:color w:val="auto"/>
              </w:rPr>
            </w:pPr>
            <w:r>
              <w:rPr>
                <w:rFonts w:ascii="Arial" w:cs="Arial" w:eastAsia="Arial" w:hAnsi="Arial"/>
                <w:sz w:val="16"/>
                <w:szCs w:val="16"/>
                <w:color w:val="auto"/>
              </w:rPr>
              <w:t>(Loss) income per common share:</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63"/>
        </w:trPr>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0.11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0.24</w:t>
            </w: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4"/>
        </w:trPr>
        <w:tc>
          <w:tcPr>
            <w:tcW w:w="5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0.11</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0.24</w:t>
            </w:r>
          </w:p>
        </w:tc>
      </w:tr>
      <w:tr>
        <w:trPr>
          <w:trHeight w:val="254"/>
        </w:trPr>
        <w:tc>
          <w:tcPr>
            <w:tcW w:w="5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0"/>
        </w:trPr>
        <w:tc>
          <w:tcPr>
            <w:tcW w:w="570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5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29,151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29,118</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29,145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29,115</w:t>
            </w:r>
          </w:p>
        </w:tc>
      </w:tr>
      <w:tr>
        <w:trPr>
          <w:trHeight w:val="251"/>
        </w:trPr>
        <w:tc>
          <w:tcPr>
            <w:tcW w:w="570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21"/>
                <w:szCs w:val="21"/>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29,248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29,120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29,231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29,118</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25,</w:t>
            </w:r>
          </w:p>
        </w:tc>
        <w:tc>
          <w:tcPr>
            <w:tcW w:w="280" w:type="dxa"/>
            <w:vAlign w:val="bottom"/>
          </w:tcPr>
          <w:p>
            <w:pPr>
              <w:spacing w:after="0"/>
              <w:rPr>
                <w:sz w:val="14"/>
                <w:szCs w:val="14"/>
                <w:color w:val="auto"/>
              </w:rPr>
            </w:pPr>
          </w:p>
        </w:tc>
        <w:tc>
          <w:tcPr>
            <w:tcW w:w="1380" w:type="dxa"/>
            <w:vAlign w:val="bottom"/>
          </w:tcPr>
          <w:p>
            <w:pPr>
              <w:jc w:val="right"/>
              <w:ind w:right="399"/>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2011</w:t>
            </w: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80,800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69,307</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($79 and $76, respectively)</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18,528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19,981</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60,183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69,165</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5,146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4,227</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1,525</w:t>
            </w:r>
          </w:p>
        </w:tc>
      </w:tr>
      <w:tr>
        <w:trPr>
          <w:trHeight w:val="264"/>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1,587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649</w:t>
            </w:r>
          </w:p>
        </w:tc>
      </w:tr>
      <w:tr>
        <w:trPr>
          <w:trHeight w:val="257"/>
        </w:trPr>
        <w:tc>
          <w:tcPr>
            <w:tcW w:w="79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167,620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164,854</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21,184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22,589</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600</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Long-term investments</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9,903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10,627</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23,445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23,669</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1,228</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720</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14,656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15,640</w:t>
            </w:r>
          </w:p>
        </w:tc>
      </w:tr>
      <w:tr>
        <w:trPr>
          <w:trHeight w:val="240"/>
        </w:trPr>
        <w:tc>
          <w:tcPr>
            <w:tcW w:w="7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239,317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239,927</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4"/>
        </w:trPr>
        <w:tc>
          <w:tcPr>
            <w:tcW w:w="7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21,697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21,610</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104</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7980" w:type="dxa"/>
            <w:vAlign w:val="bottom"/>
            <w:gridSpan w:val="2"/>
          </w:tcPr>
          <w:p>
            <w:pPr>
              <w:ind w:left="42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12,339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10,841</w:t>
            </w:r>
          </w:p>
        </w:tc>
      </w:tr>
      <w:tr>
        <w:trPr>
          <w:trHeight w:val="280"/>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Product warranties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6,530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7,335</w:t>
            </w:r>
          </w:p>
        </w:tc>
      </w:tr>
      <w:tr>
        <w:trPr>
          <w:trHeight w:val="260"/>
        </w:trPr>
        <w:tc>
          <w:tcPr>
            <w:tcW w:w="7980" w:type="dxa"/>
            <w:vAlign w:val="bottom"/>
            <w:gridSpan w:val="2"/>
          </w:tcPr>
          <w:p>
            <w:pPr>
              <w:ind w:left="420"/>
              <w:spacing w:after="0"/>
              <w:rPr>
                <w:sz w:val="20"/>
                <w:szCs w:val="20"/>
                <w:color w:val="auto"/>
              </w:rPr>
            </w:pPr>
            <w:r>
              <w:rPr>
                <w:rFonts w:ascii="Arial" w:cs="Arial" w:eastAsia="Arial" w:hAnsi="Arial"/>
                <w:sz w:val="16"/>
                <w:szCs w:val="16"/>
                <w:color w:val="auto"/>
              </w:rPr>
              <w:t>Self-insurance</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4,141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3,203</w:t>
            </w:r>
          </w:p>
        </w:tc>
      </w:tr>
      <w:tr>
        <w:trPr>
          <w:trHeight w:val="280"/>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Accrued loss on repurchases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1,174</w:t>
            </w:r>
          </w:p>
        </w:tc>
      </w:tr>
      <w:tr>
        <w:trPr>
          <w:trHeight w:val="260"/>
        </w:trPr>
        <w:tc>
          <w:tcPr>
            <w:tcW w:w="7980" w:type="dxa"/>
            <w:vAlign w:val="bottom"/>
            <w:gridSpan w:val="2"/>
          </w:tcPr>
          <w:p>
            <w:pPr>
              <w:ind w:left="420"/>
              <w:spacing w:after="0"/>
              <w:rPr>
                <w:sz w:val="20"/>
                <w:szCs w:val="20"/>
                <w:color w:val="auto"/>
              </w:rPr>
            </w:pPr>
            <w:r>
              <w:rPr>
                <w:rFonts w:ascii="Arial" w:cs="Arial" w:eastAsia="Arial" w:hAnsi="Arial"/>
                <w:sz w:val="16"/>
                <w:szCs w:val="16"/>
                <w:color w:val="auto"/>
              </w:rPr>
              <w:t>Promotional</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2,177</w:t>
            </w:r>
          </w:p>
        </w:tc>
      </w:tr>
      <w:tr>
        <w:trPr>
          <w:trHeight w:val="273"/>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4,623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4,874</w:t>
            </w:r>
          </w:p>
        </w:tc>
      </w:tr>
      <w:tr>
        <w:trPr>
          <w:trHeight w:val="250"/>
        </w:trPr>
        <w:tc>
          <w:tcPr>
            <w:tcW w:w="798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51,941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51,318</w:t>
            </w: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5,034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5,387</w:t>
            </w:r>
          </w:p>
        </w:tc>
      </w:tr>
      <w:tr>
        <w:trPr>
          <w:trHeight w:val="273"/>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69,449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74,492</w:t>
            </w:r>
          </w:p>
        </w:tc>
      </w:tr>
      <w:tr>
        <w:trPr>
          <w:trHeight w:val="250"/>
        </w:trPr>
        <w:tc>
          <w:tcPr>
            <w:tcW w:w="798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74,483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79,879</w:t>
            </w:r>
          </w:p>
        </w:tc>
      </w:tr>
      <w:tr>
        <w:trPr>
          <w:trHeight w:val="257"/>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 authorized 60,000 shares, issued 51,776 shares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25,888</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29,203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30,131</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432,641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432,518</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(454)</w:t>
            </w:r>
          </w:p>
        </w:tc>
      </w:tr>
      <w:tr>
        <w:trPr>
          <w:trHeight w:val="273"/>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(22,569 and 22,641 shares, respectively)</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(377,972)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(379,353)</w:t>
            </w:r>
          </w:p>
        </w:tc>
      </w:tr>
      <w:tr>
        <w:trPr>
          <w:trHeight w:val="250"/>
        </w:trPr>
        <w:tc>
          <w:tcPr>
            <w:tcW w:w="798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112,893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108,730</w:t>
            </w:r>
          </w:p>
        </w:tc>
      </w:tr>
      <w:tr>
        <w:trPr>
          <w:trHeight w:val="240"/>
        </w:trPr>
        <w:tc>
          <w:tcPr>
            <w:tcW w:w="7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239,317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239,927</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25,</w:t>
            </w:r>
          </w:p>
        </w:tc>
        <w:tc>
          <w:tcPr>
            <w:tcW w:w="240" w:type="dxa"/>
            <w:vAlign w:val="bottom"/>
          </w:tcPr>
          <w:p>
            <w:pPr>
              <w:spacing w:after="0"/>
              <w:rPr>
                <w:sz w:val="15"/>
                <w:szCs w:val="15"/>
                <w:color w:val="auto"/>
              </w:rPr>
            </w:pPr>
          </w:p>
        </w:tc>
        <w:tc>
          <w:tcPr>
            <w:tcW w:w="1420" w:type="dxa"/>
            <w:vAlign w:val="bottom"/>
          </w:tcPr>
          <w:p>
            <w:pPr>
              <w:jc w:val="right"/>
              <w:ind w:right="340"/>
              <w:spacing w:after="0"/>
              <w:rPr>
                <w:sz w:val="20"/>
                <w:szCs w:val="20"/>
                <w:color w:val="auto"/>
              </w:rPr>
            </w:pPr>
            <w:r>
              <w:rPr>
                <w:rFonts w:ascii="Arial" w:cs="Arial" w:eastAsia="Arial" w:hAnsi="Arial"/>
                <w:sz w:val="14"/>
                <w:szCs w:val="14"/>
                <w:b w:val="1"/>
                <w:bCs w:val="1"/>
                <w:color w:val="auto"/>
              </w:rPr>
              <w:t>February 26,</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2011</w:t>
            </w: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60"/>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7,101</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1420" w:type="dxa"/>
            <w:vAlign w:val="bottom"/>
          </w:tcPr>
          <w:p>
            <w:pPr>
              <w:jc w:val="right"/>
              <w:ind w:right="260"/>
              <w:spacing w:after="0"/>
              <w:rPr>
                <w:sz w:val="20"/>
                <w:szCs w:val="20"/>
                <w:color w:val="auto"/>
              </w:rPr>
            </w:pPr>
            <w:r>
              <w:rPr>
                <w:rFonts w:ascii="Arial" w:cs="Arial" w:eastAsia="Arial" w:hAnsi="Arial"/>
                <w:sz w:val="16"/>
                <w:szCs w:val="16"/>
                <w:color w:val="auto"/>
              </w:rPr>
              <w:t>2,590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2,845</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783</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2"/>
                <w:szCs w:val="22"/>
                <w:color w:val="auto"/>
              </w:rPr>
            </w:pPr>
          </w:p>
        </w:tc>
        <w:tc>
          <w:tcPr>
            <w:tcW w:w="1420" w:type="dxa"/>
            <w:vAlign w:val="bottom"/>
          </w:tcPr>
          <w:p>
            <w:pPr>
              <w:jc w:val="right"/>
              <w:ind w:right="260"/>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124</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(provision) allowance</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583</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60" w:type="dxa"/>
            <w:vAlign w:val="bottom"/>
          </w:tcPr>
          <w:p>
            <w:pPr>
              <w:spacing w:after="0"/>
              <w:rPr>
                <w:sz w:val="22"/>
                <w:szCs w:val="22"/>
                <w:color w:val="auto"/>
              </w:rPr>
            </w:pPr>
          </w:p>
        </w:tc>
        <w:tc>
          <w:tcPr>
            <w:tcW w:w="1420" w:type="dxa"/>
            <w:vAlign w:val="bottom"/>
          </w:tcPr>
          <w:p>
            <w:pPr>
              <w:jc w:val="right"/>
              <w:ind w:right="260"/>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690</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Provision (reduction) for doubtful accounts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60" w:type="dxa"/>
            <w:vAlign w:val="bottom"/>
          </w:tcPr>
          <w:p>
            <w:pPr>
              <w:spacing w:after="0"/>
              <w:rPr>
                <w:sz w:val="22"/>
                <w:szCs w:val="22"/>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(300)</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property</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(708)</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Gain on life insurance</w:t>
            </w:r>
          </w:p>
        </w:tc>
        <w:tc>
          <w:tcPr>
            <w:tcW w:w="260" w:type="dxa"/>
            <w:vAlign w:val="bottom"/>
          </w:tcPr>
          <w:p>
            <w:pPr>
              <w:spacing w:after="0"/>
              <w:rPr>
                <w:sz w:val="22"/>
                <w:szCs w:val="22"/>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(372)</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58</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8,453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(24,990)</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Receivables and prepaid assets</w:t>
            </w:r>
          </w:p>
        </w:tc>
        <w:tc>
          <w:tcPr>
            <w:tcW w:w="260" w:type="dxa"/>
            <w:vAlign w:val="bottom"/>
          </w:tcPr>
          <w:p>
            <w:pPr>
              <w:spacing w:after="0"/>
              <w:rPr>
                <w:sz w:val="22"/>
                <w:szCs w:val="22"/>
                <w:color w:val="auto"/>
              </w:rPr>
            </w:pPr>
          </w:p>
        </w:tc>
        <w:tc>
          <w:tcPr>
            <w:tcW w:w="1420" w:type="dxa"/>
            <w:vAlign w:val="bottom"/>
          </w:tcPr>
          <w:p>
            <w:pPr>
              <w:jc w:val="right"/>
              <w:ind w:right="260"/>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(1,368)</w:t>
            </w:r>
          </w:p>
        </w:tc>
      </w:tr>
      <w:tr>
        <w:trPr>
          <w:trHeight w:val="280"/>
        </w:trPr>
        <w:tc>
          <w:tcPr>
            <w:tcW w:w="79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610</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22"/>
                <w:szCs w:val="22"/>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326</w:t>
            </w:r>
          </w:p>
        </w:tc>
      </w:tr>
      <w:tr>
        <w:trPr>
          <w:trHeight w:val="273"/>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(1,877)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(1,854)</w:t>
            </w:r>
          </w:p>
        </w:tc>
      </w:tr>
      <w:tr>
        <w:trPr>
          <w:trHeight w:val="250"/>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11,398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(16,482)</w:t>
            </w:r>
          </w:p>
        </w:tc>
      </w:tr>
      <w:tr>
        <w:trPr>
          <w:trHeight w:val="270"/>
        </w:trPr>
        <w:tc>
          <w:tcPr>
            <w:tcW w:w="7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6,450</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Proceeds from life insurance</w:t>
            </w:r>
          </w:p>
        </w:tc>
        <w:tc>
          <w:tcPr>
            <w:tcW w:w="260" w:type="dxa"/>
            <w:vAlign w:val="bottom"/>
          </w:tcPr>
          <w:p>
            <w:pPr>
              <w:spacing w:after="0"/>
              <w:rPr>
                <w:sz w:val="22"/>
                <w:szCs w:val="22"/>
                <w:color w:val="auto"/>
              </w:rPr>
            </w:pPr>
          </w:p>
        </w:tc>
        <w:tc>
          <w:tcPr>
            <w:tcW w:w="1420" w:type="dxa"/>
            <w:vAlign w:val="bottom"/>
          </w:tcPr>
          <w:p>
            <w:pPr>
              <w:jc w:val="right"/>
              <w:ind w:right="260"/>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659</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(1,279)</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260" w:type="dxa"/>
            <w:vAlign w:val="bottom"/>
          </w:tcPr>
          <w:p>
            <w:pPr>
              <w:spacing w:after="0"/>
              <w:rPr>
                <w:sz w:val="22"/>
                <w:szCs w:val="22"/>
                <w:color w:val="auto"/>
              </w:rPr>
            </w:pPr>
          </w:p>
        </w:tc>
        <w:tc>
          <w:tcPr>
            <w:tcW w:w="1420" w:type="dxa"/>
            <w:vAlign w:val="bottom"/>
          </w:tcPr>
          <w:p>
            <w:pPr>
              <w:jc w:val="right"/>
              <w:ind w:right="26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3,793</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2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(4,694)</w:t>
            </w:r>
          </w:p>
        </w:tc>
      </w:tr>
      <w:tr>
        <w:trPr>
          <w:trHeight w:val="264"/>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(461)</w:t>
            </w:r>
          </w:p>
        </w:tc>
      </w:tr>
      <w:tr>
        <w:trPr>
          <w:trHeight w:val="25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4,468</w:t>
            </w:r>
          </w:p>
        </w:tc>
      </w:tr>
      <w:tr>
        <w:trPr>
          <w:trHeight w:val="270"/>
        </w:trPr>
        <w:tc>
          <w:tcPr>
            <w:tcW w:w="7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Payments for purchases of common stock</w:t>
            </w:r>
          </w:p>
        </w:tc>
        <w:tc>
          <w:tcPr>
            <w:tcW w:w="260" w:type="dxa"/>
            <w:vAlign w:val="bottom"/>
          </w:tcPr>
          <w:p>
            <w:pPr>
              <w:spacing w:after="0"/>
              <w:rPr>
                <w:sz w:val="22"/>
                <w:szCs w:val="22"/>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(89)</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75</w:t>
            </w:r>
          </w:p>
        </w:tc>
      </w:tr>
      <w:tr>
        <w:trPr>
          <w:trHeight w:val="264"/>
        </w:trPr>
        <w:tc>
          <w:tcPr>
            <w:tcW w:w="7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124</w:t>
            </w:r>
          </w:p>
        </w:tc>
      </w:tr>
      <w:tr>
        <w:trPr>
          <w:trHeight w:val="25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110</w:t>
            </w:r>
          </w:p>
        </w:tc>
      </w:tr>
      <w:tr>
        <w:trPr>
          <w:trHeight w:val="270"/>
        </w:trPr>
        <w:tc>
          <w:tcPr>
            <w:tcW w:w="7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11,493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(11,904)</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69,307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74,691</w:t>
            </w:r>
          </w:p>
        </w:tc>
      </w:tr>
      <w:tr>
        <w:trPr>
          <w:trHeight w:val="24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80,800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62,787</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4"/>
        </w:trPr>
        <w:tc>
          <w:tcPr>
            <w:tcW w:w="7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54"/>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Income taxes paid, net of refunds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1,153</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41"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21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subsidiary, Winnebago of Indiana, LLC, as appropriate in the context.</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out present name on February 28, 1961. Our executive offices are located at 605 West Crystal Lake Road in Forest City, Iowa. Our telephone number is (641) 585-3535; our website is www.winnebagoind.com. Our common stock trades on the NYSE under the symbol “WGO”. We operate on a 52-53 week fiscal year ending on the last Saturday in August.</w:t>
      </w:r>
    </w:p>
    <w:p>
      <w:pPr>
        <w:spacing w:after="0" w:line="17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February 25, 2012 and the consolidated results of operations for the second quarters and first six months of Fiscal 2012 and 2011, and consolidated cash flows for the first six months of Fiscal 2012 and 2011. The consolidated statement of operations for the six months of Fiscal 2012 is not necessarily indicative of the results to be expected for the full year. The consolidated balance sheet data as of August 27, 2011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27, 2011.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On May 12, 2011, the FASB issued ASU 2011-04,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which requires measurement uncertainty disclosure in the form of a sensitivity analysis of unobservable inputs to reasonable alternative amounts for all Level 3 recurring fair value measurements. ASU 2011-04 is effective for interim and annual periods beginning on or after December 15, 2011 (the third quarter of our Fiscal 2012). We do not believe that this will have a significant impact on our consolidated financial statements.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On June 16,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revised the manner in which entities present comprehensive income in their financial statements. ASU 2011-05 is effective for fiscal years beginning after December 15, 2011 (our Fiscal 2013). We do not believe that this will have a significant impact on our consolidated financial statements.</w:t>
      </w:r>
    </w:p>
    <w:p>
      <w:pPr>
        <w:spacing w:after="0" w:line="14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September 2011, the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which simplified the manner in which entities test goodwill for impairment. After assessment of certain qualitative factors, if it is determined to be more likely than not that the fair value of a reporting unit is less than its carrying amount, entities must perform a quantitative analysis of the goodwill impairment test. Otherwise, the quantitative test becomes optional. ASU 2011-08 is effective for fiscal years beginning after December 15, 2011 (our Fiscal 2013). We do not believe that this will have a significant impact on our consolidated financial statements.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reported in the prior year in the statement of cash flows have been reclassified to conform to the current year financial statement presentation.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reclassifications had no effect on total operating, investing, or financing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Acquisition</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December 29, 2010 we purchased, through Towables, substantially all of the assets of SunnyBrook, a manufacturer of travel trailer and fifth wheel RVs. The aggregate consideration paid was $4.7 million in cash, net of cash acquired, including the repayment of $3.3 million of SunnyBrook commercial and shareholder debt on the closing date. The assets acquired included inventory, equipment and other tangible and intangible property and are being used in connection with the operation of manufacturing towable recreation vehicles. Also on December 29, 2010, we entered into a five year operating lease agreement for the SunnyBrook facilities. The operations of Towables are included in our consolidated operating results from the date of its acquisition. Towables will continue to manufacture products under the SunnyBrook brands. In addition, early in Fiscal 2012, Towables began diversifying its product line by including Winnebago brand trailer and fifth wheel products. The primary reason for the acquisition was diversification outside of the motorized market while utilizing the Winnebago brand strength in the towable market allowing for the potential of revenue and earnings growth.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approximate fair value of the net assets acquired at the date of the closing: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December 29, 2010</w:t>
            </w:r>
          </w:p>
        </w:tc>
      </w:tr>
      <w:tr>
        <w:trPr>
          <w:trHeight w:val="256"/>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5,773</w:t>
            </w:r>
          </w:p>
        </w:tc>
      </w:tr>
      <w:tr>
        <w:trPr>
          <w:trHeight w:val="260"/>
        </w:trPr>
        <w:tc>
          <w:tcPr>
            <w:tcW w:w="952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22"/>
                <w:szCs w:val="22"/>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337</w:t>
            </w:r>
          </w:p>
        </w:tc>
      </w:tr>
      <w:tr>
        <w:trPr>
          <w:trHeight w:val="280"/>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1,228</w:t>
            </w:r>
          </w:p>
        </w:tc>
      </w:tr>
      <w:tr>
        <w:trPr>
          <w:trHeight w:val="260"/>
        </w:trPr>
        <w:tc>
          <w:tcPr>
            <w:tcW w:w="952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220" w:type="dxa"/>
            <w:vAlign w:val="bottom"/>
          </w:tcPr>
          <w:p>
            <w:pPr>
              <w:spacing w:after="0"/>
              <w:rPr>
                <w:sz w:val="22"/>
                <w:szCs w:val="22"/>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535</w:t>
            </w:r>
          </w:p>
        </w:tc>
      </w:tr>
      <w:tr>
        <w:trPr>
          <w:trHeight w:val="280"/>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196</w:t>
            </w:r>
          </w:p>
        </w:tc>
      </w:tr>
      <w:tr>
        <w:trPr>
          <w:trHeight w:val="260"/>
        </w:trPr>
        <w:tc>
          <w:tcPr>
            <w:tcW w:w="9520" w:type="dxa"/>
            <w:vAlign w:val="bottom"/>
            <w:gridSpan w:val="2"/>
          </w:tcPr>
          <w:p>
            <w:pPr>
              <w:ind w:left="40"/>
              <w:spacing w:after="0"/>
              <w:rPr>
                <w:sz w:val="20"/>
                <w:szCs w:val="20"/>
                <w:color w:val="auto"/>
              </w:rPr>
            </w:pPr>
            <w:r>
              <w:rPr>
                <w:rFonts w:ascii="Arial" w:cs="Arial" w:eastAsia="Arial" w:hAnsi="Arial"/>
                <w:sz w:val="16"/>
                <w:szCs w:val="16"/>
                <w:color w:val="auto"/>
              </w:rPr>
              <w:t>Non-compete agreement</w:t>
            </w:r>
          </w:p>
        </w:tc>
        <w:tc>
          <w:tcPr>
            <w:tcW w:w="220" w:type="dxa"/>
            <w:vAlign w:val="bottom"/>
          </w:tcPr>
          <w:p>
            <w:pPr>
              <w:spacing w:after="0"/>
              <w:rPr>
                <w:sz w:val="22"/>
                <w:szCs w:val="22"/>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40</w:t>
            </w:r>
          </w:p>
        </w:tc>
      </w:tr>
      <w:tr>
        <w:trPr>
          <w:trHeight w:val="273"/>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(2,513)</w:t>
            </w:r>
          </w:p>
        </w:tc>
      </w:tr>
      <w:tr>
        <w:trPr>
          <w:trHeight w:val="247"/>
        </w:trPr>
        <w:tc>
          <w:tcPr>
            <w:tcW w:w="9520" w:type="dxa"/>
            <w:vAlign w:val="bottom"/>
            <w:gridSpan w:val="2"/>
          </w:tcPr>
          <w:p>
            <w:pPr>
              <w:ind w:left="260"/>
              <w:spacing w:after="0"/>
              <w:rPr>
                <w:sz w:val="20"/>
                <w:szCs w:val="20"/>
                <w:color w:val="auto"/>
              </w:rPr>
            </w:pPr>
            <w:r>
              <w:rPr>
                <w:rFonts w:ascii="Arial" w:cs="Arial" w:eastAsia="Arial" w:hAnsi="Arial"/>
                <w:sz w:val="16"/>
                <w:szCs w:val="16"/>
                <w:color w:val="auto"/>
              </w:rPr>
              <w:t>Total fair value of net assets acquired</w:t>
            </w:r>
          </w:p>
        </w:tc>
        <w:tc>
          <w:tcPr>
            <w:tcW w:w="220" w:type="dxa"/>
            <w:vAlign w:val="bottom"/>
          </w:tcPr>
          <w:p>
            <w:pPr>
              <w:spacing w:after="0"/>
              <w:rPr>
                <w:sz w:val="21"/>
                <w:szCs w:val="21"/>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5,596</w:t>
            </w:r>
          </w:p>
        </w:tc>
      </w:tr>
      <w:tr>
        <w:trPr>
          <w:trHeight w:val="273"/>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cash acquired</w:t>
            </w: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(902)</w:t>
            </w:r>
          </w:p>
        </w:tc>
      </w:tr>
      <w:tr>
        <w:trPr>
          <w:trHeight w:val="240"/>
        </w:trPr>
        <w:tc>
          <w:tcPr>
            <w:tcW w:w="9520" w:type="dxa"/>
            <w:vAlign w:val="bottom"/>
            <w:gridSpan w:val="2"/>
          </w:tcPr>
          <w:p>
            <w:pPr>
              <w:ind w:left="260"/>
              <w:spacing w:after="0"/>
              <w:rPr>
                <w:sz w:val="20"/>
                <w:szCs w:val="20"/>
                <w:color w:val="auto"/>
              </w:rPr>
            </w:pPr>
            <w:r>
              <w:rPr>
                <w:rFonts w:ascii="Arial" w:cs="Arial" w:eastAsia="Arial" w:hAnsi="Arial"/>
                <w:sz w:val="16"/>
                <w:szCs w:val="16"/>
                <w:color w:val="auto"/>
              </w:rPr>
              <w:t>Total cash paid for acquisition less cash acquired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4,694</w:t>
            </w:r>
          </w:p>
        </w:tc>
      </w:tr>
      <w:tr>
        <w:trPr>
          <w:trHeight w:val="20"/>
        </w:trPr>
        <w:tc>
          <w:tcPr>
            <w:tcW w:w="9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At December 29, 2010, the amortizable intangible assets had a weighted average useful life of 9.8 years. The dealer network was valued based on the Discounted Cash Flow Method and is being amortized on a straight line basis over 10 years. The trademarks were valued based on the Relief from Royalty Method and are being amortized on a straight line basis over 10 years. The non-compete agreement is being amortized on a straight line basis over 7 years. Goodwill is not subject to amortization and is tax deductible. Pro forma financial information has not been presented due to its insignificance.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Concentration Risk</w:t>
      </w:r>
    </w:p>
    <w:p>
      <w:pPr>
        <w:spacing w:after="0" w:line="21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One dealer, FreedomRoads, LLC, accounted for 25.5% of our consolidated net revenues for the six months ended February 25, 2012. The loss of this dealer could have a significant adverse effect on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2012 and August 27, 2011 according to the valuation techniques we used to determine their fair values: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gridSpan w:val="7"/>
          </w:tcPr>
          <w:p>
            <w:pPr>
              <w:jc w:val="right"/>
              <w:ind w:right="622"/>
              <w:spacing w:after="0"/>
              <w:rPr>
                <w:sz w:val="20"/>
                <w:szCs w:val="20"/>
                <w:color w:val="auto"/>
              </w:rPr>
            </w:pPr>
            <w:r>
              <w:rPr>
                <w:rFonts w:ascii="Arial" w:cs="Arial" w:eastAsia="Arial" w:hAnsi="Arial"/>
                <w:sz w:val="14"/>
                <w:szCs w:val="14"/>
                <w:b w:val="1"/>
                <w:bCs w:val="1"/>
                <w:color w:val="auto"/>
              </w:rPr>
              <w:t>Fair Value Measurements Using Inputs Considered As</w:t>
            </w:r>
          </w:p>
        </w:tc>
      </w:t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320" w:type="dxa"/>
            <w:vAlign w:val="bottom"/>
          </w:tcPr>
          <w:p>
            <w:pPr>
              <w:jc w:val="center"/>
              <w:ind w:right="202"/>
              <w:spacing w:after="0"/>
              <w:rPr>
                <w:sz w:val="20"/>
                <w:szCs w:val="20"/>
                <w:color w:val="auto"/>
              </w:rPr>
            </w:pPr>
            <w:r>
              <w:rPr>
                <w:rFonts w:ascii="Arial" w:cs="Arial" w:eastAsia="Arial" w:hAnsi="Arial"/>
                <w:sz w:val="14"/>
                <w:szCs w:val="14"/>
                <w:b w:val="1"/>
                <w:bCs w:val="1"/>
                <w:color w:val="auto"/>
              </w:rPr>
              <w:t>Level 3</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Prices in Active</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320" w:type="dxa"/>
            <w:vAlign w:val="bottom"/>
          </w:tcPr>
          <w:p>
            <w:pPr>
              <w:jc w:val="center"/>
              <w:ind w:right="182"/>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Markets for Identical</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Observable</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19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February 25, 2012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Inputs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Student loan ARS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9,903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9,903</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Domestic equity funds</w:t>
            </w:r>
          </w:p>
        </w:tc>
        <w:tc>
          <w:tcPr>
            <w:tcW w:w="16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9,384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9,384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Fixed income</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r>
      <w:tr>
        <w:trPr>
          <w:trHeight w:val="24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21,177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9,903</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23"/>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36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gridSpan w:val="7"/>
          </w:tcPr>
          <w:p>
            <w:pPr>
              <w:jc w:val="right"/>
              <w:ind w:right="622"/>
              <w:spacing w:after="0"/>
              <w:rPr>
                <w:sz w:val="20"/>
                <w:szCs w:val="20"/>
                <w:color w:val="auto"/>
              </w:rPr>
            </w:pPr>
            <w:r>
              <w:rPr>
                <w:rFonts w:ascii="Arial" w:cs="Arial" w:eastAsia="Arial" w:hAnsi="Arial"/>
                <w:sz w:val="14"/>
                <w:szCs w:val="14"/>
                <w:b w:val="1"/>
                <w:bCs w:val="1"/>
                <w:color w:val="auto"/>
              </w:rPr>
              <w:t>Fair Value Measurements Using Inputs Considered As</w:t>
            </w:r>
          </w:p>
        </w:tc>
      </w:t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Prices in Active</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320" w:type="dxa"/>
            <w:vAlign w:val="bottom"/>
          </w:tcPr>
          <w:p>
            <w:pPr>
              <w:jc w:val="center"/>
              <w:ind w:right="202"/>
              <w:spacing w:after="0"/>
              <w:rPr>
                <w:sz w:val="20"/>
                <w:szCs w:val="20"/>
                <w:color w:val="auto"/>
              </w:rPr>
            </w:pPr>
            <w:r>
              <w:rPr>
                <w:rFonts w:ascii="Arial" w:cs="Arial" w:eastAsia="Arial" w:hAnsi="Arial"/>
                <w:sz w:val="14"/>
                <w:szCs w:val="14"/>
                <w:b w:val="1"/>
                <w:bCs w:val="1"/>
                <w:color w:val="auto"/>
              </w:rPr>
              <w:t>Level 3</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Markets for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320" w:type="dxa"/>
            <w:vAlign w:val="bottom"/>
          </w:tcPr>
          <w:p>
            <w:pPr>
              <w:jc w:val="center"/>
              <w:ind w:right="182"/>
              <w:spacing w:after="0"/>
              <w:rPr>
                <w:sz w:val="20"/>
                <w:szCs w:val="20"/>
                <w:color w:val="auto"/>
              </w:rPr>
            </w:pPr>
            <w:r>
              <w:rPr>
                <w:rFonts w:ascii="Arial" w:cs="Arial" w:eastAsia="Arial" w:hAnsi="Arial"/>
                <w:sz w:val="14"/>
                <w:szCs w:val="14"/>
                <w:b w:val="1"/>
                <w:bCs w:val="1"/>
                <w:color w:val="auto"/>
              </w:rPr>
              <w:t>Significant</w:t>
            </w:r>
          </w:p>
        </w:tc>
      </w:tr>
      <w:tr>
        <w:trPr>
          <w:trHeight w:val="19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August 27, 2011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Identical 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Inputs</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Student loan ARS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10,627</w:t>
            </w:r>
          </w:p>
        </w:tc>
        <w:tc>
          <w:tcPr>
            <w:tcW w:w="120" w:type="dxa"/>
            <w:vAlign w:val="bottom"/>
          </w:tcPr>
          <w:p>
            <w:pPr>
              <w:spacing w:after="0"/>
              <w:rPr>
                <w:sz w:val="22"/>
                <w:szCs w:val="22"/>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10,627</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9,362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9,362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Fixed income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r>
      <w:tr>
        <w:trPr>
          <w:trHeight w:val="24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22,079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11,452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10,627</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previous table, that used significant unobservable inputs (Level 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25,</w:t>
            </w:r>
          </w:p>
        </w:tc>
        <w:tc>
          <w:tcPr>
            <w:tcW w:w="22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26,</w:t>
            </w:r>
          </w:p>
        </w:tc>
        <w:tc>
          <w:tcPr>
            <w:tcW w:w="22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25,</w:t>
            </w:r>
          </w:p>
        </w:tc>
        <w:tc>
          <w:tcPr>
            <w:tcW w:w="220" w:type="dxa"/>
            <w:vAlign w:val="bottom"/>
          </w:tcPr>
          <w:p>
            <w:pPr>
              <w:spacing w:after="0"/>
              <w:rPr>
                <w:sz w:val="15"/>
                <w:szCs w:val="15"/>
                <w:color w:val="auto"/>
              </w:rPr>
            </w:pPr>
          </w:p>
        </w:tc>
        <w:tc>
          <w:tcPr>
            <w:tcW w:w="1300" w:type="dxa"/>
            <w:vAlign w:val="bottom"/>
          </w:tcPr>
          <w:p>
            <w:pPr>
              <w:jc w:val="right"/>
              <w:ind w:right="282"/>
              <w:spacing w:after="0"/>
              <w:rPr>
                <w:sz w:val="20"/>
                <w:szCs w:val="20"/>
                <w:color w:val="auto"/>
              </w:rPr>
            </w:pPr>
            <w:r>
              <w:rPr>
                <w:rFonts w:ascii="Arial" w:cs="Arial" w:eastAsia="Arial" w:hAnsi="Arial"/>
                <w:sz w:val="14"/>
                <w:szCs w:val="14"/>
                <w:b w:val="1"/>
                <w:bCs w:val="1"/>
                <w:color w:val="auto"/>
              </w:rPr>
              <w:t>February 26,</w:t>
            </w:r>
          </w:p>
        </w:tc>
      </w:tr>
      <w:tr>
        <w:trPr>
          <w:trHeight w:val="196"/>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2011</w:t>
            </w:r>
          </w:p>
        </w:tc>
      </w:tr>
      <w:tr>
        <w:trPr>
          <w:trHeight w:val="256"/>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9,753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11,146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10,627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17,785</w:t>
            </w:r>
          </w:p>
        </w:tc>
      </w:tr>
      <w:tr>
        <w:trPr>
          <w:trHeight w:val="260"/>
        </w:trPr>
        <w:tc>
          <w:tcPr>
            <w:tcW w:w="5180" w:type="dxa"/>
            <w:vAlign w:val="bottom"/>
            <w:gridSpan w:val="2"/>
          </w:tcPr>
          <w:p>
            <w:pPr>
              <w:ind w:left="40"/>
              <w:spacing w:after="0"/>
              <w:rPr>
                <w:sz w:val="20"/>
                <w:szCs w:val="20"/>
                <w:color w:val="auto"/>
              </w:rPr>
            </w:pPr>
            <w:r>
              <w:rPr>
                <w:rFonts w:ascii="Arial" w:cs="Arial" w:eastAsia="Arial" w:hAnsi="Arial"/>
                <w:sz w:val="16"/>
                <w:szCs w:val="16"/>
                <w:color w:val="auto"/>
              </w:rPr>
              <w:t>Transfer to Level 2</w:t>
            </w: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202"/>
              <w:spacing w:after="0"/>
              <w:rPr>
                <w:sz w:val="20"/>
                <w:szCs w:val="20"/>
                <w:color w:val="auto"/>
              </w:rPr>
            </w:pPr>
            <w:r>
              <w:rPr>
                <w:rFonts w:ascii="Arial" w:cs="Arial" w:eastAsia="Arial" w:hAnsi="Arial"/>
                <w:sz w:val="16"/>
                <w:szCs w:val="16"/>
                <w:color w:val="auto"/>
              </w:rPr>
              <w:t>(5,250)</w:t>
            </w:r>
          </w:p>
        </w:tc>
      </w:tr>
      <w:tr>
        <w:trPr>
          <w:trHeight w:val="28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(444)</w:t>
            </w:r>
          </w:p>
        </w:tc>
      </w:tr>
      <w:tr>
        <w:trPr>
          <w:trHeight w:val="264"/>
        </w:trPr>
        <w:tc>
          <w:tcPr>
            <w:tcW w:w="5180" w:type="dxa"/>
            <w:vAlign w:val="bottom"/>
            <w:gridSpan w:val="2"/>
          </w:tcPr>
          <w:p>
            <w:pPr>
              <w:ind w:left="40"/>
              <w:spacing w:after="0"/>
              <w:rPr>
                <w:sz w:val="20"/>
                <w:szCs w:val="20"/>
                <w:color w:val="auto"/>
              </w:rPr>
            </w:pPr>
            <w:r>
              <w:rPr>
                <w:rFonts w:ascii="Arial" w:cs="Arial" w:eastAsia="Arial" w:hAnsi="Arial"/>
                <w:sz w:val="16"/>
                <w:szCs w:val="16"/>
                <w:color w:val="auto"/>
              </w:rPr>
              <w:t>Sales</w:t>
            </w: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202"/>
              <w:spacing w:after="0"/>
              <w:rPr>
                <w:sz w:val="20"/>
                <w:szCs w:val="20"/>
                <w:color w:val="auto"/>
              </w:rPr>
            </w:pPr>
            <w:r>
              <w:rPr>
                <w:rFonts w:ascii="Arial" w:cs="Arial" w:eastAsia="Arial" w:hAnsi="Arial"/>
                <w:sz w:val="16"/>
                <w:szCs w:val="16"/>
                <w:color w:val="auto"/>
              </w:rPr>
              <w:t>(1,200)</w:t>
            </w:r>
          </w:p>
        </w:tc>
      </w:tr>
      <w:tr>
        <w:trPr>
          <w:trHeight w:val="240"/>
        </w:trPr>
        <w:tc>
          <w:tcPr>
            <w:tcW w:w="51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9,903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10,891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9,903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10,891</w:t>
            </w: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carrying value of cash equivalents approximates fair value as maturities are less than three months. Our cash equivalents are comprised of money market funds traded in an active market with no restrictions.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and Short-Term Investments</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Our debt securities are comprised of ARS. Our long-term ARS related investments (as described in Note 5) are classified as Level 3 as quoted prices were unavailable due to events described in Note 5. Due to limited market information, we utilized a DCF model to derive an estimate of fair value at February 25, 2012.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assets that fund deferred compensation are marketable equity securities and are measured at fair value using quoted market prices and primarily consist of equity-based mutual funds. They are classified as Level 1 as they are traded in an active market for which closing stock prices are readily available. These securities fund the Executive Share Option Plan, a deferred compensation program. The short-term and long-term portions are presented in the accompanying balance sheets as prepaid and other expenses and other assets,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second quarter of Fiscal 2012, no impairments were recorded for non-financial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Investments</w:t>
      </w:r>
    </w:p>
    <w:p>
      <w:pPr>
        <w:spacing w:after="0" w:line="198" w:lineRule="exact"/>
        <w:rPr>
          <w:sz w:val="20"/>
          <w:szCs w:val="20"/>
          <w:color w:val="auto"/>
        </w:rPr>
      </w:pPr>
    </w:p>
    <w:p>
      <w:pPr>
        <w:jc w:val="both"/>
        <w:ind w:right="320"/>
        <w:spacing w:after="0" w:line="26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(loss)", a component of stockholders' equity.</w:t>
      </w:r>
    </w:p>
    <w:p>
      <w:pPr>
        <w:spacing w:after="0" w:line="16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At February 25, 2012, we held $10.0 million (par value) of investments comprised of tax-exempt ARS, which are variable-rate debt securities and have a long-term maturity with the interest rate being reset through Dutch auctions that are typically held every 7, 28 or 35 days. Prior to February 2008, these securities traded at par and are currently callable at par at the option of the issuer. Interest is typically paid at the end of each auction period or semiannually. The ARS we hold are AAA/Aaa rated by Standard &amp; Poor's Ratings Services and Moody's Investors Service, Inc., respectively, with most collateralized by student loans guaranteed by the U.S. Government under the Federal Family Education Loan Program.</w:t>
      </w:r>
    </w:p>
    <w:p>
      <w:pPr>
        <w:sectPr>
          <w:pgSz w:w="11900" w:h="16838" w:orient="portrait"/>
          <w:cols w:equalWidth="0" w:num="1">
            <w:col w:w="11420"/>
          </w:cols>
          <w:pgMar w:left="240" w:top="14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payment default. We have continued to receive interest payments on the ARS in accordance with their terms. We believe we will ultimately be able to liquidate our ARS related investments without significant loss primarily due to the collateral securing our ARS. However, redemption could take until final maturity of the ARS (up to 30 years) to realize the par value of our investments. Due to the changes and uncertainty in the ARS market, we believe the recovery period for these investments is likely to be longer than 12 months and as a result, we have classified these investments as long-term as of February 25, 2012.</w:t>
      </w:r>
    </w:p>
    <w:p>
      <w:pPr>
        <w:spacing w:after="0" w:line="182" w:lineRule="exact"/>
        <w:rPr>
          <w:sz w:val="20"/>
          <w:szCs w:val="20"/>
          <w:color w:val="auto"/>
        </w:rPr>
      </w:pPr>
    </w:p>
    <w:p>
      <w:pPr>
        <w:ind w:right="60"/>
        <w:spacing w:after="0" w:line="191" w:lineRule="exact"/>
        <w:rPr>
          <w:sz w:val="20"/>
          <w:szCs w:val="20"/>
          <w:color w:val="auto"/>
        </w:rPr>
      </w:pPr>
      <w:r>
        <w:rPr>
          <w:rFonts w:ascii="Arial" w:cs="Arial" w:eastAsia="Arial" w:hAnsi="Arial"/>
          <w:sz w:val="16"/>
          <w:szCs w:val="16"/>
          <w:color w:val="auto"/>
        </w:rPr>
        <w:t>At February 25, 2012, there was insufficient observable ARS market information available to determine the fair value of our long</w:t>
      </w:r>
      <w:r>
        <w:rPr>
          <w:rFonts w:ascii="MS PGothic" w:cs="MS PGothic" w:eastAsia="MS PGothic" w:hAnsi="MS PGothic"/>
          <w:sz w:val="16"/>
          <w:szCs w:val="16"/>
          <w:color w:val="auto"/>
        </w:rPr>
        <w:t>‑</w:t>
      </w:r>
      <w:r>
        <w:rPr>
          <w:rFonts w:ascii="Arial" w:cs="Arial" w:eastAsia="Arial" w:hAnsi="Arial"/>
          <w:sz w:val="16"/>
          <w:szCs w:val="16"/>
          <w:color w:val="auto"/>
        </w:rPr>
        <w:t>term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at February 25, 2012 we recorded a temporary impairment of $47,000 related to our long-term ARS investments of $10.0 million (par value).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Inventories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Inventories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25,</w:t>
            </w:r>
          </w:p>
        </w:tc>
        <w:tc>
          <w:tcPr>
            <w:tcW w:w="280" w:type="dxa"/>
            <w:vAlign w:val="bottom"/>
          </w:tcPr>
          <w:p>
            <w:pPr>
              <w:spacing w:after="0"/>
              <w:rPr>
                <w:sz w:val="14"/>
                <w:szCs w:val="14"/>
                <w:color w:val="auto"/>
              </w:rPr>
            </w:pPr>
          </w:p>
        </w:tc>
        <w:tc>
          <w:tcPr>
            <w:tcW w:w="1380" w:type="dxa"/>
            <w:vAlign w:val="bottom"/>
          </w:tcPr>
          <w:p>
            <w:pPr>
              <w:jc w:val="right"/>
              <w:ind w:right="401"/>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r>
      <w:tr>
        <w:trPr>
          <w:trHeight w:val="25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28,375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29,656</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22"/>
                <w:szCs w:val="22"/>
                <w:color w:val="auto"/>
              </w:rPr>
            </w:pPr>
          </w:p>
        </w:tc>
        <w:tc>
          <w:tcPr>
            <w:tcW w:w="1420" w:type="dxa"/>
            <w:vAlign w:val="bottom"/>
          </w:tcPr>
          <w:p>
            <w:pPr>
              <w:jc w:val="right"/>
              <w:ind w:right="261"/>
              <w:spacing w:after="0"/>
              <w:rPr>
                <w:sz w:val="20"/>
                <w:szCs w:val="20"/>
                <w:color w:val="auto"/>
              </w:rPr>
            </w:pPr>
            <w:r>
              <w:rPr>
                <w:rFonts w:ascii="Arial" w:cs="Arial" w:eastAsia="Arial" w:hAnsi="Arial"/>
                <w:sz w:val="16"/>
                <w:szCs w:val="16"/>
                <w:color w:val="auto"/>
              </w:rPr>
              <w:t>28,570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31,966</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35,404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39,180</w:t>
            </w:r>
          </w:p>
        </w:tc>
      </w:tr>
      <w:tr>
        <w:trPr>
          <w:trHeight w:val="247"/>
        </w:trPr>
        <w:tc>
          <w:tcPr>
            <w:tcW w:w="7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261"/>
              <w:spacing w:after="0"/>
              <w:rPr>
                <w:sz w:val="20"/>
                <w:szCs w:val="20"/>
                <w:color w:val="auto"/>
              </w:rPr>
            </w:pPr>
            <w:r>
              <w:rPr>
                <w:rFonts w:ascii="Arial" w:cs="Arial" w:eastAsia="Arial" w:hAnsi="Arial"/>
                <w:sz w:val="16"/>
                <w:szCs w:val="16"/>
                <w:color w:val="auto"/>
              </w:rPr>
              <w:t>92,349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100,802</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(32,166)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(31,637)</w:t>
            </w:r>
          </w:p>
        </w:tc>
      </w:tr>
      <w:tr>
        <w:trPr>
          <w:trHeight w:val="24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60,183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69,165</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above values of inventories, before reduction for the LIFO reserve, approximates replacement cost at the respective dates. Towables inventory, which is included in the table above and is valued on a first-in, first-out basis, was $8.7 million and $6.5 million as of February 25, 2012 and August 27, 2011,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Plant and Equipment and Assets Held for Sale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25,</w:t>
            </w:r>
          </w:p>
        </w:tc>
        <w:tc>
          <w:tcPr>
            <w:tcW w:w="280" w:type="dxa"/>
            <w:vAlign w:val="bottom"/>
          </w:tcPr>
          <w:p>
            <w:pPr>
              <w:spacing w:after="0"/>
              <w:rPr>
                <w:sz w:val="14"/>
                <w:szCs w:val="14"/>
                <w:color w:val="auto"/>
              </w:rPr>
            </w:pPr>
          </w:p>
        </w:tc>
        <w:tc>
          <w:tcPr>
            <w:tcW w:w="1380" w:type="dxa"/>
            <w:vAlign w:val="bottom"/>
          </w:tcPr>
          <w:p>
            <w:pPr>
              <w:jc w:val="right"/>
              <w:ind w:right="401"/>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r>
      <w:tr>
        <w:trPr>
          <w:trHeight w:val="25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767</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22"/>
                <w:szCs w:val="22"/>
                <w:color w:val="auto"/>
              </w:rPr>
            </w:pPr>
          </w:p>
        </w:tc>
        <w:tc>
          <w:tcPr>
            <w:tcW w:w="1420" w:type="dxa"/>
            <w:vAlign w:val="bottom"/>
          </w:tcPr>
          <w:p>
            <w:pPr>
              <w:jc w:val="right"/>
              <w:ind w:right="261"/>
              <w:spacing w:after="0"/>
              <w:rPr>
                <w:sz w:val="20"/>
                <w:szCs w:val="20"/>
                <w:color w:val="auto"/>
              </w:rPr>
            </w:pPr>
            <w:r>
              <w:rPr>
                <w:rFonts w:ascii="Arial" w:cs="Arial" w:eastAsia="Arial" w:hAnsi="Arial"/>
                <w:sz w:val="16"/>
                <w:szCs w:val="16"/>
                <w:color w:val="auto"/>
              </w:rPr>
              <w:t>49,529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49,226</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90,537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90,380</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Transportation equipment</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8,836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8,837</w:t>
            </w:r>
          </w:p>
        </w:tc>
      </w:tr>
      <w:tr>
        <w:trPr>
          <w:trHeight w:val="257"/>
        </w:trPr>
        <w:tc>
          <w:tcPr>
            <w:tcW w:w="7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149,659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149,210</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(128,475)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(126,621)</w:t>
            </w:r>
          </w:p>
        </w:tc>
      </w:tr>
      <w:tr>
        <w:trPr>
          <w:trHeight w:val="24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21,184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22,589</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Assets held for sale as of February 25, 2012 of $600,000 consisted of an idled fiberglass manufacturing facility in Hampton, Iowa. As previously reported, we entered into a purchase agreement with PDM on October 14, 2011 for the sale of our idled Hampton facility to PDM for $725,000. On December 19, 2011 we signed a mutual rescission agreement and the property has since been placed back on the market for sale.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Goodwill and Amortizable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Goodwill and other intangible assets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February 25, 2012</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August 27, 2011</w:t>
            </w:r>
          </w:p>
        </w:tc>
      </w:tr>
      <w:tr>
        <w:trPr>
          <w:trHeight w:val="175"/>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Amortization</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36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34</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r>
      <w:tr>
        <w:trPr>
          <w:trHeight w:val="26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Non-compete agreement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1,998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Goodwill and other intangible assets are the result of the acquisition of SunnyBrook during the second quarter of Fiscal 2011. Goodwill is not subject to amortization. Amortizable intangible assets are amortized on a straight-line basis. The weighted average remaining amortization period at February 25, 2012 is 8.7 years.</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Goodwill is reviewed for impairment annually or whenever events or circumstances indicate a potential impairment. Intangible assets are also subject to impairment tests whenever events or circumstances indicate that the asset's carrying value may exceed its estimated fair value, at which time an impairment would be recorded.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Estimated amortization expense of intangible assets for the next five years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r>
      <w:tr>
        <w:trPr>
          <w:trHeight w:val="256"/>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9240" w:type="dxa"/>
            <w:vAlign w:val="bottom"/>
            <w:shd w:val="clear" w:color="auto" w:fill="CCEEFF"/>
          </w:tcPr>
          <w:p>
            <w:pPr>
              <w:jc w:val="right"/>
              <w:ind w:right="8659"/>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r>
      <w:tr>
        <w:trPr>
          <w:trHeight w:val="260"/>
        </w:trPr>
        <w:tc>
          <w:tcPr>
            <w:tcW w:w="1160" w:type="dxa"/>
            <w:vAlign w:val="bottom"/>
          </w:tcPr>
          <w:p>
            <w:pPr>
              <w:spacing w:after="0"/>
              <w:rPr>
                <w:sz w:val="22"/>
                <w:szCs w:val="22"/>
                <w:color w:val="auto"/>
              </w:rPr>
            </w:pPr>
          </w:p>
        </w:tc>
        <w:tc>
          <w:tcPr>
            <w:tcW w:w="9240" w:type="dxa"/>
            <w:vAlign w:val="bottom"/>
          </w:tcPr>
          <w:p>
            <w:pPr>
              <w:jc w:val="right"/>
              <w:ind w:right="865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280"/>
        </w:trPr>
        <w:tc>
          <w:tcPr>
            <w:tcW w:w="1160" w:type="dxa"/>
            <w:vAlign w:val="bottom"/>
            <w:shd w:val="clear" w:color="auto" w:fill="CCEEFF"/>
          </w:tcPr>
          <w:p>
            <w:pPr>
              <w:spacing w:after="0"/>
              <w:rPr>
                <w:sz w:val="24"/>
                <w:szCs w:val="24"/>
                <w:color w:val="auto"/>
              </w:rPr>
            </w:pPr>
          </w:p>
        </w:tc>
        <w:tc>
          <w:tcPr>
            <w:tcW w:w="9240" w:type="dxa"/>
            <w:vAlign w:val="bottom"/>
            <w:shd w:val="clear" w:color="auto" w:fill="CCEEFF"/>
          </w:tcPr>
          <w:p>
            <w:pPr>
              <w:jc w:val="right"/>
              <w:ind w:right="8659"/>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60"/>
        </w:trPr>
        <w:tc>
          <w:tcPr>
            <w:tcW w:w="1160" w:type="dxa"/>
            <w:vAlign w:val="bottom"/>
          </w:tcPr>
          <w:p>
            <w:pPr>
              <w:spacing w:after="0"/>
              <w:rPr>
                <w:sz w:val="22"/>
                <w:szCs w:val="22"/>
                <w:color w:val="auto"/>
              </w:rPr>
            </w:pPr>
          </w:p>
        </w:tc>
        <w:tc>
          <w:tcPr>
            <w:tcW w:w="9240" w:type="dxa"/>
            <w:vAlign w:val="bottom"/>
          </w:tcPr>
          <w:p>
            <w:pPr>
              <w:jc w:val="right"/>
              <w:ind w:right="865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280"/>
        </w:trPr>
        <w:tc>
          <w:tcPr>
            <w:tcW w:w="1160" w:type="dxa"/>
            <w:vAlign w:val="bottom"/>
            <w:shd w:val="clear" w:color="auto" w:fill="CCEEFF"/>
          </w:tcPr>
          <w:p>
            <w:pPr>
              <w:spacing w:after="0"/>
              <w:rPr>
                <w:sz w:val="24"/>
                <w:szCs w:val="24"/>
                <w:color w:val="auto"/>
              </w:rPr>
            </w:pPr>
          </w:p>
        </w:tc>
        <w:tc>
          <w:tcPr>
            <w:tcW w:w="9240" w:type="dxa"/>
            <w:vAlign w:val="bottom"/>
            <w:shd w:val="clear" w:color="auto" w:fill="CCEEFF"/>
          </w:tcPr>
          <w:p>
            <w:pPr>
              <w:jc w:val="right"/>
              <w:ind w:right="8659"/>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Credit Facility</w:t>
      </w:r>
    </w:p>
    <w:p>
      <w:pPr>
        <w:spacing w:after="0" w:line="21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Loan Agreement provides for an initial $20.0 million revolving credit facility, based on eligible accounts receivable and eligible inventory, expiring on October 13, 2012, unless terminated earlier in accordance with its terms. The Loan Agreement contains no financial covenant restrictions for borrowings up to $12.5 million; provided that borrowings cannot exceed the Asset Coverage Amount (as defined in the Loan Agreement) divided by 2.25. The Loan Agreement also includes a framework to expand the size of the facility up to $50.0 million, based on mutually agreeable covenants to be determined at the time of expansion. No borrowings have been made under the Loan Agreement as of the date of this report.</w:t>
      </w:r>
    </w:p>
    <w:p>
      <w:pPr>
        <w:spacing w:after="0" w:line="176"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Interest on loans made under the Loan Agreement will be based on the greater of LIBOR or a base rate of 2.0% plus a margin of 4.0% or the greater of prime rate or 4.25% plus a margin of 3.0%. The unused line fee associated with the Loan Agreement is 1.25% per annum. Additionally, under certain circumstances, we will be required to pay an early termination fee of 1% of the maximum credit available under the Loan Agreement if we terminate the Loan Agreement prior to October 13, 2012.</w:t>
      </w:r>
    </w:p>
    <w:p>
      <w:pPr>
        <w:spacing w:after="0" w:line="176"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On February 1, 2012 Wells Fargo Bank, National Association purchased the loan portfolio of Burdale Capital Finance, Inc., which included the Loan Agreement. No modifications were made to the Loan Agreement as a result of this transaction.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Warranty</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provide our motor home customers a comprehensive 12-month/15,000-mile warranty on the Class A, Class B and Class C motor homes, and a 3-year/36,000-mile structural warranty on Class A and Class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on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on past claim rate experiences and the estimated cost of the repairs.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122"/>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00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25,</w:t>
            </w:r>
          </w:p>
        </w:tc>
        <w:tc>
          <w:tcPr>
            <w:tcW w:w="260" w:type="dxa"/>
            <w:vAlign w:val="bottom"/>
          </w:tcPr>
          <w:p>
            <w:pPr>
              <w:spacing w:after="0"/>
              <w:rPr>
                <w:sz w:val="15"/>
                <w:szCs w:val="15"/>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February 26,</w:t>
            </w:r>
          </w:p>
        </w:tc>
        <w:tc>
          <w:tcPr>
            <w:tcW w:w="260" w:type="dxa"/>
            <w:vAlign w:val="bottom"/>
          </w:tcPr>
          <w:p>
            <w:pPr>
              <w:spacing w:after="0"/>
              <w:rPr>
                <w:sz w:val="15"/>
                <w:szCs w:val="15"/>
                <w:color w:val="auto"/>
              </w:rPr>
            </w:pPr>
          </w:p>
        </w:tc>
        <w:tc>
          <w:tcPr>
            <w:tcW w:w="1500" w:type="dxa"/>
            <w:vAlign w:val="bottom"/>
            <w:gridSpan w:val="3"/>
          </w:tcPr>
          <w:p>
            <w:pPr>
              <w:ind w:left="120"/>
              <w:spacing w:after="0"/>
              <w:rPr>
                <w:sz w:val="20"/>
                <w:szCs w:val="20"/>
                <w:color w:val="auto"/>
              </w:rPr>
            </w:pPr>
            <w:r>
              <w:rPr>
                <w:rFonts w:ascii="Arial" w:cs="Arial" w:eastAsia="Arial" w:hAnsi="Arial"/>
                <w:sz w:val="14"/>
                <w:szCs w:val="14"/>
                <w:b w:val="1"/>
                <w:bCs w:val="1"/>
                <w:color w:val="auto"/>
              </w:rPr>
              <w:t>February 25,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Arial" w:cs="Arial" w:eastAsia="Arial" w:hAnsi="Arial"/>
                <w:sz w:val="14"/>
                <w:szCs w:val="14"/>
                <w:b w:val="1"/>
                <w:bCs w:val="1"/>
                <w:color w:val="auto"/>
              </w:rPr>
              <w:t>February 26,</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7,022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7,607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7,335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260"/>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240" w:type="dxa"/>
            <w:vAlign w:val="bottom"/>
          </w:tcPr>
          <w:p>
            <w:pPr>
              <w:spacing w:after="0"/>
              <w:rPr>
                <w:sz w:val="22"/>
                <w:szCs w:val="22"/>
                <w:color w:val="auto"/>
              </w:rPr>
            </w:pPr>
          </w:p>
        </w:tc>
        <w:tc>
          <w:tcPr>
            <w:tcW w:w="1420" w:type="dxa"/>
            <w:vAlign w:val="bottom"/>
          </w:tcPr>
          <w:p>
            <w:pPr>
              <w:jc w:val="right"/>
              <w:ind w:right="363"/>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342"/>
              <w:spacing w:after="0"/>
              <w:rPr>
                <w:sz w:val="20"/>
                <w:szCs w:val="20"/>
                <w:color w:val="auto"/>
              </w:rPr>
            </w:pPr>
            <w:r>
              <w:rPr>
                <w:rFonts w:ascii="Arial" w:cs="Arial" w:eastAsia="Arial" w:hAnsi="Arial"/>
                <w:sz w:val="16"/>
                <w:szCs w:val="16"/>
                <w:color w:val="auto"/>
              </w:rPr>
              <w:t>1,347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362"/>
              <w:spacing w:after="0"/>
              <w:rPr>
                <w:sz w:val="20"/>
                <w:szCs w:val="20"/>
                <w:color w:val="auto"/>
              </w:rPr>
            </w:pPr>
            <w:r>
              <w:rPr>
                <w:rFonts w:ascii="Arial" w:cs="Arial" w:eastAsia="Arial" w:hAnsi="Arial"/>
                <w:sz w:val="16"/>
                <w:szCs w:val="16"/>
                <w:color w:val="auto"/>
              </w:rPr>
              <w:t>2,286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361"/>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7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(886)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(3,091)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6,530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8,068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6,530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8,068</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11: Employee and Retiree Benefits</w:t>
            </w: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00" w:type="dxa"/>
            <w:vAlign w:val="bottom"/>
            <w:gridSpan w:val="5"/>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ind w:left="140"/>
              <w:spacing w:after="0"/>
              <w:rPr>
                <w:sz w:val="20"/>
                <w:szCs w:val="20"/>
                <w:color w:val="auto"/>
              </w:rPr>
            </w:pPr>
            <w:r>
              <w:rPr>
                <w:rFonts w:ascii="Arial" w:cs="Arial" w:eastAsia="Arial" w:hAnsi="Arial"/>
                <w:sz w:val="14"/>
                <w:szCs w:val="14"/>
                <w:b w:val="1"/>
                <w:bCs w:val="1"/>
                <w:color w:val="auto"/>
              </w:rPr>
              <w:t>February 25,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401"/>
              <w:spacing w:after="0"/>
              <w:rPr>
                <w:sz w:val="20"/>
                <w:szCs w:val="20"/>
                <w:color w:val="auto"/>
              </w:rPr>
            </w:pPr>
            <w:r>
              <w:rPr>
                <w:rFonts w:ascii="Arial" w:cs="Arial" w:eastAsia="Arial" w:hAnsi="Arial"/>
                <w:sz w:val="14"/>
                <w:szCs w:val="14"/>
                <w:b w:val="1"/>
                <w:bCs w:val="1"/>
                <w:color w:val="auto"/>
              </w:rPr>
              <w:t>August 27,</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37,372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41,370</w:t>
            </w:r>
          </w:p>
        </w:tc>
        <w:tc>
          <w:tcPr>
            <w:tcW w:w="0" w:type="dxa"/>
            <w:vAlign w:val="bottom"/>
          </w:tcPr>
          <w:p>
            <w:pPr>
              <w:spacing w:after="0"/>
              <w:rPr>
                <w:sz w:val="1"/>
                <w:szCs w:val="1"/>
                <w:color w:val="auto"/>
              </w:rPr>
            </w:pPr>
          </w:p>
        </w:tc>
      </w:tr>
      <w:tr>
        <w:trPr>
          <w:trHeight w:val="260"/>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Non-qualified deferred compensation</w:t>
            </w: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24,162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24,622</w:t>
            </w:r>
          </w:p>
        </w:tc>
        <w:tc>
          <w:tcPr>
            <w:tcW w:w="0" w:type="dxa"/>
            <w:vAlign w:val="bottom"/>
          </w:tcPr>
          <w:p>
            <w:pPr>
              <w:spacing w:after="0"/>
              <w:rPr>
                <w:sz w:val="1"/>
                <w:szCs w:val="1"/>
                <w:color w:val="auto"/>
              </w:rPr>
            </w:pPr>
          </w:p>
        </w:tc>
      </w:tr>
      <w:tr>
        <w:trPr>
          <w:trHeight w:val="280"/>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9,418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60"/>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SERP benefit liability</w:t>
            </w: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3,162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27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96</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47"/>
        </w:trPr>
        <w:tc>
          <w:tcPr>
            <w:tcW w:w="6200" w:type="dxa"/>
            <w:vAlign w:val="bottom"/>
            <w:gridSpan w:val="5"/>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74,210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78,457</w:t>
            </w:r>
          </w:p>
        </w:tc>
        <w:tc>
          <w:tcPr>
            <w:tcW w:w="0" w:type="dxa"/>
            <w:vAlign w:val="bottom"/>
          </w:tcPr>
          <w:p>
            <w:pPr>
              <w:spacing w:after="0"/>
              <w:rPr>
                <w:sz w:val="1"/>
                <w:szCs w:val="1"/>
                <w:color w:val="auto"/>
              </w:rPr>
            </w:pPr>
          </w:p>
        </w:tc>
      </w:tr>
      <w:tr>
        <w:trPr>
          <w:trHeight w:val="27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(4,761)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40"/>
        </w:trPr>
        <w:tc>
          <w:tcPr>
            <w:tcW w:w="6200" w:type="dxa"/>
            <w:vAlign w:val="bottom"/>
            <w:gridSpan w:val="5"/>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69,449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74,492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Health Care Benefits</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 years of continuous service. We use a September 1 measurement date for this plan and our postretirement health care plan currently is not funded. 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Net periodic postretirement benefit income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25,</w:t>
            </w:r>
          </w:p>
        </w:tc>
        <w:tc>
          <w:tcPr>
            <w:tcW w:w="20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26,</w:t>
            </w:r>
          </w:p>
        </w:tc>
        <w:tc>
          <w:tcPr>
            <w:tcW w:w="22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25,</w:t>
            </w:r>
          </w:p>
        </w:tc>
        <w:tc>
          <w:tcPr>
            <w:tcW w:w="22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February 26,</w:t>
            </w:r>
          </w:p>
        </w:tc>
      </w:t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2011</w:t>
            </w:r>
          </w:p>
        </w:tc>
      </w:tr>
      <w:tr>
        <w:trPr>
          <w:trHeight w:val="256"/>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953</w:t>
            </w:r>
          </w:p>
        </w:tc>
      </w:tr>
      <w:tr>
        <w:trPr>
          <w:trHeight w:val="260"/>
        </w:trPr>
        <w:tc>
          <w:tcPr>
            <w:tcW w:w="510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2"/>
                <w:szCs w:val="22"/>
                <w:color w:val="auto"/>
              </w:rPr>
            </w:pPr>
          </w:p>
        </w:tc>
        <w:tc>
          <w:tcPr>
            <w:tcW w:w="1300" w:type="dxa"/>
            <w:vAlign w:val="bottom"/>
          </w:tcPr>
          <w:p>
            <w:pPr>
              <w:jc w:val="right"/>
              <w:ind w:right="342"/>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362"/>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62"/>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62"/>
              <w:spacing w:after="0"/>
              <w:rPr>
                <w:sz w:val="20"/>
                <w:szCs w:val="20"/>
                <w:color w:val="auto"/>
              </w:rPr>
            </w:pPr>
            <w:r>
              <w:rPr>
                <w:rFonts w:ascii="Arial" w:cs="Arial" w:eastAsia="Arial" w:hAnsi="Arial"/>
                <w:sz w:val="16"/>
                <w:szCs w:val="16"/>
                <w:color w:val="auto"/>
              </w:rPr>
              <w:t>304</w:t>
            </w:r>
          </w:p>
        </w:tc>
      </w:tr>
      <w:tr>
        <w:trPr>
          <w:trHeight w:val="273"/>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amortization and deferral</w:t>
            </w: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(1,648)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(1,552)</w:t>
            </w:r>
          </w:p>
        </w:tc>
      </w:tr>
      <w:tr>
        <w:trPr>
          <w:trHeight w:val="240"/>
        </w:trPr>
        <w:tc>
          <w:tcPr>
            <w:tcW w:w="5100" w:type="dxa"/>
            <w:vAlign w:val="bottom"/>
            <w:gridSpan w:val="2"/>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(295)</w:t>
            </w: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5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4"/>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605</w:t>
            </w: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For accounting purposes, we recognized net periodic postretirement income as presented in the table above, due to the amortization of prior service credit associated with the establishment of caps on the employer portion of benefits in Fiscal 2005. In January 2012 the employer established dollar caps for postretirement health care benefits per eligible employee were reduced by 10%, which reduced our liability for postretirement health care by approximately $4.6 million and is being amortized as prior service credit over a period of eight years.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Stock-based Compensation Plans</w:t>
      </w:r>
    </w:p>
    <w:p>
      <w:pPr>
        <w:spacing w:after="0" w:line="21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have a 2004 Incentive Compensation Plan approved by shareholders in place which allows us to grant or issue stock awards and other compensation to key employees and to nonemployee directors. On January 11, 2012 our Board of Directors granted 50,000 shares of restricted common stock to Robert J. Olson, retiring CEO, in recognition of his contributions to our success during his 43 years of service. The value of the restricted stock award is determined using the intrinsic value method which, in this case, is based on the number of shares granted and the closing price of our common stock on the date of grant.</w:t>
      </w:r>
    </w:p>
    <w:p>
      <w:pPr>
        <w:spacing w:after="0" w:line="176"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Stock-based compensation expense was $572,000 and $44,000 during the second quarters of Fiscal 2012 and Fiscal 2011, respectively. Stock-based compensation expense was $749,000 and $124,000 during the six months of Fiscal 2012 and Fiscal 2011, respectively. Of the $749,000, $398,000 related to the January 11, 2012 grant. The remainder is related to the amortization of previously granted restricted stock awards, as well as nonemployee director stock units issued in lieu of their fees. Compensation expense is recognized over the requisite service period of the award or over a period ending with the employee's eligible retirement date, if earlier.</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Contingent Liabilities and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$169.0 million and $133.4 million at February 25, 2012 and August 27, 2011, respectively.</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Incremental repurchase exposure beyond existing repurchase agreements, related to dealer inventory in states that we have had historical experience of repurchasing inventory, totaled $8.7 million and $5.7 million at February 25, 2012 and August 27, 2011, respectively.</w:t>
      </w:r>
    </w:p>
    <w:p>
      <w:pPr>
        <w:spacing w:after="0" w:line="176"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revenue transactions,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of our product, age of product in dealer inventory, physical condition of the product, location of the dealer, and the financing source. To the extent that dealers are increasing or decreasing their inventories, our overall exposure under repurchase agreements is likewise impacted. The percentage of dealer inventory we estimate we will repurchase (which has ranged in recent years from 5% to 11% on a weighted average basis) and the associated estimated loss (which has ranged in recent years from 7% to 16%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37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Based on the repurchase exposure as previously described, we established an associated loss reserve of $906,000 as of February 25, 2012 and $1.2 million as of August 27, 2011. The inventory repurchased and the associated losses on the inventory resold presented in the table below during the first six months of Fiscal 2012 relates to two dealers, one of which was a towable dealer. These losses resulted in a reduction to our repurchase loss reserve during the first quarter of Fiscal 2012, as we had previously reserved for these specific units in Fiscal 2011.</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repurchase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auto"/>
            </w:tcBorders>
            <w:gridSpan w:val="5"/>
          </w:tcPr>
          <w:p>
            <w:pPr>
              <w:jc w:val="right"/>
              <w:ind w:right="842"/>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February 25,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26,</w:t>
            </w:r>
          </w:p>
        </w:tc>
        <w:tc>
          <w:tcPr>
            <w:tcW w:w="18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25,</w:t>
            </w:r>
          </w:p>
        </w:tc>
        <w:tc>
          <w:tcPr>
            <w:tcW w:w="180" w:type="dxa"/>
            <w:vAlign w:val="bottom"/>
          </w:tcPr>
          <w:p>
            <w:pPr>
              <w:spacing w:after="0"/>
              <w:rPr>
                <w:sz w:val="15"/>
                <w:szCs w:val="15"/>
                <w:color w:val="auto"/>
              </w:rPr>
            </w:pPr>
          </w:p>
        </w:tc>
        <w:tc>
          <w:tcPr>
            <w:tcW w:w="1180" w:type="dxa"/>
            <w:vAlign w:val="bottom"/>
          </w:tcPr>
          <w:p>
            <w:pPr>
              <w:jc w:val="right"/>
              <w:ind w:right="202"/>
              <w:spacing w:after="0"/>
              <w:rPr>
                <w:sz w:val="20"/>
                <w:szCs w:val="20"/>
                <w:color w:val="auto"/>
              </w:rPr>
            </w:pPr>
            <w:r>
              <w:rPr>
                <w:rFonts w:ascii="Arial" w:cs="Arial" w:eastAsia="Arial" w:hAnsi="Arial"/>
                <w:sz w:val="14"/>
                <w:szCs w:val="14"/>
                <w:b w:val="1"/>
                <w:bCs w:val="1"/>
                <w:color w:val="auto"/>
              </w:rPr>
              <w:t>February 26,</w:t>
            </w:r>
          </w:p>
        </w:tc>
      </w:t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2011</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5620" w:type="dxa"/>
            <w:vAlign w:val="bottom"/>
            <w:gridSpan w:val="2"/>
          </w:tcPr>
          <w:p>
            <w:pPr>
              <w:ind w:left="240"/>
              <w:spacing w:after="0"/>
              <w:rPr>
                <w:sz w:val="20"/>
                <w:szCs w:val="20"/>
                <w:color w:val="auto"/>
              </w:rPr>
            </w:pPr>
            <w:r>
              <w:rPr>
                <w:rFonts w:ascii="Arial" w:cs="Arial" w:eastAsia="Arial" w:hAnsi="Arial"/>
                <w:sz w:val="16"/>
                <w:szCs w:val="16"/>
                <w:color w:val="auto"/>
              </w:rPr>
              <w:t>Units</w:t>
            </w:r>
          </w:p>
        </w:tc>
        <w:tc>
          <w:tcPr>
            <w:tcW w:w="110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w:t>
            </w:r>
          </w:p>
        </w:tc>
      </w:tr>
      <w:tr>
        <w:trPr>
          <w:trHeight w:val="280"/>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Dollars</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w:t>
            </w: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Units</w:t>
            </w: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r>
      <w:tr>
        <w:trPr>
          <w:trHeight w:val="260"/>
        </w:trPr>
        <w:tc>
          <w:tcPr>
            <w:tcW w:w="5620" w:type="dxa"/>
            <w:vAlign w:val="bottom"/>
            <w:gridSpan w:val="2"/>
          </w:tcPr>
          <w:p>
            <w:pPr>
              <w:ind w:left="240"/>
              <w:spacing w:after="0"/>
              <w:rPr>
                <w:sz w:val="20"/>
                <w:szCs w:val="20"/>
                <w:color w:val="auto"/>
              </w:rPr>
            </w:pPr>
            <w:r>
              <w:rPr>
                <w:rFonts w:ascii="Arial" w:cs="Arial" w:eastAsia="Arial" w:hAnsi="Arial"/>
                <w:sz w:val="16"/>
                <w:szCs w:val="16"/>
                <w:color w:val="auto"/>
              </w:rPr>
              <w:t>Cash collected</w:t>
            </w:r>
          </w:p>
        </w:tc>
        <w:tc>
          <w:tcPr>
            <w:tcW w:w="1100" w:type="dxa"/>
            <w:vAlign w:val="bottom"/>
          </w:tcPr>
          <w:p>
            <w:pPr>
              <w:jc w:val="right"/>
              <w:ind w:right="923"/>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126</w:t>
            </w:r>
          </w:p>
        </w:tc>
      </w:tr>
      <w:tr>
        <w:trPr>
          <w:trHeight w:val="280"/>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Loss recognized</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r>
    </w:tbl>
    <w:p>
      <w:pPr>
        <w:spacing w:after="0" w:line="218"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February 25, 2012 would have affected pre-tax income by approximately $265,000.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position, results of operations or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185"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as of August 27, 2011 and February 25, 2012, we have applied a valuation allowance of $39.3 million and $36.4 million respectively against our deferred tax assets.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tax returns have been audited by the IRS through Fiscal 2009. Although certain years are no longer subject to examinations by the IRS and various state taxing authorities, net operating loss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7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As of February 25, 2012, our unrecognized tax benefits were $5.0 million, all of which, if recognized, would positively affect our effective tax rate as all of the deferred tax assets associated with these positions have a full valuation allowance established against them. It is our policy to recognize interest and penalties accrued relative to unrecognized tax benefits as tax expense. As of February 25, 2012, we had accrued $2.3 million in interest and penalties. We do not anticipate any significant changes in unrecognized tax benefits within the next twelve months. Actual results may differ materially from this estimate.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Earnings Per Share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earnings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25,</w:t>
            </w: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26,</w:t>
            </w: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25,</w:t>
            </w:r>
          </w:p>
        </w:tc>
        <w:tc>
          <w:tcPr>
            <w:tcW w:w="160" w:type="dxa"/>
            <w:vAlign w:val="bottom"/>
          </w:tcPr>
          <w:p>
            <w:pPr>
              <w:spacing w:after="0"/>
              <w:rPr>
                <w:sz w:val="15"/>
                <w:szCs w:val="15"/>
                <w:color w:val="auto"/>
              </w:rPr>
            </w:pPr>
          </w:p>
        </w:tc>
        <w:tc>
          <w:tcPr>
            <w:tcW w:w="1100" w:type="dxa"/>
            <w:vAlign w:val="bottom"/>
          </w:tcPr>
          <w:p>
            <w:pPr>
              <w:jc w:val="right"/>
              <w:ind w:right="141"/>
              <w:spacing w:after="0"/>
              <w:rPr>
                <w:sz w:val="20"/>
                <w:szCs w:val="20"/>
                <w:color w:val="auto"/>
              </w:rPr>
            </w:pPr>
            <w:r>
              <w:rPr>
                <w:rFonts w:ascii="Arial" w:cs="Arial" w:eastAsia="Arial" w:hAnsi="Arial"/>
                <w:sz w:val="14"/>
                <w:szCs w:val="14"/>
                <w:b w:val="1"/>
                <w:bCs w:val="1"/>
                <w:color w:val="auto"/>
              </w:rPr>
              <w:t>February 26,</w:t>
            </w:r>
          </w:p>
        </w:tc>
      </w:tr>
      <w:tr>
        <w:trPr>
          <w:trHeight w:val="19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2011</w:t>
            </w:r>
          </w:p>
        </w:tc>
      </w:tr>
      <w:tr>
        <w:trPr>
          <w:trHeight w:val="27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income per share - basic:</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5960" w:type="dxa"/>
            <w:vAlign w:val="bottom"/>
            <w:gridSpan w:val="2"/>
          </w:tcPr>
          <w:p>
            <w:pPr>
              <w:ind w:left="120"/>
              <w:spacing w:after="0"/>
              <w:rPr>
                <w:sz w:val="20"/>
                <w:szCs w:val="20"/>
                <w:color w:val="auto"/>
              </w:rPr>
            </w:pPr>
            <w:r>
              <w:rPr>
                <w:rFonts w:ascii="Arial" w:cs="Arial" w:eastAsia="Arial" w:hAnsi="Arial"/>
                <w:sz w:val="16"/>
                <w:szCs w:val="16"/>
                <w:color w:val="auto"/>
              </w:rPr>
              <w:t>Net (loss)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3,315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7,101</w:t>
            </w:r>
          </w:p>
        </w:tc>
      </w:tr>
      <w:tr>
        <w:trPr>
          <w:trHeight w:val="280"/>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29,151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29,115</w:t>
            </w:r>
          </w:p>
        </w:tc>
      </w:tr>
      <w:tr>
        <w:trPr>
          <w:trHeight w:val="260"/>
        </w:trPr>
        <w:tc>
          <w:tcPr>
            <w:tcW w:w="5960" w:type="dxa"/>
            <w:vAlign w:val="bottom"/>
            <w:gridSpan w:val="2"/>
          </w:tcPr>
          <w:p>
            <w:pPr>
              <w:ind w:left="120"/>
              <w:spacing w:after="0"/>
              <w:rPr>
                <w:sz w:val="20"/>
                <w:szCs w:val="20"/>
                <w:color w:val="auto"/>
              </w:rPr>
            </w:pPr>
            <w:r>
              <w:rPr>
                <w:rFonts w:ascii="Arial" w:cs="Arial" w:eastAsia="Arial" w:hAnsi="Arial"/>
                <w:sz w:val="16"/>
                <w:szCs w:val="16"/>
                <w:color w:val="auto"/>
              </w:rPr>
              <w:t>Net (loss)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0.24</w:t>
            </w:r>
          </w:p>
        </w:tc>
      </w:tr>
      <w:tr>
        <w:trPr>
          <w:trHeight w:val="280"/>
        </w:trPr>
        <w:tc>
          <w:tcPr>
            <w:tcW w:w="5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(Loss) income per share - assuming dilution:</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7,101</w:t>
            </w:r>
          </w:p>
        </w:tc>
      </w:tr>
      <w:tr>
        <w:trPr>
          <w:trHeight w:val="260"/>
        </w:trPr>
        <w:tc>
          <w:tcPr>
            <w:tcW w:w="5960" w:type="dxa"/>
            <w:vAlign w:val="bottom"/>
            <w:gridSpan w:val="2"/>
          </w:tcPr>
          <w:p>
            <w:pPr>
              <w:ind w:left="1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29,151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29,118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29,115</w:t>
            </w:r>
          </w:p>
        </w:tc>
      </w:tr>
      <w:tr>
        <w:trPr>
          <w:trHeight w:val="280"/>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Dilutive impact of options and awards outstanding</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r>
      <w:tr>
        <w:trPr>
          <w:trHeight w:val="260"/>
        </w:trPr>
        <w:tc>
          <w:tcPr>
            <w:tcW w:w="5960" w:type="dxa"/>
            <w:vAlign w:val="bottom"/>
            <w:gridSpan w:val="2"/>
          </w:tcPr>
          <w:p>
            <w:pPr>
              <w:ind w:left="12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29,248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29,120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29,231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29,118</w:t>
            </w:r>
          </w:p>
        </w:tc>
      </w:tr>
      <w:tr>
        <w:trPr>
          <w:trHeight w:val="280"/>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(loss)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0.24</w:t>
            </w:r>
          </w:p>
        </w:tc>
      </w:tr>
    </w:tbl>
    <w:p>
      <w:pPr>
        <w:spacing w:after="0" w:line="19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 xml:space="preserve">At the end of the second quarters of Fiscal 2012 and Fiscal 2011, there were options outstanding to purchase 790,331 shares and 923,731 shares, respectively, of common stock at a weighted average price of $29.03 and $28.07,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net of tax, consists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25,</w:t>
            </w:r>
          </w:p>
        </w:tc>
        <w:tc>
          <w:tcPr>
            <w:tcW w:w="20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26,</w:t>
            </w:r>
          </w:p>
        </w:tc>
        <w:tc>
          <w:tcPr>
            <w:tcW w:w="20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25,</w:t>
            </w:r>
          </w:p>
        </w:tc>
        <w:tc>
          <w:tcPr>
            <w:tcW w:w="200" w:type="dxa"/>
            <w:vAlign w:val="bottom"/>
          </w:tcPr>
          <w:p>
            <w:pPr>
              <w:spacing w:after="0"/>
              <w:rPr>
                <w:sz w:val="15"/>
                <w:szCs w:val="15"/>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February 26,</w:t>
            </w: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2011</w:t>
            </w:r>
          </w:p>
        </w:tc>
      </w:tr>
      <w:tr>
        <w:trPr>
          <w:trHeight w:val="256"/>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3,315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7,101</w:t>
            </w:r>
          </w:p>
        </w:tc>
      </w:tr>
      <w:tr>
        <w:trPr>
          <w:trHeight w:val="260"/>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Amortization of prior service credit</w:t>
            </w:r>
          </w:p>
        </w:tc>
        <w:tc>
          <w:tcPr>
            <w:tcW w:w="200" w:type="dxa"/>
            <w:vAlign w:val="bottom"/>
          </w:tcPr>
          <w:p>
            <w:pPr>
              <w:spacing w:after="0"/>
              <w:rPr>
                <w:sz w:val="22"/>
                <w:szCs w:val="22"/>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201"/>
              <w:spacing w:after="0"/>
              <w:rPr>
                <w:sz w:val="20"/>
                <w:szCs w:val="20"/>
                <w:color w:val="auto"/>
              </w:rPr>
            </w:pPr>
            <w:r>
              <w:rPr>
                <w:rFonts w:ascii="Arial" w:cs="Arial" w:eastAsia="Arial" w:hAnsi="Arial"/>
                <w:sz w:val="16"/>
                <w:szCs w:val="16"/>
                <w:color w:val="auto"/>
              </w:rPr>
              <w:t>(1,310)</w:t>
            </w:r>
          </w:p>
        </w:tc>
      </w:tr>
      <w:tr>
        <w:trPr>
          <w:trHeight w:val="280"/>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actuarial loss</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343</w:t>
            </w:r>
          </w:p>
        </w:tc>
      </w:tr>
      <w:tr>
        <w:trPr>
          <w:trHeight w:val="260"/>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Plan amendment</w:t>
            </w:r>
          </w:p>
        </w:tc>
        <w:tc>
          <w:tcPr>
            <w:tcW w:w="200" w:type="dxa"/>
            <w:vAlign w:val="bottom"/>
          </w:tcPr>
          <w:p>
            <w:pPr>
              <w:spacing w:after="0"/>
              <w:rPr>
                <w:sz w:val="22"/>
                <w:szCs w:val="22"/>
                <w:color w:val="auto"/>
              </w:rPr>
            </w:pPr>
          </w:p>
        </w:tc>
        <w:tc>
          <w:tcPr>
            <w:tcW w:w="1240" w:type="dxa"/>
            <w:vAlign w:val="bottom"/>
          </w:tcPr>
          <w:p>
            <w:pPr>
              <w:jc w:val="right"/>
              <w:ind w:right="242"/>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40" w:type="dxa"/>
            <w:vAlign w:val="bottom"/>
          </w:tcPr>
          <w:p>
            <w:pPr>
              <w:jc w:val="right"/>
              <w:ind w:right="242"/>
              <w:spacing w:after="0"/>
              <w:rPr>
                <w:sz w:val="20"/>
                <w:szCs w:val="20"/>
                <w:color w:val="auto"/>
              </w:rPr>
            </w:pPr>
            <w:r>
              <w:rPr>
                <w:rFonts w:ascii="Arial" w:cs="Arial" w:eastAsia="Arial" w:hAnsi="Arial"/>
                <w:sz w:val="16"/>
                <w:szCs w:val="16"/>
                <w:color w:val="auto"/>
              </w:rPr>
              <w:t>4,598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w:t>
            </w:r>
          </w:p>
        </w:tc>
      </w:tr>
      <w:tr>
        <w:trPr>
          <w:trHeight w:val="273"/>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depreciation of investments</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(276)</w:t>
            </w:r>
          </w:p>
        </w:tc>
      </w:tr>
      <w:tr>
        <w:trPr>
          <w:trHeight w:val="240"/>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3,229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2,672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3,710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5,858</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Subsequent Event</w:t>
      </w:r>
    </w:p>
    <w:p>
      <w:pPr>
        <w:spacing w:after="0" w:line="21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 evaluated all events or transactions occurring between the balance sheet date and the date of issuance of the financial statements that would require recognition or disclosure in the financial statements. There were no material subsequent events.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14" w:lineRule="exact"/>
        <w:rPr>
          <w:sz w:val="20"/>
          <w:szCs w:val="20"/>
          <w:color w:val="auto"/>
        </w:rPr>
      </w:pPr>
    </w:p>
    <w:p>
      <w:pPr>
        <w:jc w:val="both"/>
        <w:ind w:right="1040"/>
        <w:spacing w:after="0" w:line="260" w:lineRule="auto"/>
        <w:rPr>
          <w:sz w:val="20"/>
          <w:szCs w:val="20"/>
          <w:color w:val="auto"/>
        </w:rPr>
      </w:pPr>
      <w:r>
        <w:rPr>
          <w:rFonts w:ascii="Arial" w:cs="Arial" w:eastAsia="Arial" w:hAnsi="Arial"/>
          <w:sz w:val="16"/>
          <w:szCs w:val="16"/>
          <w:color w:val="auto"/>
        </w:rPr>
        <w:t>It is suggested that this management's discussion be read in conjunction with the financial statements contained in this Form 10-Q as well as the Management's Discussion and Analysis and Risk Factors included in our Annual Report on Form 10-K for the fiscal year ended August 27, 2011.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Overview</w:t>
      </w:r>
    </w:p>
    <w:p>
      <w:pPr>
        <w:spacing w:after="0" w:line="21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 homes in vertically integrated manufacturing facilities in Iowa and we produce all travel trailer and fifth wheels ("towables products") in Indiana. We distribute our products through independent dealers throughout the U.S. and Canada, who then retail the products to the end consumer. Our retail unit market share, as reported by Stat Surveys,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4"/>
          </w:tcPr>
          <w:p>
            <w:pPr>
              <w:ind w:left="460"/>
              <w:spacing w:after="0"/>
              <w:rPr>
                <w:sz w:val="20"/>
                <w:szCs w:val="20"/>
                <w:color w:val="auto"/>
              </w:rPr>
            </w:pPr>
            <w:r>
              <w:rPr>
                <w:rFonts w:ascii="Arial" w:cs="Arial" w:eastAsia="Arial" w:hAnsi="Arial"/>
                <w:sz w:val="14"/>
                <w:szCs w:val="14"/>
                <w:b w:val="1"/>
                <w:bCs w:val="1"/>
                <w:color w:val="auto"/>
              </w:rPr>
              <w:t>Month Ended January 31,</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r>
      <w:tr>
        <w:trPr>
          <w:trHeight w:val="264"/>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Motorized:</w:t>
            </w: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2009</w:t>
            </w: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22.9%</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11.4%</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16.6%</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22.7%</w:t>
            </w:r>
          </w:p>
        </w:tc>
      </w:tr>
      <w:tr>
        <w:trPr>
          <w:trHeight w:val="24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19.1%</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4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23"/>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4"/>
          </w:tcPr>
          <w:p>
            <w:pPr>
              <w:ind w:left="460"/>
              <w:spacing w:after="0"/>
              <w:rPr>
                <w:sz w:val="20"/>
                <w:szCs w:val="20"/>
                <w:color w:val="auto"/>
              </w:rPr>
            </w:pPr>
            <w:r>
              <w:rPr>
                <w:rFonts w:ascii="Arial" w:cs="Arial" w:eastAsia="Arial" w:hAnsi="Arial"/>
                <w:sz w:val="14"/>
                <w:szCs w:val="14"/>
                <w:b w:val="1"/>
                <w:bCs w:val="1"/>
                <w:color w:val="auto"/>
              </w:rPr>
              <w:t>Month Ended January 31,</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r>
      <w:tr>
        <w:trPr>
          <w:trHeight w:val="264"/>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Motorized:</w:t>
            </w: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2009</w:t>
            </w: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13.8%</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7.0%</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w:t>
            </w:r>
          </w:p>
        </w:tc>
      </w:tr>
      <w:tr>
        <w:trPr>
          <w:trHeight w:val="24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9.8%</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4"/>
          </w:tcPr>
          <w:p>
            <w:pPr>
              <w:ind w:left="840"/>
              <w:spacing w:after="0"/>
              <w:rPr>
                <w:sz w:val="20"/>
                <w:szCs w:val="20"/>
                <w:color w:val="auto"/>
              </w:rPr>
            </w:pPr>
            <w:r>
              <w:rPr>
                <w:rFonts w:ascii="Arial" w:cs="Arial" w:eastAsia="Arial" w:hAnsi="Arial"/>
                <w:sz w:val="14"/>
                <w:szCs w:val="14"/>
                <w:b w:val="1"/>
                <w:bCs w:val="1"/>
                <w:color w:val="auto"/>
              </w:rPr>
              <w:t>Month Ended January 31,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Calendar Year</w:t>
            </w:r>
          </w:p>
        </w:tc>
      </w:tr>
      <w:tr>
        <w:trPr>
          <w:trHeight w:val="39"/>
        </w:trPr>
        <w:tc>
          <w:tcPr>
            <w:tcW w:w="6260" w:type="dxa"/>
            <w:vAlign w:val="bottom"/>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58"/>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Towables:</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2011</w:t>
            </w:r>
          </w:p>
        </w:tc>
      </w:tr>
      <w:tr>
        <w:trPr>
          <w:trHeight w:val="256"/>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0.6%</w:t>
            </w:r>
          </w:p>
        </w:tc>
      </w:tr>
      <w:tr>
        <w:trPr>
          <w:trHeight w:val="264"/>
        </w:trPr>
        <w:tc>
          <w:tcPr>
            <w:tcW w:w="6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0.5%</w:t>
            </w:r>
          </w:p>
        </w:tc>
      </w:tr>
      <w:tr>
        <w:trPr>
          <w:trHeight w:val="24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0.6%</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64"/>
        </w:trPr>
        <w:tc>
          <w:tcPr>
            <w:tcW w:w="6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4"/>
          </w:tcPr>
          <w:p>
            <w:pPr>
              <w:ind w:left="840"/>
              <w:spacing w:after="0"/>
              <w:rPr>
                <w:sz w:val="20"/>
                <w:szCs w:val="20"/>
                <w:color w:val="auto"/>
              </w:rPr>
            </w:pPr>
            <w:r>
              <w:rPr>
                <w:rFonts w:ascii="Arial" w:cs="Arial" w:eastAsia="Arial" w:hAnsi="Arial"/>
                <w:sz w:val="14"/>
                <w:szCs w:val="14"/>
                <w:b w:val="1"/>
                <w:bCs w:val="1"/>
                <w:color w:val="auto"/>
              </w:rPr>
              <w:t>Month Ended January 31,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Calendar Year</w:t>
            </w:r>
          </w:p>
        </w:tc>
      </w:tr>
      <w:tr>
        <w:trPr>
          <w:trHeight w:val="250"/>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Towables:</w:t>
            </w:r>
          </w:p>
        </w:tc>
        <w:tc>
          <w:tcPr>
            <w:tcW w:w="100" w:type="dxa"/>
            <w:vAlign w:val="bottom"/>
            <w:tcBorders>
              <w:bottom w:val="single" w:sz="8" w:color="CCEEFF"/>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1"/>
                <w:szCs w:val="21"/>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2011</w:t>
            </w:r>
          </w:p>
        </w:tc>
      </w:tr>
      <w:tr>
        <w:trPr>
          <w:trHeight w:val="256"/>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0.4%</w:t>
            </w:r>
          </w:p>
        </w:tc>
      </w:tr>
      <w:tr>
        <w:trPr>
          <w:trHeight w:val="264"/>
        </w:trPr>
        <w:tc>
          <w:tcPr>
            <w:tcW w:w="6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0.5%</w:t>
            </w:r>
          </w:p>
        </w:tc>
      </w:tr>
      <w:tr>
        <w:trPr>
          <w:trHeight w:val="24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0.4%</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5"/>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b w:val="1"/>
                <w:bCs w:val="1"/>
                <w:color w:val="auto"/>
              </w:rPr>
              <w:t>Class A, B &amp; C Motor 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40"/>
              <w:spacing w:after="0"/>
              <w:rPr>
                <w:sz w:val="20"/>
                <w:szCs w:val="20"/>
                <w:color w:val="auto"/>
              </w:rPr>
            </w:pPr>
            <w:r>
              <w:rPr>
                <w:rFonts w:ascii="Arial" w:cs="Arial" w:eastAsia="Arial" w:hAnsi="Arial"/>
                <w:sz w:val="14"/>
                <w:szCs w:val="14"/>
                <w:b w:val="1"/>
                <w:bCs w:val="1"/>
                <w:color w:val="auto"/>
              </w:rPr>
              <w:t>Wholesale</w:t>
            </w:r>
          </w:p>
        </w:tc>
        <w:tc>
          <w:tcPr>
            <w:tcW w:w="128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Deliveries</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Inventory</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 2010</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1,366</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1,388</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2,000</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 2010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1,164</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1,120</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2,044</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quarter 2011</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1,115</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1,093</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2,066</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698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quarter 2011</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909</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796</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2,179</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957</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905</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34"/>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4,554</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4,397</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(Mar 2010-Feb 2011)</w:t>
            </w: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 2011</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1,283</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2,068</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326</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203</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1,028</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 2011</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1,088</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1,198</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1,958</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420</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966</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quarter 2012</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1,040</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1,053</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1,945</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1,146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70"/>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quarter 2012</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1,001</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872</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2,074</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1,004</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562</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332</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1,376</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4"/>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4,412</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4,517</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1,681</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1,210</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(Mar 2011-Feb 2012)</w:t>
            </w: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Motor home wholesale deliveries increased 10.1% for the second quarter of Fiscal 2012 as compared to the second quarter of Fiscal 2011, which was the first quarterly year over year increase experienced in the past 12 months. However, the volumes increased primarily as a result of increased discounts and promotional pricing. We don't anticipate that these elevated levels of incentives will continue to the same degree in the second half of our fiscal year, as we will transition to producing and selling our new model year product. A portion of the additional sales volume and discounts in the second quarter of Fiscal 2012 related to the completion of sales order solicitation of the current model year, which is earlier than experienced in recent years.</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Motor home retail registrations increased 9.5% for the second quarter of Fiscal 2012 as compared to the second quarter of Fiscal 2011. Retail registrations increased in part due to the additional Class B product in dealer inventory, as we resumed production of Class B motor homes in April, 2011. We saw increases in all other product categories as well, but most notably in the Class A gas category. We are encouraged by the increase in the retail registrations of our product, as that is the key to supportable future wholesale growth.</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Motor home dealer inventories continue to remain at a reasonable, albeit conservative, level in relation to the past 12 months of retail registrations, as floorplan lenders expect product to turn at least two times a year. In our view, dealers have remained cautious on stocking motor home inventory. We believe that a consistent increase in retail activity would support increasing dealer inventory at a similar proportion.</w:t>
      </w:r>
    </w:p>
    <w:p>
      <w:pPr>
        <w:spacing w:after="0" w:line="17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In regards to Towables, most of the key metrics as illustrated in the table above have increased as this new subsidiary continues to develop new product, increase production rates and ship more product to an expanding distribution network.</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Industry Outlook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 home industry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6"/>
          </w:tcPr>
          <w:p>
            <w:pPr>
              <w:jc w:val="right"/>
              <w:ind w:right="261"/>
              <w:spacing w:after="0"/>
              <w:rPr>
                <w:sz w:val="20"/>
                <w:szCs w:val="20"/>
                <w:color w:val="auto"/>
              </w:rPr>
            </w:pPr>
            <w:r>
              <w:rPr>
                <w:rFonts w:ascii="Arial" w:cs="Arial" w:eastAsia="Arial" w:hAnsi="Arial"/>
                <w:sz w:val="14"/>
                <w:szCs w:val="14"/>
                <w:b w:val="1"/>
                <w:bCs w:val="1"/>
                <w:color w:val="auto"/>
              </w:rPr>
              <w:t>U.S. and Canada Industry Class A, B &amp; C Motor Homes</w:t>
            </w:r>
          </w:p>
        </w:tc>
        <w:tc>
          <w:tcPr>
            <w:tcW w:w="1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Calendar Year</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Calendar Year</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rPr>
              <w:t>Increase</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jc w:val="right"/>
              <w:ind w:right="242"/>
              <w:spacing w:after="0"/>
              <w:rPr>
                <w:sz w:val="20"/>
                <w:szCs w:val="20"/>
                <w:color w:val="auto"/>
              </w:rPr>
            </w:pPr>
            <w:r>
              <w:rPr>
                <w:rFonts w:ascii="Arial" w:cs="Arial" w:eastAsia="Arial" w:hAnsi="Arial"/>
                <w:sz w:val="14"/>
                <w:szCs w:val="14"/>
                <w:b w:val="1"/>
                <w:bCs w:val="1"/>
                <w:color w:val="auto"/>
              </w:rPr>
              <w:t>Increase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2010</w:t>
            </w:r>
          </w:p>
        </w:tc>
        <w:tc>
          <w:tcPr>
            <w:tcW w:w="11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(Decrease)</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2010</w:t>
            </w: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quarter</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6,900</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5,700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1,200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5,100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4,900</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200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quarter</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7,800</w:t>
            </w:r>
          </w:p>
        </w:tc>
        <w:tc>
          <w:tcPr>
            <w:tcW w:w="3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7,800</w:t>
            </w:r>
          </w:p>
        </w:tc>
        <w:tc>
          <w:tcPr>
            <w:tcW w:w="11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980" w:type="dxa"/>
            <w:vAlign w:val="bottom"/>
            <w:gridSpan w:val="2"/>
          </w:tcPr>
          <w:p>
            <w:pPr>
              <w:jc w:val="right"/>
              <w:ind w:right="25"/>
              <w:spacing w:after="0"/>
              <w:rPr>
                <w:sz w:val="20"/>
                <w:szCs w:val="20"/>
                <w:color w:val="auto"/>
              </w:rPr>
            </w:pPr>
            <w:r>
              <w:rPr>
                <w:rFonts w:ascii="Arial" w:cs="Arial" w:eastAsia="Arial" w:hAnsi="Arial"/>
                <w:sz w:val="16"/>
                <w:szCs w:val="16"/>
                <w:color w:val="auto"/>
              </w:rPr>
              <w:t>8,000</w:t>
            </w:r>
          </w:p>
        </w:tc>
        <w:tc>
          <w:tcPr>
            <w:tcW w:w="340" w:type="dxa"/>
            <w:vAlign w:val="bottom"/>
          </w:tcPr>
          <w:p>
            <w:pPr>
              <w:spacing w:after="0"/>
              <w:rPr>
                <w:sz w:val="23"/>
                <w:szCs w:val="23"/>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8,300</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(300)</w:t>
            </w: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5,300</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6,200</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(900)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6,100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6,000</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70"/>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4,800</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5,500</w:t>
            </w:r>
          </w:p>
        </w:tc>
        <w:tc>
          <w:tcPr>
            <w:tcW w:w="11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(700)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4,600</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4,600</w:t>
            </w: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61"/>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24,800</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25,200</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23,800</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23,800</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rPr>
              <w:t>(Decrease)</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2011</w:t>
            </w:r>
          </w:p>
        </w:tc>
        <w:tc>
          <w:tcPr>
            <w:tcW w:w="11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Increase</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2011</w:t>
            </w: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January actual</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1,900</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2,000</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1,200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1,300</w:t>
            </w: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0"/>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February actual</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2,200</w:t>
            </w:r>
          </w:p>
        </w:tc>
        <w:tc>
          <w:tcPr>
            <w:tcW w:w="380" w:type="dxa"/>
            <w:vAlign w:val="bottom"/>
          </w:tcPr>
          <w:p>
            <w:pPr>
              <w:spacing w:after="0"/>
              <w:rPr>
                <w:sz w:val="22"/>
                <w:szCs w:val="22"/>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2,100</w:t>
            </w:r>
          </w:p>
        </w:tc>
        <w:tc>
          <w:tcPr>
            <w:tcW w:w="1160" w:type="dxa"/>
            <w:vAlign w:val="bottom"/>
          </w:tcPr>
          <w:p>
            <w:pPr>
              <w:jc w:val="right"/>
              <w:ind w:right="262"/>
              <w:spacing w:after="0"/>
              <w:rPr>
                <w:sz w:val="20"/>
                <w:szCs w:val="20"/>
                <w:color w:val="auto"/>
              </w:rPr>
            </w:pPr>
            <w:r>
              <w:rPr>
                <w:rFonts w:ascii="Arial" w:cs="Arial" w:eastAsia="Arial" w:hAnsi="Arial"/>
                <w:sz w:val="16"/>
                <w:szCs w:val="16"/>
                <w:color w:val="auto"/>
              </w:rPr>
              <w:t>100</w:t>
            </w:r>
          </w:p>
        </w:tc>
        <w:tc>
          <w:tcPr>
            <w:tcW w:w="1060" w:type="dxa"/>
            <w:vAlign w:val="bottom"/>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1,400</w:t>
            </w: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3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March</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2,500</w:t>
            </w:r>
          </w:p>
        </w:tc>
        <w:tc>
          <w:tcPr>
            <w:tcW w:w="3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w:t>
            </w:r>
          </w:p>
        </w:tc>
        <w:tc>
          <w:tcPr>
            <w:tcW w:w="9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2,800</w:t>
            </w:r>
          </w:p>
        </w:tc>
        <w:tc>
          <w:tcPr>
            <w:tcW w:w="116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rPr>
              <w:t>(300)</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2,400</w:t>
            </w:r>
          </w:p>
        </w:tc>
        <w:tc>
          <w:tcPr>
            <w:tcW w:w="1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380" w:type="dxa"/>
            <w:vAlign w:val="bottom"/>
            <w:gridSpan w:val="2"/>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380" w:type="dxa"/>
            <w:vAlign w:val="bottom"/>
            <w:gridSpan w:val="2"/>
            <w:vMerge w:val="restart"/>
          </w:tcPr>
          <w:p>
            <w:pPr>
              <w:ind w:left="40"/>
              <w:spacing w:after="0"/>
              <w:rPr>
                <w:sz w:val="20"/>
                <w:szCs w:val="20"/>
                <w:color w:val="auto"/>
              </w:rPr>
            </w:pPr>
            <w:r>
              <w:rPr>
                <w:rFonts w:ascii="Arial" w:cs="Arial" w:eastAsia="Arial" w:hAnsi="Arial"/>
                <w:sz w:val="16"/>
                <w:szCs w:val="16"/>
                <w:color w:val="auto"/>
              </w:rPr>
              <w:t>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quarter</w:t>
            </w: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6,900</w:t>
            </w:r>
          </w:p>
        </w:tc>
        <w:tc>
          <w:tcPr>
            <w:tcW w:w="3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7,800</w:t>
            </w:r>
          </w:p>
        </w:tc>
        <w:tc>
          <w:tcPr>
            <w:tcW w:w="1160" w:type="dxa"/>
            <w:vAlign w:val="bottom"/>
            <w:vMerge w:val="restart"/>
          </w:tcPr>
          <w:p>
            <w:pPr>
              <w:jc w:val="right"/>
              <w:ind w:right="202"/>
              <w:spacing w:after="0"/>
              <w:rPr>
                <w:sz w:val="20"/>
                <w:szCs w:val="20"/>
                <w:color w:val="auto"/>
              </w:rPr>
            </w:pPr>
            <w:r>
              <w:rPr>
                <w:rFonts w:ascii="Arial" w:cs="Arial" w:eastAsia="Arial" w:hAnsi="Arial"/>
                <w:sz w:val="16"/>
                <w:szCs w:val="16"/>
                <w:color w:val="auto"/>
              </w:rPr>
              <w:t>(900)</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tcPr>
          <w:p>
            <w:pPr>
              <w:jc w:val="right"/>
              <w:ind w:right="41"/>
              <w:spacing w:after="0"/>
              <w:rPr>
                <w:sz w:val="20"/>
                <w:szCs w:val="20"/>
                <w:color w:val="auto"/>
              </w:rPr>
            </w:pPr>
            <w:r>
              <w:rPr>
                <w:rFonts w:ascii="Arial" w:cs="Arial" w:eastAsia="Arial" w:hAnsi="Arial"/>
                <w:sz w:val="16"/>
                <w:szCs w:val="16"/>
                <w:color w:val="auto"/>
              </w:rPr>
              <w:t>8,000</w:t>
            </w: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38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6,400</w:t>
            </w:r>
          </w:p>
        </w:tc>
        <w:tc>
          <w:tcPr>
            <w:tcW w:w="3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w:t>
            </w:r>
          </w:p>
        </w:tc>
        <w:tc>
          <w:tcPr>
            <w:tcW w:w="9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5,300</w:t>
            </w:r>
          </w:p>
        </w:tc>
        <w:tc>
          <w:tcPr>
            <w:tcW w:w="116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rPr>
              <w:t>1,100</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6,100</w:t>
            </w: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gridSpan w:val="2"/>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380" w:type="dxa"/>
            <w:vAlign w:val="bottom"/>
            <w:gridSpan w:val="2"/>
            <w:vMerge w:val="restart"/>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w:t>
            </w: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5,900</w:t>
            </w:r>
          </w:p>
        </w:tc>
        <w:tc>
          <w:tcPr>
            <w:tcW w:w="3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4,800</w:t>
            </w:r>
          </w:p>
        </w:tc>
        <w:tc>
          <w:tcPr>
            <w:tcW w:w="1160" w:type="dxa"/>
            <w:vAlign w:val="bottom"/>
            <w:vMerge w:val="restart"/>
          </w:tcPr>
          <w:p>
            <w:pPr>
              <w:jc w:val="right"/>
              <w:ind w:right="262"/>
              <w:spacing w:after="0"/>
              <w:rPr>
                <w:sz w:val="20"/>
                <w:szCs w:val="20"/>
                <w:color w:val="auto"/>
              </w:rPr>
            </w:pPr>
            <w:r>
              <w:rPr>
                <w:rFonts w:ascii="Arial" w:cs="Arial" w:eastAsia="Arial" w:hAnsi="Arial"/>
                <w:sz w:val="16"/>
                <w:szCs w:val="16"/>
                <w:color w:val="auto"/>
              </w:rPr>
              <w:t>1,100</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22.9 %</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tcPr>
          <w:p>
            <w:pPr>
              <w:jc w:val="right"/>
              <w:ind w:right="41"/>
              <w:spacing w:after="0"/>
              <w:rPr>
                <w:sz w:val="20"/>
                <w:szCs w:val="20"/>
                <w:color w:val="auto"/>
              </w:rPr>
            </w:pPr>
            <w:r>
              <w:rPr>
                <w:rFonts w:ascii="Arial" w:cs="Arial" w:eastAsia="Arial" w:hAnsi="Arial"/>
                <w:sz w:val="16"/>
                <w:szCs w:val="16"/>
                <w:color w:val="auto"/>
              </w:rPr>
              <w:t>4,600</w:t>
            </w: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Borders>
              <w:bottom w:val="single" w:sz="8" w:color="CCEEFF"/>
            </w:tcBorders>
            <w:gridSpan w:val="2"/>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10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25,800</w:t>
            </w: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24,800</w:t>
            </w:r>
          </w:p>
        </w:tc>
        <w:tc>
          <w:tcPr>
            <w:tcW w:w="11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1,000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23,800</w:t>
            </w:r>
          </w:p>
        </w:tc>
        <w:tc>
          <w:tcPr>
            <w:tcW w:w="1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Class A, B and C wholesale shipments as reported by RVIA, rounded to the nearest hundred.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Class A, B and C retail registrations as reported by Stat Surveys for the US and Canada combined, rounded to the nearest hundred.</w:t>
      </w:r>
    </w:p>
    <w:p>
      <w:pPr>
        <w:ind w:left="340" w:right="18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Monthly and quarterly 2012 Class A, B and C wholesale shipments are based upon the forecast prepared by Dr. Richard Curtin of the University of Michigan Consumer Survey Research Center for RVIA and reported in the Roadsigns RV Spring 2012 issue. The original RVIA annual 2012 wholesale shipment forecast was 25,400.</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Stat Surveys has not issued a projection for 2012 retail demand for this period.</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size of the motorized retail market for the past three calendar years has been less than half of what the industry norms had been prior to the recession that began in December 2007. RVIA, in one of its most recent Roadsigns publications, attributes the flat retail environment primarily to declining home equity. However, RVIA forecasts that motor homes sales are likely to improve at a relatively greater pace in the decade ahead as stricter fuel economy standards reduce the towing capacity of the household vehicle fleet.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6"/>
          </w:tcPr>
          <w:p>
            <w:pPr>
              <w:jc w:val="right"/>
              <w:ind w:right="321"/>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1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541"/>
              <w:spacing w:after="0"/>
              <w:rPr>
                <w:sz w:val="20"/>
                <w:szCs w:val="20"/>
                <w:color w:val="auto"/>
              </w:rPr>
            </w:pPr>
            <w:r>
              <w:rPr>
                <w:rFonts w:ascii="Arial" w:cs="Arial" w:eastAsia="Arial" w:hAnsi="Arial"/>
                <w:sz w:val="14"/>
                <w:szCs w:val="14"/>
                <w:b w:val="1"/>
                <w:bCs w:val="1"/>
                <w:color w:val="auto"/>
              </w:rPr>
              <w:t>Calendar Year</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jc w:val="center"/>
              <w:ind w:right="41"/>
              <w:spacing w:after="0"/>
              <w:rPr>
                <w:sz w:val="20"/>
                <w:szCs w:val="20"/>
                <w:color w:val="auto"/>
              </w:rPr>
            </w:pPr>
            <w:r>
              <w:rPr>
                <w:rFonts w:ascii="Arial" w:cs="Arial" w:eastAsia="Arial" w:hAnsi="Arial"/>
                <w:sz w:val="14"/>
                <w:szCs w:val="14"/>
                <w:b w:val="1"/>
                <w:bCs w:val="1"/>
                <w:color w:val="auto"/>
              </w:rPr>
              <w:t>Increase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2010</w:t>
            </w: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(Decrease)</w:t>
            </w: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Increase</w:t>
            </w: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54,200</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49,300</w:t>
            </w:r>
          </w:p>
        </w:tc>
        <w:tc>
          <w:tcPr>
            <w:tcW w:w="11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4,900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9.9 %</w:t>
            </w: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33,400</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31,100</w:t>
            </w: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2,300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60"/>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Second quarter</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66,000</w:t>
            </w:r>
          </w:p>
        </w:tc>
        <w:tc>
          <w:tcPr>
            <w:tcW w:w="400" w:type="dxa"/>
            <w:vAlign w:val="bottom"/>
          </w:tcPr>
          <w:p>
            <w:pPr>
              <w:spacing w:after="0"/>
              <w:rPr>
                <w:sz w:val="22"/>
                <w:szCs w:val="22"/>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62,300</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3,700</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5.9 %</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75,000</w:t>
            </w:r>
          </w:p>
        </w:tc>
        <w:tc>
          <w:tcPr>
            <w:tcW w:w="32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69,400</w:t>
            </w:r>
          </w:p>
        </w:tc>
        <w:tc>
          <w:tcPr>
            <w:tcW w:w="1180" w:type="dxa"/>
            <w:vAlign w:val="bottom"/>
          </w:tcPr>
          <w:p>
            <w:pPr>
              <w:jc w:val="right"/>
              <w:ind w:right="221"/>
              <w:spacing w:after="0"/>
              <w:rPr>
                <w:sz w:val="20"/>
                <w:szCs w:val="20"/>
                <w:color w:val="auto"/>
              </w:rPr>
            </w:pPr>
            <w:r>
              <w:rPr>
                <w:rFonts w:ascii="Arial" w:cs="Arial" w:eastAsia="Arial" w:hAnsi="Arial"/>
                <w:sz w:val="16"/>
                <w:szCs w:val="16"/>
                <w:color w:val="auto"/>
              </w:rPr>
              <w:t>5,600</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8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47,500</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48,600</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(1,100)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59,400</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57,200</w:t>
            </w: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2,200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64"/>
        </w:trPr>
        <w:tc>
          <w:tcPr>
            <w:tcW w:w="2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Fourth quarter</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45,200</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39,000</w:t>
            </w: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6,200</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15.9 %</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29,500</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28,300</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1,200</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67"/>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212,900</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199,200</w:t>
            </w:r>
          </w:p>
        </w:tc>
        <w:tc>
          <w:tcPr>
            <w:tcW w:w="11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13,700</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6.9 %</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197,300</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186,000</w:t>
            </w:r>
          </w:p>
        </w:tc>
        <w:tc>
          <w:tcPr>
            <w:tcW w:w="118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11,300</w:t>
            </w:r>
          </w:p>
        </w:tc>
        <w:tc>
          <w:tcPr>
            <w:tcW w:w="11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Increase</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(Decrease)</w:t>
            </w: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January actual</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15,700</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14,700</w:t>
            </w:r>
          </w:p>
        </w:tc>
        <w:tc>
          <w:tcPr>
            <w:tcW w:w="11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1,000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6.8 %</w:t>
            </w: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6,600</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7,300</w:t>
            </w: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(700)</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60"/>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February actual</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21,100</w:t>
            </w:r>
          </w:p>
        </w:tc>
        <w:tc>
          <w:tcPr>
            <w:tcW w:w="400" w:type="dxa"/>
            <w:vAlign w:val="bottom"/>
          </w:tcPr>
          <w:p>
            <w:pPr>
              <w:spacing w:after="0"/>
              <w:rPr>
                <w:sz w:val="22"/>
                <w:szCs w:val="22"/>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16,600</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4,500</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27.1 %</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9,800</w:t>
            </w:r>
          </w:p>
        </w:tc>
        <w:tc>
          <w:tcPr>
            <w:tcW w:w="1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34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March</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23,200</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9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22,900</w:t>
            </w:r>
          </w:p>
        </w:tc>
        <w:tc>
          <w:tcPr>
            <w:tcW w:w="1140" w:type="dxa"/>
            <w:vAlign w:val="bottom"/>
            <w:vMerge w:val="restart"/>
            <w:shd w:val="clear" w:color="auto" w:fill="CCEEFF"/>
          </w:tcPr>
          <w:p>
            <w:pPr>
              <w:jc w:val="right"/>
              <w:ind w:right="221"/>
              <w:spacing w:after="0"/>
              <w:rPr>
                <w:sz w:val="20"/>
                <w:szCs w:val="20"/>
                <w:color w:val="auto"/>
              </w:rPr>
            </w:pPr>
            <w:r>
              <w:rPr>
                <w:rFonts w:ascii="Arial" w:cs="Arial" w:eastAsia="Arial" w:hAnsi="Arial"/>
                <w:sz w:val="16"/>
                <w:szCs w:val="16"/>
                <w:color w:val="auto"/>
              </w:rPr>
              <w:t>300</w:t>
            </w:r>
          </w:p>
        </w:tc>
        <w:tc>
          <w:tcPr>
            <w:tcW w:w="116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16,300</w:t>
            </w: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34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340" w:type="dxa"/>
            <w:vAlign w:val="bottom"/>
            <w:gridSpan w:val="2"/>
            <w:vMerge w:val="restart"/>
          </w:tcPr>
          <w:p>
            <w:pPr>
              <w:ind w:left="40"/>
              <w:spacing w:after="0"/>
              <w:rPr>
                <w:sz w:val="20"/>
                <w:szCs w:val="20"/>
                <w:color w:val="auto"/>
              </w:rPr>
            </w:pPr>
            <w:r>
              <w:rPr>
                <w:rFonts w:ascii="Arial" w:cs="Arial" w:eastAsia="Arial" w:hAnsi="Arial"/>
                <w:sz w:val="16"/>
                <w:szCs w:val="16"/>
                <w:color w:val="auto"/>
              </w:rPr>
              <w:t>Second quarter</w:t>
            </w:r>
          </w:p>
        </w:tc>
        <w:tc>
          <w:tcPr>
            <w:tcW w:w="860" w:type="dxa"/>
            <w:vAlign w:val="bottom"/>
            <w:vMerge w:val="restart"/>
          </w:tcPr>
          <w:p>
            <w:pPr>
              <w:jc w:val="right"/>
              <w:ind w:right="20"/>
              <w:spacing w:after="0"/>
              <w:rPr>
                <w:sz w:val="20"/>
                <w:szCs w:val="20"/>
                <w:color w:val="auto"/>
              </w:rPr>
            </w:pPr>
            <w:r>
              <w:rPr>
                <w:rFonts w:ascii="Arial" w:cs="Arial" w:eastAsia="Arial" w:hAnsi="Arial"/>
                <w:sz w:val="16"/>
                <w:szCs w:val="16"/>
                <w:color w:val="auto"/>
              </w:rPr>
              <w:t>66,700</w:t>
            </w:r>
          </w:p>
        </w:tc>
        <w:tc>
          <w:tcPr>
            <w:tcW w:w="40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auto"/>
              </w:rPr>
              <w:t>66,000</w:t>
            </w:r>
          </w:p>
        </w:tc>
        <w:tc>
          <w:tcPr>
            <w:tcW w:w="1140" w:type="dxa"/>
            <w:vAlign w:val="bottom"/>
            <w:vMerge w:val="restart"/>
          </w:tcPr>
          <w:p>
            <w:pPr>
              <w:jc w:val="right"/>
              <w:ind w:right="221"/>
              <w:spacing w:after="0"/>
              <w:rPr>
                <w:sz w:val="20"/>
                <w:szCs w:val="20"/>
                <w:color w:val="auto"/>
              </w:rPr>
            </w:pPr>
            <w:r>
              <w:rPr>
                <w:rFonts w:ascii="Arial" w:cs="Arial" w:eastAsia="Arial" w:hAnsi="Arial"/>
                <w:sz w:val="16"/>
                <w:szCs w:val="16"/>
                <w:color w:val="auto"/>
              </w:rPr>
              <w:t>700</w:t>
            </w:r>
          </w:p>
        </w:tc>
        <w:tc>
          <w:tcPr>
            <w:tcW w:w="1160" w:type="dxa"/>
            <w:vAlign w:val="bottom"/>
            <w:vMerge w:val="restart"/>
          </w:tcPr>
          <w:p>
            <w:pPr>
              <w:jc w:val="right"/>
              <w:ind w:right="100"/>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vMerge w:val="restart"/>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tcPr>
          <w:p>
            <w:pPr>
              <w:jc w:val="right"/>
              <w:ind w:right="21"/>
              <w:spacing w:after="0"/>
              <w:rPr>
                <w:sz w:val="20"/>
                <w:szCs w:val="20"/>
                <w:color w:val="auto"/>
              </w:rPr>
            </w:pPr>
            <w:r>
              <w:rPr>
                <w:rFonts w:ascii="Arial" w:cs="Arial" w:eastAsia="Arial" w:hAnsi="Arial"/>
                <w:sz w:val="16"/>
                <w:szCs w:val="16"/>
                <w:color w:val="auto"/>
              </w:rPr>
              <w:t>75,000</w:t>
            </w: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3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34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54,700</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9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47,500</w:t>
            </w:r>
          </w:p>
        </w:tc>
        <w:tc>
          <w:tcPr>
            <w:tcW w:w="1140" w:type="dxa"/>
            <w:vAlign w:val="bottom"/>
            <w:vMerge w:val="restart"/>
            <w:shd w:val="clear" w:color="auto" w:fill="CCEEFF"/>
          </w:tcPr>
          <w:p>
            <w:pPr>
              <w:jc w:val="right"/>
              <w:ind w:right="221"/>
              <w:spacing w:after="0"/>
              <w:rPr>
                <w:sz w:val="20"/>
                <w:szCs w:val="20"/>
                <w:color w:val="auto"/>
              </w:rPr>
            </w:pPr>
            <w:r>
              <w:rPr>
                <w:rFonts w:ascii="Arial" w:cs="Arial" w:eastAsia="Arial" w:hAnsi="Arial"/>
                <w:sz w:val="16"/>
                <w:szCs w:val="16"/>
                <w:color w:val="auto"/>
              </w:rPr>
              <w:t>7,200</w:t>
            </w:r>
          </w:p>
        </w:tc>
        <w:tc>
          <w:tcPr>
            <w:tcW w:w="116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15.2 %</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59,400</w:t>
            </w: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34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340" w:type="dxa"/>
            <w:vAlign w:val="bottom"/>
            <w:gridSpan w:val="2"/>
            <w:vMerge w:val="restart"/>
          </w:tcPr>
          <w:p>
            <w:pPr>
              <w:ind w:left="40"/>
              <w:spacing w:after="0"/>
              <w:rPr>
                <w:sz w:val="20"/>
                <w:szCs w:val="20"/>
                <w:color w:val="auto"/>
              </w:rPr>
            </w:pPr>
            <w:r>
              <w:rPr>
                <w:rFonts w:ascii="Arial" w:cs="Arial" w:eastAsia="Arial" w:hAnsi="Arial"/>
                <w:sz w:val="16"/>
                <w:szCs w:val="16"/>
                <w:color w:val="auto"/>
              </w:rPr>
              <w:t>Fourth quarter</w:t>
            </w:r>
          </w:p>
        </w:tc>
        <w:tc>
          <w:tcPr>
            <w:tcW w:w="860" w:type="dxa"/>
            <w:vAlign w:val="bottom"/>
            <w:vMerge w:val="restart"/>
          </w:tcPr>
          <w:p>
            <w:pPr>
              <w:jc w:val="right"/>
              <w:ind w:right="20"/>
              <w:spacing w:after="0"/>
              <w:rPr>
                <w:sz w:val="20"/>
                <w:szCs w:val="20"/>
                <w:color w:val="auto"/>
              </w:rPr>
            </w:pPr>
            <w:r>
              <w:rPr>
                <w:rFonts w:ascii="Arial" w:cs="Arial" w:eastAsia="Arial" w:hAnsi="Arial"/>
                <w:sz w:val="16"/>
                <w:szCs w:val="16"/>
                <w:color w:val="auto"/>
              </w:rPr>
              <w:t>47,100</w:t>
            </w:r>
          </w:p>
        </w:tc>
        <w:tc>
          <w:tcPr>
            <w:tcW w:w="40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auto"/>
              </w:rPr>
              <w:t>45,200</w:t>
            </w:r>
          </w:p>
        </w:tc>
        <w:tc>
          <w:tcPr>
            <w:tcW w:w="1140" w:type="dxa"/>
            <w:vAlign w:val="bottom"/>
            <w:vMerge w:val="restart"/>
          </w:tcPr>
          <w:p>
            <w:pPr>
              <w:jc w:val="right"/>
              <w:ind w:right="221"/>
              <w:spacing w:after="0"/>
              <w:rPr>
                <w:sz w:val="20"/>
                <w:szCs w:val="20"/>
                <w:color w:val="auto"/>
              </w:rPr>
            </w:pPr>
            <w:r>
              <w:rPr>
                <w:rFonts w:ascii="Arial" w:cs="Arial" w:eastAsia="Arial" w:hAnsi="Arial"/>
                <w:sz w:val="16"/>
                <w:szCs w:val="16"/>
                <w:color w:val="auto"/>
              </w:rPr>
              <w:t>1,900</w:t>
            </w:r>
          </w:p>
        </w:tc>
        <w:tc>
          <w:tcPr>
            <w:tcW w:w="1160" w:type="dxa"/>
            <w:vAlign w:val="bottom"/>
            <w:vMerge w:val="restart"/>
          </w:tcPr>
          <w:p>
            <w:pPr>
              <w:jc w:val="right"/>
              <w:ind w:right="100"/>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vMerge w:val="restart"/>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tcPr>
          <w:p>
            <w:pPr>
              <w:jc w:val="right"/>
              <w:ind w:right="21"/>
              <w:spacing w:after="0"/>
              <w:rPr>
                <w:sz w:val="20"/>
                <w:szCs w:val="20"/>
                <w:color w:val="auto"/>
              </w:rPr>
            </w:pPr>
            <w:r>
              <w:rPr>
                <w:rFonts w:ascii="Arial" w:cs="Arial" w:eastAsia="Arial" w:hAnsi="Arial"/>
                <w:sz w:val="16"/>
                <w:szCs w:val="16"/>
                <w:color w:val="auto"/>
              </w:rPr>
              <w:t>29,500</w:t>
            </w: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340" w:type="dxa"/>
            <w:vAlign w:val="bottom"/>
            <w:tcBorders>
              <w:bottom w:val="single" w:sz="8" w:color="CCEEFF"/>
            </w:tcBorders>
            <w:gridSpan w:val="2"/>
            <w:vMerge w:val="continue"/>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CCEEFF"/>
            </w:tcBorders>
          </w:tcPr>
          <w:p>
            <w:pPr>
              <w:spacing w:after="0"/>
              <w:rPr>
                <w:sz w:val="9"/>
                <w:szCs w:val="9"/>
                <w:color w:val="auto"/>
              </w:rPr>
            </w:pPr>
          </w:p>
        </w:tc>
        <w:tc>
          <w:tcPr>
            <w:tcW w:w="11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228,500</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212,900</w:t>
            </w:r>
          </w:p>
        </w:tc>
        <w:tc>
          <w:tcPr>
            <w:tcW w:w="11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15,600</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7.3 %</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197,300</w:t>
            </w:r>
          </w:p>
        </w:tc>
        <w:tc>
          <w:tcPr>
            <w:tcW w:w="1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Towable wholesale shipments as reported by RVIA, rounded to the nearest hundred.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Towable retail registrations as reported by Stat Surveys for the US and Canada combined, rounded to the nearest hundred.</w:t>
      </w:r>
    </w:p>
    <w:p>
      <w:pPr>
        <w:ind w:left="340" w:right="14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Monthly and quarterly 2012 towable wholesale shipments are based upon the forecast prepared by Dr. Richard Curtin of the University of Michigan Consumer Survey Research Center for RVIA and reported in the Roadsigns RV Spring 2012 issue. The original RVIA annual 2012 wholesale shipment forecast was 226,200.</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Stat Surveys has not issued a projection for 2012 retail demand for this period.</w:t>
      </w:r>
    </w:p>
    <w:p>
      <w:pPr>
        <w:sectPr>
          <w:pgSz w:w="11900" w:h="16838" w:orient="portrait"/>
          <w:cols w:equalWidth="0" w:num="1">
            <w:col w:w="11420"/>
          </w:cols>
          <w:pgMar w:left="240" w:top="141" w:right="239" w:bottom="144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towable retail market has not been as negatively impacted in recent years as the motorized market. The size of the market was nearly nine times larger than the motorized market on a unit basis in Calendar 2011. This is primarily due to the fact that average price of a towable unit is considerably less than a motor home.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 Outlook</w:t>
      </w:r>
    </w:p>
    <w:p>
      <w:pPr>
        <w:spacing w:after="0" w:line="21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Based on our profitable operating results for Fiscal 2011, near break even operating results and strong operating cash flow performance thus far in Fiscal 2012, we believe that we have demonstrated our ability to maintain adequate liquidity, cover operations costs, recover fixed assets, and maintain physical capacity at present levels. In Fiscal 2011 we entered into the towable market, providing us the potential to grow revenues and earnings in a market significantly larger than the motorized market.</w:t>
      </w:r>
    </w:p>
    <w:p>
      <w:pPr>
        <w:spacing w:after="0" w:line="17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believe retail sales will be the key driver to improvement of the recreation vehicle market. We also believe that future dealer buying patterns will continue to be primarily based on retail demand, thus dealers are expected to order approximately one new unit as one is retailed. Our viewpoint is that dealers post-recession are much more cautious about their level of inventory and are more focused on their retail turn rate than they were as a group pre-recession. We plan to continue to focus on those same metrics, closely reviewing the aging of dealer inventory and retail turns by product series. Consistent with our current practice, we will continue to adjust our weekly production rate up or down based on market demand. Negative factors that may hinder retail sales include the current low level of consumer confidence, continued high unemployment levels and uncertainty regarding fuel prices.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Our unit order backlog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ind w:left="360"/>
              <w:spacing w:after="0"/>
              <w:rPr>
                <w:sz w:val="20"/>
                <w:szCs w:val="20"/>
                <w:color w:val="auto"/>
              </w:rPr>
            </w:pPr>
            <w:r>
              <w:rPr>
                <w:rFonts w:ascii="Arial" w:cs="Arial" w:eastAsia="Arial" w:hAnsi="Arial"/>
                <w:sz w:val="14"/>
                <w:szCs w:val="14"/>
                <w:b w:val="1"/>
                <w:bCs w:val="1"/>
                <w:color w:val="auto"/>
              </w:rPr>
              <w:t>February 25, 2012</w:t>
            </w:r>
          </w:p>
        </w:tc>
        <w:tc>
          <w:tcPr>
            <w:tcW w:w="240" w:type="dxa"/>
            <w:vAlign w:val="bottom"/>
          </w:tcPr>
          <w:p>
            <w:pPr>
              <w:spacing w:after="0"/>
              <w:rPr>
                <w:sz w:val="22"/>
                <w:szCs w:val="22"/>
                <w:color w:val="auto"/>
              </w:rPr>
            </w:pPr>
          </w:p>
        </w:tc>
        <w:tc>
          <w:tcPr>
            <w:tcW w:w="2220" w:type="dxa"/>
            <w:vAlign w:val="bottom"/>
            <w:gridSpan w:val="3"/>
          </w:tcPr>
          <w:p>
            <w:pPr>
              <w:ind w:left="340"/>
              <w:spacing w:after="0"/>
              <w:rPr>
                <w:sz w:val="20"/>
                <w:szCs w:val="20"/>
                <w:color w:val="auto"/>
              </w:rPr>
            </w:pPr>
            <w:r>
              <w:rPr>
                <w:rFonts w:ascii="Arial" w:cs="Arial" w:eastAsia="Arial" w:hAnsi="Arial"/>
                <w:sz w:val="14"/>
                <w:szCs w:val="14"/>
                <w:b w:val="1"/>
                <w:bCs w:val="1"/>
                <w:color w:val="auto"/>
              </w:rPr>
              <w:t>February 26, 2011</w:t>
            </w:r>
          </w:p>
        </w:tc>
        <w:tc>
          <w:tcPr>
            <w:tcW w:w="200" w:type="dxa"/>
            <w:vAlign w:val="bottom"/>
          </w:tcPr>
          <w:p>
            <w:pPr>
              <w:spacing w:after="0"/>
              <w:rPr>
                <w:sz w:val="22"/>
                <w:szCs w:val="22"/>
                <w:color w:val="auto"/>
              </w:rPr>
            </w:pPr>
          </w:p>
        </w:tc>
        <w:tc>
          <w:tcPr>
            <w:tcW w:w="1180" w:type="dxa"/>
            <w:vAlign w:val="bottom"/>
          </w:tcPr>
          <w:p>
            <w:pPr>
              <w:jc w:val="right"/>
              <w:ind w:right="340"/>
              <w:spacing w:after="0"/>
              <w:rPr>
                <w:sz w:val="20"/>
                <w:szCs w:val="20"/>
                <w:color w:val="auto"/>
              </w:rPr>
            </w:pPr>
            <w:r>
              <w:rPr>
                <w:rFonts w:ascii="Arial" w:cs="Arial" w:eastAsia="Arial" w:hAnsi="Arial"/>
                <w:sz w:val="14"/>
                <w:szCs w:val="14"/>
                <w:b w:val="1"/>
                <w:bCs w:val="1"/>
                <w:color w:val="auto"/>
              </w:rPr>
              <w:t>Increase</w:t>
            </w:r>
          </w:p>
        </w:tc>
        <w:tc>
          <w:tcPr>
            <w:tcW w:w="126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060" w:type="dxa"/>
            <w:vAlign w:val="bottom"/>
            <w:tcBorders>
              <w:top w:val="single" w:sz="8" w:color="auto"/>
              <w:bottom w:val="single" w:sz="8" w:color="auto"/>
            </w:tcBorders>
          </w:tcPr>
          <w:p>
            <w:pPr>
              <w:jc w:val="right"/>
              <w:ind w:right="423"/>
              <w:spacing w:after="0" w:line="25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Units</w:t>
            </w:r>
          </w:p>
        </w:tc>
        <w:tc>
          <w:tcPr>
            <w:tcW w:w="1280" w:type="dxa"/>
            <w:vAlign w:val="bottom"/>
            <w:tcBorders>
              <w:top w:val="single" w:sz="8" w:color="auto"/>
              <w:bottom w:val="single" w:sz="8" w:color="auto"/>
            </w:tcBorders>
          </w:tcPr>
          <w:p>
            <w:pPr>
              <w:jc w:val="right"/>
              <w:ind w:right="423"/>
              <w:spacing w:after="0" w:line="25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306</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53</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20.9 %</w:t>
            </w: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196</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39</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502</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92</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60"/>
        </w:trPr>
        <w:tc>
          <w:tcPr>
            <w:tcW w:w="3760" w:type="dxa"/>
            <w:vAlign w:val="bottom"/>
          </w:tcPr>
          <w:p>
            <w:pPr>
              <w:ind w:left="4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83</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419</w:t>
            </w: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(46)</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83"/>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1,004</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47</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51"/>
        </w:trPr>
        <w:tc>
          <w:tcPr>
            <w:tcW w:w="3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230</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143</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164.4 %</w:t>
            </w: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187</w:t>
            </w: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123</w:t>
            </w: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192.2 %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(2)</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417</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266</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176.2 %</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103,978</w:t>
            </w: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92,782</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11,196</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51"/>
        </w:trPr>
        <w:tc>
          <w:tcPr>
            <w:tcW w:w="3760" w:type="dxa"/>
            <w:vAlign w:val="bottom"/>
          </w:tcPr>
          <w:p>
            <w:pPr>
              <w:ind w:left="40"/>
              <w:spacing w:after="0"/>
              <w:rPr>
                <w:sz w:val="20"/>
                <w:szCs w:val="20"/>
                <w:color w:val="auto"/>
              </w:rPr>
            </w:pPr>
            <w:r>
              <w:rPr>
                <w:rFonts w:ascii="Arial" w:cs="Arial" w:eastAsia="Arial" w:hAnsi="Arial"/>
                <w:sz w:val="16"/>
                <w:szCs w:val="16"/>
                <w:color w:val="auto"/>
              </w:rPr>
              <w:t>Towable</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10,671</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3,551</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7,120</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200.5 %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ind w:left="340" w:right="160" w:hanging="332"/>
        <w:spacing w:after="0" w:line="242"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Current Quarter Compared to the Comparable Quarter Last Year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28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 except percent</w:t>
            </w:r>
          </w:p>
        </w:tc>
        <w:tc>
          <w:tcPr>
            <w:tcW w:w="200" w:type="dxa"/>
            <w:vAlign w:val="bottom"/>
          </w:tcPr>
          <w:p>
            <w:pPr>
              <w:spacing w:after="0"/>
              <w:rPr>
                <w:sz w:val="15"/>
                <w:szCs w:val="15"/>
                <w:color w:val="auto"/>
              </w:rPr>
            </w:pPr>
          </w:p>
        </w:tc>
        <w:tc>
          <w:tcPr>
            <w:tcW w:w="1260" w:type="dxa"/>
            <w:vAlign w:val="bottom"/>
          </w:tcPr>
          <w:p>
            <w:pPr>
              <w:jc w:val="right"/>
              <w:ind w:right="240"/>
              <w:spacing w:after="0"/>
              <w:rPr>
                <w:sz w:val="20"/>
                <w:szCs w:val="20"/>
                <w:color w:val="auto"/>
              </w:rPr>
            </w:pPr>
            <w:r>
              <w:rPr>
                <w:rFonts w:ascii="Arial" w:cs="Arial" w:eastAsia="Arial" w:hAnsi="Arial"/>
                <w:sz w:val="14"/>
                <w:szCs w:val="14"/>
                <w:b w:val="1"/>
                <w:bCs w:val="1"/>
                <w:color w:val="auto"/>
              </w:rPr>
              <w:t>February 25,</w:t>
            </w:r>
          </w:p>
        </w:tc>
        <w:tc>
          <w:tcPr>
            <w:tcW w:w="1560" w:type="dxa"/>
            <w:vAlign w:val="bottom"/>
            <w:gridSpan w:val="2"/>
          </w:tcPr>
          <w:p>
            <w:pPr>
              <w:ind w:left="58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Arial" w:cs="Arial" w:eastAsia="Arial" w:hAnsi="Arial"/>
                <w:sz w:val="14"/>
                <w:szCs w:val="14"/>
                <w:b w:val="1"/>
                <w:bCs w:val="1"/>
                <w:color w:val="auto"/>
              </w:rPr>
              <w:t>February 26,</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5"/>
                <w:szCs w:val="15"/>
                <w:color w:val="auto"/>
              </w:rPr>
            </w:pPr>
          </w:p>
        </w:tc>
        <w:tc>
          <w:tcPr>
            <w:tcW w:w="1240" w:type="dxa"/>
            <w:vAlign w:val="bottom"/>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1280" w:type="dxa"/>
            <w:vAlign w:val="bottom"/>
          </w:tcPr>
          <w:p>
            <w:pPr>
              <w:jc w:val="right"/>
              <w:ind w:right="540"/>
              <w:spacing w:after="0"/>
              <w:rPr>
                <w:sz w:val="20"/>
                <w:szCs w:val="20"/>
                <w:color w:val="auto"/>
              </w:rPr>
            </w:pPr>
            <w:r>
              <w:rPr>
                <w:rFonts w:ascii="Arial" w:cs="Arial" w:eastAsia="Arial" w:hAnsi="Arial"/>
                <w:sz w:val="14"/>
                <w:szCs w:val="14"/>
                <w:b w:val="1"/>
                <w:bCs w:val="1"/>
                <w:color w:val="auto"/>
              </w:rPr>
              <w:t>%</w:t>
            </w:r>
          </w:p>
        </w:tc>
      </w:tr>
      <w:tr>
        <w:trPr>
          <w:trHeight w:val="196"/>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and per share data)</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2012</w:t>
            </w: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2011</w:t>
            </w:r>
          </w:p>
        </w:tc>
        <w:tc>
          <w:tcPr>
            <w:tcW w:w="14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(Decrease)</w:t>
            </w: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Change</w:t>
            </w: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131,600</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106,593</w:t>
            </w:r>
          </w:p>
        </w:tc>
        <w:tc>
          <w:tcPr>
            <w:tcW w:w="14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25,007</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23.5 %</w:t>
            </w: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124,754</w:t>
            </w: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94.8 %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95,269</w:t>
            </w: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29,485</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30.9 %</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6,846</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5.2 %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11,324</w:t>
            </w:r>
          </w:p>
        </w:tc>
        <w:tc>
          <w:tcPr>
            <w:tcW w:w="1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(4,478)</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(39.5)%</w:t>
            </w:r>
          </w:p>
        </w:tc>
      </w:tr>
      <w:tr>
        <w:trPr>
          <w:trHeight w:val="24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Selling</w:t>
            </w:r>
          </w:p>
        </w:tc>
        <w:tc>
          <w:tcPr>
            <w:tcW w:w="200" w:type="dxa"/>
            <w:vAlign w:val="bottom"/>
          </w:tcPr>
          <w:p>
            <w:pPr>
              <w:spacing w:after="0"/>
              <w:rPr>
                <w:sz w:val="21"/>
                <w:szCs w:val="21"/>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3,992</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3,254</w:t>
            </w:r>
          </w:p>
        </w:tc>
        <w:tc>
          <w:tcPr>
            <w:tcW w:w="1400" w:type="dxa"/>
            <w:vAlign w:val="bottom"/>
          </w:tcPr>
          <w:p>
            <w:pPr>
              <w:jc w:val="right"/>
              <w:ind w:right="20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0"/>
              <w:spacing w:after="0"/>
              <w:rPr>
                <w:sz w:val="20"/>
                <w:szCs w:val="20"/>
                <w:color w:val="auto"/>
              </w:rPr>
            </w:pPr>
            <w:r>
              <w:rPr>
                <w:rFonts w:ascii="Arial" w:cs="Arial" w:eastAsia="Arial" w:hAnsi="Arial"/>
                <w:sz w:val="16"/>
                <w:szCs w:val="16"/>
                <w:color w:val="auto"/>
              </w:rPr>
              <w:t>738</w:t>
            </w: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22.7 %</w:t>
            </w:r>
          </w:p>
        </w:tc>
      </w:tr>
      <w:tr>
        <w:trPr>
          <w:trHeight w:val="27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4,018</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4,020</w:t>
            </w:r>
          </w:p>
        </w:tc>
        <w:tc>
          <w:tcPr>
            <w:tcW w:w="1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r>
      <w:tr>
        <w:trPr>
          <w:trHeight w:val="25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8,010</w:t>
            </w: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6.1 %</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7,274</w:t>
            </w: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736</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10.1 %</w:t>
            </w: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(1,164)</w:t>
            </w:r>
          </w:p>
        </w:tc>
        <w:tc>
          <w:tcPr>
            <w:tcW w:w="14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4,050</w:t>
            </w:r>
          </w:p>
        </w:tc>
        <w:tc>
          <w:tcPr>
            <w:tcW w:w="14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(5,214)</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(128.7)%</w:t>
            </w: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(expense) income</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(110)</w:t>
            </w:r>
          </w:p>
        </w:tc>
        <w:tc>
          <w:tcPr>
            <w:tcW w:w="14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322</w:t>
            </w: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(432)</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(134.2)%</w:t>
            </w: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(1,274)</w:t>
            </w:r>
          </w:p>
        </w:tc>
        <w:tc>
          <w:tcPr>
            <w:tcW w:w="14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4,372</w:t>
            </w:r>
          </w:p>
        </w:tc>
        <w:tc>
          <w:tcPr>
            <w:tcW w:w="14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(5,646)</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(129.1)%</w:t>
            </w: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(Benefit) provision for taxes</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(362)</w:t>
            </w:r>
          </w:p>
        </w:tc>
        <w:tc>
          <w:tcPr>
            <w:tcW w:w="14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1,057</w:t>
            </w: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(1,419)</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(134.2)%</w:t>
            </w:r>
          </w:p>
        </w:tc>
      </w:tr>
      <w:tr>
        <w:trPr>
          <w:trHeight w:val="24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(912)</w:t>
            </w:r>
          </w:p>
        </w:tc>
        <w:tc>
          <w:tcPr>
            <w:tcW w:w="14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3,315</w:t>
            </w:r>
          </w:p>
        </w:tc>
        <w:tc>
          <w:tcPr>
            <w:tcW w:w="1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(4,227)</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(127.5)%</w:t>
            </w: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4"/>
        </w:trPr>
        <w:tc>
          <w:tcPr>
            <w:tcW w:w="2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Diluted (loss) income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(0.03)</w:t>
            </w: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0.11</w:t>
            </w: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(0.14)</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(127.3)%</w:t>
            </w: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29,248</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29,120</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40"/>
              <w:spacing w:after="0"/>
              <w:rPr>
                <w:sz w:val="20"/>
                <w:szCs w:val="20"/>
                <w:color w:val="auto"/>
              </w:rPr>
            </w:pPr>
            <w:r>
              <w:rPr>
                <w:rFonts w:ascii="Arial" w:cs="Arial" w:eastAsia="Arial" w:hAnsi="Arial"/>
                <w:sz w:val="14"/>
                <w:szCs w:val="14"/>
                <w:b w:val="1"/>
                <w:bCs w:val="1"/>
                <w:color w:val="auto"/>
              </w:rPr>
              <w:t>February 25,</w:t>
            </w: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5"/>
                <w:szCs w:val="15"/>
                <w:color w:val="auto"/>
              </w:rPr>
            </w:pPr>
          </w:p>
        </w:tc>
        <w:tc>
          <w:tcPr>
            <w:tcW w:w="1320" w:type="dxa"/>
            <w:vAlign w:val="bottom"/>
          </w:tcPr>
          <w:p>
            <w:pPr>
              <w:jc w:val="right"/>
              <w:ind w:right="341"/>
              <w:spacing w:after="0"/>
              <w:rPr>
                <w:sz w:val="20"/>
                <w:szCs w:val="20"/>
                <w:color w:val="auto"/>
              </w:rPr>
            </w:pPr>
            <w:r>
              <w:rPr>
                <w:rFonts w:ascii="Arial" w:cs="Arial" w:eastAsia="Arial" w:hAnsi="Arial"/>
                <w:sz w:val="14"/>
                <w:szCs w:val="14"/>
                <w:b w:val="1"/>
                <w:bCs w:val="1"/>
                <w:color w:val="auto"/>
              </w:rPr>
              <w:t>February 26,</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jc w:val="right"/>
              <w:ind w:right="540"/>
              <w:spacing w:after="0"/>
              <w:rPr>
                <w:sz w:val="20"/>
                <w:szCs w:val="20"/>
                <w:color w:val="auto"/>
              </w:rPr>
            </w:pPr>
            <w:r>
              <w:rPr>
                <w:rFonts w:ascii="Arial" w:cs="Arial" w:eastAsia="Arial" w:hAnsi="Arial"/>
                <w:sz w:val="14"/>
                <w:szCs w:val="14"/>
                <w:b w:val="1"/>
                <w:bCs w:val="1"/>
                <w:color w:val="auto"/>
              </w:rPr>
              <w:t>%</w:t>
            </w:r>
          </w:p>
        </w:tc>
      </w:tr>
      <w:tr>
        <w:trPr>
          <w:trHeight w:val="196"/>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2012</w:t>
            </w: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Mix*</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Mix*</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353</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331</w:t>
            </w: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r>
      <w:tr>
        <w:trPr>
          <w:trHeight w:val="264"/>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235</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218</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17</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7.8%</w:t>
            </w: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588</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549</w:t>
            </w: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39</w:t>
            </w: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7.1%</w:t>
            </w:r>
          </w:p>
        </w:tc>
      </w:tr>
      <w:tr>
        <w:trPr>
          <w:trHeight w:val="26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2"/>
                <w:szCs w:val="22"/>
                <w:color w:val="auto"/>
              </w:rPr>
            </w:pP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49</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49</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73"/>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364</w:t>
            </w: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360</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r>
      <w:tr>
        <w:trPr>
          <w:trHeight w:val="280"/>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 deliveries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1,001</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909</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92</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10.1%</w:t>
            </w:r>
          </w:p>
        </w:tc>
      </w:tr>
      <w:tr>
        <w:trPr>
          <w:trHeight w:val="254"/>
        </w:trPr>
        <w:tc>
          <w:tcPr>
            <w:tcW w:w="3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Motor home ASP (in thousands)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109</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107</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1.6%</w:t>
            </w:r>
          </w:p>
        </w:tc>
      </w:tr>
      <w:tr>
        <w:trPr>
          <w:trHeight w:val="280"/>
        </w:trPr>
        <w:tc>
          <w:tcPr>
            <w:tcW w:w="3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Travel trailer</w:t>
            </w:r>
          </w:p>
        </w:tc>
        <w:tc>
          <w:tcPr>
            <w:tcW w:w="180" w:type="dxa"/>
            <w:vAlign w:val="bottom"/>
          </w:tcPr>
          <w:p>
            <w:pPr>
              <w:spacing w:after="0"/>
              <w:rPr>
                <w:sz w:val="22"/>
                <w:szCs w:val="22"/>
                <w:color w:val="auto"/>
              </w:rPr>
            </w:pP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304</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64</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240</w:t>
            </w: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NMF</w:t>
            </w:r>
          </w:p>
        </w:tc>
      </w:tr>
      <w:tr>
        <w:trPr>
          <w:trHeight w:val="273"/>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258</w:t>
            </w: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21</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237</w:t>
            </w: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NMF</w:t>
            </w:r>
          </w:p>
        </w:tc>
      </w:tr>
      <w:tr>
        <w:trPr>
          <w:trHeight w:val="280"/>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towable deliveries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562</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85</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477</w:t>
            </w: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NMF</w:t>
            </w:r>
          </w:p>
        </w:tc>
      </w:tr>
      <w:tr>
        <w:trPr>
          <w:trHeight w:val="254"/>
        </w:trPr>
        <w:tc>
          <w:tcPr>
            <w:tcW w:w="3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1"/>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Towable ASP (in thousands)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26</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21</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5</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24.3%</w:t>
            </w: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5"/>
        </w:trPr>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62"/>
              <w:spacing w:after="0"/>
              <w:rPr>
                <w:sz w:val="20"/>
                <w:szCs w:val="20"/>
                <w:color w:val="auto"/>
              </w:rPr>
            </w:pPr>
            <w:r>
              <w:rPr>
                <w:rFonts w:ascii="Arial" w:cs="Arial" w:eastAsia="Arial" w:hAnsi="Arial"/>
                <w:sz w:val="14"/>
                <w:szCs w:val="14"/>
                <w:b w:val="1"/>
                <w:bCs w:val="1"/>
                <w:color w:val="auto"/>
              </w:rPr>
              <w:t>February 25,</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5"/>
                <w:szCs w:val="15"/>
                <w:color w:val="auto"/>
              </w:rPr>
            </w:pPr>
          </w:p>
        </w:tc>
        <w:tc>
          <w:tcPr>
            <w:tcW w:w="1240" w:type="dxa"/>
            <w:vAlign w:val="bottom"/>
          </w:tcPr>
          <w:p>
            <w:pPr>
              <w:jc w:val="right"/>
              <w:ind w:right="262"/>
              <w:spacing w:after="0"/>
              <w:rPr>
                <w:sz w:val="20"/>
                <w:szCs w:val="20"/>
                <w:color w:val="auto"/>
              </w:rPr>
            </w:pPr>
            <w:r>
              <w:rPr>
                <w:rFonts w:ascii="Arial" w:cs="Arial" w:eastAsia="Arial" w:hAnsi="Arial"/>
                <w:sz w:val="14"/>
                <w:szCs w:val="14"/>
                <w:b w:val="1"/>
                <w:bCs w:val="1"/>
                <w:color w:val="auto"/>
              </w:rPr>
              <w:t>February 26,</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5"/>
                <w:szCs w:val="15"/>
                <w:color w:val="auto"/>
              </w:rPr>
            </w:pPr>
          </w:p>
        </w:tc>
        <w:tc>
          <w:tcPr>
            <w:tcW w:w="1300" w:type="dxa"/>
            <w:vAlign w:val="bottom"/>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300" w:type="dxa"/>
            <w:vAlign w:val="bottom"/>
          </w:tcPr>
          <w:p>
            <w:pPr>
              <w:jc w:val="right"/>
              <w:ind w:right="542"/>
              <w:spacing w:after="0"/>
              <w:rPr>
                <w:sz w:val="20"/>
                <w:szCs w:val="20"/>
                <w:color w:val="auto"/>
              </w:rPr>
            </w:pPr>
            <w:r>
              <w:rPr>
                <w:rFonts w:ascii="Arial" w:cs="Arial" w:eastAsia="Arial" w:hAnsi="Arial"/>
                <w:sz w:val="14"/>
                <w:szCs w:val="14"/>
                <w:b w:val="1"/>
                <w:bCs w:val="1"/>
                <w:color w:val="auto"/>
              </w:rPr>
              <w:t>%</w:t>
            </w:r>
          </w:p>
        </w:tc>
      </w:tr>
      <w:tr>
        <w:trPr>
          <w:trHeight w:val="202"/>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Revenues</w:t>
            </w:r>
            <w:r>
              <w:rPr>
                <w:rFonts w:ascii="Arial" w:cs="Arial" w:eastAsia="Arial" w:hAnsi="Arial"/>
                <w:sz w:val="17"/>
                <w:szCs w:val="17"/>
                <w:b w:val="1"/>
                <w:bCs w:val="1"/>
                <w:color w:val="auto"/>
                <w:w w:val="97"/>
                <w:vertAlign w:val="superscript"/>
              </w:rPr>
              <w:t>(1)</w:t>
            </w:r>
          </w:p>
        </w:tc>
        <w:tc>
          <w:tcPr>
            <w:tcW w:w="160" w:type="dxa"/>
            <w:vAlign w:val="bottom"/>
          </w:tcPr>
          <w:p>
            <w:pPr>
              <w:spacing w:after="0"/>
              <w:rPr>
                <w:sz w:val="17"/>
                <w:szCs w:val="17"/>
                <w:color w:val="auto"/>
              </w:rPr>
            </w:pPr>
          </w:p>
        </w:tc>
        <w:tc>
          <w:tcPr>
            <w:tcW w:w="12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2011</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Revenues</w:t>
            </w:r>
            <w:r>
              <w:rPr>
                <w:rFonts w:ascii="Arial" w:cs="Arial" w:eastAsia="Arial" w:hAnsi="Arial"/>
                <w:sz w:val="17"/>
                <w:szCs w:val="17"/>
                <w:b w:val="1"/>
                <w:bCs w:val="1"/>
                <w:color w:val="auto"/>
                <w:w w:val="97"/>
                <w:vertAlign w:val="superscript"/>
              </w:rPr>
              <w:t>(1)</w:t>
            </w:r>
          </w:p>
        </w:tc>
        <w:tc>
          <w:tcPr>
            <w:tcW w:w="240" w:type="dxa"/>
            <w:vAlign w:val="bottom"/>
          </w:tcPr>
          <w:p>
            <w:pPr>
              <w:spacing w:after="0"/>
              <w:rPr>
                <w:sz w:val="17"/>
                <w:szCs w:val="17"/>
                <w:color w:val="auto"/>
              </w:rPr>
            </w:pPr>
          </w:p>
        </w:tc>
        <w:tc>
          <w:tcPr>
            <w:tcW w:w="1300" w:type="dxa"/>
            <w:vAlign w:val="bottom"/>
          </w:tcPr>
          <w:p>
            <w:pPr>
              <w:jc w:val="right"/>
              <w:ind w:right="362"/>
              <w:spacing w:after="0"/>
              <w:rPr>
                <w:sz w:val="20"/>
                <w:szCs w:val="20"/>
                <w:color w:val="auto"/>
              </w:rPr>
            </w:pPr>
            <w:r>
              <w:rPr>
                <w:rFonts w:ascii="Arial" w:cs="Arial" w:eastAsia="Arial" w:hAnsi="Arial"/>
                <w:sz w:val="14"/>
                <w:szCs w:val="14"/>
                <w:b w:val="1"/>
                <w:bCs w:val="1"/>
                <w:color w:val="auto"/>
              </w:rPr>
              <w:t>(Decrease)</w:t>
            </w:r>
          </w:p>
        </w:tc>
        <w:tc>
          <w:tcPr>
            <w:tcW w:w="1300" w:type="dxa"/>
            <w:vAlign w:val="bottom"/>
          </w:tcPr>
          <w:p>
            <w:pPr>
              <w:jc w:val="right"/>
              <w:ind w:right="34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107,826</w:t>
            </w:r>
          </w:p>
        </w:tc>
        <w:tc>
          <w:tcPr>
            <w:tcW w:w="132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81.9%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96,584</w:t>
            </w:r>
          </w:p>
        </w:tc>
        <w:tc>
          <w:tcPr>
            <w:tcW w:w="132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90.6%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11,242</w:t>
            </w:r>
          </w:p>
        </w:tc>
        <w:tc>
          <w:tcPr>
            <w:tcW w:w="130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11.6 %</w:t>
            </w:r>
          </w:p>
        </w:tc>
      </w:tr>
      <w:tr>
        <w:trPr>
          <w:trHeight w:val="270"/>
        </w:trPr>
        <w:tc>
          <w:tcPr>
            <w:tcW w:w="290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14,475</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1,778</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12,697</w:t>
            </w:r>
          </w:p>
        </w:tc>
        <w:tc>
          <w:tcPr>
            <w:tcW w:w="1300" w:type="dxa"/>
            <w:vAlign w:val="bottom"/>
          </w:tcPr>
          <w:p>
            <w:pPr>
              <w:jc w:val="right"/>
              <w:ind w:right="282"/>
              <w:spacing w:after="0"/>
              <w:rPr>
                <w:sz w:val="20"/>
                <w:szCs w:val="20"/>
                <w:color w:val="auto"/>
              </w:rPr>
            </w:pPr>
            <w:r>
              <w:rPr>
                <w:rFonts w:ascii="Arial" w:cs="Arial" w:eastAsia="Arial" w:hAnsi="Arial"/>
                <w:sz w:val="16"/>
                <w:szCs w:val="16"/>
                <w:color w:val="auto"/>
              </w:rPr>
              <w:t>NMF</w:t>
            </w:r>
          </w:p>
        </w:tc>
      </w:tr>
      <w:tr>
        <w:trPr>
          <w:trHeight w:val="270"/>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2,149</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2,162</w:t>
            </w:r>
          </w:p>
        </w:tc>
        <w:tc>
          <w:tcPr>
            <w:tcW w:w="13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(13)</w:t>
            </w: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(0.6)%</w:t>
            </w:r>
          </w:p>
        </w:tc>
      </w:tr>
      <w:tr>
        <w:trPr>
          <w:trHeight w:val="264"/>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manufactured products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7,150</w:t>
            </w:r>
          </w:p>
        </w:tc>
        <w:tc>
          <w:tcPr>
            <w:tcW w:w="13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6,069</w:t>
            </w: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1,081</w:t>
            </w: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17.8 %</w:t>
            </w:r>
          </w:p>
        </w:tc>
      </w:tr>
      <w:tr>
        <w:trPr>
          <w:trHeight w:val="24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131,600</w:t>
            </w:r>
          </w:p>
        </w:tc>
        <w:tc>
          <w:tcPr>
            <w:tcW w:w="13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106,593</w:t>
            </w:r>
          </w:p>
        </w:tc>
        <w:tc>
          <w:tcPr>
            <w:tcW w:w="13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25,007</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23.5 %</w:t>
            </w:r>
          </w:p>
        </w:tc>
      </w:tr>
      <w:tr>
        <w:trPr>
          <w:trHeight w:val="20"/>
        </w:trPr>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20" w:hanging="185"/>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Motor home unit revenue less discounts, sales promotions and incentives, and accrued loss on repurchase adjustments.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towable units and parts revenues less discounts, sales promotions and accrued loss on repurchase adjustments.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second quarter of Fiscal 2012 increased $25.0 million, or 23.5%, compared to the second quarter of Fiscal 2011, due to:</w:t>
      </w:r>
    </w:p>
    <w:p>
      <w:pPr>
        <w:spacing w:after="0" w:line="5" w:lineRule="exact"/>
        <w:rPr>
          <w:sz w:val="20"/>
          <w:szCs w:val="20"/>
          <w:color w:val="auto"/>
        </w:rPr>
      </w:pPr>
    </w:p>
    <w:p>
      <w:pPr>
        <w:ind w:left="340" w:right="440" w:hanging="170"/>
        <w:spacing w:after="0" w:line="26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Towables revenues increased $12.7 million due to higher production and sales levels in Fiscal 2012. The increase was partially due to a full period of Towables operations following the SunnyBrook acquisition in the second quarter of Fiscal 2011</w:t>
      </w:r>
    </w:p>
    <w:p>
      <w:pPr>
        <w:sectPr>
          <w:pgSz w:w="11900" w:h="16838" w:orient="portrait"/>
          <w:cols w:equalWidth="0" w:num="1">
            <w:col w:w="11420"/>
          </w:cols>
          <w:pgMar w:left="240" w:top="141" w:right="239" w:bottom="404"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404"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well as increased product offerings.</w:t>
      </w:r>
    </w:p>
    <w:p>
      <w:pPr>
        <w:spacing w:after="0" w:line="46" w:lineRule="exact"/>
        <w:rPr>
          <w:sz w:val="20"/>
          <w:szCs w:val="20"/>
          <w:color w:val="auto"/>
        </w:rPr>
      </w:pPr>
    </w:p>
    <w:p>
      <w:pPr>
        <w:ind w:left="340" w:hanging="170"/>
        <w:spacing w:after="0" w:line="25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Motor home revenues increased $11.2 million due to a 10.1% increase in unit sales, as well as a 1.6% increase in ASP, however revenues were negatively impacted by increased discounts and promotional pricing. Specifically, certain discount programs were offered to secure additional volume in the quarter to prevent shortened work weeks that were experienced in the first quarter which would have resulted in additional unabsorbed overhead and higher inventory levels.</w:t>
      </w:r>
    </w:p>
    <w:p>
      <w:pPr>
        <w:spacing w:after="0" w:line="176"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Cost of goods sold was $124.8 million, or 94.8% of net revenues for the second quarter of Fiscal 2012 compared to $95.3 million, or 89.4% of net revenues for the comparable period a year ago due to the following:</w:t>
      </w:r>
    </w:p>
    <w:p>
      <w:pPr>
        <w:spacing w:after="0" w:line="1" w:lineRule="exact"/>
        <w:rPr>
          <w:sz w:val="20"/>
          <w:szCs w:val="20"/>
          <w:color w:val="auto"/>
        </w:rPr>
      </w:pPr>
    </w:p>
    <w:p>
      <w:pPr>
        <w:ind w:left="340" w:right="200" w:hanging="170"/>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Most notably, cost of goods sold was negatively affected by the $3.5 million favorable inventory adjustment in the the second quarter of Fiscal 2011. The adjustment favorably impacted our material, labor, variable overhead and fixed overhead costs as a percentage of net revenues.</w:t>
      </w:r>
    </w:p>
    <w:p>
      <w:pPr>
        <w:ind w:left="340" w:hanging="170"/>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variable costs (material, labor, variable overhead, delivery, and warranty) as a percent of net revenues, increased from 81.5% to 86.9% as a percent of net revenues, which was primarily a result of the work-in-process inventory adjustment described above. Increased discounts and promotional pricing and inflationary commodity pressures also contributed to the increase in cost of goods sold as a percentage of net revenues.</w:t>
      </w:r>
    </w:p>
    <w:p>
      <w:pPr>
        <w:spacing w:after="0" w:line="1" w:lineRule="exact"/>
        <w:rPr>
          <w:rFonts w:ascii="Arial" w:cs="Arial" w:eastAsia="Arial" w:hAnsi="Arial"/>
          <w:sz w:val="16"/>
          <w:szCs w:val="16"/>
          <w:color w:val="auto"/>
        </w:rPr>
      </w:pPr>
    </w:p>
    <w:p>
      <w:pPr>
        <w:ind w:left="340" w:right="200" w:hanging="170"/>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were 7.9% of net revenues in both periods.</w:t>
      </w:r>
    </w:p>
    <w:p>
      <w:pPr>
        <w:ind w:left="340" w:right="80" w:hanging="170"/>
        <w:spacing w:after="0" w:line="260"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factors considered, gross profit decreased from 10.6% to 5.2% of net revenues. Excluding the effect of the physical inventory adjustment in the second quarter of Fiscal 2011, gross profit would have been 7.4 percent.</w:t>
      </w:r>
    </w:p>
    <w:p>
      <w:pPr>
        <w:spacing w:after="0" w:line="169" w:lineRule="exact"/>
        <w:rPr>
          <w:sz w:val="20"/>
          <w:szCs w:val="20"/>
          <w:color w:val="auto"/>
        </w:rPr>
      </w:pPr>
    </w:p>
    <w:p>
      <w:pPr>
        <w:jc w:val="both"/>
        <w:ind w:right="480"/>
        <w:spacing w:after="0" w:line="260" w:lineRule="auto"/>
        <w:rPr>
          <w:sz w:val="20"/>
          <w:szCs w:val="20"/>
          <w:color w:val="auto"/>
        </w:rPr>
      </w:pPr>
      <w:r>
        <w:rPr>
          <w:rFonts w:ascii="Arial" w:cs="Arial" w:eastAsia="Arial" w:hAnsi="Arial"/>
          <w:sz w:val="16"/>
          <w:szCs w:val="16"/>
          <w:color w:val="auto"/>
        </w:rPr>
        <w:t>Selling expenses increased $738,000, or 22.7% during the second quarter of Fiscal 2012 and, as a percent of net revenues, were 3.0% and 3.1% for the second quarters of Fiscal 2012 and Fiscal 2011, respectively. The expense increase was due primarily to operating expenses associated with Towables.</w:t>
      </w:r>
    </w:p>
    <w:p>
      <w:pPr>
        <w:spacing w:after="0" w:line="16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General and administrative expenses were essentially the same during the second quarters of Fiscal 2012 as Fiscal 2011, and as a percentage of net revenues were 3.1% and 3.8% for the second quarters of Fiscal 2012 and Fiscal 2011, respectively. Decreases in legal expenses and product liability and the absence of accrued incentives were partially offset by incremental stock-based compensation expense (as further discussed in Note 12) in the second quarter of Fiscal 2012 as compared to the same period in Fiscal 2011.</w:t>
      </w:r>
    </w:p>
    <w:p>
      <w:pPr>
        <w:spacing w:after="0" w:line="17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Non-operating income decreased $432,000, or 134.2%, during the second quarter of Fiscal 2012. This difference is primarily due to the gains on COLI policies of Fiscal 2011, as well as lower investment income.</w:t>
      </w:r>
    </w:p>
    <w:p>
      <w:pPr>
        <w:spacing w:after="0" w:line="169" w:lineRule="exact"/>
        <w:rPr>
          <w:sz w:val="20"/>
          <w:szCs w:val="20"/>
          <w:color w:val="auto"/>
        </w:rPr>
      </w:pPr>
    </w:p>
    <w:p>
      <w:pPr>
        <w:jc w:val="both"/>
        <w:ind w:right="460"/>
        <w:spacing w:after="0" w:line="250" w:lineRule="auto"/>
        <w:rPr>
          <w:sz w:val="20"/>
          <w:szCs w:val="20"/>
          <w:color w:val="auto"/>
        </w:rPr>
      </w:pPr>
      <w:r>
        <w:rPr>
          <w:rFonts w:ascii="Arial" w:cs="Arial" w:eastAsia="Arial" w:hAnsi="Arial"/>
          <w:sz w:val="16"/>
          <w:szCs w:val="16"/>
          <w:color w:val="auto"/>
        </w:rPr>
        <w:t>The overall effective income tax benefit rate for the second quarter of Fiscal 2012 was 28.4% compared to the tax provision rate of 24.2% for the second quarter of Fiscal 2011. Most notably, our effective tax benefit rate for the second quarter of Fiscal 2012 was impacted by the lack of taxable income being generated during the quarter, thus resulting in minimal tax being recorded during the quarter from operations. In addition, we recorded tax benefits in the quarter associated with tax planning initiatives as well as reductions to reserves for uncertain tax positions. Our tax expense rate of 24.2% in the second quarter of Fiscal 2011 was primarily the result of higher book income, thus resulting in lower reductions in tax expense as a percentage of book income.</w:t>
      </w:r>
    </w:p>
    <w:p>
      <w:pPr>
        <w:spacing w:after="0" w:line="176"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net loss was $912,000, or $0.03 per diluted share, for the second quarter of Fiscal 2012 compared to net income of $3.3 million, or $0.11 per diluted share, for the second quarter of Fiscal 2011. See Note 15.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Six Months Compared to the Comparable Six Months Last Year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28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 except percent</w:t>
            </w:r>
          </w:p>
        </w:tc>
        <w:tc>
          <w:tcPr>
            <w:tcW w:w="200" w:type="dxa"/>
            <w:vAlign w:val="bottom"/>
          </w:tcPr>
          <w:p>
            <w:pPr>
              <w:spacing w:after="0"/>
              <w:rPr>
                <w:sz w:val="15"/>
                <w:szCs w:val="15"/>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rPr>
              <w:t>February 25,</w:t>
            </w:r>
          </w:p>
        </w:tc>
        <w:tc>
          <w:tcPr>
            <w:tcW w:w="1520" w:type="dxa"/>
            <w:vAlign w:val="bottom"/>
            <w:gridSpan w:val="2"/>
          </w:tcPr>
          <w:p>
            <w:pPr>
              <w:ind w:left="56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February 26,</w:t>
            </w:r>
          </w:p>
        </w:tc>
        <w:tc>
          <w:tcPr>
            <w:tcW w:w="1540" w:type="dxa"/>
            <w:vAlign w:val="bottom"/>
            <w:gridSpan w:val="2"/>
          </w:tcPr>
          <w:p>
            <w:pPr>
              <w:ind w:left="5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5"/>
                <w:szCs w:val="15"/>
                <w:color w:val="auto"/>
              </w:rPr>
            </w:pPr>
          </w:p>
        </w:tc>
        <w:tc>
          <w:tcPr>
            <w:tcW w:w="1200" w:type="dxa"/>
            <w:vAlign w:val="bottom"/>
          </w:tcPr>
          <w:p>
            <w:pPr>
              <w:jc w:val="right"/>
              <w:ind w:right="380"/>
              <w:spacing w:after="0"/>
              <w:rPr>
                <w:sz w:val="20"/>
                <w:szCs w:val="20"/>
                <w:color w:val="auto"/>
              </w:rPr>
            </w:pPr>
            <w:r>
              <w:rPr>
                <w:rFonts w:ascii="Arial" w:cs="Arial" w:eastAsia="Arial" w:hAnsi="Arial"/>
                <w:sz w:val="14"/>
                <w:szCs w:val="14"/>
                <w:b w:val="1"/>
                <w:bCs w:val="1"/>
                <w:color w:val="auto"/>
              </w:rPr>
              <w:t>Increase</w:t>
            </w:r>
          </w:p>
        </w:tc>
        <w:tc>
          <w:tcPr>
            <w:tcW w:w="126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and per share data)</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2012</w:t>
            </w: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2011</w:t>
            </w: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r>
      <w:tr>
        <w:trPr>
          <w:trHeight w:val="256"/>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263,437</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230,304</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33,133</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14.4 %</w:t>
            </w:r>
          </w:p>
        </w:tc>
      </w:tr>
      <w:tr>
        <w:trPr>
          <w:trHeight w:val="264"/>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248,095</w:t>
            </w:r>
          </w:p>
        </w:tc>
        <w:tc>
          <w:tcPr>
            <w:tcW w:w="14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94.2 %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207,781</w:t>
            </w: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90.2 %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40,314</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19.4 %</w:t>
            </w:r>
          </w:p>
        </w:tc>
      </w:tr>
      <w:tr>
        <w:trPr>
          <w:trHeight w:val="25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15,342</w:t>
            </w:r>
          </w:p>
        </w:tc>
        <w:tc>
          <w:tcPr>
            <w:tcW w:w="14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22,523</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(7,181)</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(31.9)%</w:t>
            </w:r>
          </w:p>
        </w:tc>
      </w:tr>
      <w:tr>
        <w:trPr>
          <w:trHeight w:val="247"/>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Selling</w:t>
            </w:r>
          </w:p>
        </w:tc>
        <w:tc>
          <w:tcPr>
            <w:tcW w:w="200" w:type="dxa"/>
            <w:vAlign w:val="bottom"/>
          </w:tcPr>
          <w:p>
            <w:pPr>
              <w:spacing w:after="0"/>
              <w:rPr>
                <w:sz w:val="21"/>
                <w:szCs w:val="21"/>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8,154</w:t>
            </w:r>
          </w:p>
        </w:tc>
        <w:tc>
          <w:tcPr>
            <w:tcW w:w="1420" w:type="dxa"/>
            <w:vAlign w:val="bottom"/>
          </w:tcPr>
          <w:p>
            <w:pPr>
              <w:jc w:val="right"/>
              <w:ind w:right="220"/>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6,521</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1,633</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25.0 %</w:t>
            </w:r>
          </w:p>
        </w:tc>
      </w:tr>
      <w:tr>
        <w:trPr>
          <w:trHeight w:val="28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7,725</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7,671</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54</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0.7 %</w:t>
            </w:r>
          </w:p>
        </w:tc>
      </w:tr>
      <w:tr>
        <w:trPr>
          <w:trHeight w:val="264"/>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Gain on sale of asset held for sale</w:t>
            </w:r>
          </w:p>
        </w:tc>
        <w:tc>
          <w:tcPr>
            <w:tcW w:w="20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78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2"/>
                <w:szCs w:val="22"/>
                <w:color w:val="auto"/>
              </w:rPr>
            </w:pPr>
          </w:p>
        </w:tc>
        <w:tc>
          <w:tcPr>
            <w:tcW w:w="1240" w:type="dxa"/>
            <w:vAlign w:val="bottom"/>
          </w:tcPr>
          <w:p>
            <w:pPr>
              <w:jc w:val="right"/>
              <w:ind w:right="181"/>
              <w:spacing w:after="0"/>
              <w:rPr>
                <w:sz w:val="20"/>
                <w:szCs w:val="20"/>
                <w:color w:val="auto"/>
              </w:rPr>
            </w:pPr>
            <w:r>
              <w:rPr>
                <w:rFonts w:ascii="Arial" w:cs="Arial" w:eastAsia="Arial" w:hAnsi="Arial"/>
                <w:sz w:val="16"/>
                <w:szCs w:val="16"/>
                <w:color w:val="auto"/>
              </w:rPr>
              <w:t>(644)</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644</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100.0 %</w:t>
            </w:r>
          </w:p>
        </w:tc>
      </w:tr>
      <w:tr>
        <w:trPr>
          <w:trHeight w:val="250"/>
        </w:trPr>
        <w:tc>
          <w:tcPr>
            <w:tcW w:w="28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15,879</w:t>
            </w:r>
          </w:p>
        </w:tc>
        <w:tc>
          <w:tcPr>
            <w:tcW w:w="142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6.0 %</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13,548</w:t>
            </w:r>
          </w:p>
        </w:tc>
        <w:tc>
          <w:tcPr>
            <w:tcW w:w="14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5.9 %</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2,331</w:t>
            </w:r>
          </w:p>
        </w:tc>
        <w:tc>
          <w:tcPr>
            <w:tcW w:w="1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17.2 %</w:t>
            </w:r>
          </w:p>
        </w:tc>
      </w:tr>
      <w:tr>
        <w:trPr>
          <w:trHeight w:val="247"/>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Operating (loss) income</w:t>
            </w:r>
          </w:p>
        </w:tc>
        <w:tc>
          <w:tcPr>
            <w:tcW w:w="200" w:type="dxa"/>
            <w:vAlign w:val="bottom"/>
          </w:tcPr>
          <w:p>
            <w:pPr>
              <w:spacing w:after="0"/>
              <w:rPr>
                <w:sz w:val="21"/>
                <w:szCs w:val="21"/>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(537)</w:t>
            </w: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8,975</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(9,512)</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(106.0)%</w:t>
            </w:r>
          </w:p>
        </w:tc>
      </w:tr>
      <w:tr>
        <w:trPr>
          <w:trHeight w:val="273"/>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147</w:t>
            </w:r>
          </w:p>
        </w:tc>
        <w:tc>
          <w:tcPr>
            <w:tcW w:w="14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474</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(327)</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(69.0)%</w:t>
            </w:r>
          </w:p>
        </w:tc>
      </w:tr>
      <w:tr>
        <w:trPr>
          <w:trHeight w:val="247"/>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(Loss) income before income taxes</w:t>
            </w:r>
          </w:p>
        </w:tc>
        <w:tc>
          <w:tcPr>
            <w:tcW w:w="200" w:type="dxa"/>
            <w:vAlign w:val="bottom"/>
          </w:tcPr>
          <w:p>
            <w:pPr>
              <w:spacing w:after="0"/>
              <w:rPr>
                <w:sz w:val="21"/>
                <w:szCs w:val="21"/>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(390)</w:t>
            </w: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9,449</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(9,839)</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(104.1)%</w:t>
            </w:r>
          </w:p>
        </w:tc>
      </w:tr>
      <w:tr>
        <w:trPr>
          <w:trHeight w:val="273"/>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(513)</w:t>
            </w:r>
          </w:p>
        </w:tc>
        <w:tc>
          <w:tcPr>
            <w:tcW w:w="1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2,348</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(2,861)</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(121.8)%</w:t>
            </w:r>
          </w:p>
        </w:tc>
      </w:tr>
      <w:tr>
        <w:trPr>
          <w:trHeight w:val="280"/>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123</w:t>
            </w:r>
          </w:p>
        </w:tc>
        <w:tc>
          <w:tcPr>
            <w:tcW w:w="14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7,101</w:t>
            </w: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(6,978)</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(98.3)%</w:t>
            </w:r>
          </w:p>
        </w:tc>
      </w:tr>
      <w:tr>
        <w:trPr>
          <w:trHeight w:val="254"/>
        </w:trPr>
        <w:tc>
          <w:tcPr>
            <w:tcW w:w="2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94"/>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0.00</w:t>
            </w:r>
          </w:p>
        </w:tc>
        <w:tc>
          <w:tcPr>
            <w:tcW w:w="1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0.24</w:t>
            </w: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(0.24)</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(100.0)%</w:t>
            </w:r>
          </w:p>
        </w:tc>
      </w:tr>
      <w:tr>
        <w:trPr>
          <w:trHeight w:val="237"/>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29,231</w:t>
            </w: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29,118</w:t>
            </w: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ectPr>
          <w:pgSz w:w="11900" w:h="16838" w:orient="portrait"/>
          <w:cols w:equalWidth="0" w:num="1">
            <w:col w:w="11420"/>
          </w:cols>
          <w:pgMar w:left="240" w:top="141"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320"/>
              <w:spacing w:after="0"/>
              <w:rPr>
                <w:sz w:val="20"/>
                <w:szCs w:val="20"/>
                <w:color w:val="auto"/>
              </w:rPr>
            </w:pPr>
            <w:r>
              <w:rPr>
                <w:rFonts w:ascii="Arial" w:cs="Arial" w:eastAsia="Arial" w:hAnsi="Arial"/>
                <w:sz w:val="14"/>
                <w:szCs w:val="14"/>
                <w:b w:val="1"/>
                <w:bCs w:val="1"/>
                <w:color w:val="auto"/>
              </w:rPr>
              <w:t>February 25,</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18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Arial" w:cs="Arial" w:eastAsia="Arial" w:hAnsi="Arial"/>
                <w:sz w:val="14"/>
                <w:szCs w:val="14"/>
                <w:b w:val="1"/>
                <w:bCs w:val="1"/>
                <w:color w:val="auto"/>
              </w:rPr>
              <w:t>February 26,</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5"/>
                <w:szCs w:val="15"/>
                <w:color w:val="auto"/>
              </w:rPr>
            </w:pPr>
          </w:p>
        </w:tc>
        <w:tc>
          <w:tcPr>
            <w:tcW w:w="1260" w:type="dxa"/>
            <w:vAlign w:val="bottom"/>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136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Mix*</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2011</w:t>
            </w: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Mix*</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(Decrease)</w:t>
            </w:r>
          </w:p>
        </w:tc>
        <w:tc>
          <w:tcPr>
            <w:tcW w:w="13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734</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720</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14</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1.9 %</w:t>
            </w:r>
          </w:p>
        </w:tc>
      </w:tr>
      <w:tr>
        <w:trPr>
          <w:trHeight w:val="264"/>
        </w:trPr>
        <w:tc>
          <w:tcPr>
            <w:tcW w:w="3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467</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488</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(21)</w:t>
            </w:r>
          </w:p>
        </w:tc>
        <w:tc>
          <w:tcPr>
            <w:tcW w:w="13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(4.3)%</w:t>
            </w:r>
          </w:p>
        </w:tc>
      </w:tr>
      <w:tr>
        <w:trPr>
          <w:trHeight w:val="257"/>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1,201</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1,208</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(7)</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r>
      <w:tr>
        <w:trPr>
          <w:trHeight w:val="260"/>
        </w:trPr>
        <w:tc>
          <w:tcPr>
            <w:tcW w:w="302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2"/>
                <w:szCs w:val="22"/>
                <w:color w:val="auto"/>
              </w:rPr>
            </w:pPr>
          </w:p>
        </w:tc>
        <w:tc>
          <w:tcPr>
            <w:tcW w:w="1300" w:type="dxa"/>
            <w:vAlign w:val="bottom"/>
          </w:tcPr>
          <w:p>
            <w:pPr>
              <w:jc w:val="right"/>
              <w:ind w:right="180"/>
              <w:spacing w:after="0"/>
              <w:rPr>
                <w:sz w:val="20"/>
                <w:szCs w:val="20"/>
                <w:color w:val="auto"/>
              </w:rPr>
            </w:pPr>
            <w:r>
              <w:rPr>
                <w:rFonts w:ascii="Arial" w:cs="Arial" w:eastAsia="Arial" w:hAnsi="Arial"/>
                <w:sz w:val="16"/>
                <w:szCs w:val="16"/>
                <w:color w:val="auto"/>
              </w:rPr>
              <w:t>128</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61"/>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80"/>
              <w:spacing w:after="0"/>
              <w:rPr>
                <w:sz w:val="20"/>
                <w:szCs w:val="20"/>
                <w:color w:val="auto"/>
              </w:rPr>
            </w:pPr>
            <w:r>
              <w:rPr>
                <w:rFonts w:ascii="Arial" w:cs="Arial" w:eastAsia="Arial" w:hAnsi="Arial"/>
                <w:sz w:val="16"/>
                <w:szCs w:val="16"/>
                <w:color w:val="auto"/>
              </w:rPr>
              <w:t>127</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NMF</w:t>
            </w:r>
          </w:p>
        </w:tc>
      </w:tr>
      <w:tr>
        <w:trPr>
          <w:trHeight w:val="273"/>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712</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815</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(103)</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(12.6)%</w:t>
            </w:r>
          </w:p>
        </w:tc>
      </w:tr>
      <w:tr>
        <w:trPr>
          <w:trHeight w:val="280"/>
        </w:trPr>
        <w:tc>
          <w:tcPr>
            <w:tcW w:w="3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 deliveries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2,041</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2,024</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17</w:t>
            </w:r>
          </w:p>
        </w:tc>
        <w:tc>
          <w:tcPr>
            <w:tcW w:w="13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0.8 %</w:t>
            </w:r>
          </w:p>
        </w:tc>
      </w:tr>
      <w:tr>
        <w:trPr>
          <w:trHeight w:val="173"/>
        </w:trPr>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60"/>
        </w:trPr>
        <w:tc>
          <w:tcPr>
            <w:tcW w:w="3020" w:type="dxa"/>
            <w:vAlign w:val="bottom"/>
            <w:gridSpan w:val="2"/>
          </w:tcPr>
          <w:p>
            <w:pPr>
              <w:ind w:left="40"/>
              <w:spacing w:after="0"/>
              <w:rPr>
                <w:sz w:val="20"/>
                <w:szCs w:val="20"/>
                <w:color w:val="auto"/>
              </w:rPr>
            </w:pPr>
            <w:r>
              <w:rPr>
                <w:rFonts w:ascii="Arial" w:cs="Arial" w:eastAsia="Arial" w:hAnsi="Arial"/>
                <w:sz w:val="16"/>
                <w:szCs w:val="16"/>
                <w:color w:val="auto"/>
              </w:rPr>
              <w:t>Motor home ASP (in thousands)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0"/>
              <w:spacing w:after="0"/>
              <w:rPr>
                <w:sz w:val="20"/>
                <w:szCs w:val="20"/>
                <w:color w:val="auto"/>
              </w:rPr>
            </w:pPr>
            <w:r>
              <w:rPr>
                <w:rFonts w:ascii="Arial" w:cs="Arial" w:eastAsia="Arial" w:hAnsi="Arial"/>
                <w:sz w:val="16"/>
                <w:szCs w:val="16"/>
                <w:color w:val="auto"/>
              </w:rPr>
              <w:t>109</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61"/>
              <w:spacing w:after="0"/>
              <w:rPr>
                <w:sz w:val="20"/>
                <w:szCs w:val="20"/>
                <w:color w:val="auto"/>
              </w:rPr>
            </w:pPr>
            <w:r>
              <w:rPr>
                <w:rFonts w:ascii="Arial" w:cs="Arial" w:eastAsia="Arial" w:hAnsi="Arial"/>
                <w:sz w:val="16"/>
                <w:szCs w:val="16"/>
                <w:color w:val="auto"/>
              </w:rPr>
              <w:t>105</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80"/>
              <w:spacing w:after="0"/>
              <w:rPr>
                <w:sz w:val="20"/>
                <w:szCs w:val="20"/>
                <w:color w:val="auto"/>
              </w:rPr>
            </w:pPr>
            <w:r>
              <w:rPr>
                <w:rFonts w:ascii="Arial" w:cs="Arial" w:eastAsia="Arial" w:hAnsi="Arial"/>
                <w:sz w:val="16"/>
                <w:szCs w:val="16"/>
                <w:color w:val="auto"/>
              </w:rPr>
              <w:t>4</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3.3 %</w:t>
            </w:r>
          </w:p>
        </w:tc>
      </w:tr>
      <w:tr>
        <w:trPr>
          <w:trHeight w:val="199"/>
        </w:trPr>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60"/>
        </w:trPr>
        <w:tc>
          <w:tcPr>
            <w:tcW w:w="3020" w:type="dxa"/>
            <w:vAlign w:val="bottom"/>
            <w:gridSpan w:val="2"/>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2"/>
                <w:szCs w:val="22"/>
                <w:color w:val="auto"/>
              </w:rPr>
            </w:pPr>
          </w:p>
        </w:tc>
        <w:tc>
          <w:tcPr>
            <w:tcW w:w="1300" w:type="dxa"/>
            <w:vAlign w:val="bottom"/>
          </w:tcPr>
          <w:p>
            <w:pPr>
              <w:jc w:val="right"/>
              <w:ind w:right="180"/>
              <w:spacing w:after="0"/>
              <w:rPr>
                <w:sz w:val="20"/>
                <w:szCs w:val="20"/>
                <w:color w:val="auto"/>
              </w:rPr>
            </w:pPr>
            <w:r>
              <w:rPr>
                <w:rFonts w:ascii="Arial" w:cs="Arial" w:eastAsia="Arial" w:hAnsi="Arial"/>
                <w:sz w:val="16"/>
                <w:szCs w:val="16"/>
                <w:color w:val="auto"/>
              </w:rPr>
              <w:t>571</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61"/>
              <w:spacing w:after="0"/>
              <w:rPr>
                <w:sz w:val="20"/>
                <w:szCs w:val="20"/>
                <w:color w:val="auto"/>
              </w:rPr>
            </w:pPr>
            <w:r>
              <w:rPr>
                <w:rFonts w:ascii="Arial" w:cs="Arial" w:eastAsia="Arial" w:hAnsi="Arial"/>
                <w:sz w:val="16"/>
                <w:szCs w:val="16"/>
                <w:color w:val="auto"/>
              </w:rPr>
              <w:t>64</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80"/>
              <w:spacing w:after="0"/>
              <w:rPr>
                <w:sz w:val="20"/>
                <w:szCs w:val="20"/>
                <w:color w:val="auto"/>
              </w:rPr>
            </w:pPr>
            <w:r>
              <w:rPr>
                <w:rFonts w:ascii="Arial" w:cs="Arial" w:eastAsia="Arial" w:hAnsi="Arial"/>
                <w:sz w:val="16"/>
                <w:szCs w:val="16"/>
                <w:color w:val="auto"/>
              </w:rPr>
              <w:t>507</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NMF</w:t>
            </w:r>
          </w:p>
        </w:tc>
      </w:tr>
      <w:tr>
        <w:trPr>
          <w:trHeight w:val="273"/>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426</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21</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405</w:t>
            </w:r>
          </w:p>
        </w:tc>
        <w:tc>
          <w:tcPr>
            <w:tcW w:w="13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NMF</w:t>
            </w:r>
          </w:p>
        </w:tc>
      </w:tr>
      <w:tr>
        <w:trPr>
          <w:trHeight w:val="280"/>
        </w:trPr>
        <w:tc>
          <w:tcPr>
            <w:tcW w:w="3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towable deliveries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997</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85</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912</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NMF</w:t>
            </w:r>
          </w:p>
        </w:tc>
      </w:tr>
      <w:tr>
        <w:trPr>
          <w:trHeight w:val="254"/>
        </w:trPr>
        <w:tc>
          <w:tcPr>
            <w:tcW w:w="2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1"/>
        </w:trPr>
        <w:tc>
          <w:tcPr>
            <w:tcW w:w="3020" w:type="dxa"/>
            <w:vAlign w:val="bottom"/>
            <w:gridSpan w:val="2"/>
          </w:tcPr>
          <w:p>
            <w:pPr>
              <w:ind w:left="40"/>
              <w:spacing w:after="0"/>
              <w:rPr>
                <w:sz w:val="20"/>
                <w:szCs w:val="20"/>
                <w:color w:val="auto"/>
              </w:rPr>
            </w:pPr>
            <w:r>
              <w:rPr>
                <w:rFonts w:ascii="Arial" w:cs="Arial" w:eastAsia="Arial" w:hAnsi="Arial"/>
                <w:sz w:val="16"/>
                <w:szCs w:val="16"/>
                <w:color w:val="auto"/>
              </w:rPr>
              <w:t>Towable ASP (in thousands)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0"/>
              <w:spacing w:after="0"/>
              <w:rPr>
                <w:sz w:val="20"/>
                <w:szCs w:val="20"/>
                <w:color w:val="auto"/>
              </w:rPr>
            </w:pPr>
            <w:r>
              <w:rPr>
                <w:rFonts w:ascii="Arial" w:cs="Arial" w:eastAsia="Arial" w:hAnsi="Arial"/>
                <w:sz w:val="16"/>
                <w:szCs w:val="16"/>
                <w:color w:val="auto"/>
              </w:rPr>
              <w:t>24</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61"/>
              <w:spacing w:after="0"/>
              <w:rPr>
                <w:sz w:val="20"/>
                <w:szCs w:val="20"/>
                <w:color w:val="auto"/>
              </w:rPr>
            </w:pPr>
            <w:r>
              <w:rPr>
                <w:rFonts w:ascii="Arial" w:cs="Arial" w:eastAsia="Arial" w:hAnsi="Arial"/>
                <w:sz w:val="16"/>
                <w:szCs w:val="16"/>
                <w:color w:val="auto"/>
              </w:rPr>
              <w:t>21</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80"/>
              <w:spacing w:after="0"/>
              <w:rPr>
                <w:sz w:val="20"/>
                <w:szCs w:val="20"/>
                <w:color w:val="auto"/>
              </w:rPr>
            </w:pPr>
            <w:r>
              <w:rPr>
                <w:rFonts w:ascii="Arial" w:cs="Arial" w:eastAsia="Arial" w:hAnsi="Arial"/>
                <w:sz w:val="16"/>
                <w:szCs w:val="16"/>
                <w:color w:val="auto"/>
              </w:rPr>
              <w:t>3</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17.7 %</w:t>
            </w: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5"/>
        </w:trPr>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62"/>
              <w:spacing w:after="0"/>
              <w:rPr>
                <w:sz w:val="20"/>
                <w:szCs w:val="20"/>
                <w:color w:val="auto"/>
              </w:rPr>
            </w:pPr>
            <w:r>
              <w:rPr>
                <w:rFonts w:ascii="Arial" w:cs="Arial" w:eastAsia="Arial" w:hAnsi="Arial"/>
                <w:sz w:val="14"/>
                <w:szCs w:val="14"/>
                <w:b w:val="1"/>
                <w:bCs w:val="1"/>
                <w:color w:val="auto"/>
              </w:rPr>
              <w:t>February 25,</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5"/>
                <w:szCs w:val="15"/>
                <w:color w:val="auto"/>
              </w:rPr>
            </w:pPr>
          </w:p>
        </w:tc>
        <w:tc>
          <w:tcPr>
            <w:tcW w:w="1240" w:type="dxa"/>
            <w:vAlign w:val="bottom"/>
          </w:tcPr>
          <w:p>
            <w:pPr>
              <w:jc w:val="right"/>
              <w:ind w:right="262"/>
              <w:spacing w:after="0"/>
              <w:rPr>
                <w:sz w:val="20"/>
                <w:szCs w:val="20"/>
                <w:color w:val="auto"/>
              </w:rPr>
            </w:pPr>
            <w:r>
              <w:rPr>
                <w:rFonts w:ascii="Arial" w:cs="Arial" w:eastAsia="Arial" w:hAnsi="Arial"/>
                <w:sz w:val="14"/>
                <w:szCs w:val="14"/>
                <w:b w:val="1"/>
                <w:bCs w:val="1"/>
                <w:color w:val="auto"/>
              </w:rPr>
              <w:t>February 26,</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5"/>
                <w:szCs w:val="15"/>
                <w:color w:val="auto"/>
              </w:rPr>
            </w:pPr>
          </w:p>
        </w:tc>
        <w:tc>
          <w:tcPr>
            <w:tcW w:w="1300" w:type="dxa"/>
            <w:vAlign w:val="bottom"/>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300" w:type="dxa"/>
            <w:vAlign w:val="bottom"/>
          </w:tcPr>
          <w:p>
            <w:pPr>
              <w:jc w:val="right"/>
              <w:ind w:right="542"/>
              <w:spacing w:after="0"/>
              <w:rPr>
                <w:sz w:val="20"/>
                <w:szCs w:val="20"/>
                <w:color w:val="auto"/>
              </w:rPr>
            </w:pPr>
            <w:r>
              <w:rPr>
                <w:rFonts w:ascii="Arial" w:cs="Arial" w:eastAsia="Arial" w:hAnsi="Arial"/>
                <w:sz w:val="14"/>
                <w:szCs w:val="14"/>
                <w:b w:val="1"/>
                <w:bCs w:val="1"/>
                <w:color w:val="auto"/>
              </w:rPr>
              <w:t>%</w:t>
            </w:r>
          </w:p>
        </w:tc>
      </w:tr>
      <w:tr>
        <w:trPr>
          <w:trHeight w:val="202"/>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Revenues</w:t>
            </w:r>
            <w:r>
              <w:rPr>
                <w:rFonts w:ascii="Arial" w:cs="Arial" w:eastAsia="Arial" w:hAnsi="Arial"/>
                <w:sz w:val="17"/>
                <w:szCs w:val="17"/>
                <w:b w:val="1"/>
                <w:bCs w:val="1"/>
                <w:color w:val="auto"/>
                <w:w w:val="97"/>
                <w:vertAlign w:val="superscript"/>
              </w:rPr>
              <w:t>(1)</w:t>
            </w:r>
          </w:p>
        </w:tc>
        <w:tc>
          <w:tcPr>
            <w:tcW w:w="160" w:type="dxa"/>
            <w:vAlign w:val="bottom"/>
          </w:tcPr>
          <w:p>
            <w:pPr>
              <w:spacing w:after="0"/>
              <w:rPr>
                <w:sz w:val="17"/>
                <w:szCs w:val="17"/>
                <w:color w:val="auto"/>
              </w:rPr>
            </w:pPr>
          </w:p>
        </w:tc>
        <w:tc>
          <w:tcPr>
            <w:tcW w:w="12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2011</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Revenues</w:t>
            </w:r>
            <w:r>
              <w:rPr>
                <w:rFonts w:ascii="Arial" w:cs="Arial" w:eastAsia="Arial" w:hAnsi="Arial"/>
                <w:sz w:val="17"/>
                <w:szCs w:val="17"/>
                <w:b w:val="1"/>
                <w:bCs w:val="1"/>
                <w:color w:val="auto"/>
                <w:w w:val="97"/>
                <w:vertAlign w:val="superscript"/>
              </w:rPr>
              <w:t>(1)</w:t>
            </w:r>
          </w:p>
        </w:tc>
        <w:tc>
          <w:tcPr>
            <w:tcW w:w="240" w:type="dxa"/>
            <w:vAlign w:val="bottom"/>
          </w:tcPr>
          <w:p>
            <w:pPr>
              <w:spacing w:after="0"/>
              <w:rPr>
                <w:sz w:val="17"/>
                <w:szCs w:val="17"/>
                <w:color w:val="auto"/>
              </w:rPr>
            </w:pPr>
          </w:p>
        </w:tc>
        <w:tc>
          <w:tcPr>
            <w:tcW w:w="1300" w:type="dxa"/>
            <w:vAlign w:val="bottom"/>
          </w:tcPr>
          <w:p>
            <w:pPr>
              <w:jc w:val="right"/>
              <w:ind w:right="362"/>
              <w:spacing w:after="0"/>
              <w:rPr>
                <w:sz w:val="20"/>
                <w:szCs w:val="20"/>
                <w:color w:val="auto"/>
              </w:rPr>
            </w:pPr>
            <w:r>
              <w:rPr>
                <w:rFonts w:ascii="Arial" w:cs="Arial" w:eastAsia="Arial" w:hAnsi="Arial"/>
                <w:sz w:val="14"/>
                <w:szCs w:val="14"/>
                <w:b w:val="1"/>
                <w:bCs w:val="1"/>
                <w:color w:val="auto"/>
              </w:rPr>
              <w:t>(Decrease)</w:t>
            </w:r>
          </w:p>
        </w:tc>
        <w:tc>
          <w:tcPr>
            <w:tcW w:w="1300" w:type="dxa"/>
            <w:vAlign w:val="bottom"/>
          </w:tcPr>
          <w:p>
            <w:pPr>
              <w:jc w:val="right"/>
              <w:ind w:right="34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219,494</w:t>
            </w:r>
          </w:p>
        </w:tc>
        <w:tc>
          <w:tcPr>
            <w:tcW w:w="132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83.3%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211,303</w:t>
            </w:r>
          </w:p>
        </w:tc>
        <w:tc>
          <w:tcPr>
            <w:tcW w:w="132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91.7%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8,191</w:t>
            </w:r>
          </w:p>
        </w:tc>
        <w:tc>
          <w:tcPr>
            <w:tcW w:w="130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3.9 %</w:t>
            </w:r>
          </w:p>
        </w:tc>
      </w:tr>
      <w:tr>
        <w:trPr>
          <w:trHeight w:val="270"/>
        </w:trPr>
        <w:tc>
          <w:tcPr>
            <w:tcW w:w="290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24,556</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1,778</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22,778</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100.0 %</w:t>
            </w:r>
          </w:p>
        </w:tc>
      </w:tr>
      <w:tr>
        <w:trPr>
          <w:trHeight w:val="270"/>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5,786</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5,942</w:t>
            </w:r>
          </w:p>
        </w:tc>
        <w:tc>
          <w:tcPr>
            <w:tcW w:w="13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(156)</w:t>
            </w: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(2.6)%</w:t>
            </w:r>
          </w:p>
        </w:tc>
      </w:tr>
      <w:tr>
        <w:trPr>
          <w:trHeight w:val="264"/>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manufactured products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13,601</w:t>
            </w:r>
          </w:p>
        </w:tc>
        <w:tc>
          <w:tcPr>
            <w:tcW w:w="13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11,281</w:t>
            </w: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2,320</w:t>
            </w: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20.6 %</w:t>
            </w:r>
          </w:p>
        </w:tc>
      </w:tr>
      <w:tr>
        <w:trPr>
          <w:trHeight w:val="24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263,437</w:t>
            </w:r>
          </w:p>
        </w:tc>
        <w:tc>
          <w:tcPr>
            <w:tcW w:w="13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230,304</w:t>
            </w:r>
          </w:p>
        </w:tc>
        <w:tc>
          <w:tcPr>
            <w:tcW w:w="13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33,133</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14.4 %</w:t>
            </w:r>
          </w:p>
        </w:tc>
      </w:tr>
      <w:tr>
        <w:trPr>
          <w:trHeight w:val="20"/>
        </w:trPr>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20" w:hanging="185"/>
        <w:spacing w:after="0"/>
        <w:tabs>
          <w:tab w:leader="none" w:pos="2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Motor home unit revenue less discounts, sales promotions and incentives, and accrued loss on repurchase adjustments.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towable units and parts revenues less discounts, sales promotions and accrued loss on repurchase adjustments.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six months of Fiscal 2012 increased $33.1 million, or 14.4%, compared to the six months of Fiscal 2011, due to:</w:t>
      </w:r>
    </w:p>
    <w:p>
      <w:pPr>
        <w:spacing w:after="0" w:line="5" w:lineRule="exact"/>
        <w:rPr>
          <w:sz w:val="20"/>
          <w:szCs w:val="20"/>
          <w:color w:val="auto"/>
        </w:rPr>
      </w:pPr>
    </w:p>
    <w:p>
      <w:pPr>
        <w:ind w:left="340" w:right="100" w:hanging="170"/>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Towables revenues were $24.6 million in the six months of Fiscal 2012. SunnyBrook was acquired in the second quarter of Fiscal 2011 and had revenues $1.8 million in that period.</w:t>
      </w:r>
    </w:p>
    <w:p>
      <w:pPr>
        <w:ind w:left="340" w:right="180" w:hanging="170"/>
        <w:spacing w:after="0" w:line="25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Motor home revenues increased $8.2 million due to a 3.3% increase in ASP. This increase was primarily due to a shift to higher-priced Class A motor homes, although ASPs in general were negatively impacted by increased discounts and promotional pricing. Motor home revenues also increased by an additional 0.8% in unit sales.</w:t>
      </w:r>
    </w:p>
    <w:p>
      <w:pPr>
        <w:spacing w:after="0" w:line="17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Cost of goods sold was $248.1 million, or 94.2% of net revenues for the six months of Fiscal 2012 compared to $207.8 million, or 90.2% of net revenues for the comparable period a year ago due to the following:</w:t>
      </w:r>
    </w:p>
    <w:p>
      <w:pPr>
        <w:spacing w:after="0" w:line="1" w:lineRule="exact"/>
        <w:rPr>
          <w:sz w:val="20"/>
          <w:szCs w:val="20"/>
          <w:color w:val="auto"/>
        </w:rPr>
      </w:pPr>
    </w:p>
    <w:p>
      <w:pPr>
        <w:ind w:left="340" w:right="580" w:hanging="170"/>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 of goods sold was negatively affected by the $3.5 million favorable inventory adjustment in the first six months of Fiscal 2011. The adjustment favorably impacted our material, labor, variable overhead and fixed overhead costs as a percentage of net revenues.</w:t>
      </w:r>
    </w:p>
    <w:p>
      <w:pPr>
        <w:ind w:left="340" w:right="100" w:hanging="170"/>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variable costs (material, labor, variable overhead, delivery, and warranty) as a percent of net revenues, increased from 82.3% last year to 86.0% this year. Increased discounts and promotional pricing and inflationary commodity pressures also contributed to the increase in cost of goods sold as a percentage of net revenues.</w:t>
      </w:r>
    </w:p>
    <w:p>
      <w:pPr>
        <w:spacing w:after="0" w:line="1" w:lineRule="exact"/>
        <w:rPr>
          <w:rFonts w:ascii="Arial" w:cs="Arial" w:eastAsia="Arial" w:hAnsi="Arial"/>
          <w:sz w:val="16"/>
          <w:szCs w:val="16"/>
          <w:color w:val="auto"/>
        </w:rPr>
      </w:pPr>
    </w:p>
    <w:p>
      <w:pPr>
        <w:ind w:left="340" w:right="560" w:hanging="170"/>
        <w:spacing w:after="0" w:line="25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increased to 8.1% of net revenues compared to 7.9% last year. This difference was primarily due to additional fixed expenses associated with Towables.</w:t>
      </w:r>
    </w:p>
    <w:p>
      <w:pPr>
        <w:spacing w:after="0" w:line="8" w:lineRule="exact"/>
        <w:rPr>
          <w:rFonts w:ascii="Arial" w:cs="Arial" w:eastAsia="Arial" w:hAnsi="Arial"/>
          <w:sz w:val="16"/>
          <w:szCs w:val="16"/>
          <w:color w:val="auto"/>
        </w:rPr>
      </w:pPr>
    </w:p>
    <w:p>
      <w:pPr>
        <w:ind w:left="340" w:right="100" w:hanging="170"/>
        <w:spacing w:after="0" w:line="26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6"/>
          <w:szCs w:val="16"/>
          <w:color w:val="auto"/>
        </w:rPr>
        <w:t>All factors considered, gross profit decreased from 9.8% to 5.8% of net revenues. Excluding the effect of the physical inventory adjustment in Fiscal 2011, gross profit would have been 8.3 percent.</w:t>
      </w:r>
    </w:p>
    <w:p>
      <w:pPr>
        <w:spacing w:after="0" w:line="17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Selling expenses increased $1.6 million, or 25.0% during the six months of Fiscal 2012 and, as a percent of net revenues were 3.1% and 2.8% for the six months of Fiscal 2012 and Fiscal 2011, respectively. The expense increase was due primarily to operating expenses associated with Towables and increases in employee-related expenses.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$54,000 during the six months of Fiscal 2012 and, as a percentage of net</w:t>
      </w:r>
    </w:p>
    <w:p>
      <w:pPr>
        <w:sectPr>
          <w:pgSz w:w="11900" w:h="16838" w:orient="portrait"/>
          <w:cols w:equalWidth="0" w:num="1">
            <w:col w:w="11420"/>
          </w:cols>
          <w:pgMar w:left="240" w:top="14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revenues were 2.9% and 3.3% for the six months of Fiscal 2012 and Fiscal 2011, respectively. Increases in operating expenses associated with Towables and employee-related expenses in the six months of Fiscal 2012 were partially offset by decreases in legal expenses and product liability and the absence of accrued incentives when compared to the same period in Fiscal 2011.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Fiscal 2011 we realized a gain of $644,000 on the sale of CCMF, an asset held for sale.</w:t>
      </w:r>
    </w:p>
    <w:p>
      <w:pPr>
        <w:spacing w:after="0" w:line="19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Non-operating income decreased $327,000, or 69.0%, during the six months of Fiscal 2012. This difference is primarily due to lower gains on COLI policies and lower investment income in Fiscal 2012.</w:t>
      </w:r>
    </w:p>
    <w:p>
      <w:pPr>
        <w:spacing w:after="0" w:line="196"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overall effective income tax benefit rate for the six months of Fiscal 2012 was 131.5% compared to the tax provision rate of 24.8% for the six months of Fiscal 2011. Most notably, our effective tax benefit rate for the six months of Fiscal 2012 was the result of the lack of taxable income being generated year to date, thus resulting in minimal tax being recorded from operations. In addition, we recorded tax benefits associated with tax planning initiatives as well as reductions to reserves for uncertain tax positions. Our tax expense rate of 24.8% in the six months of Fiscal 2011 was primarily the result of higher book income, thus resulting in lower reductions in tax expense as a percentage of book income.</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Net income was $123,000, or $0.00 per diluted share, for the six months of Fiscal 2012 compared to $7.1 million, or $0.24 per diluted share, for the six months of Fiscal 2011. See Note 15.</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totaled $80.8 million and $69.3 million as of February 25, 2012 and August 27, 2011,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Significant liquidity events in the first six months of Fiscal 2012 include:</w:t>
      </w:r>
    </w:p>
    <w:p>
      <w:pPr>
        <w:spacing w:after="0" w:line="5" w:lineRule="exact"/>
        <w:rPr>
          <w:sz w:val="20"/>
          <w:szCs w:val="20"/>
          <w:color w:val="auto"/>
        </w:rPr>
      </w:pPr>
    </w:p>
    <w:p>
      <w:pPr>
        <w:ind w:left="340" w:hanging="170"/>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Cash flow from operating activities of $11.4 million, of which $8.5 million was the result of inventory reductions.</w:t>
      </w:r>
    </w:p>
    <w:p>
      <w:pPr>
        <w:spacing w:after="0" w:line="5" w:lineRule="exact"/>
        <w:rPr>
          <w:rFonts w:ascii="Arial" w:cs="Arial" w:eastAsia="Arial" w:hAnsi="Arial"/>
          <w:sz w:val="16"/>
          <w:szCs w:val="16"/>
          <w:color w:val="auto"/>
        </w:rPr>
      </w:pPr>
    </w:p>
    <w:p>
      <w:pPr>
        <w:ind w:left="340" w:right="220" w:hanging="170"/>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ARS redemptions at par of $750,000. We have $10.0 million ARS at par value classified as long-term investments as of February 25, 2012. See further discussion in Note 5.</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also have in place a $20.0 million revolving credit facility expiring on October 13, 2012, unless terminated earlier, which allows us to borrow up to $12.5 million without financial covenant restrictions if there is adequate asset coverage. (See further discussion in Note 9.) We had sufficient asset coverage in accounts receivable and inventory as of February 25, 2012 to access the entire $12.5 million.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source of liquidity in addition to the alternatives already in place.</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Working capital at February 25, 2012 and August 27, 2011 was $115.7 million and $113.5 million, respectively, an increase of $2.2 million. We currently expect cash on hand, funds generated from operations (if any) and the availability under the credit facility to be sufficient to cover both short-term and long-term operation requirements. We anticipate capital expenditures during the balance of Fiscal 2012 of approximately $3.0 million, primarily for manufacturing equipment and facilities which will be funded with cash on hand.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Cash provided by operating activities was $11.4 million for the six months ended February 25, 2012 compared cash used in operations of $16.5 million for the six months ended February 26, 2011. In the current fiscal year, the combination of net income and non-cash charges (e.g., depreciation, stock-based compensation) provided $4.1 million of operating cash compared to $10.8 million in the prior year period. In Fiscal 2012, changes in assets and liabilities (primarily the decrease in inventories) provided $7.3 million of operating cash. In the six months of Fiscal 2011 a significant increase in inventory of $25.0 million was partially offset by net income of $7.1 million.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the six months ended February 25, 2012, cash provided by investing activities was due to $750,000 of ARS redemptions proceeds and proceeds of life insurance of $643,000, partially offset by capital spending of $1.2 million. During the six months ended February 26, 2011, cash provided by investing activities of $4.5 million was due to ARS redemptions of $6.5 million, proceeds on the sale of CCMF of $3.7 million, partially offset by the acquisition of SunnyBrook for $4.7 million and capital spending of $1.3 million.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was $202,000 for the six months ended February 25, 2012 compared to cash provided by</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60"/>
          </w:cols>
          <w:pgMar w:left="240" w:top="141" w:right="29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of $110,000 for the six months ended February 26, 2011.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27, 2011.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27, 2011.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have market risk exposure to our ARS, which is described in further detail in Note 5.</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1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1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$60.0 million. There is no time restriction on this authorization. During the second quarter of Fiscal 2012, there were 24,888 shares repurchased pursuant to this authorization, at an aggregate cost of approximately $235,000. These shares were repurchased from employees who vested in Winnebago shares during the quarter and elected to pay their payroll tax via shares as opposed to cash. As of February 25, 2012, there was approximately $59.0 million remaining under this authorization.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second quarter of Fiscal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640" w:type="dxa"/>
            <w:vAlign w:val="bottom"/>
          </w:tcPr>
          <w:p>
            <w:pPr>
              <w:spacing w:after="0"/>
              <w:rPr>
                <w:sz w:val="16"/>
                <w:szCs w:val="16"/>
                <w:color w:val="auto"/>
              </w:rPr>
            </w:pPr>
          </w:p>
        </w:tc>
        <w:tc>
          <w:tcPr>
            <w:tcW w:w="1960" w:type="dxa"/>
            <w:vAlign w:val="bottom"/>
          </w:tcPr>
          <w:p>
            <w:pPr>
              <w:jc w:val="center"/>
              <w:ind w:right="39"/>
              <w:spacing w:after="0"/>
              <w:rPr>
                <w:sz w:val="20"/>
                <w:szCs w:val="20"/>
                <w:color w:val="auto"/>
              </w:rPr>
            </w:pPr>
            <w:r>
              <w:rPr>
                <w:rFonts w:ascii="Arial" w:cs="Arial" w:eastAsia="Arial" w:hAnsi="Arial"/>
                <w:sz w:val="16"/>
                <w:szCs w:val="16"/>
                <w:b w:val="1"/>
                <w:bCs w:val="1"/>
                <w:color w:val="auto"/>
              </w:rPr>
              <w:t>Total Number</w:t>
            </w:r>
          </w:p>
        </w:tc>
        <w:tc>
          <w:tcPr>
            <w:tcW w:w="1800" w:type="dxa"/>
            <w:vAlign w:val="bottom"/>
          </w:tcPr>
          <w:p>
            <w:pPr>
              <w:spacing w:after="0"/>
              <w:rPr>
                <w:sz w:val="16"/>
                <w:szCs w:val="16"/>
                <w:color w:val="auto"/>
              </w:rPr>
            </w:pP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Purchased as Part of</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640" w:type="dxa"/>
            <w:vAlign w:val="bottom"/>
          </w:tcPr>
          <w:p>
            <w:pPr>
              <w:spacing w:after="0"/>
              <w:rPr>
                <w:sz w:val="16"/>
                <w:szCs w:val="16"/>
                <w:color w:val="auto"/>
              </w:rPr>
            </w:pPr>
          </w:p>
        </w:tc>
        <w:tc>
          <w:tcPr>
            <w:tcW w:w="19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of Shares</w:t>
            </w:r>
          </w:p>
        </w:tc>
        <w:tc>
          <w:tcPr>
            <w:tcW w:w="1800" w:type="dxa"/>
            <w:vAlign w:val="bottom"/>
          </w:tcPr>
          <w:p>
            <w:pPr>
              <w:jc w:val="right"/>
              <w:ind w:right="379"/>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gridSpan w:val="2"/>
          </w:tcPr>
          <w:p>
            <w:pPr>
              <w:jc w:val="right"/>
              <w:ind w:right="286"/>
              <w:spacing w:after="0"/>
              <w:rPr>
                <w:sz w:val="20"/>
                <w:szCs w:val="20"/>
                <w:color w:val="auto"/>
              </w:rPr>
            </w:pPr>
            <w:r>
              <w:rPr>
                <w:rFonts w:ascii="Arial" w:cs="Arial" w:eastAsia="Arial" w:hAnsi="Arial"/>
                <w:sz w:val="16"/>
                <w:szCs w:val="16"/>
                <w:b w:val="1"/>
                <w:bCs w:val="1"/>
                <w:color w:val="auto"/>
              </w:rPr>
              <w:t>Publicly Announced</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Purchased</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Paid per Share</w:t>
            </w:r>
          </w:p>
        </w:tc>
        <w:tc>
          <w:tcPr>
            <w:tcW w:w="2120" w:type="dxa"/>
            <w:vAlign w:val="bottom"/>
            <w:tcBorders>
              <w:bottom w:val="single" w:sz="8" w:color="auto"/>
            </w:tcBorders>
            <w:gridSpan w:val="2"/>
          </w:tcPr>
          <w:p>
            <w:pPr>
              <w:jc w:val="center"/>
              <w:ind w:right="66"/>
              <w:spacing w:after="0"/>
              <w:rPr>
                <w:sz w:val="20"/>
                <w:szCs w:val="20"/>
                <w:color w:val="auto"/>
              </w:rPr>
            </w:pPr>
            <w:r>
              <w:rPr>
                <w:rFonts w:ascii="Arial" w:cs="Arial" w:eastAsia="Arial" w:hAnsi="Arial"/>
                <w:sz w:val="16"/>
                <w:szCs w:val="16"/>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11/27/11 - 12/31/11</w:t>
            </w:r>
          </w:p>
        </w:tc>
        <w:tc>
          <w:tcPr>
            <w:tcW w:w="1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59,244,000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01/01/12 - 01/28/12</w:t>
            </w:r>
          </w:p>
        </w:tc>
        <w:tc>
          <w:tcPr>
            <w:tcW w:w="1960" w:type="dxa"/>
            <w:vAlign w:val="bottom"/>
          </w:tcPr>
          <w:p>
            <w:pPr>
              <w:jc w:val="right"/>
              <w:ind w:right="159"/>
              <w:spacing w:after="0"/>
              <w:rPr>
                <w:sz w:val="20"/>
                <w:szCs w:val="20"/>
                <w:color w:val="auto"/>
              </w:rPr>
            </w:pPr>
            <w:r>
              <w:rPr>
                <w:rFonts w:ascii="Arial" w:cs="Arial" w:eastAsia="Arial" w:hAnsi="Arial"/>
                <w:sz w:val="16"/>
                <w:szCs w:val="16"/>
                <w:color w:val="auto"/>
              </w:rPr>
              <w:t>550</w:t>
            </w: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$ 8.77</w:t>
            </w:r>
          </w:p>
        </w:tc>
        <w:tc>
          <w:tcPr>
            <w:tcW w:w="1580" w:type="dxa"/>
            <w:vAlign w:val="bottom"/>
          </w:tcPr>
          <w:p>
            <w:pPr>
              <w:jc w:val="right"/>
              <w:spacing w:after="0"/>
              <w:rPr>
                <w:sz w:val="20"/>
                <w:szCs w:val="20"/>
                <w:color w:val="auto"/>
              </w:rPr>
            </w:pPr>
            <w:r>
              <w:rPr>
                <w:rFonts w:ascii="Arial" w:cs="Arial" w:eastAsia="Arial" w:hAnsi="Arial"/>
                <w:sz w:val="16"/>
                <w:szCs w:val="16"/>
                <w:color w:val="auto"/>
              </w:rPr>
              <w:t>550</w:t>
            </w:r>
          </w:p>
        </w:tc>
        <w:tc>
          <w:tcPr>
            <w:tcW w:w="540" w:type="dxa"/>
            <w:vAlign w:val="bottom"/>
          </w:tcPr>
          <w:p>
            <w:pPr>
              <w:jc w:val="right"/>
              <w:ind w:right="286"/>
              <w:spacing w:after="0"/>
              <w:rPr>
                <w:sz w:val="20"/>
                <w:szCs w:val="20"/>
                <w:color w:val="auto"/>
              </w:rPr>
            </w:pPr>
            <w:r>
              <w:rPr>
                <w:rFonts w:ascii="Arial" w:cs="Arial" w:eastAsia="Arial" w:hAnsi="Arial"/>
                <w:sz w:val="11"/>
                <w:szCs w:val="11"/>
                <w:color w:val="auto"/>
              </w:rPr>
              <w:t>(1)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59,240,000</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01/29/12 - 02/25/12</w:t>
            </w:r>
          </w:p>
        </w:tc>
        <w:tc>
          <w:tcPr>
            <w:tcW w:w="1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24,338</w:t>
            </w:r>
          </w:p>
        </w:tc>
        <w:tc>
          <w:tcPr>
            <w:tcW w:w="1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$ 9.44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24,338</w:t>
            </w:r>
          </w:p>
        </w:tc>
        <w:tc>
          <w:tcPr>
            <w:tcW w:w="54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1"/>
                <w:szCs w:val="11"/>
                <w:color w:val="auto"/>
              </w:rPr>
              <w:t>(1)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59,010,000</w:t>
            </w:r>
          </w:p>
        </w:tc>
      </w:tr>
      <w:tr>
        <w:trPr>
          <w:trHeight w:val="267"/>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24,888</w:t>
            </w: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$ 9.43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24,888</w:t>
            </w:r>
          </w:p>
        </w:tc>
        <w:tc>
          <w:tcPr>
            <w:tcW w:w="5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59,010,000</w:t>
            </w:r>
          </w:p>
        </w:tc>
      </w:tr>
      <w:tr>
        <w:trPr>
          <w:trHeight w:val="20"/>
        </w:trPr>
        <w:tc>
          <w:tcPr>
            <w:tcW w:w="26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(1) Shares purchased for payment of employee taxes upon restricted share vesting.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March 30, 2012.</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March 30, 2012.</w:t>
      </w:r>
    </w:p>
    <w:p>
      <w:pPr>
        <w:spacing w:after="0" w:line="167" w:lineRule="exact"/>
        <w:rPr>
          <w:sz w:val="20"/>
          <w:szCs w:val="20"/>
          <w:color w:val="auto"/>
        </w:rPr>
      </w:pPr>
    </w:p>
    <w:p>
      <w:pPr>
        <w:ind w:left="980" w:right="380" w:hanging="971"/>
        <w:spacing w:after="0" w:line="260"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March 30, 2012.</w:t>
      </w:r>
    </w:p>
    <w:p>
      <w:pPr>
        <w:spacing w:after="0" w:line="142" w:lineRule="exact"/>
        <w:rPr>
          <w:sz w:val="20"/>
          <w:szCs w:val="20"/>
          <w:color w:val="auto"/>
        </w:rPr>
      </w:pPr>
    </w:p>
    <w:p>
      <w:pPr>
        <w:ind w:left="980" w:right="440" w:hanging="971"/>
        <w:spacing w:after="0" w:line="260"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March 30, 2012.</w:t>
      </w:r>
    </w:p>
    <w:p>
      <w:pPr>
        <w:sectPr>
          <w:pgSz w:w="11900" w:h="16838" w:orient="portrait"/>
          <w:cols w:equalWidth="0" w:num="1">
            <w:col w:w="11420"/>
          </w:cols>
          <w:pgMar w:left="240" w:top="141" w:right="2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jc w:val="both"/>
        <w:ind w:right="80" w:firstLine="8"/>
        <w:spacing w:after="0" w:line="251" w:lineRule="auto"/>
        <w:tabs>
          <w:tab w:leader="none" w:pos="1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Attached as Exhibit 101 to this report are the following financial statements from our Quarterly Report on Form 10-Q for the quarter ended February 25, 2012 formatted in XBRL: (i) the Unaudited Consolidated Balance Sheets, (ii) the Unaudited Consolidated Statements of Operations, (iii) the Unaudited Consolidated Statements of Cash Flows, and (iv) related notes to these financial statements tagged as blocks of text.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WINNEBAGO INDUSTRIES, INC.</w:t>
      </w: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740" w:val="left"/>
          <w:tab w:leader="none" w:pos="39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30, 2012</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19050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Randy J. Potts</w:t>
      </w:r>
    </w:p>
    <w:p>
      <w:pPr>
        <w:spacing w:after="0" w:line="5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Chairman of the Board, Chief Executive Officer and President</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740" w:val="left"/>
          <w:tab w:leader="none" w:pos="39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30, 2012</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19050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Chief Financial Officer (Principal Financial and Accounting Officer)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20"/>
          <w:szCs w:val="20"/>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BY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 Randy J. Potts certify that:</w:t>
      </w:r>
    </w:p>
    <w:p>
      <w:pPr>
        <w:spacing w:after="0" w:line="1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660" w:right="100" w:hanging="328"/>
        <w:spacing w:after="0" w:line="25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660" w:right="180" w:hanging="328"/>
        <w:spacing w:after="0" w:line="25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1300" w:right="360" w:hanging="320"/>
        <w:spacing w:after="0" w:line="25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1300" w:right="240" w:hanging="320"/>
        <w:spacing w:after="0" w:line="25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74" w:lineRule="exact"/>
        <w:rPr>
          <w:rFonts w:ascii="Arial" w:cs="Arial" w:eastAsia="Arial" w:hAnsi="Arial"/>
          <w:sz w:val="16"/>
          <w:szCs w:val="16"/>
          <w:color w:val="auto"/>
        </w:rPr>
      </w:pPr>
    </w:p>
    <w:p>
      <w:pPr>
        <w:jc w:val="both"/>
        <w:ind w:left="1300" w:right="40" w:hanging="320"/>
        <w:spacing w:after="0" w:line="25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660" w:right="280" w:hanging="328"/>
        <w:spacing w:after="0" w:line="26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1300" w:right="380" w:hanging="320"/>
        <w:spacing w:after="0" w:line="260"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110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30, 2012</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Chairman of the Board</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 and President</w:t>
      </w:r>
    </w:p>
    <w:p>
      <w:pPr>
        <w:sectPr>
          <w:pgSz w:w="11900" w:h="16838" w:orient="portrait"/>
          <w:cols w:equalWidth="0" w:num="1">
            <w:col w:w="11400"/>
          </w:cols>
          <w:pgMar w:left="240" w:top="571"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0"/>
          <w:szCs w:val="20"/>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BY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19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660" w:right="100" w:hanging="328"/>
        <w:spacing w:after="0" w:line="25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660" w:right="180" w:hanging="328"/>
        <w:spacing w:after="0" w:line="25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1300" w:right="360" w:hanging="320"/>
        <w:spacing w:after="0" w:line="253"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1300" w:right="240" w:hanging="320"/>
        <w:spacing w:after="0" w:line="253"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74" w:lineRule="exact"/>
        <w:rPr>
          <w:rFonts w:ascii="Arial" w:cs="Arial" w:eastAsia="Arial" w:hAnsi="Arial"/>
          <w:sz w:val="16"/>
          <w:szCs w:val="16"/>
          <w:color w:val="auto"/>
        </w:rPr>
      </w:pPr>
    </w:p>
    <w:p>
      <w:pPr>
        <w:jc w:val="both"/>
        <w:ind w:left="1300" w:right="40" w:hanging="320"/>
        <w:spacing w:after="0" w:line="253"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660" w:right="280" w:hanging="328"/>
        <w:spacing w:after="0" w:line="26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1300" w:right="380" w:hanging="320"/>
        <w:spacing w:after="0" w:line="260"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110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30, 2012</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00"/>
          </w:cols>
          <w:pgMar w:left="240" w:top="571"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20"/>
          <w:szCs w:val="20"/>
          <w:b w:val="1"/>
          <w:bCs w:val="1"/>
          <w:color w:val="auto"/>
        </w:rPr>
        <w:t>Exhibit 32.1</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59"/>
        <w:spacing w:after="0"/>
        <w:rPr>
          <w:sz w:val="20"/>
          <w:szCs w:val="20"/>
          <w:color w:val="auto"/>
        </w:rPr>
      </w:pPr>
      <w:r>
        <w:rPr>
          <w:rFonts w:ascii="Arial" w:cs="Arial" w:eastAsia="Arial" w:hAnsi="Arial"/>
          <w:sz w:val="20"/>
          <w:szCs w:val="20"/>
          <w:b w:val="1"/>
          <w:bCs w:val="1"/>
          <w:color w:val="auto"/>
        </w:rPr>
        <w:t>(18 U.S.C. SECTION 1350)</w:t>
      </w:r>
    </w:p>
    <w:p>
      <w:pPr>
        <w:spacing w:after="0" w:line="38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February 25, 2012, I, Randy J. Potts certify that pursuant to 18 U.S.C. §1350 as adopted pursuant to §906 of the Sarbanes-Oxley Act of 2002, that:</w:t>
      </w:r>
    </w:p>
    <w:p>
      <w:pPr>
        <w:spacing w:after="0" w:line="169" w:lineRule="exact"/>
        <w:rPr>
          <w:sz w:val="20"/>
          <w:szCs w:val="20"/>
          <w:color w:val="auto"/>
        </w:rPr>
      </w:pPr>
    </w:p>
    <w:p>
      <w:pPr>
        <w:ind w:left="660" w:right="80" w:hanging="328"/>
        <w:spacing w:after="0" w:line="25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quarter ended February 25, 2012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383" w:lineRule="exact"/>
        <w:rPr>
          <w:sz w:val="20"/>
          <w:szCs w:val="20"/>
          <w:color w:val="auto"/>
        </w:rPr>
      </w:pPr>
    </w:p>
    <w:p>
      <w:pPr>
        <w:ind w:left="40"/>
        <w:spacing w:after="0"/>
        <w:tabs>
          <w:tab w:leader="none" w:pos="110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30, 2012</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Chairman of the Board,</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 and President</w:t>
      </w:r>
    </w:p>
    <w:p>
      <w:pPr>
        <w:sectPr>
          <w:pgSz w:w="11900" w:h="16838" w:orient="portrait"/>
          <w:cols w:equalWidth="0" w:num="1">
            <w:col w:w="11360"/>
          </w:cols>
          <w:pgMar w:left="240" w:top="571" w:right="2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20"/>
          <w:szCs w:val="20"/>
          <w:b w:val="1"/>
          <w:bCs w:val="1"/>
          <w:color w:val="auto"/>
        </w:rPr>
        <w:t>Exhibit 32.2</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59"/>
        <w:spacing w:after="0"/>
        <w:rPr>
          <w:sz w:val="20"/>
          <w:szCs w:val="20"/>
          <w:color w:val="auto"/>
        </w:rPr>
      </w:pPr>
      <w:r>
        <w:rPr>
          <w:rFonts w:ascii="Arial" w:cs="Arial" w:eastAsia="Arial" w:hAnsi="Arial"/>
          <w:sz w:val="20"/>
          <w:szCs w:val="20"/>
          <w:b w:val="1"/>
          <w:bCs w:val="1"/>
          <w:color w:val="auto"/>
        </w:rPr>
        <w:t>(18 U.S.C. SECTION 1350)</w:t>
      </w:r>
    </w:p>
    <w:p>
      <w:pPr>
        <w:spacing w:after="0" w:line="19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February 25, 2012, I, Sarah N. Nielsen, Chief Financial Officer of Winnebago Industries, Inc., certify that pursuant to 18 U.S.C. §1350 as adopted pursuant to §906 of the Sarbanes-Oxley Act of 2002, that:</w:t>
      </w:r>
    </w:p>
    <w:p>
      <w:pPr>
        <w:spacing w:after="0" w:line="182" w:lineRule="exact"/>
        <w:rPr>
          <w:sz w:val="20"/>
          <w:szCs w:val="20"/>
          <w:color w:val="auto"/>
        </w:rPr>
      </w:pPr>
    </w:p>
    <w:p>
      <w:pPr>
        <w:ind w:left="660" w:right="80" w:hanging="328"/>
        <w:spacing w:after="0" w:line="27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This Quarterly Report on Form 10-Q (“periodic report”) of Winnebago Industries, Inc. (the “issuer”), for the quarter ended February 25, 2012 as filed with the Securities and Exchange Commission on the date of this certificate, which this statement accompanies, fully complies with the requirements of Section 13(a) or 15(d) of the Securities Exchange Act of 1934, and</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386" w:lineRule="exact"/>
        <w:rPr>
          <w:sz w:val="20"/>
          <w:szCs w:val="20"/>
          <w:color w:val="auto"/>
        </w:rPr>
      </w:pPr>
    </w:p>
    <w:p>
      <w:pPr>
        <w:ind w:left="40"/>
        <w:spacing w:after="0"/>
        <w:tabs>
          <w:tab w:leader="none" w:pos="110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30, 2012</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360"/>
      </w:cols>
      <w:pgMar w:left="240" w:top="5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2019-12-09T08:34:03Z</dcterms:created>
  <dcterms:modified xsi:type="dcterms:W3CDTF">2019-12-09T08:34:03Z</dcterms:modified>
</cp:coreProperties>
</file>