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59"/>
        <w:spacing w:after="0"/>
        <w:rPr>
          <w:sz w:val="20"/>
          <w:szCs w:val="20"/>
          <w:color w:val="auto"/>
        </w:rPr>
      </w:pPr>
      <w:r>
        <w:rPr>
          <w:rFonts w:ascii="Arial" w:cs="Arial" w:eastAsia="Arial" w:hAnsi="Arial"/>
          <w:sz w:val="24"/>
          <w:szCs w:val="24"/>
          <w:b w:val="1"/>
          <w:bCs w:val="1"/>
          <w:color w:val="auto"/>
        </w:rPr>
        <w:drawing>
          <wp:anchor simplePos="0" relativeHeight="251657728" behindDoc="1" locked="0" layoutInCell="0" allowOverlap="1">
            <wp:simplePos x="0" y="0"/>
            <wp:positionH relativeFrom="page">
              <wp:posOffset>157480</wp:posOffset>
            </wp:positionH>
            <wp:positionV relativeFrom="page">
              <wp:posOffset>320675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354965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6" w:lineRule="exact"/>
        <w:rPr>
          <w:sz w:val="24"/>
          <w:szCs w:val="24"/>
          <w:color w:val="auto"/>
        </w:rPr>
      </w:pPr>
    </w:p>
    <w:p>
      <w:pPr>
        <w:jc w:val="center"/>
        <w:ind w:right="-159"/>
        <w:spacing w:after="0"/>
        <w:rPr>
          <w:sz w:val="20"/>
          <w:szCs w:val="20"/>
          <w:color w:val="auto"/>
        </w:rPr>
      </w:pPr>
      <w:r>
        <w:rPr>
          <w:rFonts w:ascii="Arial" w:cs="Arial" w:eastAsia="Arial" w:hAnsi="Arial"/>
          <w:sz w:val="24"/>
          <w:szCs w:val="24"/>
          <w:b w:val="1"/>
          <w:bCs w:val="1"/>
          <w:color w:val="auto"/>
        </w:rPr>
        <w:t>SECURITIES AND EXCHANGE COMMISSION</w:t>
      </w:r>
    </w:p>
    <w:p>
      <w:pPr>
        <w:spacing w:after="0" w:line="13"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2893060</wp:posOffset>
            </wp:positionH>
            <wp:positionV relativeFrom="paragraph">
              <wp:posOffset>163830</wp:posOffset>
            </wp:positionV>
            <wp:extent cx="147066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0660" cy="21590"/>
                    </a:xfrm>
                    <a:prstGeom prst="rect">
                      <a:avLst/>
                    </a:prstGeom>
                    <a:noFill/>
                  </pic:spPr>
                </pic:pic>
              </a:graphicData>
            </a:graphic>
          </wp:anchor>
        </w:drawing>
      </w:r>
    </w:p>
    <w:p>
      <w:pPr>
        <w:spacing w:after="0" w:line="333" w:lineRule="exact"/>
        <w:rPr>
          <w:sz w:val="24"/>
          <w:szCs w:val="24"/>
          <w:color w:val="auto"/>
        </w:rPr>
      </w:pPr>
    </w:p>
    <w:p>
      <w:pPr>
        <w:jc w:val="center"/>
        <w:ind w:right="-159"/>
        <w:spacing w:after="0"/>
        <w:rPr>
          <w:sz w:val="20"/>
          <w:szCs w:val="20"/>
          <w:color w:val="auto"/>
        </w:rPr>
      </w:pPr>
      <w:r>
        <w:rPr>
          <w:rFonts w:ascii="Arial" w:cs="Arial" w:eastAsia="Arial" w:hAnsi="Arial"/>
          <w:sz w:val="43"/>
          <w:szCs w:val="43"/>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2893060</wp:posOffset>
            </wp:positionH>
            <wp:positionV relativeFrom="paragraph">
              <wp:posOffset>97155</wp:posOffset>
            </wp:positionV>
            <wp:extent cx="147066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0660" cy="21590"/>
                    </a:xfrm>
                    <a:prstGeom prst="rect">
                      <a:avLst/>
                    </a:prstGeom>
                    <a:noFill/>
                  </pic:spPr>
                </pic:pic>
              </a:graphicData>
            </a:graphic>
          </wp:anchor>
        </w:drawing>
      </w:r>
    </w:p>
    <w:p>
      <w:pPr>
        <w:spacing w:after="0" w:line="393" w:lineRule="exact"/>
        <w:rPr>
          <w:sz w:val="24"/>
          <w:szCs w:val="24"/>
          <w:color w:val="auto"/>
        </w:rPr>
      </w:pPr>
    </w:p>
    <w:p>
      <w:pPr>
        <w:jc w:val="center"/>
        <w:ind w:right="-159"/>
        <w:spacing w:after="0"/>
        <w:rPr>
          <w:sz w:val="20"/>
          <w:szCs w:val="20"/>
          <w:color w:val="auto"/>
        </w:rPr>
      </w:pPr>
      <w:r>
        <w:rPr>
          <w:rFonts w:ascii="Arial" w:cs="Arial" w:eastAsia="Arial" w:hAnsi="Arial"/>
          <w:sz w:val="22"/>
          <w:szCs w:val="22"/>
          <w:b w:val="1"/>
          <w:bCs w:val="1"/>
          <w:color w:val="auto"/>
        </w:rPr>
        <w:t>CURRENT REPORT</w:t>
      </w:r>
    </w:p>
    <w:p>
      <w:pPr>
        <w:spacing w:after="0" w:line="14" w:lineRule="exact"/>
        <w:rPr>
          <w:sz w:val="24"/>
          <w:szCs w:val="24"/>
          <w:color w:val="auto"/>
        </w:rPr>
      </w:pPr>
    </w:p>
    <w:p>
      <w:pPr>
        <w:jc w:val="center"/>
        <w:ind w:right="-159"/>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121" w:lineRule="exact"/>
        <w:rPr>
          <w:sz w:val="24"/>
          <w:szCs w:val="24"/>
          <w:color w:val="auto"/>
        </w:rPr>
      </w:pPr>
    </w:p>
    <w:p>
      <w:pPr>
        <w:jc w:val="center"/>
        <w:ind w:right="-159"/>
        <w:spacing w:after="0"/>
        <w:tabs>
          <w:tab w:leader="none" w:pos="180" w:val="left"/>
        </w:tabs>
        <w:rPr>
          <w:sz w:val="20"/>
          <w:szCs w:val="20"/>
          <w:color w:val="auto"/>
        </w:rPr>
      </w:pPr>
      <w:r>
        <w:rPr>
          <w:rFonts w:ascii="Arial" w:cs="Arial" w:eastAsia="Arial" w:hAnsi="Arial"/>
          <w:sz w:val="22"/>
          <w:szCs w:val="22"/>
          <w:color w:val="auto"/>
        </w:rPr>
        <w:t>Date of report (Date of earliest event reported)</w:t>
      </w:r>
      <w:r>
        <w:rPr>
          <w:sz w:val="20"/>
          <w:szCs w:val="20"/>
          <w:color w:val="auto"/>
        </w:rPr>
        <w:tab/>
      </w:r>
      <w:r>
        <w:rPr>
          <w:rFonts w:ascii="Arial" w:cs="Arial" w:eastAsia="Arial" w:hAnsi="Arial"/>
          <w:sz w:val="19"/>
          <w:szCs w:val="19"/>
          <w:color w:val="auto"/>
        </w:rPr>
        <w:t>December 20, 2007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2893060</wp:posOffset>
            </wp:positionH>
            <wp:positionV relativeFrom="paragraph">
              <wp:posOffset>168275</wp:posOffset>
            </wp:positionV>
            <wp:extent cx="147066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0660" cy="21590"/>
                    </a:xfrm>
                    <a:prstGeom prst="rect">
                      <a:avLst/>
                    </a:prstGeom>
                    <a:noFill/>
                  </pic:spPr>
                </pic:pic>
              </a:graphicData>
            </a:graphic>
          </wp:anchor>
        </w:drawing>
      </w:r>
    </w:p>
    <w:p>
      <w:pPr>
        <w:spacing w:after="0" w:line="200" w:lineRule="exact"/>
        <w:rPr>
          <w:sz w:val="24"/>
          <w:szCs w:val="24"/>
          <w:color w:val="auto"/>
        </w:rPr>
      </w:pPr>
    </w:p>
    <w:p>
      <w:pPr>
        <w:spacing w:after="0" w:line="260" w:lineRule="exact"/>
        <w:rPr>
          <w:sz w:val="24"/>
          <w:szCs w:val="24"/>
          <w:color w:val="auto"/>
        </w:rPr>
      </w:pPr>
    </w:p>
    <w:p>
      <w:pPr>
        <w:jc w:val="center"/>
        <w:ind w:right="-159"/>
        <w:spacing w:after="0"/>
        <w:rPr>
          <w:sz w:val="20"/>
          <w:szCs w:val="20"/>
          <w:color w:val="auto"/>
        </w:rPr>
      </w:pPr>
      <w:r>
        <w:rPr>
          <w:rFonts w:ascii="Arial" w:cs="Arial" w:eastAsia="Arial" w:hAnsi="Arial"/>
          <w:sz w:val="43"/>
          <w:szCs w:val="43"/>
          <w:color w:val="auto"/>
        </w:rPr>
        <w:t>Winnebago Industries, Inc.</w:t>
      </w:r>
    </w:p>
    <w:p>
      <w:pPr>
        <w:spacing w:after="0" w:line="42"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(Exact Name of Registrant as Specified in its Charter)</w:t>
      </w:r>
    </w:p>
    <w:p>
      <w:pPr>
        <w:spacing w:after="0" w:line="125" w:lineRule="exact"/>
        <w:rPr>
          <w:sz w:val="24"/>
          <w:szCs w:val="24"/>
          <w:color w:val="auto"/>
        </w:rPr>
      </w:pPr>
    </w:p>
    <w:tbl>
      <w:tblPr>
        <w:tblLayout w:type="fixed"/>
        <w:tblInd w:w="1060" w:type="dxa"/>
        <w:tblCellMar>
          <w:top w:w="0" w:type="dxa"/>
          <w:left w:w="0" w:type="dxa"/>
          <w:bottom w:w="0" w:type="dxa"/>
          <w:right w:w="0" w:type="dxa"/>
        </w:tblCellMar>
      </w:tblPr>
      <w:tr>
        <w:trPr>
          <w:trHeight w:val="262"/>
        </w:trPr>
        <w:tc>
          <w:tcPr>
            <w:tcW w:w="3300" w:type="dxa"/>
            <w:vAlign w:val="bottom"/>
          </w:tcPr>
          <w:p>
            <w:pPr>
              <w:jc w:val="center"/>
              <w:ind w:right="322"/>
              <w:spacing w:after="0"/>
              <w:rPr>
                <w:sz w:val="20"/>
                <w:szCs w:val="20"/>
                <w:color w:val="auto"/>
              </w:rPr>
            </w:pPr>
            <w:r>
              <w:rPr>
                <w:rFonts w:ascii="Arial" w:cs="Arial" w:eastAsia="Arial" w:hAnsi="Arial"/>
                <w:sz w:val="22"/>
                <w:szCs w:val="22"/>
                <w:b w:val="1"/>
                <w:bCs w:val="1"/>
                <w:color w:val="auto"/>
                <w:w w:val="89"/>
              </w:rPr>
              <w:t>Iowa</w:t>
            </w:r>
          </w:p>
        </w:tc>
        <w:tc>
          <w:tcPr>
            <w:tcW w:w="2960" w:type="dxa"/>
            <w:vAlign w:val="bottom"/>
          </w:tcPr>
          <w:p>
            <w:pPr>
              <w:jc w:val="right"/>
              <w:ind w:right="1002"/>
              <w:spacing w:after="0"/>
              <w:rPr>
                <w:sz w:val="20"/>
                <w:szCs w:val="20"/>
                <w:color w:val="auto"/>
              </w:rPr>
            </w:pPr>
            <w:r>
              <w:rPr>
                <w:rFonts w:ascii="Arial" w:cs="Arial" w:eastAsia="Arial" w:hAnsi="Arial"/>
                <w:sz w:val="22"/>
                <w:szCs w:val="22"/>
                <w:b w:val="1"/>
                <w:bCs w:val="1"/>
                <w:color w:val="auto"/>
              </w:rPr>
              <w:t>001-06403</w:t>
            </w:r>
          </w:p>
        </w:tc>
        <w:tc>
          <w:tcPr>
            <w:tcW w:w="2300" w:type="dxa"/>
            <w:vAlign w:val="bottom"/>
          </w:tcPr>
          <w:p>
            <w:pPr>
              <w:jc w:val="right"/>
              <w:ind w:right="22"/>
              <w:spacing w:after="0"/>
              <w:rPr>
                <w:sz w:val="20"/>
                <w:szCs w:val="20"/>
                <w:color w:val="auto"/>
              </w:rPr>
            </w:pPr>
            <w:r>
              <w:rPr>
                <w:rFonts w:ascii="Arial" w:cs="Arial" w:eastAsia="Arial" w:hAnsi="Arial"/>
                <w:sz w:val="22"/>
                <w:szCs w:val="22"/>
                <w:b w:val="1"/>
                <w:bCs w:val="1"/>
                <w:color w:val="auto"/>
              </w:rPr>
              <w:t>42-0802678</w:t>
            </w:r>
          </w:p>
        </w:tc>
      </w:tr>
      <w:tr>
        <w:trPr>
          <w:trHeight w:val="216"/>
        </w:trPr>
        <w:tc>
          <w:tcPr>
            <w:tcW w:w="3300" w:type="dxa"/>
            <w:vAlign w:val="bottom"/>
          </w:tcPr>
          <w:p>
            <w:pPr>
              <w:jc w:val="center"/>
              <w:ind w:right="322"/>
              <w:spacing w:after="0"/>
              <w:rPr>
                <w:sz w:val="20"/>
                <w:szCs w:val="20"/>
                <w:color w:val="auto"/>
              </w:rPr>
            </w:pPr>
            <w:r>
              <w:rPr>
                <w:rFonts w:ascii="Arial" w:cs="Arial" w:eastAsia="Arial" w:hAnsi="Arial"/>
                <w:sz w:val="18"/>
                <w:szCs w:val="18"/>
                <w:color w:val="auto"/>
                <w:w w:val="89"/>
              </w:rPr>
              <w:t>(State or Other Jurisdiction</w:t>
            </w:r>
          </w:p>
        </w:tc>
        <w:tc>
          <w:tcPr>
            <w:tcW w:w="2960" w:type="dxa"/>
            <w:vAlign w:val="bottom"/>
          </w:tcPr>
          <w:p>
            <w:pPr>
              <w:jc w:val="center"/>
              <w:ind w:right="82"/>
              <w:spacing w:after="0"/>
              <w:rPr>
                <w:sz w:val="20"/>
                <w:szCs w:val="20"/>
                <w:color w:val="auto"/>
              </w:rPr>
            </w:pPr>
            <w:r>
              <w:rPr>
                <w:rFonts w:ascii="Arial" w:cs="Arial" w:eastAsia="Arial" w:hAnsi="Arial"/>
                <w:sz w:val="18"/>
                <w:szCs w:val="18"/>
                <w:color w:val="auto"/>
                <w:w w:val="90"/>
              </w:rPr>
              <w:t>(Commission File Number)</w:t>
            </w:r>
          </w:p>
        </w:tc>
        <w:tc>
          <w:tcPr>
            <w:tcW w:w="2300" w:type="dxa"/>
            <w:vAlign w:val="bottom"/>
          </w:tcPr>
          <w:p>
            <w:pPr>
              <w:jc w:val="center"/>
              <w:ind w:left="902"/>
              <w:spacing w:after="0"/>
              <w:rPr>
                <w:sz w:val="20"/>
                <w:szCs w:val="20"/>
                <w:color w:val="auto"/>
              </w:rPr>
            </w:pPr>
            <w:r>
              <w:rPr>
                <w:rFonts w:ascii="Arial" w:cs="Arial" w:eastAsia="Arial" w:hAnsi="Arial"/>
                <w:sz w:val="18"/>
                <w:szCs w:val="18"/>
                <w:color w:val="auto"/>
                <w:w w:val="90"/>
              </w:rPr>
              <w:t>(IRS Employer</w:t>
            </w:r>
          </w:p>
        </w:tc>
      </w:tr>
      <w:tr>
        <w:trPr>
          <w:trHeight w:val="222"/>
        </w:trPr>
        <w:tc>
          <w:tcPr>
            <w:tcW w:w="3300" w:type="dxa"/>
            <w:vAlign w:val="bottom"/>
          </w:tcPr>
          <w:p>
            <w:pPr>
              <w:jc w:val="center"/>
              <w:ind w:right="322"/>
              <w:spacing w:after="0"/>
              <w:rPr>
                <w:sz w:val="20"/>
                <w:szCs w:val="20"/>
                <w:color w:val="auto"/>
              </w:rPr>
            </w:pPr>
            <w:r>
              <w:rPr>
                <w:rFonts w:ascii="Arial" w:cs="Arial" w:eastAsia="Arial" w:hAnsi="Arial"/>
                <w:sz w:val="18"/>
                <w:szCs w:val="18"/>
                <w:color w:val="auto"/>
                <w:w w:val="91"/>
              </w:rPr>
              <w:t>of Incorporation)</w:t>
            </w:r>
          </w:p>
        </w:tc>
        <w:tc>
          <w:tcPr>
            <w:tcW w:w="2960" w:type="dxa"/>
            <w:vAlign w:val="bottom"/>
          </w:tcPr>
          <w:p>
            <w:pPr>
              <w:spacing w:after="0"/>
              <w:rPr>
                <w:sz w:val="19"/>
                <w:szCs w:val="19"/>
                <w:color w:val="auto"/>
              </w:rPr>
            </w:pPr>
          </w:p>
        </w:tc>
        <w:tc>
          <w:tcPr>
            <w:tcW w:w="2300" w:type="dxa"/>
            <w:vAlign w:val="bottom"/>
          </w:tcPr>
          <w:p>
            <w:pPr>
              <w:jc w:val="center"/>
              <w:ind w:left="902"/>
              <w:spacing w:after="0"/>
              <w:rPr>
                <w:sz w:val="20"/>
                <w:szCs w:val="20"/>
                <w:color w:val="auto"/>
              </w:rPr>
            </w:pPr>
            <w:r>
              <w:rPr>
                <w:rFonts w:ascii="Arial" w:cs="Arial" w:eastAsia="Arial" w:hAnsi="Arial"/>
                <w:sz w:val="18"/>
                <w:szCs w:val="18"/>
                <w:color w:val="auto"/>
                <w:w w:val="92"/>
              </w:rPr>
              <w:t>Identification No.)</w:t>
            </w:r>
          </w:p>
        </w:tc>
      </w:tr>
      <w:tr>
        <w:trPr>
          <w:trHeight w:val="453"/>
        </w:trPr>
        <w:tc>
          <w:tcPr>
            <w:tcW w:w="3300" w:type="dxa"/>
            <w:vAlign w:val="bottom"/>
          </w:tcPr>
          <w:p>
            <w:pPr>
              <w:jc w:val="center"/>
              <w:ind w:right="322"/>
              <w:spacing w:after="0"/>
              <w:rPr>
                <w:sz w:val="20"/>
                <w:szCs w:val="20"/>
                <w:color w:val="auto"/>
              </w:rPr>
            </w:pPr>
            <w:r>
              <w:rPr>
                <w:rFonts w:ascii="Arial" w:cs="Arial" w:eastAsia="Arial" w:hAnsi="Arial"/>
                <w:sz w:val="22"/>
                <w:szCs w:val="22"/>
                <w:b w:val="1"/>
                <w:bCs w:val="1"/>
                <w:color w:val="auto"/>
                <w:w w:val="89"/>
              </w:rPr>
              <w:t>P.O. Box 152, Forest City, Iowa</w:t>
            </w:r>
          </w:p>
        </w:tc>
        <w:tc>
          <w:tcPr>
            <w:tcW w:w="2960" w:type="dxa"/>
            <w:vAlign w:val="bottom"/>
          </w:tcPr>
          <w:p>
            <w:pPr>
              <w:spacing w:after="0"/>
              <w:rPr>
                <w:sz w:val="24"/>
                <w:szCs w:val="24"/>
                <w:color w:val="auto"/>
              </w:rPr>
            </w:pPr>
          </w:p>
        </w:tc>
        <w:tc>
          <w:tcPr>
            <w:tcW w:w="2300" w:type="dxa"/>
            <w:vAlign w:val="bottom"/>
          </w:tcPr>
          <w:p>
            <w:pPr>
              <w:jc w:val="right"/>
              <w:ind w:right="282"/>
              <w:spacing w:after="0"/>
              <w:rPr>
                <w:sz w:val="20"/>
                <w:szCs w:val="20"/>
                <w:color w:val="auto"/>
              </w:rPr>
            </w:pPr>
            <w:r>
              <w:rPr>
                <w:rFonts w:ascii="Arial" w:cs="Arial" w:eastAsia="Arial" w:hAnsi="Arial"/>
                <w:sz w:val="22"/>
                <w:szCs w:val="22"/>
                <w:b w:val="1"/>
                <w:bCs w:val="1"/>
                <w:color w:val="auto"/>
              </w:rPr>
              <w:t>50436</w:t>
            </w:r>
          </w:p>
        </w:tc>
      </w:tr>
      <w:tr>
        <w:trPr>
          <w:trHeight w:val="222"/>
        </w:trPr>
        <w:tc>
          <w:tcPr>
            <w:tcW w:w="3300" w:type="dxa"/>
            <w:vAlign w:val="bottom"/>
          </w:tcPr>
          <w:p>
            <w:pPr>
              <w:jc w:val="center"/>
              <w:ind w:right="322"/>
              <w:spacing w:after="0"/>
              <w:rPr>
                <w:sz w:val="20"/>
                <w:szCs w:val="20"/>
                <w:color w:val="auto"/>
              </w:rPr>
            </w:pPr>
            <w:r>
              <w:rPr>
                <w:rFonts w:ascii="Arial" w:cs="Arial" w:eastAsia="Arial" w:hAnsi="Arial"/>
                <w:sz w:val="18"/>
                <w:szCs w:val="18"/>
                <w:color w:val="auto"/>
                <w:w w:val="91"/>
              </w:rPr>
              <w:t>(Address of Principal Executive Offices)</w:t>
            </w:r>
          </w:p>
        </w:tc>
        <w:tc>
          <w:tcPr>
            <w:tcW w:w="2960" w:type="dxa"/>
            <w:vAlign w:val="bottom"/>
          </w:tcPr>
          <w:p>
            <w:pPr>
              <w:spacing w:after="0"/>
              <w:rPr>
                <w:sz w:val="19"/>
                <w:szCs w:val="19"/>
                <w:color w:val="auto"/>
              </w:rPr>
            </w:pPr>
          </w:p>
        </w:tc>
        <w:tc>
          <w:tcPr>
            <w:tcW w:w="2300" w:type="dxa"/>
            <w:vAlign w:val="bottom"/>
          </w:tcPr>
          <w:p>
            <w:pPr>
              <w:jc w:val="center"/>
              <w:ind w:left="902"/>
              <w:spacing w:after="0"/>
              <w:rPr>
                <w:sz w:val="20"/>
                <w:szCs w:val="20"/>
                <w:color w:val="auto"/>
              </w:rPr>
            </w:pPr>
            <w:r>
              <w:rPr>
                <w:rFonts w:ascii="Arial" w:cs="Arial" w:eastAsia="Arial" w:hAnsi="Arial"/>
                <w:sz w:val="18"/>
                <w:szCs w:val="18"/>
                <w:color w:val="auto"/>
                <w:w w:val="91"/>
              </w:rPr>
              <w:t>(Zip Code)</w:t>
            </w:r>
          </w:p>
        </w:tc>
      </w:tr>
      <w:tr>
        <w:trPr>
          <w:trHeight w:val="404"/>
        </w:trPr>
        <w:tc>
          <w:tcPr>
            <w:tcW w:w="6260" w:type="dxa"/>
            <w:vAlign w:val="bottom"/>
            <w:gridSpan w:val="2"/>
          </w:tcPr>
          <w:p>
            <w:pPr>
              <w:ind w:left="1720"/>
              <w:spacing w:after="0"/>
              <w:rPr>
                <w:sz w:val="20"/>
                <w:szCs w:val="20"/>
                <w:color w:val="auto"/>
              </w:rPr>
            </w:pPr>
            <w:r>
              <w:rPr>
                <w:rFonts w:ascii="Arial" w:cs="Arial" w:eastAsia="Arial" w:hAnsi="Arial"/>
                <w:sz w:val="22"/>
                <w:szCs w:val="22"/>
                <w:color w:val="auto"/>
                <w:w w:val="89"/>
              </w:rPr>
              <w:t>Registrant’s telephone number, including area code</w:t>
            </w:r>
          </w:p>
        </w:tc>
        <w:tc>
          <w:tcPr>
            <w:tcW w:w="2300" w:type="dxa"/>
            <w:vAlign w:val="bottom"/>
          </w:tcPr>
          <w:p>
            <w:pPr>
              <w:jc w:val="right"/>
              <w:ind w:right="862"/>
              <w:spacing w:after="0"/>
              <w:rPr>
                <w:sz w:val="20"/>
                <w:szCs w:val="20"/>
                <w:color w:val="auto"/>
              </w:rPr>
            </w:pPr>
            <w:r>
              <w:rPr>
                <w:rFonts w:ascii="Arial" w:cs="Arial" w:eastAsia="Arial" w:hAnsi="Arial"/>
                <w:sz w:val="22"/>
                <w:szCs w:val="22"/>
                <w:color w:val="auto"/>
                <w:w w:val="96"/>
              </w:rPr>
              <w:t>641-585-3535</w:t>
            </w:r>
          </w:p>
        </w:tc>
      </w:tr>
    </w:tbl>
    <w:p>
      <w:pPr>
        <w:spacing w:after="0" w:line="373" w:lineRule="exact"/>
        <w:rPr>
          <w:sz w:val="24"/>
          <w:szCs w:val="24"/>
          <w:color w:val="auto"/>
        </w:rPr>
      </w:pPr>
    </w:p>
    <w:p>
      <w:pPr>
        <w:ind w:left="2780"/>
        <w:spacing w:after="0"/>
        <w:rPr>
          <w:sz w:val="20"/>
          <w:szCs w:val="20"/>
          <w:color w:val="auto"/>
        </w:rPr>
      </w:pPr>
      <w:r>
        <w:rPr>
          <w:rFonts w:ascii="Arial" w:cs="Arial" w:eastAsia="Arial" w:hAnsi="Arial"/>
          <w:sz w:val="18"/>
          <w:szCs w:val="18"/>
          <w:color w:val="auto"/>
        </w:rPr>
        <w:t>___________________________________________________________________</w:t>
      </w:r>
    </w:p>
    <w:p>
      <w:pPr>
        <w:spacing w:after="0" w:line="15"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2893060</wp:posOffset>
            </wp:positionH>
            <wp:positionV relativeFrom="paragraph">
              <wp:posOffset>167640</wp:posOffset>
            </wp:positionV>
            <wp:extent cx="147066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0660" cy="21590"/>
                    </a:xfrm>
                    <a:prstGeom prst="rect">
                      <a:avLst/>
                    </a:prstGeom>
                    <a:noFill/>
                  </pic:spPr>
                </pic:pic>
              </a:graphicData>
            </a:graphic>
          </wp:anchor>
        </w:drawing>
      </w:r>
    </w:p>
    <w:p>
      <w:pPr>
        <w:spacing w:after="0" w:line="200" w:lineRule="exact"/>
        <w:rPr>
          <w:sz w:val="24"/>
          <w:szCs w:val="24"/>
          <w:color w:val="auto"/>
        </w:rPr>
      </w:pPr>
    </w:p>
    <w:p>
      <w:pPr>
        <w:spacing w:after="0" w:line="269" w:lineRule="exact"/>
        <w:rPr>
          <w:sz w:val="24"/>
          <w:szCs w:val="24"/>
          <w:color w:val="auto"/>
        </w:rPr>
      </w:pPr>
    </w:p>
    <w:p>
      <w:pPr>
        <w:ind w:right="60"/>
        <w:spacing w:after="0" w:line="251" w:lineRule="auto"/>
        <w:rPr>
          <w:sz w:val="20"/>
          <w:szCs w:val="20"/>
          <w:color w:val="auto"/>
        </w:rPr>
      </w:pPr>
      <w:r>
        <w:rPr>
          <w:rFonts w:ascii="Arial" w:cs="Arial" w:eastAsia="Arial" w:hAnsi="Arial"/>
          <w:sz w:val="22"/>
          <w:szCs w:val="22"/>
          <w:color w:val="auto"/>
        </w:rPr>
        <w:t>Check the appropriate box below if the Form 8-K filing is intended to simultaneously satisfy the filing obligation of the registrant under any of the following provisions (see General Instruction A.2. below):</w:t>
      </w:r>
    </w:p>
    <w:p>
      <w:pPr>
        <w:spacing w:after="0" w:line="173" w:lineRule="exact"/>
        <w:rPr>
          <w:sz w:val="24"/>
          <w:szCs w:val="24"/>
          <w:color w:val="auto"/>
        </w:rPr>
      </w:pPr>
    </w:p>
    <w:p>
      <w:pPr>
        <w:ind w:left="320" w:hanging="312"/>
        <w:spacing w:after="0"/>
        <w:tabs>
          <w:tab w:leader="none" w:pos="320" w:val="left"/>
        </w:tabs>
        <w:numPr>
          <w:ilvl w:val="0"/>
          <w:numId w:val="1"/>
        </w:numPr>
        <w:rPr>
          <w:rFonts w:ascii="Arial" w:cs="Arial" w:eastAsia="Arial" w:hAnsi="Arial"/>
          <w:sz w:val="22"/>
          <w:szCs w:val="22"/>
          <w:color w:val="auto"/>
        </w:rPr>
      </w:pPr>
      <w:r>
        <w:rPr>
          <w:rFonts w:ascii="Arial" w:cs="Arial" w:eastAsia="Arial" w:hAnsi="Arial"/>
          <w:sz w:val="22"/>
          <w:szCs w:val="22"/>
          <w:color w:val="auto"/>
        </w:rPr>
        <w:t>Written communications pursuant to Rule 425 under the Securities Act (17 CFR 230.425)</w:t>
      </w:r>
    </w:p>
    <w:p>
      <w:pPr>
        <w:spacing w:after="0" w:line="206" w:lineRule="exact"/>
        <w:rPr>
          <w:rFonts w:ascii="Arial" w:cs="Arial" w:eastAsia="Arial" w:hAnsi="Arial"/>
          <w:sz w:val="22"/>
          <w:szCs w:val="22"/>
          <w:color w:val="auto"/>
        </w:rPr>
      </w:pPr>
    </w:p>
    <w:p>
      <w:pPr>
        <w:ind w:left="340" w:hanging="332"/>
        <w:spacing w:after="0"/>
        <w:tabs>
          <w:tab w:leader="none" w:pos="340" w:val="left"/>
        </w:tabs>
        <w:numPr>
          <w:ilvl w:val="0"/>
          <w:numId w:val="1"/>
        </w:numPr>
        <w:rPr>
          <w:rFonts w:ascii="Arial" w:cs="Arial" w:eastAsia="Arial" w:hAnsi="Arial"/>
          <w:sz w:val="22"/>
          <w:szCs w:val="22"/>
          <w:color w:val="auto"/>
        </w:rPr>
      </w:pPr>
      <w:r>
        <w:rPr>
          <w:rFonts w:ascii="Arial" w:cs="Arial" w:eastAsia="Arial" w:hAnsi="Arial"/>
          <w:sz w:val="22"/>
          <w:szCs w:val="22"/>
          <w:color w:val="auto"/>
        </w:rPr>
        <w:t>Soliciting material pursuant to Rule 14a-12 under the Exchange Act (17 CFR 240.14a-12)</w:t>
      </w:r>
    </w:p>
    <w:p>
      <w:pPr>
        <w:spacing w:after="0" w:line="206" w:lineRule="exact"/>
        <w:rPr>
          <w:rFonts w:ascii="Arial" w:cs="Arial" w:eastAsia="Arial" w:hAnsi="Arial"/>
          <w:sz w:val="22"/>
          <w:szCs w:val="22"/>
          <w:color w:val="auto"/>
        </w:rPr>
      </w:pPr>
    </w:p>
    <w:p>
      <w:pPr>
        <w:ind w:left="340" w:hanging="332"/>
        <w:spacing w:after="0"/>
        <w:tabs>
          <w:tab w:leader="none" w:pos="340" w:val="left"/>
        </w:tabs>
        <w:numPr>
          <w:ilvl w:val="0"/>
          <w:numId w:val="1"/>
        </w:numPr>
        <w:rPr>
          <w:rFonts w:ascii="Arial" w:cs="Arial" w:eastAsia="Arial" w:hAnsi="Arial"/>
          <w:sz w:val="22"/>
          <w:szCs w:val="22"/>
          <w:color w:val="auto"/>
        </w:rPr>
      </w:pPr>
      <w:r>
        <w:rPr>
          <w:rFonts w:ascii="Arial" w:cs="Arial" w:eastAsia="Arial" w:hAnsi="Arial"/>
          <w:sz w:val="22"/>
          <w:szCs w:val="22"/>
          <w:color w:val="auto"/>
        </w:rPr>
        <w:t>Pre-commencement communications pursuant to Rule 14d-2(b) under the Exchange Act (17 CFR 240.14d-2(b))</w:t>
      </w:r>
    </w:p>
    <w:p>
      <w:pPr>
        <w:spacing w:after="0" w:line="206" w:lineRule="exact"/>
        <w:rPr>
          <w:rFonts w:ascii="Arial" w:cs="Arial" w:eastAsia="Arial" w:hAnsi="Arial"/>
          <w:sz w:val="22"/>
          <w:szCs w:val="22"/>
          <w:color w:val="auto"/>
        </w:rPr>
      </w:pPr>
    </w:p>
    <w:p>
      <w:pPr>
        <w:ind w:left="340" w:hanging="332"/>
        <w:spacing w:after="0"/>
        <w:tabs>
          <w:tab w:leader="none" w:pos="340" w:val="left"/>
        </w:tabs>
        <w:numPr>
          <w:ilvl w:val="0"/>
          <w:numId w:val="1"/>
        </w:numPr>
        <w:rPr>
          <w:rFonts w:ascii="Arial" w:cs="Arial" w:eastAsia="Arial" w:hAnsi="Arial"/>
          <w:sz w:val="22"/>
          <w:szCs w:val="22"/>
          <w:color w:val="auto"/>
        </w:rPr>
      </w:pPr>
      <w:r>
        <w:rPr>
          <w:rFonts w:ascii="Arial" w:cs="Arial" w:eastAsia="Arial" w:hAnsi="Arial"/>
          <w:sz w:val="22"/>
          <w:szCs w:val="22"/>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384810</wp:posOffset>
            </wp:positionV>
            <wp:extent cx="7246620" cy="342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640080</wp:posOffset>
            </wp:positionV>
            <wp:extent cx="7250430"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55" w:lineRule="exact"/>
        <w:rPr>
          <w:sz w:val="24"/>
          <w:szCs w:val="24"/>
          <w:color w:val="auto"/>
        </w:rPr>
      </w:pPr>
    </w:p>
    <w:p>
      <w:pPr>
        <w:spacing w:after="0"/>
        <w:tabs>
          <w:tab w:leader="none" w:pos="1240" w:val="left"/>
        </w:tabs>
        <w:rPr>
          <w:sz w:val="20"/>
          <w:szCs w:val="20"/>
          <w:color w:val="auto"/>
        </w:rPr>
      </w:pPr>
      <w:r>
        <w:rPr>
          <w:rFonts w:ascii="Arial" w:cs="Arial" w:eastAsia="Arial" w:hAnsi="Arial"/>
          <w:sz w:val="22"/>
          <w:szCs w:val="22"/>
          <w:b w:val="1"/>
          <w:bCs w:val="1"/>
          <w:color w:val="auto"/>
        </w:rPr>
        <w:t>Item 2.02</w:t>
      </w:r>
      <w:r>
        <w:rPr>
          <w:sz w:val="20"/>
          <w:szCs w:val="20"/>
          <w:color w:val="auto"/>
        </w:rPr>
        <w:tab/>
      </w:r>
      <w:r>
        <w:rPr>
          <w:rFonts w:ascii="Arial" w:cs="Arial" w:eastAsia="Arial" w:hAnsi="Arial"/>
          <w:sz w:val="19"/>
          <w:szCs w:val="19"/>
          <w:b w:val="1"/>
          <w:bCs w:val="1"/>
          <w:color w:val="auto"/>
        </w:rPr>
        <w:t>Results of Operations and Financial Condition.</w:t>
      </w:r>
    </w:p>
    <w:p>
      <w:pPr>
        <w:spacing w:after="0" w:line="158"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Winnebago Industries, Inc. (the “Company”) is filing herewith a press release issued on December 20, 2007, as Exhibit 99.1 which is included herein. The press release was issued to report earnings for the first quarter of fiscal year 2008 ended December 1, 2007.</w:t>
      </w:r>
    </w:p>
    <w:p>
      <w:pPr>
        <w:spacing w:after="0" w:line="118" w:lineRule="exact"/>
        <w:rPr>
          <w:sz w:val="24"/>
          <w:szCs w:val="24"/>
          <w:color w:val="auto"/>
        </w:rPr>
      </w:pPr>
    </w:p>
    <w:p>
      <w:pPr>
        <w:ind w:right="540"/>
        <w:spacing w:after="0" w:line="332" w:lineRule="auto"/>
        <w:rPr>
          <w:sz w:val="20"/>
          <w:szCs w:val="20"/>
          <w:color w:val="auto"/>
        </w:rPr>
      </w:pPr>
      <w:r>
        <w:rPr>
          <w:rFonts w:ascii="Arial" w:cs="Arial" w:eastAsia="Arial" w:hAnsi="Arial"/>
          <w:sz w:val="16"/>
          <w:szCs w:val="16"/>
          <w:color w:val="auto"/>
        </w:rPr>
        <w:t>On December 20, 2007, the Company held a conference call to discuss the financial results of the Company for its first quarter of fiscal year 2008 ended December 1, 2007 (the “Earnings Call”). A copy of the transcript of the Earnings Call is attached hereto as Exhibit 99.2.</w:t>
      </w:r>
    </w:p>
    <w:p>
      <w:pPr>
        <w:spacing w:after="0" w:line="53" w:lineRule="exact"/>
        <w:rPr>
          <w:sz w:val="24"/>
          <w:szCs w:val="24"/>
          <w:color w:val="auto"/>
        </w:rPr>
      </w:pPr>
    </w:p>
    <w:p>
      <w:pPr>
        <w:spacing w:after="0"/>
        <w:tabs>
          <w:tab w:leader="none" w:pos="1240" w:val="left"/>
        </w:tabs>
        <w:rPr>
          <w:sz w:val="20"/>
          <w:szCs w:val="20"/>
          <w:color w:val="auto"/>
        </w:rPr>
      </w:pPr>
      <w:r>
        <w:rPr>
          <w:rFonts w:ascii="Arial" w:cs="Arial" w:eastAsia="Arial" w:hAnsi="Arial"/>
          <w:sz w:val="22"/>
          <w:szCs w:val="22"/>
          <w:b w:val="1"/>
          <w:bCs w:val="1"/>
          <w:color w:val="auto"/>
        </w:rPr>
        <w:t>Item 9.01</w:t>
      </w:r>
      <w:r>
        <w:rPr>
          <w:sz w:val="20"/>
          <w:szCs w:val="20"/>
          <w:color w:val="auto"/>
        </w:rPr>
        <w:tab/>
      </w:r>
      <w:r>
        <w:rPr>
          <w:rFonts w:ascii="Arial" w:cs="Arial" w:eastAsia="Arial" w:hAnsi="Arial"/>
          <w:sz w:val="19"/>
          <w:szCs w:val="19"/>
          <w:b w:val="1"/>
          <w:bCs w:val="1"/>
          <w:color w:val="auto"/>
        </w:rPr>
        <w:t>Financial Statements and Exhibits.</w:t>
      </w:r>
    </w:p>
    <w:p>
      <w:pPr>
        <w:spacing w:after="0" w:line="306" w:lineRule="exact"/>
        <w:rPr>
          <w:sz w:val="24"/>
          <w:szCs w:val="24"/>
          <w:color w:val="auto"/>
        </w:rPr>
      </w:pPr>
    </w:p>
    <w:p>
      <w:pPr>
        <w:ind w:left="260"/>
        <w:spacing w:after="0"/>
        <w:tabs>
          <w:tab w:leader="none" w:pos="640" w:val="left"/>
        </w:tabs>
        <w:rPr>
          <w:sz w:val="20"/>
          <w:szCs w:val="20"/>
          <w:color w:val="auto"/>
        </w:rPr>
      </w:pPr>
      <w:r>
        <w:rPr>
          <w:rFonts w:ascii="Arial" w:cs="Arial" w:eastAsia="Arial" w:hAnsi="Arial"/>
          <w:sz w:val="18"/>
          <w:szCs w:val="18"/>
          <w:color w:val="auto"/>
        </w:rPr>
        <w:t>(d)</w:t>
        <w:tab/>
        <w:t>Exhibits</w:t>
      </w:r>
    </w:p>
    <w:p>
      <w:pPr>
        <w:sectPr>
          <w:pgSz w:w="11900" w:h="16838" w:orient="portrait"/>
          <w:cols w:equalWidth="0" w:num="1">
            <w:col w:w="11260"/>
          </w:cols>
          <w:pgMar w:left="240" w:top="786" w:right="399" w:bottom="0" w:gutter="0" w:footer="0" w:header="0"/>
        </w:sectPr>
      </w:pPr>
    </w:p>
    <w:p>
      <w:pPr>
        <w:spacing w:after="0" w:line="219" w:lineRule="exact"/>
        <w:rPr>
          <w:sz w:val="24"/>
          <w:szCs w:val="24"/>
          <w:color w:val="auto"/>
        </w:rPr>
      </w:pPr>
    </w:p>
    <w:p>
      <w:pPr>
        <w:ind w:left="660"/>
        <w:spacing w:after="0"/>
        <w:rPr>
          <w:sz w:val="20"/>
          <w:szCs w:val="20"/>
          <w:color w:val="auto"/>
        </w:rPr>
      </w:pPr>
      <w:r>
        <w:rPr>
          <w:rFonts w:ascii="Arial" w:cs="Arial" w:eastAsia="Arial" w:hAnsi="Arial"/>
          <w:sz w:val="18"/>
          <w:szCs w:val="18"/>
          <w:b w:val="1"/>
          <w:bCs w:val="1"/>
          <w:color w:val="auto"/>
        </w:rPr>
        <w:t>Exhibit</w:t>
      </w:r>
    </w:p>
    <w:p>
      <w:pPr>
        <w:spacing w:after="0" w:line="21" w:lineRule="exact"/>
        <w:rPr>
          <w:sz w:val="24"/>
          <w:szCs w:val="24"/>
          <w:color w:val="auto"/>
        </w:rPr>
      </w:pPr>
    </w:p>
    <w:p>
      <w:pPr>
        <w:ind w:left="660"/>
        <w:spacing w:after="0"/>
        <w:rPr>
          <w:sz w:val="20"/>
          <w:szCs w:val="20"/>
          <w:color w:val="auto"/>
        </w:rPr>
      </w:pPr>
      <w:r>
        <w:rPr>
          <w:rFonts w:ascii="Arial" w:cs="Arial" w:eastAsia="Arial" w:hAnsi="Arial"/>
          <w:sz w:val="16"/>
          <w:szCs w:val="16"/>
          <w:b w:val="1"/>
          <w:bCs w:val="1"/>
          <w:color w:val="auto"/>
        </w:rPr>
        <w:t>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15"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Description</w:t>
      </w:r>
    </w:p>
    <w:p>
      <w:pPr>
        <w:spacing w:after="0" w:line="223" w:lineRule="exact"/>
        <w:rPr>
          <w:sz w:val="24"/>
          <w:szCs w:val="24"/>
          <w:color w:val="auto"/>
        </w:rPr>
      </w:pPr>
    </w:p>
    <w:p>
      <w:pPr>
        <w:sectPr>
          <w:pgSz w:w="11900" w:h="16838" w:orient="portrait"/>
          <w:cols w:equalWidth="0" w:num="2">
            <w:col w:w="1280" w:space="520"/>
            <w:col w:w="9460"/>
          </w:cols>
          <w:pgMar w:left="240" w:top="786" w:right="399" w:bottom="0" w:gutter="0" w:footer="0" w:header="0"/>
          <w:type w:val="continuous"/>
        </w:sectPr>
      </w:pPr>
    </w:p>
    <w:p>
      <w:pPr>
        <w:spacing w:after="0" w:line="42" w:lineRule="exact"/>
        <w:rPr>
          <w:sz w:val="24"/>
          <w:szCs w:val="24"/>
          <w:color w:val="auto"/>
        </w:rPr>
      </w:pPr>
    </w:p>
    <w:p>
      <w:pPr>
        <w:ind w:left="660"/>
        <w:spacing w:after="0"/>
        <w:tabs>
          <w:tab w:leader="none" w:pos="178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Press release of Winnebago Industries, Inc. dated December 20, 2007.</w:t>
      </w:r>
    </w:p>
    <w:p>
      <w:pPr>
        <w:spacing w:after="0" w:line="225" w:lineRule="exact"/>
        <w:rPr>
          <w:sz w:val="24"/>
          <w:szCs w:val="24"/>
          <w:color w:val="auto"/>
        </w:rPr>
      </w:pPr>
    </w:p>
    <w:p>
      <w:pPr>
        <w:ind w:left="660"/>
        <w:spacing w:after="0"/>
        <w:tabs>
          <w:tab w:leader="none" w:pos="1780" w:val="left"/>
        </w:tabs>
        <w:rPr>
          <w:sz w:val="20"/>
          <w:szCs w:val="20"/>
          <w:color w:val="auto"/>
        </w:rPr>
      </w:pPr>
      <w:r>
        <w:rPr>
          <w:rFonts w:ascii="Arial" w:cs="Arial" w:eastAsia="Arial" w:hAnsi="Arial"/>
          <w:sz w:val="18"/>
          <w:szCs w:val="18"/>
          <w:color w:val="auto"/>
        </w:rPr>
        <w:t>99.2</w:t>
      </w:r>
      <w:r>
        <w:rPr>
          <w:sz w:val="20"/>
          <w:szCs w:val="20"/>
          <w:color w:val="auto"/>
        </w:rPr>
        <w:tab/>
      </w:r>
      <w:r>
        <w:rPr>
          <w:rFonts w:ascii="Arial" w:cs="Arial" w:eastAsia="Arial" w:hAnsi="Arial"/>
          <w:sz w:val="15"/>
          <w:szCs w:val="15"/>
          <w:color w:val="auto"/>
        </w:rPr>
        <w:t>Conference Call Transcript dated December 20, 2007.</w:t>
      </w:r>
    </w:p>
    <w:p>
      <w:pPr>
        <w:spacing w:after="0" w:line="355" w:lineRule="exact"/>
        <w:rPr>
          <w:sz w:val="24"/>
          <w:szCs w:val="24"/>
          <w:color w:val="auto"/>
        </w:rPr>
      </w:pPr>
    </w:p>
    <w:p>
      <w:pPr>
        <w:jc w:val="center"/>
        <w:ind w:right="-179"/>
        <w:spacing w:after="0"/>
        <w:rPr>
          <w:sz w:val="20"/>
          <w:szCs w:val="20"/>
          <w:color w:val="auto"/>
        </w:rPr>
      </w:pPr>
      <w:r>
        <w:rPr>
          <w:rFonts w:ascii="Arial" w:cs="Arial" w:eastAsia="Arial" w:hAnsi="Arial"/>
          <w:sz w:val="22"/>
          <w:szCs w:val="22"/>
          <w:b w:val="1"/>
          <w:bCs w:val="1"/>
          <w:color w:val="auto"/>
        </w:rPr>
        <w:t>SIGNATURES</w:t>
      </w:r>
    </w:p>
    <w:p>
      <w:pPr>
        <w:sectPr>
          <w:pgSz w:w="11900" w:h="16838" w:orient="portrait"/>
          <w:cols w:equalWidth="0" w:num="1">
            <w:col w:w="11260"/>
          </w:cols>
          <w:pgMar w:left="240" w:top="786" w:right="399" w:bottom="0" w:gutter="0" w:footer="0" w:header="0"/>
          <w:type w:val="continuous"/>
        </w:sectPr>
      </w:pPr>
    </w:p>
    <w:bookmarkStart w:id="1" w:name="page2"/>
    <w:bookmarkEnd w:id="1"/>
    <w:p>
      <w:pPr>
        <w:ind w:right="480"/>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3960" w:type="dxa"/>
            <w:vAlign w:val="bottom"/>
          </w:tcPr>
          <w:p>
            <w:pPr>
              <w:spacing w:after="0"/>
              <w:rPr>
                <w:sz w:val="20"/>
                <w:szCs w:val="20"/>
                <w:color w:val="auto"/>
              </w:rPr>
            </w:pPr>
            <w:r>
              <w:rPr>
                <w:rFonts w:ascii="Arial" w:cs="Arial" w:eastAsia="Arial" w:hAnsi="Arial"/>
                <w:sz w:val="18"/>
                <w:szCs w:val="18"/>
                <w:color w:val="auto"/>
              </w:rPr>
              <w:t>Dated: December 21, 2007</w:t>
            </w:r>
          </w:p>
        </w:tc>
        <w:tc>
          <w:tcPr>
            <w:tcW w:w="6320" w:type="dxa"/>
            <w:vAlign w:val="bottom"/>
            <w:gridSpan w:val="2"/>
          </w:tcPr>
          <w:p>
            <w:pPr>
              <w:ind w:left="2040"/>
              <w:spacing w:after="0"/>
              <w:rPr>
                <w:sz w:val="20"/>
                <w:szCs w:val="20"/>
                <w:color w:val="auto"/>
              </w:rPr>
            </w:pPr>
            <w:r>
              <w:rPr>
                <w:rFonts w:ascii="Arial" w:cs="Arial" w:eastAsia="Arial" w:hAnsi="Arial"/>
                <w:sz w:val="22"/>
                <w:szCs w:val="22"/>
                <w:color w:val="auto"/>
              </w:rPr>
              <w:t>W</w:t>
            </w:r>
            <w:r>
              <w:rPr>
                <w:rFonts w:ascii="Arial" w:cs="Arial" w:eastAsia="Arial" w:hAnsi="Arial"/>
                <w:sz w:val="17"/>
                <w:szCs w:val="17"/>
                <w:color w:val="auto"/>
              </w:rPr>
              <w:t>INNEBAGO</w:t>
            </w:r>
            <w:r>
              <w:rPr>
                <w:rFonts w:ascii="Arial" w:cs="Arial" w:eastAsia="Arial" w:hAnsi="Arial"/>
                <w:sz w:val="22"/>
                <w:szCs w:val="22"/>
                <w:color w:val="auto"/>
              </w:rPr>
              <w:t xml:space="preserve"> I</w:t>
            </w:r>
            <w:r>
              <w:rPr>
                <w:rFonts w:ascii="Arial" w:cs="Arial" w:eastAsia="Arial" w:hAnsi="Arial"/>
                <w:sz w:val="17"/>
                <w:szCs w:val="17"/>
                <w:color w:val="auto"/>
              </w:rPr>
              <w:t>NDUSTRIES,</w:t>
            </w:r>
            <w:r>
              <w:rPr>
                <w:rFonts w:ascii="Arial" w:cs="Arial" w:eastAsia="Arial" w:hAnsi="Arial"/>
                <w:sz w:val="22"/>
                <w:szCs w:val="22"/>
                <w:color w:val="auto"/>
              </w:rPr>
              <w:t xml:space="preserve"> I</w:t>
            </w:r>
            <w:r>
              <w:rPr>
                <w:rFonts w:ascii="Arial" w:cs="Arial" w:eastAsia="Arial" w:hAnsi="Arial"/>
                <w:sz w:val="17"/>
                <w:szCs w:val="17"/>
                <w:color w:val="auto"/>
              </w:rPr>
              <w:t>NC.</w:t>
            </w:r>
          </w:p>
        </w:tc>
      </w:tr>
      <w:tr>
        <w:trPr>
          <w:trHeight w:val="447"/>
        </w:trPr>
        <w:tc>
          <w:tcPr>
            <w:tcW w:w="3960" w:type="dxa"/>
            <w:vAlign w:val="bottom"/>
          </w:tcPr>
          <w:p>
            <w:pPr>
              <w:spacing w:after="0"/>
              <w:rPr>
                <w:sz w:val="24"/>
                <w:szCs w:val="24"/>
                <w:color w:val="auto"/>
              </w:rPr>
            </w:pPr>
          </w:p>
        </w:tc>
        <w:tc>
          <w:tcPr>
            <w:tcW w:w="2620" w:type="dxa"/>
            <w:vAlign w:val="bottom"/>
          </w:tcPr>
          <w:p>
            <w:pPr>
              <w:ind w:left="2040"/>
              <w:spacing w:after="0"/>
              <w:rPr>
                <w:sz w:val="20"/>
                <w:szCs w:val="20"/>
                <w:color w:val="auto"/>
              </w:rPr>
            </w:pPr>
            <w:r>
              <w:rPr>
                <w:rFonts w:ascii="Arial" w:cs="Arial" w:eastAsia="Arial" w:hAnsi="Arial"/>
                <w:sz w:val="18"/>
                <w:szCs w:val="18"/>
                <w:color w:val="auto"/>
              </w:rPr>
              <w:t>By:</w:t>
            </w:r>
          </w:p>
        </w:tc>
        <w:tc>
          <w:tcPr>
            <w:tcW w:w="37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Bruce D. Hertzke</w:t>
            </w:r>
          </w:p>
        </w:tc>
      </w:tr>
      <w:tr>
        <w:trPr>
          <w:trHeight w:val="203"/>
        </w:trPr>
        <w:tc>
          <w:tcPr>
            <w:tcW w:w="3960" w:type="dxa"/>
            <w:vAlign w:val="bottom"/>
          </w:tcPr>
          <w:p>
            <w:pPr>
              <w:spacing w:after="0"/>
              <w:rPr>
                <w:sz w:val="17"/>
                <w:szCs w:val="17"/>
                <w:color w:val="auto"/>
              </w:rPr>
            </w:pPr>
          </w:p>
        </w:tc>
        <w:tc>
          <w:tcPr>
            <w:tcW w:w="2620" w:type="dxa"/>
            <w:vAlign w:val="bottom"/>
          </w:tcPr>
          <w:p>
            <w:pPr>
              <w:ind w:left="2040"/>
              <w:spacing w:after="0" w:line="202" w:lineRule="exact"/>
              <w:rPr>
                <w:sz w:val="20"/>
                <w:szCs w:val="20"/>
                <w:color w:val="auto"/>
              </w:rPr>
            </w:pPr>
            <w:r>
              <w:rPr>
                <w:rFonts w:ascii="Arial" w:cs="Arial" w:eastAsia="Arial" w:hAnsi="Arial"/>
                <w:sz w:val="18"/>
                <w:szCs w:val="18"/>
                <w:color w:val="auto"/>
              </w:rPr>
              <w:t>Name:</w:t>
            </w:r>
          </w:p>
        </w:tc>
        <w:tc>
          <w:tcPr>
            <w:tcW w:w="3700" w:type="dxa"/>
            <w:vAlign w:val="bottom"/>
          </w:tcPr>
          <w:p>
            <w:pPr>
              <w:spacing w:after="0" w:line="203" w:lineRule="exact"/>
              <w:rPr>
                <w:sz w:val="20"/>
                <w:szCs w:val="20"/>
                <w:color w:val="auto"/>
              </w:rPr>
            </w:pPr>
            <w:r>
              <w:rPr>
                <w:rFonts w:ascii="Arial" w:cs="Arial" w:eastAsia="Arial" w:hAnsi="Arial"/>
                <w:sz w:val="18"/>
                <w:szCs w:val="18"/>
                <w:color w:val="auto"/>
              </w:rPr>
              <w:t>Bruce D. Hertzke</w:t>
            </w:r>
          </w:p>
        </w:tc>
      </w:tr>
      <w:tr>
        <w:trPr>
          <w:trHeight w:val="222"/>
        </w:trPr>
        <w:tc>
          <w:tcPr>
            <w:tcW w:w="3960" w:type="dxa"/>
            <w:vAlign w:val="bottom"/>
          </w:tcPr>
          <w:p>
            <w:pPr>
              <w:spacing w:after="0"/>
              <w:rPr>
                <w:sz w:val="19"/>
                <w:szCs w:val="19"/>
                <w:color w:val="auto"/>
              </w:rPr>
            </w:pPr>
          </w:p>
        </w:tc>
        <w:tc>
          <w:tcPr>
            <w:tcW w:w="2620" w:type="dxa"/>
            <w:vAlign w:val="bottom"/>
          </w:tcPr>
          <w:p>
            <w:pPr>
              <w:ind w:left="2040"/>
              <w:spacing w:after="0"/>
              <w:rPr>
                <w:sz w:val="20"/>
                <w:szCs w:val="20"/>
                <w:color w:val="auto"/>
              </w:rPr>
            </w:pPr>
            <w:r>
              <w:rPr>
                <w:rFonts w:ascii="Arial" w:cs="Arial" w:eastAsia="Arial" w:hAnsi="Arial"/>
                <w:sz w:val="18"/>
                <w:szCs w:val="18"/>
                <w:color w:val="auto"/>
              </w:rPr>
              <w:t>Title:</w:t>
            </w:r>
          </w:p>
        </w:tc>
        <w:tc>
          <w:tcPr>
            <w:tcW w:w="3700" w:type="dxa"/>
            <w:vAlign w:val="bottom"/>
          </w:tcPr>
          <w:p>
            <w:pPr>
              <w:spacing w:after="0"/>
              <w:rPr>
                <w:sz w:val="20"/>
                <w:szCs w:val="20"/>
                <w:color w:val="auto"/>
              </w:rPr>
            </w:pPr>
            <w:r>
              <w:rPr>
                <w:rFonts w:ascii="Arial" w:cs="Arial" w:eastAsia="Arial" w:hAnsi="Arial"/>
                <w:sz w:val="18"/>
                <w:szCs w:val="18"/>
                <w:color w:val="auto"/>
              </w:rPr>
              <w:t>Chief Executive Officer</w:t>
            </w:r>
          </w:p>
        </w:tc>
      </w:tr>
    </w:tbl>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317"/>
        </w:trPr>
        <w:tc>
          <w:tcPr>
            <w:tcW w:w="1540" w:type="dxa"/>
            <w:vAlign w:val="bottom"/>
          </w:tcPr>
          <w:p>
            <w:pPr>
              <w:spacing w:after="0"/>
              <w:rPr>
                <w:sz w:val="24"/>
                <w:szCs w:val="24"/>
                <w:color w:val="auto"/>
              </w:rPr>
            </w:pPr>
          </w:p>
        </w:tc>
        <w:tc>
          <w:tcPr>
            <w:tcW w:w="9880" w:type="dxa"/>
            <w:vAlign w:val="bottom"/>
          </w:tcPr>
          <w:p>
            <w:pPr>
              <w:ind w:left="3320"/>
              <w:spacing w:after="0"/>
              <w:rPr>
                <w:sz w:val="20"/>
                <w:szCs w:val="20"/>
                <w:color w:val="auto"/>
              </w:rPr>
            </w:pPr>
            <w:r>
              <w:rPr>
                <w:rFonts w:ascii="Arial" w:cs="Arial" w:eastAsia="Arial" w:hAnsi="Arial"/>
                <w:sz w:val="24"/>
                <w:szCs w:val="24"/>
                <w:b w:val="1"/>
                <w:bCs w:val="1"/>
                <w:color w:val="auto"/>
              </w:rPr>
              <w:t>E</w:t>
            </w:r>
            <w:r>
              <w:rPr>
                <w:rFonts w:ascii="Arial" w:cs="Arial" w:eastAsia="Arial" w:hAnsi="Arial"/>
                <w:sz w:val="21"/>
                <w:szCs w:val="21"/>
                <w:b w:val="1"/>
                <w:bCs w:val="1"/>
                <w:color w:val="auto"/>
              </w:rPr>
              <w:t>XHIBIT</w:t>
            </w:r>
            <w:r>
              <w:rPr>
                <w:rFonts w:ascii="Arial" w:cs="Arial" w:eastAsia="Arial" w:hAnsi="Arial"/>
                <w:sz w:val="24"/>
                <w:szCs w:val="24"/>
                <w:b w:val="1"/>
                <w:bCs w:val="1"/>
                <w:color w:val="auto"/>
              </w:rPr>
              <w:t xml:space="preserve"> I</w:t>
            </w:r>
            <w:r>
              <w:rPr>
                <w:rFonts w:ascii="Arial" w:cs="Arial" w:eastAsia="Arial" w:hAnsi="Arial"/>
                <w:sz w:val="21"/>
                <w:szCs w:val="21"/>
                <w:b w:val="1"/>
                <w:bCs w:val="1"/>
                <w:color w:val="auto"/>
              </w:rPr>
              <w:t>NDEX</w:t>
            </w:r>
          </w:p>
        </w:tc>
      </w:tr>
      <w:tr>
        <w:trPr>
          <w:trHeight w:val="413"/>
        </w:trPr>
        <w:tc>
          <w:tcPr>
            <w:tcW w:w="1540" w:type="dxa"/>
            <w:vAlign w:val="bottom"/>
          </w:tcPr>
          <w:p>
            <w:pPr>
              <w:ind w:left="660"/>
              <w:spacing w:after="0"/>
              <w:rPr>
                <w:sz w:val="20"/>
                <w:szCs w:val="20"/>
                <w:color w:val="auto"/>
              </w:rPr>
            </w:pPr>
            <w:r>
              <w:rPr>
                <w:rFonts w:ascii="Arial" w:cs="Arial" w:eastAsia="Arial" w:hAnsi="Arial"/>
                <w:sz w:val="18"/>
                <w:szCs w:val="18"/>
                <w:b w:val="1"/>
                <w:bCs w:val="1"/>
                <w:color w:val="auto"/>
              </w:rPr>
              <w:t>Exhibit</w:t>
            </w:r>
          </w:p>
        </w:tc>
        <w:tc>
          <w:tcPr>
            <w:tcW w:w="9880" w:type="dxa"/>
            <w:vAlign w:val="bottom"/>
          </w:tcPr>
          <w:p>
            <w:pPr>
              <w:spacing w:after="0"/>
              <w:rPr>
                <w:sz w:val="24"/>
                <w:szCs w:val="24"/>
                <w:color w:val="auto"/>
              </w:rPr>
            </w:pPr>
          </w:p>
        </w:tc>
      </w:tr>
      <w:tr>
        <w:trPr>
          <w:trHeight w:val="228"/>
        </w:trPr>
        <w:tc>
          <w:tcPr>
            <w:tcW w:w="1540" w:type="dxa"/>
            <w:vAlign w:val="bottom"/>
          </w:tcPr>
          <w:p>
            <w:pPr>
              <w:ind w:left="660"/>
              <w:spacing w:after="0"/>
              <w:rPr>
                <w:sz w:val="20"/>
                <w:szCs w:val="20"/>
                <w:color w:val="auto"/>
              </w:rPr>
            </w:pPr>
            <w:r>
              <w:rPr>
                <w:rFonts w:ascii="Arial" w:cs="Arial" w:eastAsia="Arial" w:hAnsi="Arial"/>
                <w:sz w:val="18"/>
                <w:szCs w:val="18"/>
                <w:b w:val="1"/>
                <w:bCs w:val="1"/>
                <w:color w:val="auto"/>
              </w:rPr>
              <w:t>Number</w:t>
            </w:r>
          </w:p>
        </w:tc>
        <w:tc>
          <w:tcPr>
            <w:tcW w:w="9880" w:type="dxa"/>
            <w:vAlign w:val="bottom"/>
          </w:tcPr>
          <w:p>
            <w:pPr>
              <w:ind w:left="260"/>
              <w:spacing w:after="0"/>
              <w:rPr>
                <w:sz w:val="20"/>
                <w:szCs w:val="20"/>
                <w:color w:val="auto"/>
              </w:rPr>
            </w:pPr>
            <w:r>
              <w:rPr>
                <w:rFonts w:ascii="Arial" w:cs="Arial" w:eastAsia="Arial" w:hAnsi="Arial"/>
                <w:sz w:val="18"/>
                <w:szCs w:val="18"/>
                <w:b w:val="1"/>
                <w:bCs w:val="1"/>
                <w:color w:val="auto"/>
              </w:rPr>
              <w:t>Description</w:t>
            </w:r>
          </w:p>
        </w:tc>
      </w:tr>
      <w:tr>
        <w:trPr>
          <w:trHeight w:val="432"/>
        </w:trPr>
        <w:tc>
          <w:tcPr>
            <w:tcW w:w="1540" w:type="dxa"/>
            <w:vAlign w:val="bottom"/>
          </w:tcPr>
          <w:p>
            <w:pPr>
              <w:ind w:left="660"/>
              <w:spacing w:after="0"/>
              <w:rPr>
                <w:sz w:val="20"/>
                <w:szCs w:val="20"/>
                <w:color w:val="auto"/>
              </w:rPr>
            </w:pPr>
            <w:r>
              <w:rPr>
                <w:rFonts w:ascii="Arial" w:cs="Arial" w:eastAsia="Arial" w:hAnsi="Arial"/>
                <w:sz w:val="18"/>
                <w:szCs w:val="18"/>
                <w:color w:val="auto"/>
              </w:rPr>
              <w:t>99.1</w:t>
            </w:r>
          </w:p>
        </w:tc>
        <w:tc>
          <w:tcPr>
            <w:tcW w:w="9880" w:type="dxa"/>
            <w:vAlign w:val="bottom"/>
          </w:tcPr>
          <w:p>
            <w:pPr>
              <w:ind w:left="260"/>
              <w:spacing w:after="0"/>
              <w:rPr>
                <w:sz w:val="20"/>
                <w:szCs w:val="20"/>
                <w:color w:val="auto"/>
              </w:rPr>
            </w:pPr>
            <w:r>
              <w:rPr>
                <w:rFonts w:ascii="Arial" w:cs="Arial" w:eastAsia="Arial" w:hAnsi="Arial"/>
                <w:sz w:val="18"/>
                <w:szCs w:val="18"/>
                <w:color w:val="auto"/>
              </w:rPr>
              <w:t>Press release of Winnebago Industries, Inc. dated December 20, 2007.</w:t>
            </w:r>
          </w:p>
        </w:tc>
      </w:tr>
      <w:tr>
        <w:trPr>
          <w:trHeight w:val="432"/>
        </w:trPr>
        <w:tc>
          <w:tcPr>
            <w:tcW w:w="1540" w:type="dxa"/>
            <w:vAlign w:val="bottom"/>
          </w:tcPr>
          <w:p>
            <w:pPr>
              <w:ind w:left="660"/>
              <w:spacing w:after="0"/>
              <w:rPr>
                <w:sz w:val="20"/>
                <w:szCs w:val="20"/>
                <w:color w:val="auto"/>
              </w:rPr>
            </w:pPr>
            <w:r>
              <w:rPr>
                <w:rFonts w:ascii="Arial" w:cs="Arial" w:eastAsia="Arial" w:hAnsi="Arial"/>
                <w:sz w:val="18"/>
                <w:szCs w:val="18"/>
                <w:color w:val="auto"/>
              </w:rPr>
              <w:t>99.2</w:t>
            </w:r>
          </w:p>
        </w:tc>
        <w:tc>
          <w:tcPr>
            <w:tcW w:w="9880" w:type="dxa"/>
            <w:vAlign w:val="bottom"/>
          </w:tcPr>
          <w:p>
            <w:pPr>
              <w:ind w:left="260"/>
              <w:spacing w:after="0"/>
              <w:rPr>
                <w:sz w:val="20"/>
                <w:szCs w:val="20"/>
                <w:color w:val="auto"/>
              </w:rPr>
            </w:pPr>
            <w:r>
              <w:rPr>
                <w:rFonts w:ascii="Arial" w:cs="Arial" w:eastAsia="Arial" w:hAnsi="Arial"/>
                <w:sz w:val="18"/>
                <w:szCs w:val="18"/>
                <w:color w:val="auto"/>
              </w:rPr>
              <w:t>Conference Call Transcript dated December 20, 2007.</w:t>
            </w:r>
          </w:p>
        </w:tc>
      </w:tr>
      <w:tr>
        <w:trPr>
          <w:trHeight w:val="593"/>
        </w:trPr>
        <w:tc>
          <w:tcPr>
            <w:tcW w:w="1540" w:type="dxa"/>
            <w:vAlign w:val="bottom"/>
            <w:tcBorders>
              <w:bottom w:val="single" w:sz="8" w:color="808080"/>
            </w:tcBorders>
          </w:tcPr>
          <w:p>
            <w:pPr>
              <w:spacing w:after="0"/>
              <w:rPr>
                <w:sz w:val="24"/>
                <w:szCs w:val="24"/>
                <w:color w:val="auto"/>
              </w:rPr>
            </w:pPr>
          </w:p>
        </w:tc>
        <w:tc>
          <w:tcPr>
            <w:tcW w:w="988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-29210</wp:posOffset>
            </wp:positionV>
            <wp:extent cx="12700"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 w:name="page3"/>
    <w:bookmarkEnd w:id="2"/>
    <w:p>
      <w:pPr>
        <w:jc w:val="right"/>
        <w:spacing w:after="0"/>
        <w:rPr>
          <w:sz w:val="20"/>
          <w:szCs w:val="20"/>
          <w:color w:val="auto"/>
        </w:rPr>
      </w:pPr>
      <w:r>
        <w:rPr>
          <w:rFonts w:ascii="Arial" w:cs="Arial" w:eastAsia="Arial" w:hAnsi="Arial"/>
          <w:sz w:val="22"/>
          <w:szCs w:val="22"/>
          <w:b w:val="1"/>
          <w:bCs w:val="1"/>
          <w:color w:val="auto"/>
        </w:rPr>
        <w:t>Exhibit 99.1</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color w:val="auto"/>
        </w:rPr>
        <w:t>Contact: Sheila Davis – PR/IR Mgr. - 641-585-6803 – sdavis@winnebagoind.com</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WINNEBAGO INDUSTRIES REPORTS 26% NET INCOME INCREASE</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FIRST QUARTER OF FISCAL YEAR 2008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New Stock Repurchase Authorization and Cash Dividend Announced –</w:t>
      </w:r>
    </w:p>
    <w:p>
      <w:pPr>
        <w:spacing w:after="0" w:line="219" w:lineRule="exact"/>
        <w:rPr>
          <w:sz w:val="20"/>
          <w:szCs w:val="20"/>
          <w:color w:val="auto"/>
        </w:rPr>
      </w:pPr>
    </w:p>
    <w:p>
      <w:pPr>
        <w:ind w:right="460"/>
        <w:spacing w:after="0" w:line="268" w:lineRule="auto"/>
        <w:rPr>
          <w:sz w:val="20"/>
          <w:szCs w:val="20"/>
          <w:color w:val="auto"/>
        </w:rPr>
      </w:pPr>
      <w:r>
        <w:rPr>
          <w:rFonts w:ascii="Arial" w:cs="Arial" w:eastAsia="Arial" w:hAnsi="Arial"/>
          <w:sz w:val="18"/>
          <w:szCs w:val="18"/>
          <w:color w:val="auto"/>
        </w:rPr>
        <w:t>FOREST CITY, IOWA, December 20, 2007 – Winnebago Industries, Inc. (NYSE:WGO), a leading United States motor home manufacturer, today reported financial results for the Company’s first quarter of fiscal year 2008 ended December 1, 2007.</w:t>
      </w:r>
    </w:p>
    <w:p>
      <w:pPr>
        <w:spacing w:after="0" w:line="186"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Revenues for the 14-week quarter were $215.1 million, an increase of 6.6 percent, compared to revenues of $201.8 million for the 13-week first quarter last year. Net income for the first quarter was $10.0 million, an increase of 25.5 percent, compared to net income of $7.9 million for the first quarter of fiscal 2007. On a diluted per share basis, the Company earned 34 cents a share for the first quarter of fiscal 2008, compared to 25 cents per diluted share for the first quarter last year.</w:t>
      </w:r>
    </w:p>
    <w:p>
      <w:pPr>
        <w:spacing w:after="0" w:line="191" w:lineRule="exact"/>
        <w:rPr>
          <w:sz w:val="20"/>
          <w:szCs w:val="20"/>
          <w:color w:val="auto"/>
        </w:rPr>
      </w:pPr>
    </w:p>
    <w:p>
      <w:pPr>
        <w:ind w:right="160"/>
        <w:spacing w:after="0" w:line="310" w:lineRule="auto"/>
        <w:rPr>
          <w:sz w:val="20"/>
          <w:szCs w:val="20"/>
          <w:color w:val="auto"/>
        </w:rPr>
      </w:pPr>
      <w:r>
        <w:rPr>
          <w:rFonts w:ascii="Arial" w:cs="Arial" w:eastAsia="Arial" w:hAnsi="Arial"/>
          <w:sz w:val="16"/>
          <w:szCs w:val="16"/>
          <w:color w:val="auto"/>
        </w:rPr>
        <w:t>“We were pleased with our performance during the quarter, despite difficult market conditions,” said Winnebago Industries’ Chairman and CEO Bruce Hertzke</w:t>
      </w:r>
      <w:r>
        <w:rPr>
          <w:rFonts w:ascii="Arial" w:cs="Arial" w:eastAsia="Arial" w:hAnsi="Arial"/>
          <w:sz w:val="16"/>
          <w:szCs w:val="16"/>
          <w:b w:val="1"/>
          <w:bCs w:val="1"/>
          <w:color w:val="auto"/>
        </w:rPr>
        <w:t>.</w:t>
      </w:r>
      <w:r>
        <w:rPr>
          <w:rFonts w:ascii="Arial" w:cs="Arial" w:eastAsia="Arial" w:hAnsi="Arial"/>
          <w:sz w:val="16"/>
          <w:szCs w:val="16"/>
          <w:color w:val="auto"/>
        </w:rPr>
        <w:t xml:space="preserve"> “In addition to the extra week in the first quarter, our results include a positive shift in the mix to a higher percentage of Class A products delivered and fewer dollars spent on retail promotional programs, which resulted in both higher revenues and higher margins for the Company.”</w:t>
      </w:r>
    </w:p>
    <w:p>
      <w:pPr>
        <w:spacing w:after="0" w:line="157"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During the Company’s first quarter ended December 1, 2007, Winnebago Industries completed the $60 million repurchase authorization that was approved in June 2007 with the repurchase of approximately 676,000 shares of common stock for an aggregate cost of approximately $17.5 million. A total of approximately 2.2 million shares were repurchased under the $60 million repurchase program.</w:t>
      </w:r>
    </w:p>
    <w:p>
      <w:pPr>
        <w:spacing w:after="0" w:line="194"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In the Company’s Board of Directors meeting held yesterday, a new $60 million stock repurchase program was authorized. The Board of Directors also declared a quarterly cash dividend of 12 cents a share, payable on April 7, 2008 to shareholders of record as of March 7, 2008.</w:t>
      </w:r>
    </w:p>
    <w:p>
      <w:pPr>
        <w:spacing w:after="0" w:line="186" w:lineRule="exact"/>
        <w:rPr>
          <w:sz w:val="20"/>
          <w:szCs w:val="20"/>
          <w:color w:val="auto"/>
        </w:rPr>
      </w:pPr>
    </w:p>
    <w:p>
      <w:pPr>
        <w:spacing w:after="0"/>
        <w:rPr>
          <w:sz w:val="20"/>
          <w:szCs w:val="20"/>
          <w:color w:val="auto"/>
        </w:rPr>
      </w:pPr>
      <w:r>
        <w:rPr>
          <w:rFonts w:ascii="Arial" w:cs="Arial" w:eastAsia="Arial" w:hAnsi="Arial"/>
          <w:sz w:val="16"/>
          <w:szCs w:val="16"/>
          <w:color w:val="auto"/>
        </w:rPr>
        <w:t>“We remain committed to increasing shareholder value through the repurchase of our stock and through the payment of quarterly cash dividends,” said Hertzke.</w:t>
      </w:r>
    </w:p>
    <w:p>
      <w:pPr>
        <w:spacing w:after="0" w:line="248"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“Our new product introductions at RVIA’s National RV Show in Louisville, KY last month, including the new ERA Class B motor home that debuted at the show, were extremely well received by our dealer partners,” said Winnebago Industries’ President Bob Olson. “Receiving the Quality Circle Award from the Recreation</w:t>
      </w:r>
    </w:p>
    <w:p>
      <w:pPr>
        <w:ind w:right="20"/>
        <w:spacing w:after="0" w:line="244" w:lineRule="auto"/>
        <w:rPr>
          <w:sz w:val="20"/>
          <w:szCs w:val="20"/>
          <w:color w:val="auto"/>
        </w:rPr>
      </w:pPr>
      <w:r>
        <w:rPr>
          <w:rFonts w:ascii="Arial" w:cs="Arial" w:eastAsia="Arial" w:hAnsi="Arial"/>
          <w:sz w:val="17"/>
          <w:szCs w:val="17"/>
          <w:color w:val="auto"/>
        </w:rPr>
        <w:t>Vehicle Dealers’ Association for the 12</w:t>
      </w:r>
      <w:r>
        <w:rPr>
          <w:rFonts w:ascii="Arial" w:cs="Arial" w:eastAsia="Arial" w:hAnsi="Arial"/>
          <w:sz w:val="28"/>
          <w:szCs w:val="28"/>
          <w:color w:val="auto"/>
          <w:vertAlign w:val="superscript"/>
        </w:rPr>
        <w:t>th</w:t>
      </w:r>
      <w:r>
        <w:rPr>
          <w:rFonts w:ascii="Arial" w:cs="Arial" w:eastAsia="Arial" w:hAnsi="Arial"/>
          <w:sz w:val="17"/>
          <w:szCs w:val="17"/>
          <w:color w:val="auto"/>
        </w:rPr>
        <w:t xml:space="preserve"> consecutive year was also a highlight of the show. While we are pleased with the reception of our new 2008 products and our accomplishments in the first quarter of fiscal 2008, we continue to anticipate softness in motor home sales, particularly during our seasonally slow second quarter. Statistical Surveys, the retail reporting service for the RV industry, has reported continued softness in retail motor home sales, down 8.9 percent for the month of October and down 5.2 percent calendar year to date through October 2007 as compared to last year. Consumer confidence remains weak and we believe it will take some time for the recent interest rate cuts to have a positive impact on our market.”</w:t>
      </w:r>
    </w:p>
    <w:p>
      <w:pPr>
        <w:spacing w:after="0" w:line="208" w:lineRule="exact"/>
        <w:rPr>
          <w:sz w:val="20"/>
          <w:szCs w:val="20"/>
          <w:color w:val="auto"/>
        </w:rPr>
      </w:pPr>
    </w:p>
    <w:p>
      <w:pPr>
        <w:ind w:right="340"/>
        <w:spacing w:after="0" w:line="298" w:lineRule="auto"/>
        <w:rPr>
          <w:sz w:val="20"/>
          <w:szCs w:val="20"/>
          <w:color w:val="auto"/>
        </w:rPr>
      </w:pPr>
      <w:r>
        <w:rPr>
          <w:rFonts w:ascii="Arial" w:cs="Arial" w:eastAsia="Arial" w:hAnsi="Arial"/>
          <w:sz w:val="16"/>
          <w:szCs w:val="16"/>
          <w:color w:val="auto"/>
        </w:rPr>
        <w:t xml:space="preserve">At the beginning of the quarter, the Company adopted FASB Interpretation No. 48, </w:t>
      </w:r>
      <w:r>
        <w:rPr>
          <w:rFonts w:ascii="Arial" w:cs="Arial" w:eastAsia="Arial" w:hAnsi="Arial"/>
          <w:sz w:val="16"/>
          <w:szCs w:val="16"/>
          <w:i w:val="1"/>
          <w:iCs w:val="1"/>
          <w:color w:val="auto"/>
        </w:rPr>
        <w:t>“Accounting for Uncertainty in Income Taxes – An Interpretation of FASB</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Statement No. 109” </w:t>
      </w:r>
      <w:r>
        <w:rPr>
          <w:rFonts w:ascii="Arial" w:cs="Arial" w:eastAsia="Arial" w:hAnsi="Arial"/>
          <w:sz w:val="16"/>
          <w:szCs w:val="16"/>
          <w:color w:val="auto"/>
        </w:rPr>
        <w:t>(FIN 48). As a result of the adoption, the Company recognized a cumulative effect adjustment of $8.5 million as a reduction to retained</w:t>
      </w:r>
      <w:r>
        <w:rPr>
          <w:rFonts w:ascii="Arial" w:cs="Arial" w:eastAsia="Arial" w:hAnsi="Arial"/>
          <w:sz w:val="16"/>
          <w:szCs w:val="16"/>
          <w:i w:val="1"/>
          <w:iCs w:val="1"/>
          <w:color w:val="auto"/>
        </w:rPr>
        <w:t xml:space="preserve"> </w:t>
      </w:r>
      <w:r>
        <w:rPr>
          <w:rFonts w:ascii="Arial" w:cs="Arial" w:eastAsia="Arial" w:hAnsi="Arial"/>
          <w:sz w:val="16"/>
          <w:szCs w:val="16"/>
          <w:color w:val="auto"/>
        </w:rPr>
        <w:t>earnings, an increase of deferred tax assets of $7.1 million, and an increase of $15.6 million in tax liabilities. The total amount of unrecognized tax benefit liability was $21.8 million at the end of the first quarter, of which $19.6 million was long-term and $2.2 million was current.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486410</wp:posOffset>
            </wp:positionV>
            <wp:extent cx="7250430"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right="40"/>
        <w:spacing w:after="0" w:line="306" w:lineRule="auto"/>
        <w:rPr>
          <w:sz w:val="20"/>
          <w:szCs w:val="20"/>
          <w:color w:val="auto"/>
        </w:rPr>
      </w:pPr>
      <w:r>
        <w:rPr>
          <w:rFonts w:ascii="Arial" w:cs="Arial" w:eastAsia="Arial" w:hAnsi="Arial"/>
          <w:sz w:val="16"/>
          <w:szCs w:val="16"/>
          <w:color w:val="auto"/>
        </w:rPr>
        <w:t xml:space="preserve">Winnebago Industries will conduct a conference call in conjunction with this release at 9 a.m. Central Time today, Thursday, December 20, 2007. Members of the news media, investors and the general public are invited to access a live broadcast of the conference call via the Investor Relations page of the Company’s website at </w:t>
      </w:r>
      <w:r>
        <w:rPr>
          <w:rFonts w:ascii="Arial" w:cs="Arial" w:eastAsia="Arial" w:hAnsi="Arial"/>
          <w:sz w:val="16"/>
          <w:szCs w:val="16"/>
          <w:u w:val="single" w:color="auto"/>
          <w:color w:val="auto"/>
        </w:rPr>
        <w:t>http://www.winnebagoind.com/investor.html</w:t>
      </w:r>
      <w:r>
        <w:rPr>
          <w:rFonts w:ascii="Arial" w:cs="Arial" w:eastAsia="Arial" w:hAnsi="Arial"/>
          <w:sz w:val="16"/>
          <w:szCs w:val="16"/>
          <w:color w:val="auto"/>
        </w:rPr>
        <w:t>. The event will be archived and available for replay for the next 90 days.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Winnebago Industries</w:t>
      </w:r>
    </w:p>
    <w:p>
      <w:pPr>
        <w:spacing w:after="0" w:line="21"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 xml:space="preserve">Winnebago Industries, Inc. is a leading U.S. manufacturer of motor homes which are self-contained recreation vehicles used primarily in leisure travel and outdoor recreation activities. The Company builds quality motor homes under the Winnebago and Itasca brand names with state-of-the-art computer-aided design and manufacturing systems on automotive-styled assembly lines. The Company’s common stock is listed on the New York and Chicago Stock Exchanges and traded under the symbol WGO. Options for the Company’s common stock are traded on the Chicago Board Options Exchange. For access to Winnebago Industries’ investor relations material, to add your name to an automatic email list for Company news releases or for information on a dollar-based stock investment service for the Company’s stock, visit, </w:t>
      </w:r>
      <w:r>
        <w:rPr>
          <w:rFonts w:ascii="Arial" w:cs="Arial" w:eastAsia="Arial" w:hAnsi="Arial"/>
          <w:sz w:val="16"/>
          <w:szCs w:val="16"/>
          <w:u w:val="single" w:color="auto"/>
          <w:color w:val="auto"/>
        </w:rPr>
        <w:t>http://www.winnebagoind.com/investor.html</w:t>
      </w:r>
      <w:r>
        <w:rPr>
          <w:rFonts w:ascii="Arial" w:cs="Arial" w:eastAsia="Arial" w:hAnsi="Arial"/>
          <w:sz w:val="16"/>
          <w:szCs w:val="16"/>
          <w:color w:val="auto"/>
        </w:rPr>
        <w:t>.</w:t>
      </w:r>
    </w:p>
    <w:p>
      <w:pPr>
        <w:spacing w:after="0" w:line="172" w:lineRule="exact"/>
        <w:rPr>
          <w:sz w:val="20"/>
          <w:szCs w:val="20"/>
          <w:color w:val="auto"/>
        </w:rPr>
      </w:pPr>
    </w:p>
    <w:p>
      <w:pPr>
        <w:ind w:right="120"/>
        <w:spacing w:after="0" w:line="283" w:lineRule="auto"/>
        <w:rPr>
          <w:sz w:val="20"/>
          <w:szCs w:val="20"/>
          <w:color w:val="auto"/>
        </w:rPr>
      </w:pPr>
      <w:r>
        <w:rPr>
          <w:rFonts w:ascii="Arial" w:cs="Arial" w:eastAsia="Arial" w:hAnsi="Arial"/>
          <w:sz w:val="16"/>
          <w:szCs w:val="16"/>
          <w:color w:val="auto"/>
        </w:rPr>
        <w:t>This press release may contain forward-looking statements within the meaning of the Private Securities Litigation Reform Act of 1995. Investors are cautioned that forward-looking statements are inherently uncertain. A number of factors could cause actual results to differ materially from these statements, including, but not limited to the effect of global tensions, declines in consumer confidence, the availability and price of fuel, a significant increase in interest rates, a slowdown in the economy, availability of chassis or other key component parts, sales order cancellations, slower than anticipated sales of new or existing products, new products introduced by competitors and other factors. Additional information concerning certain risks and uncertainties that could cause actual results to differ materially from that projected or suggested is contained in the Company’s filings with the Securities and Exchange Commission (SEC) over the last 12 months, copies of which are available from the SEC or from the Company upon request.</w:t>
      </w:r>
    </w:p>
    <w:p>
      <w:pPr>
        <w:jc w:val="center"/>
        <w:spacing w:after="0"/>
        <w:rPr>
          <w:sz w:val="20"/>
          <w:szCs w:val="20"/>
          <w:color w:val="auto"/>
        </w:rPr>
      </w:pPr>
      <w:r>
        <w:rPr>
          <w:rFonts w:ascii="Arial" w:cs="Arial" w:eastAsia="Arial" w:hAnsi="Arial"/>
          <w:sz w:val="18"/>
          <w:szCs w:val="18"/>
          <w:color w:val="auto"/>
        </w:rPr>
        <w:t>– more –</w:t>
      </w:r>
    </w:p>
    <w:p>
      <w:pPr>
        <w:sectPr>
          <w:pgSz w:w="11900" w:h="16838" w:orient="portrait"/>
          <w:cols w:equalWidth="0" w:num="1">
            <w:col w:w="11420"/>
          </w:cols>
          <w:pgMar w:left="240" w:top="882" w:right="239" w:bottom="601"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1235710</wp:posOffset>
            </wp:positionV>
            <wp:extent cx="7250430"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Winnebago Industries, Inc.</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 Consolidated Statements of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percent and per share data)</w:t>
      </w:r>
    </w:p>
    <w:p>
      <w:pPr>
        <w:spacing w:after="0" w:line="39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40" w:type="dxa"/>
            <w:vAlign w:val="bottom"/>
            <w:gridSpan w:val="4"/>
          </w:tcPr>
          <w:p>
            <w:pPr>
              <w:jc w:val="center"/>
              <w:ind w:right="580"/>
              <w:spacing w:after="0"/>
              <w:rPr>
                <w:sz w:val="20"/>
                <w:szCs w:val="20"/>
                <w:color w:val="auto"/>
              </w:rPr>
            </w:pPr>
            <w:r>
              <w:rPr>
                <w:rFonts w:ascii="Arial" w:cs="Arial" w:eastAsia="Arial" w:hAnsi="Arial"/>
                <w:sz w:val="14"/>
                <w:szCs w:val="14"/>
                <w:b w:val="1"/>
                <w:bCs w:val="1"/>
                <w:color w:val="auto"/>
                <w:w w:val="86"/>
              </w:rPr>
              <w:t>Fourteen Weeks Ended</w:t>
            </w:r>
          </w:p>
        </w:tc>
        <w:tc>
          <w:tcPr>
            <w:tcW w:w="240" w:type="dxa"/>
            <w:vAlign w:val="bottom"/>
          </w:tcPr>
          <w:p>
            <w:pPr>
              <w:spacing w:after="0"/>
              <w:rPr>
                <w:sz w:val="14"/>
                <w:szCs w:val="14"/>
                <w:color w:val="auto"/>
              </w:rPr>
            </w:pPr>
          </w:p>
        </w:tc>
        <w:tc>
          <w:tcPr>
            <w:tcW w:w="1500" w:type="dxa"/>
            <w:vAlign w:val="bottom"/>
            <w:gridSpan w:val="3"/>
          </w:tcPr>
          <w:p>
            <w:pPr>
              <w:jc w:val="center"/>
              <w:ind w:left="95"/>
              <w:spacing w:after="0"/>
              <w:rPr>
                <w:sz w:val="20"/>
                <w:szCs w:val="20"/>
                <w:color w:val="auto"/>
              </w:rPr>
            </w:pPr>
            <w:r>
              <w:rPr>
                <w:rFonts w:ascii="Arial" w:cs="Arial" w:eastAsia="Arial" w:hAnsi="Arial"/>
                <w:sz w:val="14"/>
                <w:szCs w:val="14"/>
                <w:b w:val="1"/>
                <w:bCs w:val="1"/>
                <w:color w:val="auto"/>
                <w:w w:val="87"/>
              </w:rPr>
              <w:t>Thirteen Weeks Ended</w:t>
            </w: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65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gridSpan w:val="2"/>
          </w:tcPr>
          <w:p>
            <w:pPr>
              <w:jc w:val="center"/>
              <w:ind w:left="355"/>
              <w:spacing w:after="0"/>
              <w:rPr>
                <w:sz w:val="20"/>
                <w:szCs w:val="20"/>
                <w:color w:val="auto"/>
              </w:rPr>
            </w:pPr>
            <w:r>
              <w:rPr>
                <w:rFonts w:ascii="Arial" w:cs="Arial" w:eastAsia="Arial" w:hAnsi="Arial"/>
                <w:sz w:val="14"/>
                <w:szCs w:val="14"/>
                <w:b w:val="1"/>
                <w:bCs w:val="1"/>
                <w:color w:val="auto"/>
                <w:w w:val="87"/>
              </w:rPr>
              <w:t>Dec. 1, 2007</w:t>
            </w:r>
          </w:p>
        </w:tc>
        <w:tc>
          <w:tcPr>
            <w:tcW w:w="680" w:type="dxa"/>
            <w:vAlign w:val="bottom"/>
            <w:tcBorders>
              <w:bottom w:val="single" w:sz="8" w:color="auto"/>
            </w:tcBorders>
          </w:tcPr>
          <w:p>
            <w:pPr>
              <w:spacing w:after="0"/>
              <w:rPr>
                <w:sz w:val="14"/>
                <w:szCs w:val="14"/>
                <w:color w:val="auto"/>
              </w:rPr>
            </w:pPr>
          </w:p>
        </w:tc>
        <w:tc>
          <w:tcPr>
            <w:tcW w:w="3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3"/>
          </w:tcPr>
          <w:p>
            <w:pPr>
              <w:jc w:val="center"/>
              <w:ind w:left="75"/>
              <w:spacing w:after="0"/>
              <w:rPr>
                <w:sz w:val="20"/>
                <w:szCs w:val="20"/>
                <w:color w:val="auto"/>
              </w:rPr>
            </w:pPr>
            <w:r>
              <w:rPr>
                <w:rFonts w:ascii="Arial" w:cs="Arial" w:eastAsia="Arial" w:hAnsi="Arial"/>
                <w:sz w:val="14"/>
                <w:szCs w:val="14"/>
                <w:b w:val="1"/>
                <w:bCs w:val="1"/>
                <w:color w:val="auto"/>
                <w:w w:val="87"/>
              </w:rPr>
              <w:t>Nov. 25, 2006</w:t>
            </w:r>
          </w:p>
        </w:tc>
        <w:tc>
          <w:tcPr>
            <w:tcW w:w="40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6580" w:type="dxa"/>
            <w:vAlign w:val="bottom"/>
            <w:tcBorders>
              <w:bottom w:val="single" w:sz="8" w:color="D6F3E8"/>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340" w:type="dxa"/>
            <w:vAlign w:val="bottom"/>
            <w:tcBorders>
              <w:bottom w:val="single" w:sz="8" w:color="D6F3E8"/>
            </w:tcBorders>
          </w:tcPr>
          <w:p>
            <w:pPr>
              <w:spacing w:after="0"/>
              <w:rPr>
                <w:sz w:val="15"/>
                <w:szCs w:val="15"/>
                <w:color w:val="auto"/>
              </w:rPr>
            </w:pPr>
          </w:p>
        </w:tc>
        <w:tc>
          <w:tcPr>
            <w:tcW w:w="68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w:t>
            </w:r>
          </w:p>
        </w:tc>
        <w:tc>
          <w:tcPr>
            <w:tcW w:w="340" w:type="dxa"/>
            <w:vAlign w:val="bottom"/>
            <w:tcBorders>
              <w:bottom w:val="single" w:sz="8" w:color="D6F3E8"/>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320" w:type="dxa"/>
            <w:vAlign w:val="bottom"/>
            <w:tcBorders>
              <w:bottom w:val="single" w:sz="8" w:color="D6F3E8"/>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w w:val="96"/>
              </w:rPr>
              <w:t>%</w:t>
            </w:r>
          </w:p>
        </w:tc>
        <w:tc>
          <w:tcPr>
            <w:tcW w:w="220" w:type="dxa"/>
            <w:vAlign w:val="bottom"/>
            <w:tcBorders>
              <w:bottom w:val="single" w:sz="8" w:color="D6F3E8"/>
            </w:tcBorders>
          </w:tcPr>
          <w:p>
            <w:pPr>
              <w:spacing w:after="0"/>
              <w:rPr>
                <w:sz w:val="15"/>
                <w:szCs w:val="15"/>
                <w:color w:val="auto"/>
              </w:rPr>
            </w:pPr>
          </w:p>
        </w:tc>
        <w:tc>
          <w:tcPr>
            <w:tcW w:w="0" w:type="dxa"/>
            <w:vAlign w:val="bottom"/>
          </w:tcPr>
          <w:p>
            <w:pPr>
              <w:spacing w:after="0"/>
              <w:rPr>
                <w:sz w:val="1"/>
                <w:szCs w:val="1"/>
                <w:color w:val="auto"/>
              </w:rPr>
            </w:pPr>
          </w:p>
        </w:tc>
      </w:tr>
      <w:tr>
        <w:trPr>
          <w:trHeight w:val="250"/>
        </w:trPr>
        <w:tc>
          <w:tcPr>
            <w:tcW w:w="6580" w:type="dxa"/>
            <w:vAlign w:val="bottom"/>
            <w:shd w:val="clear" w:color="auto" w:fill="D6F3E8"/>
          </w:tcPr>
          <w:p>
            <w:pPr>
              <w:spacing w:after="0"/>
              <w:rPr>
                <w:sz w:val="20"/>
                <w:szCs w:val="20"/>
                <w:color w:val="auto"/>
              </w:rPr>
            </w:pPr>
            <w:r>
              <w:rPr>
                <w:rFonts w:ascii="Arial" w:cs="Arial" w:eastAsia="Arial" w:hAnsi="Arial"/>
                <w:sz w:val="18"/>
                <w:szCs w:val="18"/>
                <w:color w:val="auto"/>
              </w:rPr>
              <w:t>Net revenues</w:t>
            </w:r>
          </w:p>
        </w:tc>
        <w:tc>
          <w:tcPr>
            <w:tcW w:w="240" w:type="dxa"/>
            <w:vAlign w:val="bottom"/>
            <w:shd w:val="clear" w:color="auto" w:fill="D6F3E8"/>
          </w:tcPr>
          <w:p>
            <w:pPr>
              <w:jc w:val="right"/>
              <w:ind w:right="83"/>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D6F3E8"/>
          </w:tcPr>
          <w:p>
            <w:pPr>
              <w:jc w:val="right"/>
              <w:spacing w:after="0"/>
              <w:rPr>
                <w:sz w:val="20"/>
                <w:szCs w:val="20"/>
                <w:color w:val="auto"/>
              </w:rPr>
            </w:pPr>
            <w:r>
              <w:rPr>
                <w:rFonts w:ascii="Arial" w:cs="Arial" w:eastAsia="Arial" w:hAnsi="Arial"/>
                <w:sz w:val="18"/>
                <w:szCs w:val="18"/>
                <w:color w:val="auto"/>
              </w:rPr>
              <w:t>215,142</w:t>
            </w:r>
          </w:p>
        </w:tc>
        <w:tc>
          <w:tcPr>
            <w:tcW w:w="340" w:type="dxa"/>
            <w:vAlign w:val="bottom"/>
            <w:shd w:val="clear" w:color="auto" w:fill="D6F3E8"/>
          </w:tcPr>
          <w:p>
            <w:pPr>
              <w:spacing w:after="0"/>
              <w:rPr>
                <w:sz w:val="21"/>
                <w:szCs w:val="21"/>
                <w:color w:val="auto"/>
              </w:rPr>
            </w:pPr>
          </w:p>
        </w:tc>
        <w:tc>
          <w:tcPr>
            <w:tcW w:w="1020" w:type="dxa"/>
            <w:vAlign w:val="bottom"/>
            <w:gridSpan w:val="2"/>
            <w:shd w:val="clear" w:color="auto" w:fill="D6F3E8"/>
          </w:tcPr>
          <w:p>
            <w:pPr>
              <w:jc w:val="right"/>
              <w:ind w:right="340"/>
              <w:spacing w:after="0"/>
              <w:rPr>
                <w:sz w:val="20"/>
                <w:szCs w:val="20"/>
                <w:color w:val="auto"/>
              </w:rPr>
            </w:pPr>
            <w:r>
              <w:rPr>
                <w:rFonts w:ascii="Arial" w:cs="Arial" w:eastAsia="Arial" w:hAnsi="Arial"/>
                <w:sz w:val="18"/>
                <w:szCs w:val="18"/>
                <w:color w:val="auto"/>
              </w:rPr>
              <w:t>100.0</w:t>
            </w:r>
          </w:p>
        </w:tc>
        <w:tc>
          <w:tcPr>
            <w:tcW w:w="240" w:type="dxa"/>
            <w:vAlign w:val="bottom"/>
            <w:shd w:val="clear" w:color="auto" w:fill="D6F3E8"/>
          </w:tcPr>
          <w:p>
            <w:pPr>
              <w:jc w:val="right"/>
              <w:ind w:right="83"/>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D6F3E8"/>
          </w:tcPr>
          <w:p>
            <w:pPr>
              <w:jc w:val="right"/>
              <w:ind w:right="320"/>
              <w:spacing w:after="0"/>
              <w:rPr>
                <w:sz w:val="20"/>
                <w:szCs w:val="20"/>
                <w:color w:val="auto"/>
              </w:rPr>
            </w:pPr>
            <w:r>
              <w:rPr>
                <w:rFonts w:ascii="Arial" w:cs="Arial" w:eastAsia="Arial" w:hAnsi="Arial"/>
                <w:sz w:val="18"/>
                <w:szCs w:val="18"/>
                <w:color w:val="auto"/>
              </w:rPr>
              <w:t>201,765</w:t>
            </w:r>
          </w:p>
        </w:tc>
        <w:tc>
          <w:tcPr>
            <w:tcW w:w="280" w:type="dxa"/>
            <w:vAlign w:val="bottom"/>
            <w:shd w:val="clear" w:color="auto" w:fill="D6F3E8"/>
          </w:tcPr>
          <w:p>
            <w:pPr>
              <w:spacing w:after="0"/>
              <w:rPr>
                <w:sz w:val="21"/>
                <w:szCs w:val="21"/>
                <w:color w:val="auto"/>
              </w:rPr>
            </w:pPr>
          </w:p>
        </w:tc>
        <w:tc>
          <w:tcPr>
            <w:tcW w:w="400" w:type="dxa"/>
            <w:vAlign w:val="bottom"/>
            <w:shd w:val="clear" w:color="auto" w:fill="D6F3E8"/>
          </w:tcPr>
          <w:p>
            <w:pPr>
              <w:jc w:val="right"/>
              <w:spacing w:after="0"/>
              <w:rPr>
                <w:sz w:val="20"/>
                <w:szCs w:val="20"/>
                <w:color w:val="auto"/>
              </w:rPr>
            </w:pPr>
            <w:r>
              <w:rPr>
                <w:rFonts w:ascii="Arial" w:cs="Arial" w:eastAsia="Arial" w:hAnsi="Arial"/>
                <w:sz w:val="18"/>
                <w:szCs w:val="18"/>
                <w:color w:val="auto"/>
                <w:w w:val="84"/>
              </w:rPr>
              <w:t>100.0</w:t>
            </w:r>
          </w:p>
        </w:tc>
        <w:tc>
          <w:tcPr>
            <w:tcW w:w="220" w:type="dxa"/>
            <w:vAlign w:val="bottom"/>
            <w:shd w:val="clear" w:color="auto" w:fill="D6F3E8"/>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6580" w:type="dxa"/>
            <w:vAlign w:val="bottom"/>
            <w:tcBorders>
              <w:bottom w:val="single" w:sz="8" w:color="D6F3E8"/>
            </w:tcBorders>
          </w:tcPr>
          <w:p>
            <w:pPr>
              <w:spacing w:after="0"/>
              <w:rPr>
                <w:sz w:val="20"/>
                <w:szCs w:val="20"/>
                <w:color w:val="auto"/>
              </w:rPr>
            </w:pPr>
            <w:r>
              <w:rPr>
                <w:rFonts w:ascii="Arial" w:cs="Arial" w:eastAsia="Arial" w:hAnsi="Arial"/>
                <w:sz w:val="18"/>
                <w:szCs w:val="18"/>
                <w:color w:val="auto"/>
              </w:rPr>
              <w:t>Cost of goods sold</w:t>
            </w:r>
          </w:p>
        </w:tc>
        <w:tc>
          <w:tcPr>
            <w:tcW w:w="2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189,502</w:t>
            </w:r>
          </w:p>
        </w:tc>
        <w:tc>
          <w:tcPr>
            <w:tcW w:w="340" w:type="dxa"/>
            <w:vAlign w:val="bottom"/>
            <w:tcBorders>
              <w:bottom w:val="single" w:sz="8" w:color="D6F3E8"/>
            </w:tcBorders>
          </w:tcPr>
          <w:p>
            <w:pPr>
              <w:spacing w:after="0"/>
              <w:rPr>
                <w:sz w:val="22"/>
                <w:szCs w:val="22"/>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88.1</w:t>
            </w:r>
          </w:p>
        </w:tc>
        <w:tc>
          <w:tcPr>
            <w:tcW w:w="340" w:type="dxa"/>
            <w:vAlign w:val="bottom"/>
            <w:tcBorders>
              <w:bottom w:val="single" w:sz="8" w:color="D6F3E8"/>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180,381</w:t>
            </w:r>
          </w:p>
        </w:tc>
        <w:tc>
          <w:tcPr>
            <w:tcW w:w="320" w:type="dxa"/>
            <w:vAlign w:val="bottom"/>
            <w:tcBorders>
              <w:bottom w:val="single" w:sz="8" w:color="D6F3E8"/>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89.4</w:t>
            </w:r>
          </w:p>
        </w:tc>
        <w:tc>
          <w:tcPr>
            <w:tcW w:w="220" w:type="dxa"/>
            <w:vAlign w:val="bottom"/>
            <w:tcBorders>
              <w:bottom w:val="single" w:sz="8" w:color="D6F3E8"/>
            </w:tcBorders>
          </w:tcPr>
          <w:p>
            <w:pPr>
              <w:spacing w:after="0"/>
              <w:rPr>
                <w:sz w:val="22"/>
                <w:szCs w:val="22"/>
                <w:color w:val="auto"/>
              </w:rPr>
            </w:pPr>
          </w:p>
        </w:tc>
        <w:tc>
          <w:tcPr>
            <w:tcW w:w="0" w:type="dxa"/>
            <w:vAlign w:val="bottom"/>
          </w:tcPr>
          <w:p>
            <w:pPr>
              <w:spacing w:after="0"/>
              <w:rPr>
                <w:sz w:val="1"/>
                <w:szCs w:val="1"/>
                <w:color w:val="auto"/>
              </w:rPr>
            </w:pPr>
          </w:p>
        </w:tc>
      </w:tr>
      <w:tr>
        <w:trPr>
          <w:trHeight w:val="251"/>
        </w:trPr>
        <w:tc>
          <w:tcPr>
            <w:tcW w:w="6580" w:type="dxa"/>
            <w:vAlign w:val="bottom"/>
            <w:shd w:val="clear" w:color="auto" w:fill="D6F3E8"/>
          </w:tcPr>
          <w:p>
            <w:pPr>
              <w:ind w:left="280"/>
              <w:spacing w:after="0"/>
              <w:rPr>
                <w:sz w:val="20"/>
                <w:szCs w:val="20"/>
                <w:color w:val="auto"/>
              </w:rPr>
            </w:pPr>
            <w:r>
              <w:rPr>
                <w:rFonts w:ascii="Arial" w:cs="Arial" w:eastAsia="Arial" w:hAnsi="Arial"/>
                <w:sz w:val="18"/>
                <w:szCs w:val="18"/>
                <w:color w:val="auto"/>
              </w:rPr>
              <w:t>Gross profit</w:t>
            </w:r>
          </w:p>
        </w:tc>
        <w:tc>
          <w:tcPr>
            <w:tcW w:w="240" w:type="dxa"/>
            <w:vAlign w:val="bottom"/>
            <w:shd w:val="clear" w:color="auto" w:fill="D6F3E8"/>
          </w:tcPr>
          <w:p>
            <w:pPr>
              <w:spacing w:after="0"/>
              <w:rPr>
                <w:sz w:val="21"/>
                <w:szCs w:val="21"/>
                <w:color w:val="auto"/>
              </w:rPr>
            </w:pPr>
          </w:p>
        </w:tc>
        <w:tc>
          <w:tcPr>
            <w:tcW w:w="880" w:type="dxa"/>
            <w:vAlign w:val="bottom"/>
            <w:shd w:val="clear" w:color="auto" w:fill="D6F3E8"/>
          </w:tcPr>
          <w:p>
            <w:pPr>
              <w:jc w:val="right"/>
              <w:spacing w:after="0"/>
              <w:rPr>
                <w:sz w:val="20"/>
                <w:szCs w:val="20"/>
                <w:color w:val="auto"/>
              </w:rPr>
            </w:pPr>
            <w:r>
              <w:rPr>
                <w:rFonts w:ascii="Arial" w:cs="Arial" w:eastAsia="Arial" w:hAnsi="Arial"/>
                <w:sz w:val="18"/>
                <w:szCs w:val="18"/>
                <w:color w:val="auto"/>
              </w:rPr>
              <w:t>25,640</w:t>
            </w:r>
          </w:p>
        </w:tc>
        <w:tc>
          <w:tcPr>
            <w:tcW w:w="340" w:type="dxa"/>
            <w:vAlign w:val="bottom"/>
            <w:shd w:val="clear" w:color="auto" w:fill="D6F3E8"/>
          </w:tcPr>
          <w:p>
            <w:pPr>
              <w:spacing w:after="0"/>
              <w:rPr>
                <w:sz w:val="21"/>
                <w:szCs w:val="21"/>
                <w:color w:val="auto"/>
              </w:rPr>
            </w:pPr>
          </w:p>
        </w:tc>
        <w:tc>
          <w:tcPr>
            <w:tcW w:w="1020" w:type="dxa"/>
            <w:vAlign w:val="bottom"/>
            <w:gridSpan w:val="2"/>
            <w:shd w:val="clear" w:color="auto" w:fill="D6F3E8"/>
          </w:tcPr>
          <w:p>
            <w:pPr>
              <w:jc w:val="right"/>
              <w:ind w:right="340"/>
              <w:spacing w:after="0"/>
              <w:rPr>
                <w:sz w:val="20"/>
                <w:szCs w:val="20"/>
                <w:color w:val="auto"/>
              </w:rPr>
            </w:pPr>
            <w:r>
              <w:rPr>
                <w:rFonts w:ascii="Arial" w:cs="Arial" w:eastAsia="Arial" w:hAnsi="Arial"/>
                <w:sz w:val="18"/>
                <w:szCs w:val="18"/>
                <w:color w:val="auto"/>
              </w:rPr>
              <w:t>11.9</w:t>
            </w:r>
          </w:p>
        </w:tc>
        <w:tc>
          <w:tcPr>
            <w:tcW w:w="240" w:type="dxa"/>
            <w:vAlign w:val="bottom"/>
            <w:shd w:val="clear" w:color="auto" w:fill="D6F3E8"/>
          </w:tcPr>
          <w:p>
            <w:pPr>
              <w:spacing w:after="0"/>
              <w:rPr>
                <w:sz w:val="21"/>
                <w:szCs w:val="21"/>
                <w:color w:val="auto"/>
              </w:rPr>
            </w:pPr>
          </w:p>
        </w:tc>
        <w:tc>
          <w:tcPr>
            <w:tcW w:w="1220" w:type="dxa"/>
            <w:vAlign w:val="bottom"/>
            <w:gridSpan w:val="2"/>
            <w:shd w:val="clear" w:color="auto" w:fill="D6F3E8"/>
          </w:tcPr>
          <w:p>
            <w:pPr>
              <w:jc w:val="right"/>
              <w:ind w:right="320"/>
              <w:spacing w:after="0"/>
              <w:rPr>
                <w:sz w:val="20"/>
                <w:szCs w:val="20"/>
                <w:color w:val="auto"/>
              </w:rPr>
            </w:pPr>
            <w:r>
              <w:rPr>
                <w:rFonts w:ascii="Arial" w:cs="Arial" w:eastAsia="Arial" w:hAnsi="Arial"/>
                <w:sz w:val="18"/>
                <w:szCs w:val="18"/>
                <w:color w:val="auto"/>
              </w:rPr>
              <w:t>21,384</w:t>
            </w:r>
          </w:p>
        </w:tc>
        <w:tc>
          <w:tcPr>
            <w:tcW w:w="280" w:type="dxa"/>
            <w:vAlign w:val="bottom"/>
            <w:shd w:val="clear" w:color="auto" w:fill="D6F3E8"/>
          </w:tcPr>
          <w:p>
            <w:pPr>
              <w:spacing w:after="0"/>
              <w:rPr>
                <w:sz w:val="21"/>
                <w:szCs w:val="21"/>
                <w:color w:val="auto"/>
              </w:rPr>
            </w:pPr>
          </w:p>
        </w:tc>
        <w:tc>
          <w:tcPr>
            <w:tcW w:w="400" w:type="dxa"/>
            <w:vAlign w:val="bottom"/>
            <w:shd w:val="clear" w:color="auto" w:fill="D6F3E8"/>
          </w:tcPr>
          <w:p>
            <w:pPr>
              <w:jc w:val="right"/>
              <w:spacing w:after="0"/>
              <w:rPr>
                <w:sz w:val="20"/>
                <w:szCs w:val="20"/>
                <w:color w:val="auto"/>
              </w:rPr>
            </w:pPr>
            <w:r>
              <w:rPr>
                <w:rFonts w:ascii="Arial" w:cs="Arial" w:eastAsia="Arial" w:hAnsi="Arial"/>
                <w:sz w:val="18"/>
                <w:szCs w:val="18"/>
                <w:color w:val="auto"/>
              </w:rPr>
              <w:t>10.6</w:t>
            </w:r>
          </w:p>
        </w:tc>
        <w:tc>
          <w:tcPr>
            <w:tcW w:w="220" w:type="dxa"/>
            <w:vAlign w:val="bottom"/>
            <w:shd w:val="clear" w:color="auto" w:fill="D6F3E8"/>
          </w:tcPr>
          <w:p>
            <w:pPr>
              <w:spacing w:after="0"/>
              <w:rPr>
                <w:sz w:val="21"/>
                <w:szCs w:val="21"/>
                <w:color w:val="auto"/>
              </w:rPr>
            </w:pPr>
          </w:p>
        </w:tc>
        <w:tc>
          <w:tcPr>
            <w:tcW w:w="0" w:type="dxa"/>
            <w:vAlign w:val="bottom"/>
          </w:tcPr>
          <w:p>
            <w:pPr>
              <w:spacing w:after="0"/>
              <w:rPr>
                <w:sz w:val="1"/>
                <w:szCs w:val="1"/>
                <w:color w:val="auto"/>
              </w:rPr>
            </w:pPr>
          </w:p>
        </w:tc>
      </w:tr>
      <w:tr>
        <w:trPr>
          <w:trHeight w:val="235"/>
        </w:trPr>
        <w:tc>
          <w:tcPr>
            <w:tcW w:w="6580" w:type="dxa"/>
            <w:vAlign w:val="bottom"/>
          </w:tcPr>
          <w:p>
            <w:pPr>
              <w:spacing w:after="0"/>
              <w:rPr>
                <w:sz w:val="20"/>
                <w:szCs w:val="20"/>
                <w:color w:val="auto"/>
              </w:rPr>
            </w:pPr>
            <w:r>
              <w:rPr>
                <w:rFonts w:ascii="Arial" w:cs="Arial" w:eastAsia="Arial" w:hAnsi="Arial"/>
                <w:sz w:val="18"/>
                <w:szCs w:val="18"/>
                <w:color w:val="auto"/>
              </w:rPr>
              <w:t>Operating expenses</w:t>
            </w:r>
          </w:p>
        </w:tc>
        <w:tc>
          <w:tcPr>
            <w:tcW w:w="2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680" w:type="dxa"/>
            <w:vAlign w:val="bottom"/>
            <w:tcBorders>
              <w:top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8"/>
        </w:trPr>
        <w:tc>
          <w:tcPr>
            <w:tcW w:w="6580" w:type="dxa"/>
            <w:vAlign w:val="bottom"/>
          </w:tcPr>
          <w:p>
            <w:pPr>
              <w:ind w:left="280"/>
              <w:spacing w:after="0"/>
              <w:rPr>
                <w:sz w:val="20"/>
                <w:szCs w:val="20"/>
                <w:color w:val="auto"/>
              </w:rPr>
            </w:pPr>
            <w:r>
              <w:rPr>
                <w:rFonts w:ascii="Arial" w:cs="Arial" w:eastAsia="Arial" w:hAnsi="Arial"/>
                <w:sz w:val="18"/>
                <w:szCs w:val="18"/>
                <w:color w:val="auto"/>
              </w:rPr>
              <w:t>Selling</w:t>
            </w:r>
          </w:p>
        </w:tc>
        <w:tc>
          <w:tcPr>
            <w:tcW w:w="24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5,605</w:t>
            </w:r>
          </w:p>
        </w:tc>
        <w:tc>
          <w:tcPr>
            <w:tcW w:w="340" w:type="dxa"/>
            <w:vAlign w:val="bottom"/>
          </w:tcPr>
          <w:p>
            <w:pPr>
              <w:spacing w:after="0"/>
              <w:rPr>
                <w:sz w:val="22"/>
                <w:szCs w:val="22"/>
                <w:color w:val="auto"/>
              </w:rPr>
            </w:pPr>
          </w:p>
        </w:tc>
        <w:tc>
          <w:tcPr>
            <w:tcW w:w="1020" w:type="dxa"/>
            <w:vAlign w:val="bottom"/>
            <w:gridSpan w:val="2"/>
          </w:tcPr>
          <w:p>
            <w:pPr>
              <w:jc w:val="right"/>
              <w:ind w:right="340"/>
              <w:spacing w:after="0"/>
              <w:rPr>
                <w:sz w:val="20"/>
                <w:szCs w:val="20"/>
                <w:color w:val="auto"/>
              </w:rPr>
            </w:pPr>
            <w:r>
              <w:rPr>
                <w:rFonts w:ascii="Arial" w:cs="Arial" w:eastAsia="Arial" w:hAnsi="Arial"/>
                <w:sz w:val="18"/>
                <w:szCs w:val="18"/>
                <w:color w:val="auto"/>
              </w:rPr>
              <w:t>2.6</w:t>
            </w:r>
          </w:p>
        </w:tc>
        <w:tc>
          <w:tcPr>
            <w:tcW w:w="240" w:type="dxa"/>
            <w:vAlign w:val="bottom"/>
          </w:tcPr>
          <w:p>
            <w:pPr>
              <w:spacing w:after="0"/>
              <w:rPr>
                <w:sz w:val="22"/>
                <w:szCs w:val="22"/>
                <w:color w:val="auto"/>
              </w:rPr>
            </w:pPr>
          </w:p>
        </w:tc>
        <w:tc>
          <w:tcPr>
            <w:tcW w:w="1220" w:type="dxa"/>
            <w:vAlign w:val="bottom"/>
            <w:gridSpan w:val="2"/>
          </w:tcPr>
          <w:p>
            <w:pPr>
              <w:jc w:val="right"/>
              <w:ind w:right="320"/>
              <w:spacing w:after="0"/>
              <w:rPr>
                <w:sz w:val="20"/>
                <w:szCs w:val="20"/>
                <w:color w:val="auto"/>
              </w:rPr>
            </w:pPr>
            <w:r>
              <w:rPr>
                <w:rFonts w:ascii="Arial" w:cs="Arial" w:eastAsia="Arial" w:hAnsi="Arial"/>
                <w:sz w:val="18"/>
                <w:szCs w:val="18"/>
                <w:color w:val="auto"/>
              </w:rPr>
              <w:t>4,727</w:t>
            </w:r>
          </w:p>
        </w:tc>
        <w:tc>
          <w:tcPr>
            <w:tcW w:w="280" w:type="dxa"/>
            <w:vAlign w:val="bottom"/>
          </w:tcPr>
          <w:p>
            <w:pPr>
              <w:spacing w:after="0"/>
              <w:rPr>
                <w:sz w:val="22"/>
                <w:szCs w:val="22"/>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2.4</w:t>
            </w:r>
          </w:p>
        </w:tc>
        <w:tc>
          <w:tcPr>
            <w:tcW w:w="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8"/>
        </w:trPr>
        <w:tc>
          <w:tcPr>
            <w:tcW w:w="6580" w:type="dxa"/>
            <w:vAlign w:val="bottom"/>
            <w:shd w:val="clear" w:color="auto" w:fill="D6F3E8"/>
          </w:tcPr>
          <w:p>
            <w:pPr>
              <w:ind w:left="280"/>
              <w:spacing w:after="0"/>
              <w:rPr>
                <w:sz w:val="20"/>
                <w:szCs w:val="20"/>
                <w:color w:val="auto"/>
              </w:rPr>
            </w:pPr>
            <w:r>
              <w:rPr>
                <w:rFonts w:ascii="Arial" w:cs="Arial" w:eastAsia="Arial" w:hAnsi="Arial"/>
                <w:sz w:val="18"/>
                <w:szCs w:val="18"/>
                <w:color w:val="auto"/>
              </w:rPr>
              <w:t>General and administrative</w:t>
            </w:r>
          </w:p>
        </w:tc>
        <w:tc>
          <w:tcPr>
            <w:tcW w:w="240" w:type="dxa"/>
            <w:vAlign w:val="bottom"/>
            <w:tcBorders>
              <w:bottom w:val="single" w:sz="8" w:color="auto"/>
            </w:tcBorders>
            <w:shd w:val="clear" w:color="auto" w:fill="D6F3E8"/>
          </w:tcPr>
          <w:p>
            <w:pPr>
              <w:spacing w:after="0"/>
              <w:rPr>
                <w:sz w:val="22"/>
                <w:szCs w:val="22"/>
                <w:color w:val="auto"/>
              </w:rPr>
            </w:pPr>
          </w:p>
        </w:tc>
        <w:tc>
          <w:tcPr>
            <w:tcW w:w="880" w:type="dxa"/>
            <w:vAlign w:val="bottom"/>
            <w:tcBorders>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6,451</w:t>
            </w:r>
          </w:p>
        </w:tc>
        <w:tc>
          <w:tcPr>
            <w:tcW w:w="340" w:type="dxa"/>
            <w:vAlign w:val="bottom"/>
            <w:shd w:val="clear" w:color="auto" w:fill="D6F3E8"/>
          </w:tcPr>
          <w:p>
            <w:pPr>
              <w:spacing w:after="0"/>
              <w:rPr>
                <w:sz w:val="22"/>
                <w:szCs w:val="22"/>
                <w:color w:val="auto"/>
              </w:rPr>
            </w:pPr>
          </w:p>
        </w:tc>
        <w:tc>
          <w:tcPr>
            <w:tcW w:w="680" w:type="dxa"/>
            <w:vAlign w:val="bottom"/>
            <w:tcBorders>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3.0</w:t>
            </w:r>
          </w:p>
        </w:tc>
        <w:tc>
          <w:tcPr>
            <w:tcW w:w="340" w:type="dxa"/>
            <w:vAlign w:val="bottom"/>
            <w:shd w:val="clear" w:color="auto" w:fill="D6F3E8"/>
          </w:tcPr>
          <w:p>
            <w:pPr>
              <w:spacing w:after="0"/>
              <w:rPr>
                <w:sz w:val="22"/>
                <w:szCs w:val="22"/>
                <w:color w:val="auto"/>
              </w:rPr>
            </w:pPr>
          </w:p>
        </w:tc>
        <w:tc>
          <w:tcPr>
            <w:tcW w:w="240" w:type="dxa"/>
            <w:vAlign w:val="bottom"/>
            <w:tcBorders>
              <w:bottom w:val="single" w:sz="8" w:color="auto"/>
            </w:tcBorders>
            <w:shd w:val="clear" w:color="auto" w:fill="D6F3E8"/>
          </w:tcPr>
          <w:p>
            <w:pPr>
              <w:spacing w:after="0"/>
              <w:rPr>
                <w:sz w:val="22"/>
                <w:szCs w:val="22"/>
                <w:color w:val="auto"/>
              </w:rPr>
            </w:pPr>
          </w:p>
        </w:tc>
        <w:tc>
          <w:tcPr>
            <w:tcW w:w="900" w:type="dxa"/>
            <w:vAlign w:val="bottom"/>
            <w:tcBorders>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6,517</w:t>
            </w:r>
          </w:p>
        </w:tc>
        <w:tc>
          <w:tcPr>
            <w:tcW w:w="320" w:type="dxa"/>
            <w:vAlign w:val="bottom"/>
            <w:shd w:val="clear" w:color="auto" w:fill="D6F3E8"/>
          </w:tcPr>
          <w:p>
            <w:pPr>
              <w:spacing w:after="0"/>
              <w:rPr>
                <w:sz w:val="22"/>
                <w:szCs w:val="22"/>
                <w:color w:val="auto"/>
              </w:rPr>
            </w:pPr>
          </w:p>
        </w:tc>
        <w:tc>
          <w:tcPr>
            <w:tcW w:w="280" w:type="dxa"/>
            <w:vAlign w:val="bottom"/>
            <w:tcBorders>
              <w:bottom w:val="single" w:sz="8" w:color="auto"/>
            </w:tcBorders>
            <w:shd w:val="clear" w:color="auto" w:fill="D6F3E8"/>
          </w:tcPr>
          <w:p>
            <w:pPr>
              <w:spacing w:after="0"/>
              <w:rPr>
                <w:sz w:val="22"/>
                <w:szCs w:val="22"/>
                <w:color w:val="auto"/>
              </w:rPr>
            </w:pPr>
          </w:p>
        </w:tc>
        <w:tc>
          <w:tcPr>
            <w:tcW w:w="400" w:type="dxa"/>
            <w:vAlign w:val="bottom"/>
            <w:tcBorders>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3.2</w:t>
            </w:r>
          </w:p>
        </w:tc>
        <w:tc>
          <w:tcPr>
            <w:tcW w:w="220" w:type="dxa"/>
            <w:vAlign w:val="bottom"/>
            <w:shd w:val="clear" w:color="auto" w:fill="D6F3E8"/>
          </w:tcPr>
          <w:p>
            <w:pPr>
              <w:spacing w:after="0"/>
              <w:rPr>
                <w:sz w:val="22"/>
                <w:szCs w:val="22"/>
                <w:color w:val="auto"/>
              </w:rPr>
            </w:pPr>
          </w:p>
        </w:tc>
        <w:tc>
          <w:tcPr>
            <w:tcW w:w="0" w:type="dxa"/>
            <w:vAlign w:val="bottom"/>
          </w:tcPr>
          <w:p>
            <w:pPr>
              <w:spacing w:after="0"/>
              <w:rPr>
                <w:sz w:val="1"/>
                <w:szCs w:val="1"/>
                <w:color w:val="auto"/>
              </w:rPr>
            </w:pPr>
          </w:p>
        </w:tc>
      </w:tr>
      <w:tr>
        <w:trPr>
          <w:trHeight w:val="249"/>
        </w:trPr>
        <w:tc>
          <w:tcPr>
            <w:tcW w:w="6580" w:type="dxa"/>
            <w:vAlign w:val="bottom"/>
            <w:tcBorders>
              <w:bottom w:val="single" w:sz="8" w:color="D6F3E8"/>
            </w:tcBorders>
          </w:tcPr>
          <w:p>
            <w:pPr>
              <w:ind w:left="280"/>
              <w:spacing w:after="0"/>
              <w:rPr>
                <w:sz w:val="20"/>
                <w:szCs w:val="20"/>
                <w:color w:val="auto"/>
              </w:rPr>
            </w:pPr>
            <w:r>
              <w:rPr>
                <w:rFonts w:ascii="Arial" w:cs="Arial" w:eastAsia="Arial" w:hAnsi="Arial"/>
                <w:sz w:val="18"/>
                <w:szCs w:val="18"/>
                <w:color w:val="auto"/>
              </w:rPr>
              <w:t>Total operating expenses</w:t>
            </w: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12,056</w:t>
            </w:r>
          </w:p>
        </w:tc>
        <w:tc>
          <w:tcPr>
            <w:tcW w:w="340" w:type="dxa"/>
            <w:vAlign w:val="bottom"/>
            <w:tcBorders>
              <w:bottom w:val="single" w:sz="8" w:color="D6F3E8"/>
            </w:tcBorders>
          </w:tcPr>
          <w:p>
            <w:pPr>
              <w:spacing w:after="0"/>
              <w:rPr>
                <w:sz w:val="21"/>
                <w:szCs w:val="21"/>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w:t>
            </w:r>
          </w:p>
        </w:tc>
        <w:tc>
          <w:tcPr>
            <w:tcW w:w="340" w:type="dxa"/>
            <w:vAlign w:val="bottom"/>
            <w:tcBorders>
              <w:bottom w:val="single" w:sz="8" w:color="D6F3E8"/>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11,244</w:t>
            </w:r>
          </w:p>
        </w:tc>
        <w:tc>
          <w:tcPr>
            <w:tcW w:w="320" w:type="dxa"/>
            <w:vAlign w:val="bottom"/>
            <w:tcBorders>
              <w:bottom w:val="single" w:sz="8" w:color="D6F3E8"/>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w:t>
            </w:r>
          </w:p>
        </w:tc>
        <w:tc>
          <w:tcPr>
            <w:tcW w:w="220" w:type="dxa"/>
            <w:vAlign w:val="bottom"/>
            <w:tcBorders>
              <w:bottom w:val="single" w:sz="8" w:color="D6F3E8"/>
            </w:tcBorders>
          </w:tcPr>
          <w:p>
            <w:pPr>
              <w:spacing w:after="0"/>
              <w:rPr>
                <w:sz w:val="21"/>
                <w:szCs w:val="21"/>
                <w:color w:val="auto"/>
              </w:rPr>
            </w:pPr>
          </w:p>
        </w:tc>
        <w:tc>
          <w:tcPr>
            <w:tcW w:w="0" w:type="dxa"/>
            <w:vAlign w:val="bottom"/>
          </w:tcPr>
          <w:p>
            <w:pPr>
              <w:spacing w:after="0"/>
              <w:rPr>
                <w:sz w:val="1"/>
                <w:szCs w:val="1"/>
                <w:color w:val="auto"/>
              </w:rPr>
            </w:pPr>
          </w:p>
        </w:tc>
      </w:tr>
      <w:tr>
        <w:trPr>
          <w:trHeight w:val="251"/>
        </w:trPr>
        <w:tc>
          <w:tcPr>
            <w:tcW w:w="6580" w:type="dxa"/>
            <w:vAlign w:val="bottom"/>
            <w:shd w:val="clear" w:color="auto" w:fill="D6F3E8"/>
          </w:tcPr>
          <w:p>
            <w:pPr>
              <w:spacing w:after="0"/>
              <w:rPr>
                <w:sz w:val="20"/>
                <w:szCs w:val="20"/>
                <w:color w:val="auto"/>
              </w:rPr>
            </w:pPr>
            <w:r>
              <w:rPr>
                <w:rFonts w:ascii="Arial" w:cs="Arial" w:eastAsia="Arial" w:hAnsi="Arial"/>
                <w:sz w:val="18"/>
                <w:szCs w:val="18"/>
                <w:color w:val="auto"/>
              </w:rPr>
              <w:t>Operating income</w:t>
            </w:r>
          </w:p>
        </w:tc>
        <w:tc>
          <w:tcPr>
            <w:tcW w:w="240" w:type="dxa"/>
            <w:vAlign w:val="bottom"/>
            <w:shd w:val="clear" w:color="auto" w:fill="D6F3E8"/>
          </w:tcPr>
          <w:p>
            <w:pPr>
              <w:spacing w:after="0"/>
              <w:rPr>
                <w:sz w:val="21"/>
                <w:szCs w:val="21"/>
                <w:color w:val="auto"/>
              </w:rPr>
            </w:pPr>
          </w:p>
        </w:tc>
        <w:tc>
          <w:tcPr>
            <w:tcW w:w="880" w:type="dxa"/>
            <w:vAlign w:val="bottom"/>
            <w:shd w:val="clear" w:color="auto" w:fill="D6F3E8"/>
          </w:tcPr>
          <w:p>
            <w:pPr>
              <w:jc w:val="right"/>
              <w:spacing w:after="0"/>
              <w:rPr>
                <w:sz w:val="20"/>
                <w:szCs w:val="20"/>
                <w:color w:val="auto"/>
              </w:rPr>
            </w:pPr>
            <w:r>
              <w:rPr>
                <w:rFonts w:ascii="Arial" w:cs="Arial" w:eastAsia="Arial" w:hAnsi="Arial"/>
                <w:sz w:val="18"/>
                <w:szCs w:val="18"/>
                <w:color w:val="auto"/>
              </w:rPr>
              <w:t>13,584</w:t>
            </w:r>
          </w:p>
        </w:tc>
        <w:tc>
          <w:tcPr>
            <w:tcW w:w="340" w:type="dxa"/>
            <w:vAlign w:val="bottom"/>
            <w:shd w:val="clear" w:color="auto" w:fill="D6F3E8"/>
          </w:tcPr>
          <w:p>
            <w:pPr>
              <w:spacing w:after="0"/>
              <w:rPr>
                <w:sz w:val="21"/>
                <w:szCs w:val="21"/>
                <w:color w:val="auto"/>
              </w:rPr>
            </w:pPr>
          </w:p>
        </w:tc>
        <w:tc>
          <w:tcPr>
            <w:tcW w:w="1020" w:type="dxa"/>
            <w:vAlign w:val="bottom"/>
            <w:gridSpan w:val="2"/>
            <w:shd w:val="clear" w:color="auto" w:fill="D6F3E8"/>
          </w:tcPr>
          <w:p>
            <w:pPr>
              <w:jc w:val="right"/>
              <w:ind w:right="340"/>
              <w:spacing w:after="0"/>
              <w:rPr>
                <w:sz w:val="20"/>
                <w:szCs w:val="20"/>
                <w:color w:val="auto"/>
              </w:rPr>
            </w:pPr>
            <w:r>
              <w:rPr>
                <w:rFonts w:ascii="Arial" w:cs="Arial" w:eastAsia="Arial" w:hAnsi="Arial"/>
                <w:sz w:val="18"/>
                <w:szCs w:val="18"/>
                <w:color w:val="auto"/>
              </w:rPr>
              <w:t>6.3</w:t>
            </w:r>
          </w:p>
        </w:tc>
        <w:tc>
          <w:tcPr>
            <w:tcW w:w="240" w:type="dxa"/>
            <w:vAlign w:val="bottom"/>
            <w:shd w:val="clear" w:color="auto" w:fill="D6F3E8"/>
          </w:tcPr>
          <w:p>
            <w:pPr>
              <w:spacing w:after="0"/>
              <w:rPr>
                <w:sz w:val="21"/>
                <w:szCs w:val="21"/>
                <w:color w:val="auto"/>
              </w:rPr>
            </w:pPr>
          </w:p>
        </w:tc>
        <w:tc>
          <w:tcPr>
            <w:tcW w:w="1220" w:type="dxa"/>
            <w:vAlign w:val="bottom"/>
            <w:gridSpan w:val="2"/>
            <w:shd w:val="clear" w:color="auto" w:fill="D6F3E8"/>
          </w:tcPr>
          <w:p>
            <w:pPr>
              <w:jc w:val="right"/>
              <w:ind w:right="320"/>
              <w:spacing w:after="0"/>
              <w:rPr>
                <w:sz w:val="20"/>
                <w:szCs w:val="20"/>
                <w:color w:val="auto"/>
              </w:rPr>
            </w:pPr>
            <w:r>
              <w:rPr>
                <w:rFonts w:ascii="Arial" w:cs="Arial" w:eastAsia="Arial" w:hAnsi="Arial"/>
                <w:sz w:val="18"/>
                <w:szCs w:val="18"/>
                <w:color w:val="auto"/>
              </w:rPr>
              <w:t>10,140</w:t>
            </w:r>
          </w:p>
        </w:tc>
        <w:tc>
          <w:tcPr>
            <w:tcW w:w="280" w:type="dxa"/>
            <w:vAlign w:val="bottom"/>
            <w:shd w:val="clear" w:color="auto" w:fill="D6F3E8"/>
          </w:tcPr>
          <w:p>
            <w:pPr>
              <w:spacing w:after="0"/>
              <w:rPr>
                <w:sz w:val="21"/>
                <w:szCs w:val="21"/>
                <w:color w:val="auto"/>
              </w:rPr>
            </w:pPr>
          </w:p>
        </w:tc>
        <w:tc>
          <w:tcPr>
            <w:tcW w:w="400" w:type="dxa"/>
            <w:vAlign w:val="bottom"/>
            <w:shd w:val="clear" w:color="auto" w:fill="D6F3E8"/>
          </w:tcPr>
          <w:p>
            <w:pPr>
              <w:jc w:val="right"/>
              <w:spacing w:after="0"/>
              <w:rPr>
                <w:sz w:val="20"/>
                <w:szCs w:val="20"/>
                <w:color w:val="auto"/>
              </w:rPr>
            </w:pPr>
            <w:r>
              <w:rPr>
                <w:rFonts w:ascii="Arial" w:cs="Arial" w:eastAsia="Arial" w:hAnsi="Arial"/>
                <w:sz w:val="18"/>
                <w:szCs w:val="18"/>
                <w:color w:val="auto"/>
              </w:rPr>
              <w:t>5.0</w:t>
            </w:r>
          </w:p>
        </w:tc>
        <w:tc>
          <w:tcPr>
            <w:tcW w:w="220" w:type="dxa"/>
            <w:vAlign w:val="bottom"/>
            <w:shd w:val="clear" w:color="auto" w:fill="D6F3E8"/>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6580" w:type="dxa"/>
            <w:vAlign w:val="bottom"/>
            <w:tcBorders>
              <w:bottom w:val="single" w:sz="8" w:color="D6F3E8"/>
            </w:tcBorders>
          </w:tcPr>
          <w:p>
            <w:pPr>
              <w:spacing w:after="0"/>
              <w:rPr>
                <w:sz w:val="20"/>
                <w:szCs w:val="20"/>
                <w:color w:val="auto"/>
              </w:rPr>
            </w:pPr>
            <w:r>
              <w:rPr>
                <w:rFonts w:ascii="Arial" w:cs="Arial" w:eastAsia="Arial" w:hAnsi="Arial"/>
                <w:sz w:val="18"/>
                <w:szCs w:val="18"/>
                <w:color w:val="auto"/>
              </w:rPr>
              <w:t>Financial income</w:t>
            </w:r>
          </w:p>
        </w:tc>
        <w:tc>
          <w:tcPr>
            <w:tcW w:w="2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1,240</w:t>
            </w:r>
          </w:p>
        </w:tc>
        <w:tc>
          <w:tcPr>
            <w:tcW w:w="340" w:type="dxa"/>
            <w:vAlign w:val="bottom"/>
            <w:tcBorders>
              <w:bottom w:val="single" w:sz="8" w:color="D6F3E8"/>
            </w:tcBorders>
          </w:tcPr>
          <w:p>
            <w:pPr>
              <w:spacing w:after="0"/>
              <w:rPr>
                <w:sz w:val="22"/>
                <w:szCs w:val="22"/>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0.6</w:t>
            </w:r>
          </w:p>
        </w:tc>
        <w:tc>
          <w:tcPr>
            <w:tcW w:w="340" w:type="dxa"/>
            <w:vAlign w:val="bottom"/>
            <w:tcBorders>
              <w:bottom w:val="single" w:sz="8" w:color="D6F3E8"/>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1,563</w:t>
            </w:r>
          </w:p>
        </w:tc>
        <w:tc>
          <w:tcPr>
            <w:tcW w:w="320" w:type="dxa"/>
            <w:vAlign w:val="bottom"/>
            <w:tcBorders>
              <w:bottom w:val="single" w:sz="8" w:color="D6F3E8"/>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0.8</w:t>
            </w:r>
          </w:p>
        </w:tc>
        <w:tc>
          <w:tcPr>
            <w:tcW w:w="220" w:type="dxa"/>
            <w:vAlign w:val="bottom"/>
            <w:tcBorders>
              <w:bottom w:val="single" w:sz="8" w:color="D6F3E8"/>
            </w:tcBorders>
          </w:tcPr>
          <w:p>
            <w:pPr>
              <w:spacing w:after="0"/>
              <w:rPr>
                <w:sz w:val="22"/>
                <w:szCs w:val="22"/>
                <w:color w:val="auto"/>
              </w:rPr>
            </w:pPr>
          </w:p>
        </w:tc>
        <w:tc>
          <w:tcPr>
            <w:tcW w:w="0" w:type="dxa"/>
            <w:vAlign w:val="bottom"/>
          </w:tcPr>
          <w:p>
            <w:pPr>
              <w:spacing w:after="0"/>
              <w:rPr>
                <w:sz w:val="1"/>
                <w:szCs w:val="1"/>
                <w:color w:val="auto"/>
              </w:rPr>
            </w:pPr>
          </w:p>
        </w:tc>
      </w:tr>
      <w:tr>
        <w:trPr>
          <w:trHeight w:val="251"/>
        </w:trPr>
        <w:tc>
          <w:tcPr>
            <w:tcW w:w="6580" w:type="dxa"/>
            <w:vAlign w:val="bottom"/>
            <w:shd w:val="clear" w:color="auto" w:fill="D6F3E8"/>
          </w:tcPr>
          <w:p>
            <w:pPr>
              <w:spacing w:after="0"/>
              <w:rPr>
                <w:sz w:val="20"/>
                <w:szCs w:val="20"/>
                <w:color w:val="auto"/>
              </w:rPr>
            </w:pPr>
            <w:r>
              <w:rPr>
                <w:rFonts w:ascii="Arial" w:cs="Arial" w:eastAsia="Arial" w:hAnsi="Arial"/>
                <w:sz w:val="18"/>
                <w:szCs w:val="18"/>
                <w:color w:val="auto"/>
              </w:rPr>
              <w:t>Income before income taxes</w:t>
            </w:r>
          </w:p>
        </w:tc>
        <w:tc>
          <w:tcPr>
            <w:tcW w:w="240" w:type="dxa"/>
            <w:vAlign w:val="bottom"/>
            <w:shd w:val="clear" w:color="auto" w:fill="D6F3E8"/>
          </w:tcPr>
          <w:p>
            <w:pPr>
              <w:spacing w:after="0"/>
              <w:rPr>
                <w:sz w:val="21"/>
                <w:szCs w:val="21"/>
                <w:color w:val="auto"/>
              </w:rPr>
            </w:pPr>
          </w:p>
        </w:tc>
        <w:tc>
          <w:tcPr>
            <w:tcW w:w="880" w:type="dxa"/>
            <w:vAlign w:val="bottom"/>
            <w:shd w:val="clear" w:color="auto" w:fill="D6F3E8"/>
          </w:tcPr>
          <w:p>
            <w:pPr>
              <w:jc w:val="right"/>
              <w:spacing w:after="0"/>
              <w:rPr>
                <w:sz w:val="20"/>
                <w:szCs w:val="20"/>
                <w:color w:val="auto"/>
              </w:rPr>
            </w:pPr>
            <w:r>
              <w:rPr>
                <w:rFonts w:ascii="Arial" w:cs="Arial" w:eastAsia="Arial" w:hAnsi="Arial"/>
                <w:sz w:val="18"/>
                <w:szCs w:val="18"/>
                <w:color w:val="auto"/>
              </w:rPr>
              <w:t>14,824</w:t>
            </w:r>
          </w:p>
        </w:tc>
        <w:tc>
          <w:tcPr>
            <w:tcW w:w="340" w:type="dxa"/>
            <w:vAlign w:val="bottom"/>
            <w:shd w:val="clear" w:color="auto" w:fill="D6F3E8"/>
          </w:tcPr>
          <w:p>
            <w:pPr>
              <w:spacing w:after="0"/>
              <w:rPr>
                <w:sz w:val="21"/>
                <w:szCs w:val="21"/>
                <w:color w:val="auto"/>
              </w:rPr>
            </w:pPr>
          </w:p>
        </w:tc>
        <w:tc>
          <w:tcPr>
            <w:tcW w:w="1020" w:type="dxa"/>
            <w:vAlign w:val="bottom"/>
            <w:gridSpan w:val="2"/>
            <w:shd w:val="clear" w:color="auto" w:fill="D6F3E8"/>
          </w:tcPr>
          <w:p>
            <w:pPr>
              <w:jc w:val="right"/>
              <w:ind w:right="340"/>
              <w:spacing w:after="0"/>
              <w:rPr>
                <w:sz w:val="20"/>
                <w:szCs w:val="20"/>
                <w:color w:val="auto"/>
              </w:rPr>
            </w:pPr>
            <w:r>
              <w:rPr>
                <w:rFonts w:ascii="Arial" w:cs="Arial" w:eastAsia="Arial" w:hAnsi="Arial"/>
                <w:sz w:val="18"/>
                <w:szCs w:val="18"/>
                <w:color w:val="auto"/>
              </w:rPr>
              <w:t>6.9</w:t>
            </w:r>
          </w:p>
        </w:tc>
        <w:tc>
          <w:tcPr>
            <w:tcW w:w="240" w:type="dxa"/>
            <w:vAlign w:val="bottom"/>
            <w:shd w:val="clear" w:color="auto" w:fill="D6F3E8"/>
          </w:tcPr>
          <w:p>
            <w:pPr>
              <w:spacing w:after="0"/>
              <w:rPr>
                <w:sz w:val="21"/>
                <w:szCs w:val="21"/>
                <w:color w:val="auto"/>
              </w:rPr>
            </w:pPr>
          </w:p>
        </w:tc>
        <w:tc>
          <w:tcPr>
            <w:tcW w:w="1220" w:type="dxa"/>
            <w:vAlign w:val="bottom"/>
            <w:gridSpan w:val="2"/>
            <w:shd w:val="clear" w:color="auto" w:fill="D6F3E8"/>
          </w:tcPr>
          <w:p>
            <w:pPr>
              <w:jc w:val="right"/>
              <w:ind w:right="320"/>
              <w:spacing w:after="0"/>
              <w:rPr>
                <w:sz w:val="20"/>
                <w:szCs w:val="20"/>
                <w:color w:val="auto"/>
              </w:rPr>
            </w:pPr>
            <w:r>
              <w:rPr>
                <w:rFonts w:ascii="Arial" w:cs="Arial" w:eastAsia="Arial" w:hAnsi="Arial"/>
                <w:sz w:val="18"/>
                <w:szCs w:val="18"/>
                <w:color w:val="auto"/>
              </w:rPr>
              <w:t>11,703</w:t>
            </w:r>
          </w:p>
        </w:tc>
        <w:tc>
          <w:tcPr>
            <w:tcW w:w="280" w:type="dxa"/>
            <w:vAlign w:val="bottom"/>
            <w:shd w:val="clear" w:color="auto" w:fill="D6F3E8"/>
          </w:tcPr>
          <w:p>
            <w:pPr>
              <w:spacing w:after="0"/>
              <w:rPr>
                <w:sz w:val="21"/>
                <w:szCs w:val="21"/>
                <w:color w:val="auto"/>
              </w:rPr>
            </w:pPr>
          </w:p>
        </w:tc>
        <w:tc>
          <w:tcPr>
            <w:tcW w:w="400" w:type="dxa"/>
            <w:vAlign w:val="bottom"/>
            <w:shd w:val="clear" w:color="auto" w:fill="D6F3E8"/>
          </w:tcPr>
          <w:p>
            <w:pPr>
              <w:jc w:val="right"/>
              <w:spacing w:after="0"/>
              <w:rPr>
                <w:sz w:val="20"/>
                <w:szCs w:val="20"/>
                <w:color w:val="auto"/>
              </w:rPr>
            </w:pPr>
            <w:r>
              <w:rPr>
                <w:rFonts w:ascii="Arial" w:cs="Arial" w:eastAsia="Arial" w:hAnsi="Arial"/>
                <w:sz w:val="18"/>
                <w:szCs w:val="18"/>
                <w:color w:val="auto"/>
              </w:rPr>
              <w:t>5.8</w:t>
            </w:r>
          </w:p>
        </w:tc>
        <w:tc>
          <w:tcPr>
            <w:tcW w:w="220" w:type="dxa"/>
            <w:vAlign w:val="bottom"/>
            <w:shd w:val="clear" w:color="auto" w:fill="D6F3E8"/>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6580" w:type="dxa"/>
            <w:vAlign w:val="bottom"/>
            <w:tcBorders>
              <w:bottom w:val="single" w:sz="8" w:color="D6F3E8"/>
            </w:tcBorders>
          </w:tcPr>
          <w:p>
            <w:pPr>
              <w:spacing w:after="0"/>
              <w:rPr>
                <w:sz w:val="20"/>
                <w:szCs w:val="20"/>
                <w:color w:val="auto"/>
              </w:rPr>
            </w:pPr>
            <w:r>
              <w:rPr>
                <w:rFonts w:ascii="Arial" w:cs="Arial" w:eastAsia="Arial" w:hAnsi="Arial"/>
                <w:sz w:val="18"/>
                <w:szCs w:val="18"/>
                <w:color w:val="auto"/>
              </w:rPr>
              <w:t>Provision for taxes</w:t>
            </w:r>
          </w:p>
        </w:tc>
        <w:tc>
          <w:tcPr>
            <w:tcW w:w="2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4,862</w:t>
            </w:r>
          </w:p>
        </w:tc>
        <w:tc>
          <w:tcPr>
            <w:tcW w:w="340" w:type="dxa"/>
            <w:vAlign w:val="bottom"/>
            <w:tcBorders>
              <w:bottom w:val="single" w:sz="8" w:color="D6F3E8"/>
            </w:tcBorders>
          </w:tcPr>
          <w:p>
            <w:pPr>
              <w:spacing w:after="0"/>
              <w:rPr>
                <w:sz w:val="22"/>
                <w:szCs w:val="22"/>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340" w:type="dxa"/>
            <w:vAlign w:val="bottom"/>
            <w:tcBorders>
              <w:bottom w:val="single" w:sz="8" w:color="D6F3E8"/>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3,767</w:t>
            </w:r>
          </w:p>
        </w:tc>
        <w:tc>
          <w:tcPr>
            <w:tcW w:w="320" w:type="dxa"/>
            <w:vAlign w:val="bottom"/>
            <w:tcBorders>
              <w:bottom w:val="single" w:sz="8" w:color="D6F3E8"/>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220" w:type="dxa"/>
            <w:vAlign w:val="bottom"/>
            <w:tcBorders>
              <w:bottom w:val="single" w:sz="8" w:color="D6F3E8"/>
            </w:tcBorders>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6580" w:type="dxa"/>
            <w:vAlign w:val="bottom"/>
            <w:shd w:val="clear" w:color="auto" w:fill="D6F3E8"/>
          </w:tcPr>
          <w:p>
            <w:pPr>
              <w:spacing w:after="0"/>
              <w:rPr>
                <w:sz w:val="20"/>
                <w:szCs w:val="20"/>
                <w:color w:val="auto"/>
              </w:rPr>
            </w:pPr>
            <w:r>
              <w:rPr>
                <w:rFonts w:ascii="Arial" w:cs="Arial" w:eastAsia="Arial" w:hAnsi="Arial"/>
                <w:sz w:val="18"/>
                <w:szCs w:val="18"/>
                <w:color w:val="auto"/>
              </w:rPr>
              <w:t>Net income</w:t>
            </w:r>
          </w:p>
        </w:tc>
        <w:tc>
          <w:tcPr>
            <w:tcW w:w="240" w:type="dxa"/>
            <w:vAlign w:val="bottom"/>
            <w:shd w:val="clear" w:color="auto" w:fill="D6F3E8"/>
          </w:tcPr>
          <w:p>
            <w:pPr>
              <w:jc w:val="right"/>
              <w:ind w:right="83"/>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D6F3E8"/>
          </w:tcPr>
          <w:p>
            <w:pPr>
              <w:jc w:val="right"/>
              <w:spacing w:after="0"/>
              <w:rPr>
                <w:sz w:val="20"/>
                <w:szCs w:val="20"/>
                <w:color w:val="auto"/>
              </w:rPr>
            </w:pPr>
            <w:r>
              <w:rPr>
                <w:rFonts w:ascii="Arial" w:cs="Arial" w:eastAsia="Arial" w:hAnsi="Arial"/>
                <w:sz w:val="18"/>
                <w:szCs w:val="18"/>
                <w:color w:val="auto"/>
              </w:rPr>
              <w:t>9,962</w:t>
            </w:r>
          </w:p>
        </w:tc>
        <w:tc>
          <w:tcPr>
            <w:tcW w:w="340" w:type="dxa"/>
            <w:vAlign w:val="bottom"/>
            <w:shd w:val="clear" w:color="auto" w:fill="D6F3E8"/>
          </w:tcPr>
          <w:p>
            <w:pPr>
              <w:spacing w:after="0"/>
              <w:rPr>
                <w:sz w:val="21"/>
                <w:szCs w:val="21"/>
                <w:color w:val="auto"/>
              </w:rPr>
            </w:pPr>
          </w:p>
        </w:tc>
        <w:tc>
          <w:tcPr>
            <w:tcW w:w="1020" w:type="dxa"/>
            <w:vAlign w:val="bottom"/>
            <w:gridSpan w:val="2"/>
            <w:shd w:val="clear" w:color="auto" w:fill="D6F3E8"/>
          </w:tcPr>
          <w:p>
            <w:pPr>
              <w:jc w:val="right"/>
              <w:ind w:right="340"/>
              <w:spacing w:after="0"/>
              <w:rPr>
                <w:sz w:val="20"/>
                <w:szCs w:val="20"/>
                <w:color w:val="auto"/>
              </w:rPr>
            </w:pPr>
            <w:r>
              <w:rPr>
                <w:rFonts w:ascii="Arial" w:cs="Arial" w:eastAsia="Arial" w:hAnsi="Arial"/>
                <w:sz w:val="18"/>
                <w:szCs w:val="18"/>
                <w:color w:val="auto"/>
              </w:rPr>
              <w:t>4.6</w:t>
            </w:r>
          </w:p>
        </w:tc>
        <w:tc>
          <w:tcPr>
            <w:tcW w:w="240" w:type="dxa"/>
            <w:vAlign w:val="bottom"/>
            <w:shd w:val="clear" w:color="auto" w:fill="D6F3E8"/>
          </w:tcPr>
          <w:p>
            <w:pPr>
              <w:jc w:val="right"/>
              <w:ind w:right="83"/>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D6F3E8"/>
          </w:tcPr>
          <w:p>
            <w:pPr>
              <w:jc w:val="right"/>
              <w:ind w:right="320"/>
              <w:spacing w:after="0"/>
              <w:rPr>
                <w:sz w:val="20"/>
                <w:szCs w:val="20"/>
                <w:color w:val="auto"/>
              </w:rPr>
            </w:pPr>
            <w:r>
              <w:rPr>
                <w:rFonts w:ascii="Arial" w:cs="Arial" w:eastAsia="Arial" w:hAnsi="Arial"/>
                <w:sz w:val="18"/>
                <w:szCs w:val="18"/>
                <w:color w:val="auto"/>
              </w:rPr>
              <w:t>7,936</w:t>
            </w:r>
          </w:p>
        </w:tc>
        <w:tc>
          <w:tcPr>
            <w:tcW w:w="280" w:type="dxa"/>
            <w:vAlign w:val="bottom"/>
            <w:shd w:val="clear" w:color="auto" w:fill="D6F3E8"/>
          </w:tcPr>
          <w:p>
            <w:pPr>
              <w:spacing w:after="0"/>
              <w:rPr>
                <w:sz w:val="21"/>
                <w:szCs w:val="21"/>
                <w:color w:val="auto"/>
              </w:rPr>
            </w:pPr>
          </w:p>
        </w:tc>
        <w:tc>
          <w:tcPr>
            <w:tcW w:w="400" w:type="dxa"/>
            <w:vAlign w:val="bottom"/>
            <w:shd w:val="clear" w:color="auto" w:fill="D6F3E8"/>
          </w:tcPr>
          <w:p>
            <w:pPr>
              <w:jc w:val="right"/>
              <w:spacing w:after="0"/>
              <w:rPr>
                <w:sz w:val="20"/>
                <w:szCs w:val="20"/>
                <w:color w:val="auto"/>
              </w:rPr>
            </w:pPr>
            <w:r>
              <w:rPr>
                <w:rFonts w:ascii="Arial" w:cs="Arial" w:eastAsia="Arial" w:hAnsi="Arial"/>
                <w:sz w:val="18"/>
                <w:szCs w:val="18"/>
                <w:color w:val="auto"/>
              </w:rPr>
              <w:t>3.9</w:t>
            </w:r>
          </w:p>
        </w:tc>
        <w:tc>
          <w:tcPr>
            <w:tcW w:w="220" w:type="dxa"/>
            <w:vAlign w:val="bottom"/>
            <w:shd w:val="clear" w:color="auto" w:fill="D6F3E8"/>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580" w:type="dxa"/>
            <w:vAlign w:val="bottom"/>
            <w:tcBorders>
              <w:top w:val="single" w:sz="8" w:color="D6F3E8"/>
              <w:bottom w:val="single" w:sz="8" w:color="D6F3E8"/>
            </w:tcBorders>
            <w:vMerge w:val="restart"/>
          </w:tcPr>
          <w:p>
            <w:pPr>
              <w:spacing w:after="0"/>
              <w:rPr>
                <w:sz w:val="20"/>
                <w:szCs w:val="20"/>
                <w:color w:val="auto"/>
              </w:rPr>
            </w:pPr>
            <w:r>
              <w:rPr>
                <w:rFonts w:ascii="Arial" w:cs="Arial" w:eastAsia="Arial" w:hAnsi="Arial"/>
                <w:sz w:val="18"/>
                <w:szCs w:val="18"/>
                <w:color w:val="auto"/>
              </w:rPr>
              <w:t>Income per common share:</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D6F3E8"/>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D6F3E8"/>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D6F3E8"/>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D6F3E8"/>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58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8"/>
        </w:trPr>
        <w:tc>
          <w:tcPr>
            <w:tcW w:w="6580" w:type="dxa"/>
            <w:vAlign w:val="bottom"/>
          </w:tcPr>
          <w:p>
            <w:pPr>
              <w:ind w:left="280"/>
              <w:spacing w:after="0"/>
              <w:rPr>
                <w:sz w:val="20"/>
                <w:szCs w:val="20"/>
                <w:color w:val="auto"/>
              </w:rPr>
            </w:pPr>
            <w:r>
              <w:rPr>
                <w:rFonts w:ascii="Arial" w:cs="Arial" w:eastAsia="Arial" w:hAnsi="Arial"/>
                <w:sz w:val="18"/>
                <w:szCs w:val="18"/>
                <w:color w:val="auto"/>
              </w:rPr>
              <w:t>Basic</w:t>
            </w:r>
          </w:p>
        </w:tc>
        <w:tc>
          <w:tcPr>
            <w:tcW w:w="240" w:type="dxa"/>
            <w:vAlign w:val="bottom"/>
          </w:tcPr>
          <w:p>
            <w:pPr>
              <w:jc w:val="right"/>
              <w:ind w:right="83"/>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0.34</w:t>
            </w:r>
          </w:p>
        </w:tc>
        <w:tc>
          <w:tcPr>
            <w:tcW w:w="3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40" w:type="dxa"/>
            <w:vAlign w:val="bottom"/>
          </w:tcPr>
          <w:p>
            <w:pPr>
              <w:jc w:val="right"/>
              <w:ind w:right="83"/>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320"/>
              <w:spacing w:after="0"/>
              <w:rPr>
                <w:sz w:val="20"/>
                <w:szCs w:val="20"/>
                <w:color w:val="auto"/>
              </w:rPr>
            </w:pPr>
            <w:r>
              <w:rPr>
                <w:rFonts w:ascii="Arial" w:cs="Arial" w:eastAsia="Arial" w:hAnsi="Arial"/>
                <w:sz w:val="18"/>
                <w:szCs w:val="18"/>
                <w:color w:val="auto"/>
              </w:rPr>
              <w:t>0.25</w:t>
            </w:r>
          </w:p>
        </w:tc>
        <w:tc>
          <w:tcPr>
            <w:tcW w:w="2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8"/>
        </w:trPr>
        <w:tc>
          <w:tcPr>
            <w:tcW w:w="6580" w:type="dxa"/>
            <w:vAlign w:val="bottom"/>
            <w:shd w:val="clear" w:color="auto" w:fill="D6F3E8"/>
          </w:tcPr>
          <w:p>
            <w:pPr>
              <w:ind w:left="280"/>
              <w:spacing w:after="0"/>
              <w:rPr>
                <w:sz w:val="20"/>
                <w:szCs w:val="20"/>
                <w:color w:val="auto"/>
              </w:rPr>
            </w:pPr>
            <w:r>
              <w:rPr>
                <w:rFonts w:ascii="Arial" w:cs="Arial" w:eastAsia="Arial" w:hAnsi="Arial"/>
                <w:sz w:val="18"/>
                <w:szCs w:val="18"/>
                <w:color w:val="auto"/>
              </w:rPr>
              <w:t>Diluted</w:t>
            </w:r>
          </w:p>
        </w:tc>
        <w:tc>
          <w:tcPr>
            <w:tcW w:w="240" w:type="dxa"/>
            <w:vAlign w:val="bottom"/>
            <w:shd w:val="clear" w:color="auto" w:fill="D6F3E8"/>
          </w:tcPr>
          <w:p>
            <w:pPr>
              <w:jc w:val="right"/>
              <w:ind w:right="83"/>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D6F3E8"/>
          </w:tcPr>
          <w:p>
            <w:pPr>
              <w:jc w:val="right"/>
              <w:spacing w:after="0"/>
              <w:rPr>
                <w:sz w:val="20"/>
                <w:szCs w:val="20"/>
                <w:color w:val="auto"/>
              </w:rPr>
            </w:pPr>
            <w:r>
              <w:rPr>
                <w:rFonts w:ascii="Arial" w:cs="Arial" w:eastAsia="Arial" w:hAnsi="Arial"/>
                <w:sz w:val="18"/>
                <w:szCs w:val="18"/>
                <w:color w:val="auto"/>
              </w:rPr>
              <w:t>0.34</w:t>
            </w:r>
          </w:p>
        </w:tc>
        <w:tc>
          <w:tcPr>
            <w:tcW w:w="340" w:type="dxa"/>
            <w:vAlign w:val="bottom"/>
            <w:shd w:val="clear" w:color="auto" w:fill="D6F3E8"/>
          </w:tcPr>
          <w:p>
            <w:pPr>
              <w:spacing w:after="0"/>
              <w:rPr>
                <w:sz w:val="22"/>
                <w:szCs w:val="22"/>
                <w:color w:val="auto"/>
              </w:rPr>
            </w:pPr>
          </w:p>
        </w:tc>
        <w:tc>
          <w:tcPr>
            <w:tcW w:w="680" w:type="dxa"/>
            <w:vAlign w:val="bottom"/>
            <w:shd w:val="clear" w:color="auto" w:fill="D6F3E8"/>
          </w:tcPr>
          <w:p>
            <w:pPr>
              <w:spacing w:after="0"/>
              <w:rPr>
                <w:sz w:val="22"/>
                <w:szCs w:val="22"/>
                <w:color w:val="auto"/>
              </w:rPr>
            </w:pPr>
          </w:p>
        </w:tc>
        <w:tc>
          <w:tcPr>
            <w:tcW w:w="340" w:type="dxa"/>
            <w:vAlign w:val="bottom"/>
            <w:shd w:val="clear" w:color="auto" w:fill="D6F3E8"/>
          </w:tcPr>
          <w:p>
            <w:pPr>
              <w:spacing w:after="0"/>
              <w:rPr>
                <w:sz w:val="22"/>
                <w:szCs w:val="22"/>
                <w:color w:val="auto"/>
              </w:rPr>
            </w:pPr>
          </w:p>
        </w:tc>
        <w:tc>
          <w:tcPr>
            <w:tcW w:w="240" w:type="dxa"/>
            <w:vAlign w:val="bottom"/>
            <w:shd w:val="clear" w:color="auto" w:fill="D6F3E8"/>
          </w:tcPr>
          <w:p>
            <w:pPr>
              <w:jc w:val="right"/>
              <w:ind w:right="83"/>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D6F3E8"/>
          </w:tcPr>
          <w:p>
            <w:pPr>
              <w:jc w:val="right"/>
              <w:ind w:right="320"/>
              <w:spacing w:after="0"/>
              <w:rPr>
                <w:sz w:val="20"/>
                <w:szCs w:val="20"/>
                <w:color w:val="auto"/>
              </w:rPr>
            </w:pPr>
            <w:r>
              <w:rPr>
                <w:rFonts w:ascii="Arial" w:cs="Arial" w:eastAsia="Arial" w:hAnsi="Arial"/>
                <w:sz w:val="18"/>
                <w:szCs w:val="18"/>
                <w:color w:val="auto"/>
              </w:rPr>
              <w:t>0.25</w:t>
            </w:r>
          </w:p>
        </w:tc>
        <w:tc>
          <w:tcPr>
            <w:tcW w:w="280" w:type="dxa"/>
            <w:vAlign w:val="bottom"/>
            <w:shd w:val="clear" w:color="auto" w:fill="D6F3E8"/>
          </w:tcPr>
          <w:p>
            <w:pPr>
              <w:spacing w:after="0"/>
              <w:rPr>
                <w:sz w:val="22"/>
                <w:szCs w:val="22"/>
                <w:color w:val="auto"/>
              </w:rPr>
            </w:pPr>
          </w:p>
        </w:tc>
        <w:tc>
          <w:tcPr>
            <w:tcW w:w="400" w:type="dxa"/>
            <w:vAlign w:val="bottom"/>
            <w:shd w:val="clear" w:color="auto" w:fill="D6F3E8"/>
          </w:tcPr>
          <w:p>
            <w:pPr>
              <w:spacing w:after="0"/>
              <w:rPr>
                <w:sz w:val="22"/>
                <w:szCs w:val="22"/>
                <w:color w:val="auto"/>
              </w:rPr>
            </w:pPr>
          </w:p>
        </w:tc>
        <w:tc>
          <w:tcPr>
            <w:tcW w:w="220" w:type="dxa"/>
            <w:vAlign w:val="bottom"/>
            <w:shd w:val="clear" w:color="auto" w:fill="D6F3E8"/>
          </w:tcPr>
          <w:p>
            <w:pPr>
              <w:spacing w:after="0"/>
              <w:rPr>
                <w:sz w:val="22"/>
                <w:szCs w:val="22"/>
                <w:color w:val="auto"/>
              </w:rPr>
            </w:pPr>
          </w:p>
        </w:tc>
        <w:tc>
          <w:tcPr>
            <w:tcW w:w="0" w:type="dxa"/>
            <w:vAlign w:val="bottom"/>
          </w:tcPr>
          <w:p>
            <w:pPr>
              <w:spacing w:after="0"/>
              <w:rPr>
                <w:sz w:val="1"/>
                <w:szCs w:val="1"/>
                <w:color w:val="auto"/>
              </w:rPr>
            </w:pPr>
          </w:p>
        </w:tc>
      </w:tr>
      <w:tr>
        <w:trPr>
          <w:trHeight w:val="255"/>
        </w:trPr>
        <w:tc>
          <w:tcPr>
            <w:tcW w:w="6580" w:type="dxa"/>
            <w:vAlign w:val="bottom"/>
          </w:tcPr>
          <w:p>
            <w:pPr>
              <w:spacing w:after="0"/>
              <w:rPr>
                <w:sz w:val="20"/>
                <w:szCs w:val="20"/>
                <w:color w:val="auto"/>
              </w:rPr>
            </w:pPr>
            <w:r>
              <w:rPr>
                <w:rFonts w:ascii="Arial" w:cs="Arial" w:eastAsia="Arial" w:hAnsi="Arial"/>
                <w:sz w:val="18"/>
                <w:szCs w:val="18"/>
                <w:color w:val="auto"/>
              </w:rPr>
              <w:t>Weighted average common shares outstanding</w:t>
            </w:r>
          </w:p>
        </w:tc>
        <w:tc>
          <w:tcPr>
            <w:tcW w:w="2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8"/>
        </w:trPr>
        <w:tc>
          <w:tcPr>
            <w:tcW w:w="6580" w:type="dxa"/>
            <w:vAlign w:val="bottom"/>
          </w:tcPr>
          <w:p>
            <w:pPr>
              <w:ind w:left="280"/>
              <w:spacing w:after="0"/>
              <w:rPr>
                <w:sz w:val="20"/>
                <w:szCs w:val="20"/>
                <w:color w:val="auto"/>
              </w:rPr>
            </w:pPr>
            <w:r>
              <w:rPr>
                <w:rFonts w:ascii="Arial" w:cs="Arial" w:eastAsia="Arial" w:hAnsi="Arial"/>
                <w:sz w:val="18"/>
                <w:szCs w:val="18"/>
                <w:color w:val="auto"/>
              </w:rPr>
              <w:t>Basic</w:t>
            </w:r>
          </w:p>
        </w:tc>
        <w:tc>
          <w:tcPr>
            <w:tcW w:w="24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29,352</w:t>
            </w:r>
          </w:p>
        </w:tc>
        <w:tc>
          <w:tcPr>
            <w:tcW w:w="3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20" w:type="dxa"/>
            <w:vAlign w:val="bottom"/>
            <w:gridSpan w:val="2"/>
          </w:tcPr>
          <w:p>
            <w:pPr>
              <w:jc w:val="right"/>
              <w:ind w:right="320"/>
              <w:spacing w:after="0"/>
              <w:rPr>
                <w:sz w:val="20"/>
                <w:szCs w:val="20"/>
                <w:color w:val="auto"/>
              </w:rPr>
            </w:pPr>
            <w:r>
              <w:rPr>
                <w:rFonts w:ascii="Arial" w:cs="Arial" w:eastAsia="Arial" w:hAnsi="Arial"/>
                <w:sz w:val="18"/>
                <w:szCs w:val="18"/>
                <w:color w:val="auto"/>
              </w:rPr>
              <w:t>31,249</w:t>
            </w:r>
          </w:p>
        </w:tc>
        <w:tc>
          <w:tcPr>
            <w:tcW w:w="2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8"/>
        </w:trPr>
        <w:tc>
          <w:tcPr>
            <w:tcW w:w="6580" w:type="dxa"/>
            <w:vAlign w:val="bottom"/>
            <w:shd w:val="clear" w:color="auto" w:fill="D6F3E8"/>
          </w:tcPr>
          <w:p>
            <w:pPr>
              <w:ind w:left="280"/>
              <w:spacing w:after="0"/>
              <w:rPr>
                <w:sz w:val="20"/>
                <w:szCs w:val="20"/>
                <w:color w:val="auto"/>
              </w:rPr>
            </w:pPr>
            <w:r>
              <w:rPr>
                <w:rFonts w:ascii="Arial" w:cs="Arial" w:eastAsia="Arial" w:hAnsi="Arial"/>
                <w:sz w:val="18"/>
                <w:szCs w:val="18"/>
                <w:color w:val="auto"/>
              </w:rPr>
              <w:t>Diluted</w:t>
            </w:r>
          </w:p>
        </w:tc>
        <w:tc>
          <w:tcPr>
            <w:tcW w:w="240" w:type="dxa"/>
            <w:vAlign w:val="bottom"/>
            <w:shd w:val="clear" w:color="auto" w:fill="D6F3E8"/>
          </w:tcPr>
          <w:p>
            <w:pPr>
              <w:spacing w:after="0"/>
              <w:rPr>
                <w:sz w:val="22"/>
                <w:szCs w:val="22"/>
                <w:color w:val="auto"/>
              </w:rPr>
            </w:pPr>
          </w:p>
        </w:tc>
        <w:tc>
          <w:tcPr>
            <w:tcW w:w="880" w:type="dxa"/>
            <w:vAlign w:val="bottom"/>
            <w:shd w:val="clear" w:color="auto" w:fill="D6F3E8"/>
          </w:tcPr>
          <w:p>
            <w:pPr>
              <w:jc w:val="right"/>
              <w:spacing w:after="0"/>
              <w:rPr>
                <w:sz w:val="20"/>
                <w:szCs w:val="20"/>
                <w:color w:val="auto"/>
              </w:rPr>
            </w:pPr>
            <w:r>
              <w:rPr>
                <w:rFonts w:ascii="Arial" w:cs="Arial" w:eastAsia="Arial" w:hAnsi="Arial"/>
                <w:sz w:val="18"/>
                <w:szCs w:val="18"/>
                <w:color w:val="auto"/>
              </w:rPr>
              <w:t>29,440</w:t>
            </w:r>
          </w:p>
        </w:tc>
        <w:tc>
          <w:tcPr>
            <w:tcW w:w="340" w:type="dxa"/>
            <w:vAlign w:val="bottom"/>
            <w:shd w:val="clear" w:color="auto" w:fill="D6F3E8"/>
          </w:tcPr>
          <w:p>
            <w:pPr>
              <w:spacing w:after="0"/>
              <w:rPr>
                <w:sz w:val="22"/>
                <w:szCs w:val="22"/>
                <w:color w:val="auto"/>
              </w:rPr>
            </w:pPr>
          </w:p>
        </w:tc>
        <w:tc>
          <w:tcPr>
            <w:tcW w:w="680" w:type="dxa"/>
            <w:vAlign w:val="bottom"/>
            <w:shd w:val="clear" w:color="auto" w:fill="D6F3E8"/>
          </w:tcPr>
          <w:p>
            <w:pPr>
              <w:spacing w:after="0"/>
              <w:rPr>
                <w:sz w:val="22"/>
                <w:szCs w:val="22"/>
                <w:color w:val="auto"/>
              </w:rPr>
            </w:pPr>
          </w:p>
        </w:tc>
        <w:tc>
          <w:tcPr>
            <w:tcW w:w="340" w:type="dxa"/>
            <w:vAlign w:val="bottom"/>
            <w:shd w:val="clear" w:color="auto" w:fill="D6F3E8"/>
          </w:tcPr>
          <w:p>
            <w:pPr>
              <w:spacing w:after="0"/>
              <w:rPr>
                <w:sz w:val="22"/>
                <w:szCs w:val="22"/>
                <w:color w:val="auto"/>
              </w:rPr>
            </w:pPr>
          </w:p>
        </w:tc>
        <w:tc>
          <w:tcPr>
            <w:tcW w:w="240" w:type="dxa"/>
            <w:vAlign w:val="bottom"/>
            <w:shd w:val="clear" w:color="auto" w:fill="D6F3E8"/>
          </w:tcPr>
          <w:p>
            <w:pPr>
              <w:spacing w:after="0"/>
              <w:rPr>
                <w:sz w:val="22"/>
                <w:szCs w:val="22"/>
                <w:color w:val="auto"/>
              </w:rPr>
            </w:pPr>
          </w:p>
        </w:tc>
        <w:tc>
          <w:tcPr>
            <w:tcW w:w="1220" w:type="dxa"/>
            <w:vAlign w:val="bottom"/>
            <w:gridSpan w:val="2"/>
            <w:shd w:val="clear" w:color="auto" w:fill="D6F3E8"/>
          </w:tcPr>
          <w:p>
            <w:pPr>
              <w:jc w:val="right"/>
              <w:ind w:right="320"/>
              <w:spacing w:after="0"/>
              <w:rPr>
                <w:sz w:val="20"/>
                <w:szCs w:val="20"/>
                <w:color w:val="auto"/>
              </w:rPr>
            </w:pPr>
            <w:r>
              <w:rPr>
                <w:rFonts w:ascii="Arial" w:cs="Arial" w:eastAsia="Arial" w:hAnsi="Arial"/>
                <w:sz w:val="18"/>
                <w:szCs w:val="18"/>
                <w:color w:val="auto"/>
              </w:rPr>
              <w:t>31,587</w:t>
            </w:r>
          </w:p>
        </w:tc>
        <w:tc>
          <w:tcPr>
            <w:tcW w:w="280" w:type="dxa"/>
            <w:vAlign w:val="bottom"/>
            <w:shd w:val="clear" w:color="auto" w:fill="D6F3E8"/>
          </w:tcPr>
          <w:p>
            <w:pPr>
              <w:spacing w:after="0"/>
              <w:rPr>
                <w:sz w:val="22"/>
                <w:szCs w:val="22"/>
                <w:color w:val="auto"/>
              </w:rPr>
            </w:pPr>
          </w:p>
        </w:tc>
        <w:tc>
          <w:tcPr>
            <w:tcW w:w="400" w:type="dxa"/>
            <w:vAlign w:val="bottom"/>
            <w:shd w:val="clear" w:color="auto" w:fill="D6F3E8"/>
          </w:tcPr>
          <w:p>
            <w:pPr>
              <w:spacing w:after="0"/>
              <w:rPr>
                <w:sz w:val="22"/>
                <w:szCs w:val="22"/>
                <w:color w:val="auto"/>
              </w:rPr>
            </w:pPr>
          </w:p>
        </w:tc>
        <w:tc>
          <w:tcPr>
            <w:tcW w:w="220" w:type="dxa"/>
            <w:vAlign w:val="bottom"/>
            <w:shd w:val="clear" w:color="auto" w:fill="D6F3E8"/>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649605</wp:posOffset>
            </wp:positionV>
            <wp:extent cx="7250430"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Winnebago Industries, Inc.</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 Consolidated Condensed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200" w:lineRule="exact"/>
        <w:rPr>
          <w:sz w:val="20"/>
          <w:szCs w:val="20"/>
          <w:color w:val="auto"/>
        </w:rPr>
      </w:pP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80" w:type="dxa"/>
            <w:vAlign w:val="bottom"/>
            <w:gridSpan w:val="2"/>
            <w:vMerge w:val="restart"/>
          </w:tcPr>
          <w:p>
            <w:pPr>
              <w:spacing w:after="0"/>
              <w:rPr>
                <w:sz w:val="20"/>
                <w:szCs w:val="20"/>
                <w:color w:val="auto"/>
              </w:rPr>
            </w:pPr>
            <w:r>
              <w:rPr>
                <w:rFonts w:ascii="Arial" w:cs="Arial" w:eastAsia="Arial" w:hAnsi="Arial"/>
                <w:sz w:val="18"/>
                <w:szCs w:val="18"/>
                <w:color w:val="auto"/>
              </w:rPr>
              <w:t>ASSETS</w:t>
            </w:r>
          </w:p>
        </w:tc>
        <w:tc>
          <w:tcPr>
            <w:tcW w:w="200" w:type="dxa"/>
            <w:vAlign w:val="bottom"/>
          </w:tcPr>
          <w:p>
            <w:pPr>
              <w:spacing w:after="0"/>
              <w:rPr>
                <w:sz w:val="14"/>
                <w:szCs w:val="14"/>
                <w:color w:val="auto"/>
              </w:rPr>
            </w:pPr>
          </w:p>
        </w:tc>
        <w:tc>
          <w:tcPr>
            <w:tcW w:w="1320" w:type="dxa"/>
            <w:vAlign w:val="bottom"/>
            <w:gridSpan w:val="2"/>
          </w:tcPr>
          <w:p>
            <w:pPr>
              <w:ind w:left="120"/>
              <w:spacing w:after="0"/>
              <w:rPr>
                <w:sz w:val="20"/>
                <w:szCs w:val="20"/>
                <w:color w:val="auto"/>
              </w:rPr>
            </w:pPr>
            <w:r>
              <w:rPr>
                <w:rFonts w:ascii="Arial" w:cs="Arial" w:eastAsia="Arial" w:hAnsi="Arial"/>
                <w:sz w:val="14"/>
                <w:szCs w:val="14"/>
                <w:b w:val="1"/>
                <w:bCs w:val="1"/>
                <w:color w:val="auto"/>
              </w:rPr>
              <w:t>Dec. 1, 2007</w:t>
            </w: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20" w:type="dxa"/>
            <w:vAlign w:val="bottom"/>
            <w:gridSpan w:val="2"/>
          </w:tcPr>
          <w:p>
            <w:pPr>
              <w:ind w:left="120"/>
              <w:spacing w:after="0"/>
              <w:rPr>
                <w:sz w:val="20"/>
                <w:szCs w:val="20"/>
                <w:color w:val="auto"/>
              </w:rPr>
            </w:pPr>
            <w:r>
              <w:rPr>
                <w:rFonts w:ascii="Arial" w:cs="Arial" w:eastAsia="Arial" w:hAnsi="Arial"/>
                <w:sz w:val="14"/>
                <w:szCs w:val="14"/>
                <w:b w:val="1"/>
                <w:bCs w:val="1"/>
                <w:color w:val="auto"/>
              </w:rPr>
              <w:t>Aug. 25, 2007</w:t>
            </w:r>
          </w:p>
        </w:tc>
        <w:tc>
          <w:tcPr>
            <w:tcW w:w="0" w:type="dxa"/>
            <w:vAlign w:val="bottom"/>
          </w:tcPr>
          <w:p>
            <w:pPr>
              <w:spacing w:after="0"/>
              <w:rPr>
                <w:sz w:val="1"/>
                <w:szCs w:val="1"/>
                <w:color w:val="auto"/>
              </w:rPr>
            </w:pPr>
          </w:p>
        </w:tc>
      </w:tr>
      <w:tr>
        <w:trPr>
          <w:trHeight w:val="188"/>
        </w:trPr>
        <w:tc>
          <w:tcPr>
            <w:tcW w:w="8080" w:type="dxa"/>
            <w:vAlign w:val="bottom"/>
            <w:gridSpan w:val="2"/>
            <w:vMerge w:val="continue"/>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808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2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060" w:type="dxa"/>
            <w:vAlign w:val="bottom"/>
            <w:shd w:val="clear" w:color="auto" w:fill="D6F3E8"/>
          </w:tcPr>
          <w:p>
            <w:pPr>
              <w:ind w:left="160"/>
              <w:spacing w:after="0"/>
              <w:rPr>
                <w:sz w:val="20"/>
                <w:szCs w:val="20"/>
                <w:color w:val="auto"/>
              </w:rPr>
            </w:pPr>
            <w:r>
              <w:rPr>
                <w:rFonts w:ascii="Arial" w:cs="Arial" w:eastAsia="Arial" w:hAnsi="Arial"/>
                <w:sz w:val="18"/>
                <w:szCs w:val="18"/>
                <w:color w:val="auto"/>
              </w:rPr>
              <w:t>Cash and cash equivalents</w:t>
            </w:r>
          </w:p>
        </w:tc>
        <w:tc>
          <w:tcPr>
            <w:tcW w:w="200" w:type="dxa"/>
            <w:vAlign w:val="bottom"/>
            <w:shd w:val="clear" w:color="auto" w:fill="D6F3E8"/>
          </w:tcPr>
          <w:p>
            <w:pPr>
              <w:jc w:val="right"/>
              <w:ind w:right="12"/>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D6F3E8"/>
          </w:tcPr>
          <w:p>
            <w:pPr>
              <w:jc w:val="right"/>
              <w:ind w:right="200"/>
              <w:spacing w:after="0"/>
              <w:rPr>
                <w:sz w:val="20"/>
                <w:szCs w:val="20"/>
                <w:color w:val="auto"/>
              </w:rPr>
            </w:pPr>
            <w:r>
              <w:rPr>
                <w:rFonts w:ascii="Arial" w:cs="Arial" w:eastAsia="Arial" w:hAnsi="Arial"/>
                <w:sz w:val="18"/>
                <w:szCs w:val="18"/>
                <w:color w:val="auto"/>
              </w:rPr>
              <w:t>4,836</w:t>
            </w:r>
          </w:p>
        </w:tc>
        <w:tc>
          <w:tcPr>
            <w:tcW w:w="400" w:type="dxa"/>
            <w:vAlign w:val="bottom"/>
            <w:gridSpan w:val="2"/>
            <w:shd w:val="clear" w:color="auto" w:fill="D6F3E8"/>
          </w:tcPr>
          <w:p>
            <w:pPr>
              <w:jc w:val="right"/>
              <w:ind w:right="32"/>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D6F3E8"/>
          </w:tcPr>
          <w:p>
            <w:pPr>
              <w:jc w:val="right"/>
              <w:ind w:right="200"/>
              <w:spacing w:after="0"/>
              <w:rPr>
                <w:sz w:val="20"/>
                <w:szCs w:val="20"/>
                <w:color w:val="auto"/>
              </w:rPr>
            </w:pPr>
            <w:r>
              <w:rPr>
                <w:rFonts w:ascii="Arial" w:cs="Arial" w:eastAsia="Arial" w:hAnsi="Arial"/>
                <w:sz w:val="18"/>
                <w:szCs w:val="18"/>
                <w:color w:val="auto"/>
              </w:rPr>
              <w:t>6,889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tcPr>
          <w:p>
            <w:pPr>
              <w:ind w:left="160"/>
              <w:spacing w:after="0"/>
              <w:rPr>
                <w:sz w:val="20"/>
                <w:szCs w:val="20"/>
                <w:color w:val="auto"/>
              </w:rPr>
            </w:pPr>
            <w:r>
              <w:rPr>
                <w:rFonts w:ascii="Arial" w:cs="Arial" w:eastAsia="Arial" w:hAnsi="Arial"/>
                <w:sz w:val="18"/>
                <w:szCs w:val="18"/>
                <w:color w:val="auto"/>
              </w:rPr>
              <w:t>Short-term investments</w:t>
            </w:r>
          </w:p>
        </w:tc>
        <w:tc>
          <w:tcPr>
            <w:tcW w:w="200" w:type="dxa"/>
            <w:vAlign w:val="bottom"/>
          </w:tcPr>
          <w:p>
            <w:pPr>
              <w:spacing w:after="0"/>
              <w:rPr>
                <w:sz w:val="18"/>
                <w:szCs w:val="18"/>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89,347</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102,650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shd w:val="clear" w:color="auto" w:fill="D6F3E8"/>
          </w:tcPr>
          <w:p>
            <w:pPr>
              <w:ind w:left="160"/>
              <w:spacing w:after="0"/>
              <w:rPr>
                <w:sz w:val="20"/>
                <w:szCs w:val="20"/>
                <w:color w:val="auto"/>
              </w:rPr>
            </w:pPr>
            <w:r>
              <w:rPr>
                <w:rFonts w:ascii="Arial" w:cs="Arial" w:eastAsia="Arial" w:hAnsi="Arial"/>
                <w:sz w:val="18"/>
                <w:szCs w:val="18"/>
                <w:color w:val="auto"/>
              </w:rPr>
              <w:t>Receivables, net</w:t>
            </w:r>
          </w:p>
        </w:tc>
        <w:tc>
          <w:tcPr>
            <w:tcW w:w="200" w:type="dxa"/>
            <w:vAlign w:val="bottom"/>
            <w:shd w:val="clear" w:color="auto" w:fill="D6F3E8"/>
          </w:tcPr>
          <w:p>
            <w:pPr>
              <w:spacing w:after="0"/>
              <w:rPr>
                <w:sz w:val="18"/>
                <w:szCs w:val="18"/>
                <w:color w:val="auto"/>
              </w:rPr>
            </w:pPr>
          </w:p>
        </w:tc>
        <w:tc>
          <w:tcPr>
            <w:tcW w:w="1320" w:type="dxa"/>
            <w:vAlign w:val="bottom"/>
            <w:gridSpan w:val="2"/>
            <w:shd w:val="clear" w:color="auto" w:fill="D6F3E8"/>
          </w:tcPr>
          <w:p>
            <w:pPr>
              <w:jc w:val="right"/>
              <w:ind w:right="200"/>
              <w:spacing w:after="0"/>
              <w:rPr>
                <w:sz w:val="20"/>
                <w:szCs w:val="20"/>
                <w:color w:val="auto"/>
              </w:rPr>
            </w:pPr>
            <w:r>
              <w:rPr>
                <w:rFonts w:ascii="Arial" w:cs="Arial" w:eastAsia="Arial" w:hAnsi="Arial"/>
                <w:sz w:val="18"/>
                <w:szCs w:val="18"/>
                <w:color w:val="auto"/>
              </w:rPr>
              <w:t>17,464</w:t>
            </w:r>
          </w:p>
        </w:tc>
        <w:tc>
          <w:tcPr>
            <w:tcW w:w="180" w:type="dxa"/>
            <w:vAlign w:val="bottom"/>
            <w:shd w:val="clear" w:color="auto" w:fill="D6F3E8"/>
          </w:tcPr>
          <w:p>
            <w:pPr>
              <w:spacing w:after="0"/>
              <w:rPr>
                <w:sz w:val="18"/>
                <w:szCs w:val="18"/>
                <w:color w:val="auto"/>
              </w:rPr>
            </w:pPr>
          </w:p>
        </w:tc>
        <w:tc>
          <w:tcPr>
            <w:tcW w:w="220" w:type="dxa"/>
            <w:vAlign w:val="bottom"/>
            <w:shd w:val="clear" w:color="auto" w:fill="D6F3E8"/>
          </w:tcPr>
          <w:p>
            <w:pPr>
              <w:spacing w:after="0"/>
              <w:rPr>
                <w:sz w:val="18"/>
                <w:szCs w:val="18"/>
                <w:color w:val="auto"/>
              </w:rPr>
            </w:pPr>
          </w:p>
        </w:tc>
        <w:tc>
          <w:tcPr>
            <w:tcW w:w="1420" w:type="dxa"/>
            <w:vAlign w:val="bottom"/>
            <w:gridSpan w:val="2"/>
            <w:shd w:val="clear" w:color="auto" w:fill="D6F3E8"/>
          </w:tcPr>
          <w:p>
            <w:pPr>
              <w:jc w:val="right"/>
              <w:ind w:right="200"/>
              <w:spacing w:after="0"/>
              <w:rPr>
                <w:sz w:val="20"/>
                <w:szCs w:val="20"/>
                <w:color w:val="auto"/>
              </w:rPr>
            </w:pPr>
            <w:r>
              <w:rPr>
                <w:rFonts w:ascii="Arial" w:cs="Arial" w:eastAsia="Arial" w:hAnsi="Arial"/>
                <w:sz w:val="18"/>
                <w:szCs w:val="18"/>
                <w:color w:val="auto"/>
              </w:rPr>
              <w:t>30,285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tcPr>
          <w:p>
            <w:pPr>
              <w:ind w:left="160"/>
              <w:spacing w:after="0"/>
              <w:rPr>
                <w:sz w:val="20"/>
                <w:szCs w:val="20"/>
                <w:color w:val="auto"/>
              </w:rPr>
            </w:pPr>
            <w:r>
              <w:rPr>
                <w:rFonts w:ascii="Arial" w:cs="Arial" w:eastAsia="Arial" w:hAnsi="Arial"/>
                <w:sz w:val="18"/>
                <w:szCs w:val="18"/>
                <w:color w:val="auto"/>
              </w:rPr>
              <w:t>Inventories</w:t>
            </w:r>
          </w:p>
        </w:tc>
        <w:tc>
          <w:tcPr>
            <w:tcW w:w="200" w:type="dxa"/>
            <w:vAlign w:val="bottom"/>
          </w:tcPr>
          <w:p>
            <w:pPr>
              <w:spacing w:after="0"/>
              <w:rPr>
                <w:sz w:val="18"/>
                <w:szCs w:val="18"/>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120,117</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101,208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60" w:type="dxa"/>
            <w:vAlign w:val="bottom"/>
            <w:shd w:val="clear" w:color="auto" w:fill="D6F3E8"/>
          </w:tcPr>
          <w:p>
            <w:pPr>
              <w:ind w:left="160"/>
              <w:spacing w:after="0"/>
              <w:rPr>
                <w:sz w:val="20"/>
                <w:szCs w:val="20"/>
                <w:color w:val="auto"/>
              </w:rPr>
            </w:pPr>
            <w:r>
              <w:rPr>
                <w:rFonts w:ascii="Arial" w:cs="Arial" w:eastAsia="Arial" w:hAnsi="Arial"/>
                <w:sz w:val="18"/>
                <w:szCs w:val="18"/>
                <w:color w:val="auto"/>
              </w:rPr>
              <w:t>Prepaid and other</w:t>
            </w:r>
          </w:p>
        </w:tc>
        <w:tc>
          <w:tcPr>
            <w:tcW w:w="200" w:type="dxa"/>
            <w:vAlign w:val="bottom"/>
            <w:shd w:val="clear" w:color="auto" w:fill="D6F3E8"/>
          </w:tcPr>
          <w:p>
            <w:pPr>
              <w:spacing w:after="0"/>
              <w:rPr>
                <w:sz w:val="19"/>
                <w:szCs w:val="19"/>
                <w:color w:val="auto"/>
              </w:rPr>
            </w:pPr>
          </w:p>
        </w:tc>
        <w:tc>
          <w:tcPr>
            <w:tcW w:w="1320" w:type="dxa"/>
            <w:vAlign w:val="bottom"/>
            <w:gridSpan w:val="2"/>
            <w:shd w:val="clear" w:color="auto" w:fill="D6F3E8"/>
          </w:tcPr>
          <w:p>
            <w:pPr>
              <w:jc w:val="right"/>
              <w:ind w:right="200"/>
              <w:spacing w:after="0"/>
              <w:rPr>
                <w:sz w:val="20"/>
                <w:szCs w:val="20"/>
                <w:color w:val="auto"/>
              </w:rPr>
            </w:pPr>
            <w:r>
              <w:rPr>
                <w:rFonts w:ascii="Arial" w:cs="Arial" w:eastAsia="Arial" w:hAnsi="Arial"/>
                <w:sz w:val="18"/>
                <w:szCs w:val="18"/>
                <w:color w:val="auto"/>
              </w:rPr>
              <w:t>16,996</w:t>
            </w:r>
          </w:p>
        </w:tc>
        <w:tc>
          <w:tcPr>
            <w:tcW w:w="180" w:type="dxa"/>
            <w:vAlign w:val="bottom"/>
            <w:shd w:val="clear" w:color="auto" w:fill="D6F3E8"/>
          </w:tcPr>
          <w:p>
            <w:pPr>
              <w:spacing w:after="0"/>
              <w:rPr>
                <w:sz w:val="19"/>
                <w:szCs w:val="19"/>
                <w:color w:val="auto"/>
              </w:rPr>
            </w:pPr>
          </w:p>
        </w:tc>
        <w:tc>
          <w:tcPr>
            <w:tcW w:w="220" w:type="dxa"/>
            <w:vAlign w:val="bottom"/>
            <w:shd w:val="clear" w:color="auto" w:fill="D6F3E8"/>
          </w:tcPr>
          <w:p>
            <w:pPr>
              <w:spacing w:after="0"/>
              <w:rPr>
                <w:sz w:val="19"/>
                <w:szCs w:val="19"/>
                <w:color w:val="auto"/>
              </w:rPr>
            </w:pPr>
          </w:p>
        </w:tc>
        <w:tc>
          <w:tcPr>
            <w:tcW w:w="1420" w:type="dxa"/>
            <w:vAlign w:val="bottom"/>
            <w:gridSpan w:val="2"/>
            <w:shd w:val="clear" w:color="auto" w:fill="D6F3E8"/>
          </w:tcPr>
          <w:p>
            <w:pPr>
              <w:jc w:val="right"/>
              <w:ind w:right="200"/>
              <w:spacing w:after="0"/>
              <w:rPr>
                <w:sz w:val="20"/>
                <w:szCs w:val="20"/>
                <w:color w:val="auto"/>
              </w:rPr>
            </w:pPr>
            <w:r>
              <w:rPr>
                <w:rFonts w:ascii="Arial" w:cs="Arial" w:eastAsia="Arial" w:hAnsi="Arial"/>
                <w:sz w:val="18"/>
                <w:szCs w:val="18"/>
                <w:color w:val="auto"/>
              </w:rPr>
              <w:t>16,668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tcPr>
          <w:p>
            <w:pPr>
              <w:ind w:left="300"/>
              <w:spacing w:after="0" w:line="202" w:lineRule="exact"/>
              <w:rPr>
                <w:sz w:val="20"/>
                <w:szCs w:val="20"/>
                <w:color w:val="auto"/>
              </w:rPr>
            </w:pPr>
            <w:r>
              <w:rPr>
                <w:rFonts w:ascii="Arial" w:cs="Arial" w:eastAsia="Arial" w:hAnsi="Arial"/>
                <w:sz w:val="18"/>
                <w:szCs w:val="18"/>
                <w:color w:val="auto"/>
              </w:rPr>
              <w:t>Total current assets</w:t>
            </w:r>
          </w:p>
        </w:tc>
        <w:tc>
          <w:tcPr>
            <w:tcW w:w="20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248,760</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257,700</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20" w:type="dxa"/>
            <w:vAlign w:val="bottom"/>
            <w:vMerge w:val="restart"/>
          </w:tcPr>
          <w:p>
            <w:pPr>
              <w:spacing w:after="0"/>
              <w:rPr>
                <w:sz w:val="15"/>
                <w:szCs w:val="15"/>
                <w:color w:val="auto"/>
              </w:rPr>
            </w:pPr>
          </w:p>
        </w:tc>
        <w:tc>
          <w:tcPr>
            <w:tcW w:w="80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60" w:type="dxa"/>
            <w:vAlign w:val="bottom"/>
            <w:shd w:val="clear" w:color="auto" w:fill="D6F3E8"/>
          </w:tcPr>
          <w:p>
            <w:pPr>
              <w:spacing w:after="0"/>
              <w:rPr>
                <w:sz w:val="20"/>
                <w:szCs w:val="20"/>
                <w:color w:val="auto"/>
              </w:rPr>
            </w:pPr>
            <w:r>
              <w:rPr>
                <w:rFonts w:ascii="Arial" w:cs="Arial" w:eastAsia="Arial" w:hAnsi="Arial"/>
                <w:sz w:val="18"/>
                <w:szCs w:val="18"/>
                <w:color w:val="auto"/>
              </w:rPr>
              <w:t>Property and equipment, net</w:t>
            </w:r>
          </w:p>
        </w:tc>
        <w:tc>
          <w:tcPr>
            <w:tcW w:w="200" w:type="dxa"/>
            <w:vAlign w:val="bottom"/>
            <w:shd w:val="clear" w:color="auto" w:fill="D6F3E8"/>
          </w:tcPr>
          <w:p>
            <w:pPr>
              <w:spacing w:after="0"/>
              <w:rPr>
                <w:sz w:val="18"/>
                <w:szCs w:val="18"/>
                <w:color w:val="auto"/>
              </w:rPr>
            </w:pPr>
          </w:p>
        </w:tc>
        <w:tc>
          <w:tcPr>
            <w:tcW w:w="1320" w:type="dxa"/>
            <w:vAlign w:val="bottom"/>
            <w:gridSpan w:val="2"/>
            <w:shd w:val="clear" w:color="auto" w:fill="D6F3E8"/>
          </w:tcPr>
          <w:p>
            <w:pPr>
              <w:jc w:val="right"/>
              <w:ind w:right="200"/>
              <w:spacing w:after="0"/>
              <w:rPr>
                <w:sz w:val="20"/>
                <w:szCs w:val="20"/>
                <w:color w:val="auto"/>
              </w:rPr>
            </w:pPr>
            <w:r>
              <w:rPr>
                <w:rFonts w:ascii="Arial" w:cs="Arial" w:eastAsia="Arial" w:hAnsi="Arial"/>
                <w:sz w:val="18"/>
                <w:szCs w:val="18"/>
                <w:color w:val="auto"/>
              </w:rPr>
              <w:t>50,210</w:t>
            </w:r>
          </w:p>
        </w:tc>
        <w:tc>
          <w:tcPr>
            <w:tcW w:w="180" w:type="dxa"/>
            <w:vAlign w:val="bottom"/>
            <w:shd w:val="clear" w:color="auto" w:fill="D6F3E8"/>
          </w:tcPr>
          <w:p>
            <w:pPr>
              <w:spacing w:after="0"/>
              <w:rPr>
                <w:sz w:val="18"/>
                <w:szCs w:val="18"/>
                <w:color w:val="auto"/>
              </w:rPr>
            </w:pPr>
          </w:p>
        </w:tc>
        <w:tc>
          <w:tcPr>
            <w:tcW w:w="220" w:type="dxa"/>
            <w:vAlign w:val="bottom"/>
            <w:shd w:val="clear" w:color="auto" w:fill="D6F3E8"/>
          </w:tcPr>
          <w:p>
            <w:pPr>
              <w:spacing w:after="0"/>
              <w:rPr>
                <w:sz w:val="18"/>
                <w:szCs w:val="18"/>
                <w:color w:val="auto"/>
              </w:rPr>
            </w:pPr>
          </w:p>
        </w:tc>
        <w:tc>
          <w:tcPr>
            <w:tcW w:w="1420" w:type="dxa"/>
            <w:vAlign w:val="bottom"/>
            <w:gridSpan w:val="2"/>
            <w:shd w:val="clear" w:color="auto" w:fill="D6F3E8"/>
          </w:tcPr>
          <w:p>
            <w:pPr>
              <w:jc w:val="right"/>
              <w:ind w:right="200"/>
              <w:spacing w:after="0"/>
              <w:rPr>
                <w:sz w:val="20"/>
                <w:szCs w:val="20"/>
                <w:color w:val="auto"/>
              </w:rPr>
            </w:pPr>
            <w:r>
              <w:rPr>
                <w:rFonts w:ascii="Arial" w:cs="Arial" w:eastAsia="Arial" w:hAnsi="Arial"/>
                <w:sz w:val="18"/>
                <w:szCs w:val="18"/>
                <w:color w:val="auto"/>
              </w:rPr>
              <w:t>51,389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tcPr>
          <w:p>
            <w:pPr>
              <w:spacing w:after="0"/>
              <w:rPr>
                <w:sz w:val="20"/>
                <w:szCs w:val="20"/>
                <w:color w:val="auto"/>
              </w:rPr>
            </w:pPr>
            <w:r>
              <w:rPr>
                <w:rFonts w:ascii="Arial" w:cs="Arial" w:eastAsia="Arial" w:hAnsi="Arial"/>
                <w:sz w:val="18"/>
                <w:szCs w:val="18"/>
                <w:color w:val="auto"/>
              </w:rPr>
              <w:t>Deferred income taxes</w:t>
            </w:r>
          </w:p>
        </w:tc>
        <w:tc>
          <w:tcPr>
            <w:tcW w:w="200" w:type="dxa"/>
            <w:vAlign w:val="bottom"/>
          </w:tcPr>
          <w:p>
            <w:pPr>
              <w:spacing w:after="0"/>
              <w:rPr>
                <w:sz w:val="18"/>
                <w:szCs w:val="18"/>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26,837</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19,856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shd w:val="clear" w:color="auto" w:fill="D6F3E8"/>
          </w:tcPr>
          <w:p>
            <w:pPr>
              <w:spacing w:after="0"/>
              <w:rPr>
                <w:sz w:val="20"/>
                <w:szCs w:val="20"/>
                <w:color w:val="auto"/>
              </w:rPr>
            </w:pPr>
            <w:r>
              <w:rPr>
                <w:rFonts w:ascii="Arial" w:cs="Arial" w:eastAsia="Arial" w:hAnsi="Arial"/>
                <w:sz w:val="18"/>
                <w:szCs w:val="18"/>
                <w:color w:val="auto"/>
              </w:rPr>
              <w:t>Investment in life insurance</w:t>
            </w:r>
          </w:p>
        </w:tc>
        <w:tc>
          <w:tcPr>
            <w:tcW w:w="200" w:type="dxa"/>
            <w:vAlign w:val="bottom"/>
            <w:shd w:val="clear" w:color="auto" w:fill="D6F3E8"/>
          </w:tcPr>
          <w:p>
            <w:pPr>
              <w:spacing w:after="0"/>
              <w:rPr>
                <w:sz w:val="18"/>
                <w:szCs w:val="18"/>
                <w:color w:val="auto"/>
              </w:rPr>
            </w:pPr>
          </w:p>
        </w:tc>
        <w:tc>
          <w:tcPr>
            <w:tcW w:w="1320" w:type="dxa"/>
            <w:vAlign w:val="bottom"/>
            <w:gridSpan w:val="2"/>
            <w:shd w:val="clear" w:color="auto" w:fill="D6F3E8"/>
          </w:tcPr>
          <w:p>
            <w:pPr>
              <w:jc w:val="right"/>
              <w:ind w:right="200"/>
              <w:spacing w:after="0"/>
              <w:rPr>
                <w:sz w:val="20"/>
                <w:szCs w:val="20"/>
                <w:color w:val="auto"/>
              </w:rPr>
            </w:pPr>
            <w:r>
              <w:rPr>
                <w:rFonts w:ascii="Arial" w:cs="Arial" w:eastAsia="Arial" w:hAnsi="Arial"/>
                <w:sz w:val="18"/>
                <w:szCs w:val="18"/>
                <w:color w:val="auto"/>
              </w:rPr>
              <w:t>20,140</w:t>
            </w:r>
          </w:p>
        </w:tc>
        <w:tc>
          <w:tcPr>
            <w:tcW w:w="180" w:type="dxa"/>
            <w:vAlign w:val="bottom"/>
            <w:shd w:val="clear" w:color="auto" w:fill="D6F3E8"/>
          </w:tcPr>
          <w:p>
            <w:pPr>
              <w:spacing w:after="0"/>
              <w:rPr>
                <w:sz w:val="18"/>
                <w:szCs w:val="18"/>
                <w:color w:val="auto"/>
              </w:rPr>
            </w:pPr>
          </w:p>
        </w:tc>
        <w:tc>
          <w:tcPr>
            <w:tcW w:w="220" w:type="dxa"/>
            <w:vAlign w:val="bottom"/>
            <w:shd w:val="clear" w:color="auto" w:fill="D6F3E8"/>
          </w:tcPr>
          <w:p>
            <w:pPr>
              <w:spacing w:after="0"/>
              <w:rPr>
                <w:sz w:val="18"/>
                <w:szCs w:val="18"/>
                <w:color w:val="auto"/>
              </w:rPr>
            </w:pPr>
          </w:p>
        </w:tc>
        <w:tc>
          <w:tcPr>
            <w:tcW w:w="1420" w:type="dxa"/>
            <w:vAlign w:val="bottom"/>
            <w:gridSpan w:val="2"/>
            <w:shd w:val="clear" w:color="auto" w:fill="D6F3E8"/>
          </w:tcPr>
          <w:p>
            <w:pPr>
              <w:jc w:val="right"/>
              <w:ind w:right="200"/>
              <w:spacing w:after="0"/>
              <w:rPr>
                <w:sz w:val="20"/>
                <w:szCs w:val="20"/>
                <w:color w:val="auto"/>
              </w:rPr>
            </w:pPr>
            <w:r>
              <w:rPr>
                <w:rFonts w:ascii="Arial" w:cs="Arial" w:eastAsia="Arial" w:hAnsi="Arial"/>
                <w:sz w:val="18"/>
                <w:szCs w:val="18"/>
                <w:color w:val="auto"/>
              </w:rPr>
              <w:t>20,015</w:t>
            </w:r>
          </w:p>
        </w:tc>
        <w:tc>
          <w:tcPr>
            <w:tcW w:w="0" w:type="dxa"/>
            <w:vAlign w:val="bottom"/>
          </w:tcPr>
          <w:p>
            <w:pPr>
              <w:spacing w:after="0"/>
              <w:rPr>
                <w:sz w:val="1"/>
                <w:szCs w:val="1"/>
                <w:color w:val="auto"/>
              </w:rPr>
            </w:pPr>
          </w:p>
        </w:tc>
      </w:tr>
      <w:tr>
        <w:trPr>
          <w:trHeight w:val="229"/>
        </w:trPr>
        <w:tc>
          <w:tcPr>
            <w:tcW w:w="8080" w:type="dxa"/>
            <w:vAlign w:val="bottom"/>
            <w:gridSpan w:val="2"/>
          </w:tcPr>
          <w:p>
            <w:pPr>
              <w:spacing w:after="0"/>
              <w:rPr>
                <w:sz w:val="20"/>
                <w:szCs w:val="20"/>
                <w:color w:val="auto"/>
              </w:rPr>
            </w:pPr>
            <w:r>
              <w:rPr>
                <w:rFonts w:ascii="Arial" w:cs="Arial" w:eastAsia="Arial" w:hAnsi="Arial"/>
                <w:sz w:val="18"/>
                <w:szCs w:val="18"/>
                <w:color w:val="auto"/>
              </w:rPr>
              <w:t>Other assets</w:t>
            </w:r>
          </w:p>
        </w:tc>
        <w:tc>
          <w:tcPr>
            <w:tcW w:w="200" w:type="dxa"/>
            <w:vAlign w:val="bottom"/>
          </w:tcPr>
          <w:p>
            <w:pPr>
              <w:spacing w:after="0"/>
              <w:rPr>
                <w:sz w:val="19"/>
                <w:szCs w:val="19"/>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18,061</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17,550</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8060" w:type="dxa"/>
            <w:vAlign w:val="bottom"/>
            <w:tcBorders>
              <w:top w:val="single" w:sz="8" w:color="D6F3E8"/>
              <w:bottom w:val="single" w:sz="8" w:color="D6F3E8"/>
            </w:tcBorders>
            <w:shd w:val="clear" w:color="auto" w:fill="D6F3E8"/>
          </w:tcPr>
          <w:p>
            <w:pPr>
              <w:ind w:left="300"/>
              <w:spacing w:after="0"/>
              <w:rPr>
                <w:sz w:val="20"/>
                <w:szCs w:val="20"/>
                <w:color w:val="auto"/>
              </w:rPr>
            </w:pPr>
            <w:r>
              <w:rPr>
                <w:rFonts w:ascii="Arial" w:cs="Arial" w:eastAsia="Arial" w:hAnsi="Arial"/>
                <w:sz w:val="18"/>
                <w:szCs w:val="18"/>
                <w:color w:val="auto"/>
              </w:rPr>
              <w:t>Total assets</w:t>
            </w:r>
          </w:p>
        </w:tc>
        <w:tc>
          <w:tcPr>
            <w:tcW w:w="200" w:type="dxa"/>
            <w:vAlign w:val="bottom"/>
            <w:tcBorders>
              <w:top w:val="single" w:sz="8" w:color="auto"/>
              <w:bottom w:val="single" w:sz="8" w:color="auto"/>
            </w:tcBorders>
            <w:shd w:val="clear" w:color="auto" w:fill="D6F3E8"/>
          </w:tcPr>
          <w:p>
            <w:pPr>
              <w:jc w:val="right"/>
              <w:ind w:right="12"/>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364,008</w:t>
            </w:r>
          </w:p>
        </w:tc>
        <w:tc>
          <w:tcPr>
            <w:tcW w:w="200" w:type="dxa"/>
            <w:vAlign w:val="bottom"/>
            <w:tcBorders>
              <w:top w:val="single" w:sz="8" w:color="D6F3E8"/>
              <w:bottom w:val="single" w:sz="8" w:color="D6F3E8"/>
            </w:tcBorders>
            <w:shd w:val="clear" w:color="auto" w:fill="D6F3E8"/>
          </w:tcPr>
          <w:p>
            <w:pPr>
              <w:spacing w:after="0"/>
              <w:rPr>
                <w:sz w:val="18"/>
                <w:szCs w:val="18"/>
                <w:color w:val="auto"/>
              </w:rPr>
            </w:pPr>
          </w:p>
        </w:tc>
        <w:tc>
          <w:tcPr>
            <w:tcW w:w="180" w:type="dxa"/>
            <w:vAlign w:val="bottom"/>
            <w:tcBorders>
              <w:top w:val="single" w:sz="8" w:color="D6F3E8"/>
              <w:bottom w:val="single" w:sz="8" w:color="D6F3E8"/>
            </w:tcBorders>
            <w:shd w:val="clear" w:color="auto" w:fill="D6F3E8"/>
          </w:tcPr>
          <w:p>
            <w:pPr>
              <w:spacing w:after="0"/>
              <w:rPr>
                <w:sz w:val="18"/>
                <w:szCs w:val="18"/>
                <w:color w:val="auto"/>
              </w:rPr>
            </w:pPr>
          </w:p>
        </w:tc>
        <w:tc>
          <w:tcPr>
            <w:tcW w:w="220" w:type="dxa"/>
            <w:vAlign w:val="bottom"/>
            <w:tcBorders>
              <w:top w:val="single" w:sz="8" w:color="auto"/>
              <w:bottom w:val="single" w:sz="8" w:color="auto"/>
            </w:tcBorders>
            <w:shd w:val="clear" w:color="auto" w:fill="D6F3E8"/>
          </w:tcPr>
          <w:p>
            <w:pPr>
              <w:jc w:val="right"/>
              <w:ind w:right="32"/>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366,510</w:t>
            </w:r>
          </w:p>
        </w:tc>
        <w:tc>
          <w:tcPr>
            <w:tcW w:w="200" w:type="dxa"/>
            <w:vAlign w:val="bottom"/>
            <w:tcBorders>
              <w:top w:val="single" w:sz="8" w:color="D6F3E8"/>
              <w:bottom w:val="single" w:sz="8" w:color="D6F3E8"/>
            </w:tcBorders>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080" w:type="dxa"/>
            <w:vAlign w:val="bottom"/>
            <w:gridSpan w:val="2"/>
            <w:vMerge w:val="restart"/>
          </w:tcPr>
          <w:p>
            <w:pPr>
              <w:spacing w:after="0"/>
              <w:rPr>
                <w:sz w:val="20"/>
                <w:szCs w:val="20"/>
                <w:color w:val="auto"/>
              </w:rPr>
            </w:pPr>
            <w:r>
              <w:rPr>
                <w:rFonts w:ascii="Arial" w:cs="Arial" w:eastAsia="Arial" w:hAnsi="Arial"/>
                <w:sz w:val="18"/>
                <w:szCs w:val="18"/>
                <w:color w:val="auto"/>
              </w:rPr>
              <w:t>LIABILITIES AND STOCKHOLDERS’ EQUITY</w:t>
            </w: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0"/>
        </w:trPr>
        <w:tc>
          <w:tcPr>
            <w:tcW w:w="8080" w:type="dxa"/>
            <w:vAlign w:val="bottom"/>
            <w:gridSpan w:val="2"/>
            <w:vMerge w:val="continue"/>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080" w:type="dxa"/>
            <w:vAlign w:val="bottom"/>
            <w:gridSpan w:val="2"/>
          </w:tcPr>
          <w:p>
            <w:pPr>
              <w:spacing w:after="0"/>
              <w:rPr>
                <w:sz w:val="20"/>
                <w:szCs w:val="20"/>
                <w:color w:val="auto"/>
              </w:rPr>
            </w:pPr>
            <w:r>
              <w:rPr>
                <w:rFonts w:ascii="Arial" w:cs="Arial" w:eastAsia="Arial" w:hAnsi="Arial"/>
                <w:sz w:val="18"/>
                <w:szCs w:val="18"/>
                <w:color w:val="auto"/>
              </w:rPr>
              <w:t>Current liabilities:</w:t>
            </w: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60" w:type="dxa"/>
            <w:vAlign w:val="bottom"/>
          </w:tcPr>
          <w:p>
            <w:pPr>
              <w:ind w:left="160"/>
              <w:spacing w:after="0"/>
              <w:rPr>
                <w:sz w:val="20"/>
                <w:szCs w:val="20"/>
                <w:color w:val="auto"/>
              </w:rPr>
            </w:pPr>
            <w:r>
              <w:rPr>
                <w:rFonts w:ascii="Arial" w:cs="Arial" w:eastAsia="Arial" w:hAnsi="Arial"/>
                <w:sz w:val="18"/>
                <w:szCs w:val="18"/>
                <w:color w:val="auto"/>
              </w:rPr>
              <w:t>Accounts payable</w:t>
            </w: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33,877</w:t>
            </w:r>
          </w:p>
        </w:tc>
        <w:tc>
          <w:tcPr>
            <w:tcW w:w="400" w:type="dxa"/>
            <w:vAlign w:val="bottom"/>
            <w:gridSpan w:val="2"/>
          </w:tcPr>
          <w:p>
            <w:pPr>
              <w:jc w:val="right"/>
              <w:ind w:right="32"/>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35,286</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060" w:type="dxa"/>
            <w:vAlign w:val="bottom"/>
            <w:shd w:val="clear" w:color="auto" w:fill="D6F3E8"/>
          </w:tcPr>
          <w:p>
            <w:pPr>
              <w:ind w:left="160"/>
              <w:spacing w:after="0"/>
              <w:rPr>
                <w:sz w:val="20"/>
                <w:szCs w:val="20"/>
                <w:color w:val="auto"/>
              </w:rPr>
            </w:pPr>
            <w:r>
              <w:rPr>
                <w:rFonts w:ascii="Arial" w:cs="Arial" w:eastAsia="Arial" w:hAnsi="Arial"/>
                <w:sz w:val="18"/>
                <w:szCs w:val="18"/>
                <w:color w:val="auto"/>
              </w:rPr>
              <w:t>Income taxes payable</w:t>
            </w:r>
          </w:p>
        </w:tc>
        <w:tc>
          <w:tcPr>
            <w:tcW w:w="200" w:type="dxa"/>
            <w:vAlign w:val="bottom"/>
            <w:shd w:val="clear" w:color="auto" w:fill="D6F3E8"/>
          </w:tcPr>
          <w:p>
            <w:pPr>
              <w:spacing w:after="0"/>
              <w:rPr>
                <w:sz w:val="18"/>
                <w:szCs w:val="18"/>
                <w:color w:val="auto"/>
              </w:rPr>
            </w:pPr>
          </w:p>
        </w:tc>
        <w:tc>
          <w:tcPr>
            <w:tcW w:w="1320" w:type="dxa"/>
            <w:vAlign w:val="bottom"/>
            <w:gridSpan w:val="2"/>
            <w:shd w:val="clear" w:color="auto" w:fill="D6F3E8"/>
          </w:tcPr>
          <w:p>
            <w:pPr>
              <w:jc w:val="right"/>
              <w:ind w:right="200"/>
              <w:spacing w:after="0"/>
              <w:rPr>
                <w:sz w:val="20"/>
                <w:szCs w:val="20"/>
                <w:color w:val="auto"/>
              </w:rPr>
            </w:pPr>
            <w:r>
              <w:rPr>
                <w:rFonts w:ascii="Arial" w:cs="Arial" w:eastAsia="Arial" w:hAnsi="Arial"/>
                <w:sz w:val="18"/>
                <w:szCs w:val="18"/>
                <w:color w:val="auto"/>
              </w:rPr>
              <w:t>2,774</w:t>
            </w:r>
          </w:p>
        </w:tc>
        <w:tc>
          <w:tcPr>
            <w:tcW w:w="180" w:type="dxa"/>
            <w:vAlign w:val="bottom"/>
            <w:shd w:val="clear" w:color="auto" w:fill="D6F3E8"/>
          </w:tcPr>
          <w:p>
            <w:pPr>
              <w:spacing w:after="0"/>
              <w:rPr>
                <w:sz w:val="18"/>
                <w:szCs w:val="18"/>
                <w:color w:val="auto"/>
              </w:rPr>
            </w:pPr>
          </w:p>
        </w:tc>
        <w:tc>
          <w:tcPr>
            <w:tcW w:w="220" w:type="dxa"/>
            <w:vAlign w:val="bottom"/>
            <w:shd w:val="clear" w:color="auto" w:fill="D6F3E8"/>
          </w:tcPr>
          <w:p>
            <w:pPr>
              <w:spacing w:after="0"/>
              <w:rPr>
                <w:sz w:val="18"/>
                <w:szCs w:val="18"/>
                <w:color w:val="auto"/>
              </w:rPr>
            </w:pPr>
          </w:p>
        </w:tc>
        <w:tc>
          <w:tcPr>
            <w:tcW w:w="1420" w:type="dxa"/>
            <w:vAlign w:val="bottom"/>
            <w:gridSpan w:val="2"/>
            <w:shd w:val="clear" w:color="auto" w:fill="D6F3E8"/>
          </w:tcPr>
          <w:p>
            <w:pPr>
              <w:jc w:val="right"/>
              <w:ind w:right="200"/>
              <w:spacing w:after="0"/>
              <w:rPr>
                <w:sz w:val="20"/>
                <w:szCs w:val="20"/>
                <w:color w:val="auto"/>
              </w:rPr>
            </w:pPr>
            <w:r>
              <w:rPr>
                <w:rFonts w:ascii="Arial" w:cs="Arial" w:eastAsia="Arial" w:hAnsi="Arial"/>
                <w:sz w:val="18"/>
                <w:szCs w:val="18"/>
                <w:color w:val="auto"/>
              </w:rPr>
              <w:t>4,252</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060" w:type="dxa"/>
            <w:vAlign w:val="bottom"/>
          </w:tcPr>
          <w:p>
            <w:pPr>
              <w:ind w:left="160"/>
              <w:spacing w:after="0"/>
              <w:rPr>
                <w:sz w:val="20"/>
                <w:szCs w:val="20"/>
                <w:color w:val="auto"/>
              </w:rPr>
            </w:pPr>
            <w:r>
              <w:rPr>
                <w:rFonts w:ascii="Arial" w:cs="Arial" w:eastAsia="Arial" w:hAnsi="Arial"/>
                <w:sz w:val="18"/>
                <w:szCs w:val="18"/>
                <w:color w:val="auto"/>
              </w:rPr>
              <w:t>Accrued expenses</w:t>
            </w:r>
          </w:p>
        </w:tc>
        <w:tc>
          <w:tcPr>
            <w:tcW w:w="200" w:type="dxa"/>
            <w:vAlign w:val="bottom"/>
          </w:tcPr>
          <w:p>
            <w:pPr>
              <w:spacing w:after="0"/>
              <w:rPr>
                <w:sz w:val="19"/>
                <w:szCs w:val="19"/>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47,195</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49,299</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8060" w:type="dxa"/>
            <w:vAlign w:val="bottom"/>
            <w:tcBorders>
              <w:top w:val="single" w:sz="8" w:color="D6F3E8"/>
            </w:tcBorders>
            <w:shd w:val="clear" w:color="auto" w:fill="D6F3E8"/>
          </w:tcPr>
          <w:p>
            <w:pPr>
              <w:ind w:left="300"/>
              <w:spacing w:after="0" w:line="203" w:lineRule="exact"/>
              <w:rPr>
                <w:sz w:val="20"/>
                <w:szCs w:val="20"/>
                <w:color w:val="auto"/>
              </w:rPr>
            </w:pPr>
            <w:r>
              <w:rPr>
                <w:rFonts w:ascii="Arial" w:cs="Arial" w:eastAsia="Arial" w:hAnsi="Arial"/>
                <w:sz w:val="18"/>
                <w:szCs w:val="18"/>
                <w:color w:val="auto"/>
              </w:rPr>
              <w:t>Total current liabilities</w:t>
            </w:r>
          </w:p>
        </w:tc>
        <w:tc>
          <w:tcPr>
            <w:tcW w:w="200" w:type="dxa"/>
            <w:vAlign w:val="bottom"/>
            <w:tcBorders>
              <w:top w:val="single" w:sz="8" w:color="auto"/>
            </w:tcBorders>
            <w:shd w:val="clear" w:color="auto" w:fill="D6F3E8"/>
          </w:tcPr>
          <w:p>
            <w:pPr>
              <w:spacing w:after="0"/>
              <w:rPr>
                <w:sz w:val="18"/>
                <w:szCs w:val="18"/>
                <w:color w:val="auto"/>
              </w:rPr>
            </w:pPr>
          </w:p>
        </w:tc>
        <w:tc>
          <w:tcPr>
            <w:tcW w:w="1120" w:type="dxa"/>
            <w:vAlign w:val="bottom"/>
            <w:tcBorders>
              <w:top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83,846</w:t>
            </w:r>
          </w:p>
        </w:tc>
        <w:tc>
          <w:tcPr>
            <w:tcW w:w="200" w:type="dxa"/>
            <w:vAlign w:val="bottom"/>
            <w:tcBorders>
              <w:top w:val="single" w:sz="8" w:color="D6F3E8"/>
            </w:tcBorders>
            <w:shd w:val="clear" w:color="auto" w:fill="D6F3E8"/>
          </w:tcPr>
          <w:p>
            <w:pPr>
              <w:spacing w:after="0"/>
              <w:rPr>
                <w:sz w:val="18"/>
                <w:szCs w:val="18"/>
                <w:color w:val="auto"/>
              </w:rPr>
            </w:pPr>
          </w:p>
        </w:tc>
        <w:tc>
          <w:tcPr>
            <w:tcW w:w="180" w:type="dxa"/>
            <w:vAlign w:val="bottom"/>
            <w:tcBorders>
              <w:top w:val="single" w:sz="8" w:color="D6F3E8"/>
            </w:tcBorders>
            <w:shd w:val="clear" w:color="auto" w:fill="D6F3E8"/>
          </w:tcPr>
          <w:p>
            <w:pPr>
              <w:spacing w:after="0"/>
              <w:rPr>
                <w:sz w:val="18"/>
                <w:szCs w:val="18"/>
                <w:color w:val="auto"/>
              </w:rPr>
            </w:pPr>
          </w:p>
        </w:tc>
        <w:tc>
          <w:tcPr>
            <w:tcW w:w="220" w:type="dxa"/>
            <w:vAlign w:val="bottom"/>
            <w:tcBorders>
              <w:top w:val="single" w:sz="8" w:color="auto"/>
            </w:tcBorders>
            <w:shd w:val="clear" w:color="auto" w:fill="D6F3E8"/>
          </w:tcPr>
          <w:p>
            <w:pPr>
              <w:spacing w:after="0"/>
              <w:rPr>
                <w:sz w:val="18"/>
                <w:szCs w:val="18"/>
                <w:color w:val="auto"/>
              </w:rPr>
            </w:pPr>
          </w:p>
        </w:tc>
        <w:tc>
          <w:tcPr>
            <w:tcW w:w="1220" w:type="dxa"/>
            <w:vAlign w:val="bottom"/>
            <w:tcBorders>
              <w:top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88,837</w:t>
            </w:r>
          </w:p>
        </w:tc>
        <w:tc>
          <w:tcPr>
            <w:tcW w:w="200" w:type="dxa"/>
            <w:vAlign w:val="bottom"/>
            <w:tcBorders>
              <w:top w:val="single" w:sz="8" w:color="D6F3E8"/>
            </w:tcBorders>
            <w:shd w:val="clear" w:color="auto" w:fill="D6F3E8"/>
          </w:tcPr>
          <w:p>
            <w:pPr>
              <w:spacing w:after="0"/>
              <w:rPr>
                <w:sz w:val="18"/>
                <w:szCs w:val="18"/>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440" w:right="239" w:bottom="0" w:gutter="0" w:footer="0" w:header="0"/>
        </w:sectPr>
      </w:pPr>
    </w:p>
    <w:bookmarkStart w:id="4" w:name="page5"/>
    <w:bookmarkEnd w:id="4"/>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080" w:type="dxa"/>
            <w:vAlign w:val="bottom"/>
          </w:tcPr>
          <w:p>
            <w:pPr>
              <w:spacing w:after="0"/>
              <w:rPr>
                <w:sz w:val="20"/>
                <w:szCs w:val="20"/>
                <w:color w:val="auto"/>
              </w:rPr>
            </w:pPr>
            <w:r>
              <w:rPr>
                <w:rFonts w:ascii="Arial" w:cs="Arial" w:eastAsia="Arial" w:hAnsi="Arial"/>
                <w:sz w:val="18"/>
                <w:szCs w:val="18"/>
                <w:color w:val="auto"/>
              </w:rPr>
              <w:t>Long-term liabilities:</w:t>
            </w:r>
          </w:p>
        </w:tc>
        <w:tc>
          <w:tcPr>
            <w:tcW w:w="4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23"/>
        </w:trPr>
        <w:tc>
          <w:tcPr>
            <w:tcW w:w="8080" w:type="dxa"/>
            <w:vAlign w:val="bottom"/>
          </w:tcPr>
          <w:p>
            <w:pPr>
              <w:ind w:left="180"/>
              <w:spacing w:after="0"/>
              <w:rPr>
                <w:sz w:val="20"/>
                <w:szCs w:val="20"/>
                <w:color w:val="auto"/>
              </w:rPr>
            </w:pPr>
            <w:r>
              <w:rPr>
                <w:rFonts w:ascii="Arial" w:cs="Arial" w:eastAsia="Arial" w:hAnsi="Arial"/>
                <w:sz w:val="18"/>
                <w:szCs w:val="18"/>
                <w:color w:val="auto"/>
              </w:rPr>
              <w:t>Unrecognized tax benefits</w:t>
            </w:r>
          </w:p>
        </w:tc>
        <w:tc>
          <w:tcPr>
            <w:tcW w:w="420" w:type="dxa"/>
            <w:vAlign w:val="bottom"/>
          </w:tcPr>
          <w:p>
            <w:pPr>
              <w:spacing w:after="0"/>
              <w:rPr>
                <w:sz w:val="19"/>
                <w:szCs w:val="19"/>
                <w:color w:val="auto"/>
              </w:rPr>
            </w:pPr>
          </w:p>
        </w:tc>
        <w:tc>
          <w:tcPr>
            <w:tcW w:w="1280" w:type="dxa"/>
            <w:vAlign w:val="bottom"/>
            <w:gridSpan w:val="2"/>
          </w:tcPr>
          <w:p>
            <w:pPr>
              <w:jc w:val="right"/>
              <w:ind w:right="380"/>
              <w:spacing w:after="0"/>
              <w:rPr>
                <w:sz w:val="20"/>
                <w:szCs w:val="20"/>
                <w:color w:val="auto"/>
              </w:rPr>
            </w:pPr>
            <w:r>
              <w:rPr>
                <w:rFonts w:ascii="Arial" w:cs="Arial" w:eastAsia="Arial" w:hAnsi="Arial"/>
                <w:sz w:val="18"/>
                <w:szCs w:val="18"/>
                <w:color w:val="auto"/>
              </w:rPr>
              <w:t>19,555</w:t>
            </w: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6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r>
      <w:tr>
        <w:trPr>
          <w:trHeight w:val="222"/>
        </w:trPr>
        <w:tc>
          <w:tcPr>
            <w:tcW w:w="8080" w:type="dxa"/>
            <w:vAlign w:val="bottom"/>
            <w:shd w:val="clear" w:color="auto" w:fill="D6F3E8"/>
          </w:tcPr>
          <w:p>
            <w:pPr>
              <w:ind w:left="180"/>
              <w:spacing w:after="0"/>
              <w:rPr>
                <w:sz w:val="20"/>
                <w:szCs w:val="20"/>
                <w:color w:val="auto"/>
              </w:rPr>
            </w:pPr>
            <w:r>
              <w:rPr>
                <w:rFonts w:ascii="Arial" w:cs="Arial" w:eastAsia="Arial" w:hAnsi="Arial"/>
                <w:sz w:val="18"/>
                <w:szCs w:val="18"/>
                <w:color w:val="auto"/>
              </w:rPr>
              <w:t>Postretirement health care and deferred</w:t>
            </w:r>
          </w:p>
        </w:tc>
        <w:tc>
          <w:tcPr>
            <w:tcW w:w="420" w:type="dxa"/>
            <w:vAlign w:val="bottom"/>
            <w:shd w:val="clear" w:color="auto" w:fill="D6F3E8"/>
          </w:tcPr>
          <w:p>
            <w:pPr>
              <w:spacing w:after="0"/>
              <w:rPr>
                <w:sz w:val="19"/>
                <w:szCs w:val="19"/>
                <w:color w:val="auto"/>
              </w:rPr>
            </w:pPr>
          </w:p>
        </w:tc>
        <w:tc>
          <w:tcPr>
            <w:tcW w:w="900" w:type="dxa"/>
            <w:vAlign w:val="bottom"/>
            <w:shd w:val="clear" w:color="auto" w:fill="D6F3E8"/>
          </w:tcPr>
          <w:p>
            <w:pPr>
              <w:spacing w:after="0"/>
              <w:rPr>
                <w:sz w:val="19"/>
                <w:szCs w:val="19"/>
                <w:color w:val="auto"/>
              </w:rPr>
            </w:pPr>
          </w:p>
        </w:tc>
        <w:tc>
          <w:tcPr>
            <w:tcW w:w="380" w:type="dxa"/>
            <w:vAlign w:val="bottom"/>
            <w:shd w:val="clear" w:color="auto" w:fill="D6F3E8"/>
          </w:tcPr>
          <w:p>
            <w:pPr>
              <w:spacing w:after="0"/>
              <w:rPr>
                <w:sz w:val="19"/>
                <w:szCs w:val="19"/>
                <w:color w:val="auto"/>
              </w:rPr>
            </w:pPr>
          </w:p>
        </w:tc>
        <w:tc>
          <w:tcPr>
            <w:tcW w:w="20" w:type="dxa"/>
            <w:vAlign w:val="bottom"/>
            <w:shd w:val="clear" w:color="auto" w:fill="D6F3E8"/>
          </w:tcPr>
          <w:p>
            <w:pPr>
              <w:spacing w:after="0"/>
              <w:rPr>
                <w:sz w:val="19"/>
                <w:szCs w:val="19"/>
                <w:color w:val="auto"/>
              </w:rPr>
            </w:pPr>
          </w:p>
        </w:tc>
        <w:tc>
          <w:tcPr>
            <w:tcW w:w="460" w:type="dxa"/>
            <w:vAlign w:val="bottom"/>
            <w:shd w:val="clear" w:color="auto" w:fill="D6F3E8"/>
          </w:tcPr>
          <w:p>
            <w:pPr>
              <w:spacing w:after="0"/>
              <w:rPr>
                <w:sz w:val="19"/>
                <w:szCs w:val="19"/>
                <w:color w:val="auto"/>
              </w:rPr>
            </w:pPr>
          </w:p>
        </w:tc>
        <w:tc>
          <w:tcPr>
            <w:tcW w:w="960" w:type="dxa"/>
            <w:vAlign w:val="bottom"/>
            <w:shd w:val="clear" w:color="auto" w:fill="D6F3E8"/>
          </w:tcPr>
          <w:p>
            <w:pPr>
              <w:spacing w:after="0"/>
              <w:rPr>
                <w:sz w:val="19"/>
                <w:szCs w:val="19"/>
                <w:color w:val="auto"/>
              </w:rPr>
            </w:pPr>
          </w:p>
        </w:tc>
        <w:tc>
          <w:tcPr>
            <w:tcW w:w="20" w:type="dxa"/>
            <w:vAlign w:val="bottom"/>
            <w:shd w:val="clear" w:color="auto" w:fill="D6F3E8"/>
          </w:tcPr>
          <w:p>
            <w:pPr>
              <w:spacing w:after="0"/>
              <w:rPr>
                <w:sz w:val="19"/>
                <w:szCs w:val="19"/>
                <w:color w:val="auto"/>
              </w:rPr>
            </w:pPr>
          </w:p>
        </w:tc>
        <w:tc>
          <w:tcPr>
            <w:tcW w:w="180" w:type="dxa"/>
            <w:vAlign w:val="bottom"/>
            <w:shd w:val="clear" w:color="auto" w:fill="D6F3E8"/>
          </w:tcPr>
          <w:p>
            <w:pPr>
              <w:spacing w:after="0"/>
              <w:rPr>
                <w:sz w:val="19"/>
                <w:szCs w:val="19"/>
                <w:color w:val="auto"/>
              </w:rPr>
            </w:pPr>
          </w:p>
        </w:tc>
      </w:tr>
      <w:tr>
        <w:trPr>
          <w:trHeight w:val="224"/>
        </w:trPr>
        <w:tc>
          <w:tcPr>
            <w:tcW w:w="8080" w:type="dxa"/>
            <w:vAlign w:val="bottom"/>
            <w:shd w:val="clear" w:color="auto" w:fill="D6F3E8"/>
          </w:tcPr>
          <w:p>
            <w:pPr>
              <w:ind w:left="300"/>
              <w:spacing w:after="0"/>
              <w:rPr>
                <w:sz w:val="20"/>
                <w:szCs w:val="20"/>
                <w:color w:val="auto"/>
              </w:rPr>
            </w:pPr>
            <w:r>
              <w:rPr>
                <w:rFonts w:ascii="Arial" w:cs="Arial" w:eastAsia="Arial" w:hAnsi="Arial"/>
                <w:sz w:val="18"/>
                <w:szCs w:val="18"/>
                <w:color w:val="auto"/>
              </w:rPr>
              <w:t>compensation benefits, net of current portion</w:t>
            </w:r>
          </w:p>
        </w:tc>
        <w:tc>
          <w:tcPr>
            <w:tcW w:w="420" w:type="dxa"/>
            <w:vAlign w:val="bottom"/>
            <w:shd w:val="clear" w:color="auto" w:fill="D6F3E8"/>
          </w:tcPr>
          <w:p>
            <w:pPr>
              <w:spacing w:after="0"/>
              <w:rPr>
                <w:sz w:val="19"/>
                <w:szCs w:val="19"/>
                <w:color w:val="auto"/>
              </w:rPr>
            </w:pPr>
          </w:p>
        </w:tc>
        <w:tc>
          <w:tcPr>
            <w:tcW w:w="1280" w:type="dxa"/>
            <w:vAlign w:val="bottom"/>
            <w:gridSpan w:val="2"/>
            <w:shd w:val="clear" w:color="auto" w:fill="D6F3E8"/>
          </w:tcPr>
          <w:p>
            <w:pPr>
              <w:jc w:val="right"/>
              <w:ind w:right="380"/>
              <w:spacing w:after="0"/>
              <w:rPr>
                <w:sz w:val="20"/>
                <w:szCs w:val="20"/>
                <w:color w:val="auto"/>
              </w:rPr>
            </w:pPr>
            <w:r>
              <w:rPr>
                <w:rFonts w:ascii="Arial" w:cs="Arial" w:eastAsia="Arial" w:hAnsi="Arial"/>
                <w:sz w:val="18"/>
                <w:szCs w:val="18"/>
                <w:color w:val="auto"/>
              </w:rPr>
              <w:t>70,143</w:t>
            </w:r>
          </w:p>
        </w:tc>
        <w:tc>
          <w:tcPr>
            <w:tcW w:w="20" w:type="dxa"/>
            <w:vAlign w:val="bottom"/>
            <w:shd w:val="clear" w:color="auto" w:fill="D6F3E8"/>
          </w:tcPr>
          <w:p>
            <w:pPr>
              <w:spacing w:after="0"/>
              <w:rPr>
                <w:sz w:val="19"/>
                <w:szCs w:val="19"/>
                <w:color w:val="auto"/>
              </w:rPr>
            </w:pPr>
          </w:p>
        </w:tc>
        <w:tc>
          <w:tcPr>
            <w:tcW w:w="460" w:type="dxa"/>
            <w:vAlign w:val="bottom"/>
            <w:shd w:val="clear" w:color="auto" w:fill="D6F3E8"/>
          </w:tcPr>
          <w:p>
            <w:pPr>
              <w:spacing w:after="0"/>
              <w:rPr>
                <w:sz w:val="19"/>
                <w:szCs w:val="19"/>
                <w:color w:val="auto"/>
              </w:rPr>
            </w:pPr>
          </w:p>
        </w:tc>
        <w:tc>
          <w:tcPr>
            <w:tcW w:w="980" w:type="dxa"/>
            <w:vAlign w:val="bottom"/>
            <w:gridSpan w:val="2"/>
            <w:shd w:val="clear" w:color="auto" w:fill="D6F3E8"/>
          </w:tcPr>
          <w:p>
            <w:pPr>
              <w:jc w:val="right"/>
              <w:ind w:right="20"/>
              <w:spacing w:after="0"/>
              <w:rPr>
                <w:sz w:val="20"/>
                <w:szCs w:val="20"/>
                <w:color w:val="auto"/>
              </w:rPr>
            </w:pPr>
            <w:r>
              <w:rPr>
                <w:rFonts w:ascii="Arial" w:cs="Arial" w:eastAsia="Arial" w:hAnsi="Arial"/>
                <w:sz w:val="18"/>
                <w:szCs w:val="18"/>
                <w:color w:val="auto"/>
              </w:rPr>
              <w:t>69,319</w:t>
            </w:r>
          </w:p>
        </w:tc>
        <w:tc>
          <w:tcPr>
            <w:tcW w:w="180" w:type="dxa"/>
            <w:vAlign w:val="bottom"/>
            <w:shd w:val="clear" w:color="auto" w:fill="D6F3E8"/>
          </w:tcPr>
          <w:p>
            <w:pPr>
              <w:spacing w:after="0"/>
              <w:rPr>
                <w:sz w:val="19"/>
                <w:szCs w:val="19"/>
                <w:color w:val="auto"/>
              </w:rPr>
            </w:pPr>
          </w:p>
        </w:tc>
      </w:tr>
      <w:tr>
        <w:trPr>
          <w:trHeight w:val="216"/>
        </w:trPr>
        <w:tc>
          <w:tcPr>
            <w:tcW w:w="8080" w:type="dxa"/>
            <w:vAlign w:val="bottom"/>
          </w:tcPr>
          <w:p>
            <w:pPr>
              <w:ind w:left="320"/>
              <w:spacing w:after="0" w:line="202" w:lineRule="exact"/>
              <w:rPr>
                <w:sz w:val="20"/>
                <w:szCs w:val="20"/>
                <w:color w:val="auto"/>
              </w:rPr>
            </w:pPr>
            <w:r>
              <w:rPr>
                <w:rFonts w:ascii="Arial" w:cs="Arial" w:eastAsia="Arial" w:hAnsi="Arial"/>
                <w:sz w:val="18"/>
                <w:szCs w:val="18"/>
                <w:color w:val="auto"/>
              </w:rPr>
              <w:t>Total long-term liabilities</w:t>
            </w:r>
          </w:p>
        </w:tc>
        <w:tc>
          <w:tcPr>
            <w:tcW w:w="4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89,698</w:t>
            </w: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69,319</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183"/>
        </w:trPr>
        <w:tc>
          <w:tcPr>
            <w:tcW w:w="80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r>
      <w:tr>
        <w:trPr>
          <w:trHeight w:val="230"/>
        </w:trPr>
        <w:tc>
          <w:tcPr>
            <w:tcW w:w="8080" w:type="dxa"/>
            <w:vAlign w:val="bottom"/>
            <w:shd w:val="clear" w:color="auto" w:fill="D6F3E8"/>
          </w:tcPr>
          <w:p>
            <w:pPr>
              <w:spacing w:after="0"/>
              <w:rPr>
                <w:sz w:val="20"/>
                <w:szCs w:val="20"/>
                <w:color w:val="auto"/>
              </w:rPr>
            </w:pPr>
            <w:r>
              <w:rPr>
                <w:rFonts w:ascii="Arial" w:cs="Arial" w:eastAsia="Arial" w:hAnsi="Arial"/>
                <w:sz w:val="18"/>
                <w:szCs w:val="18"/>
                <w:color w:val="auto"/>
              </w:rPr>
              <w:t>Stockholders’ equity</w:t>
            </w:r>
          </w:p>
        </w:tc>
        <w:tc>
          <w:tcPr>
            <w:tcW w:w="420" w:type="dxa"/>
            <w:vAlign w:val="bottom"/>
            <w:shd w:val="clear" w:color="auto" w:fill="D6F3E8"/>
          </w:tcPr>
          <w:p>
            <w:pPr>
              <w:spacing w:after="0"/>
              <w:rPr>
                <w:sz w:val="19"/>
                <w:szCs w:val="19"/>
                <w:color w:val="auto"/>
              </w:rPr>
            </w:pPr>
          </w:p>
        </w:tc>
        <w:tc>
          <w:tcPr>
            <w:tcW w:w="1280" w:type="dxa"/>
            <w:vAlign w:val="bottom"/>
            <w:gridSpan w:val="2"/>
            <w:shd w:val="clear" w:color="auto" w:fill="D6F3E8"/>
          </w:tcPr>
          <w:p>
            <w:pPr>
              <w:jc w:val="right"/>
              <w:ind w:right="380"/>
              <w:spacing w:after="0"/>
              <w:rPr>
                <w:sz w:val="20"/>
                <w:szCs w:val="20"/>
                <w:color w:val="auto"/>
              </w:rPr>
            </w:pPr>
            <w:r>
              <w:rPr>
                <w:rFonts w:ascii="Arial" w:cs="Arial" w:eastAsia="Arial" w:hAnsi="Arial"/>
                <w:sz w:val="18"/>
                <w:szCs w:val="18"/>
                <w:color w:val="auto"/>
              </w:rPr>
              <w:t>190,464</w:t>
            </w:r>
          </w:p>
        </w:tc>
        <w:tc>
          <w:tcPr>
            <w:tcW w:w="20" w:type="dxa"/>
            <w:vAlign w:val="bottom"/>
            <w:shd w:val="clear" w:color="auto" w:fill="D6F3E8"/>
          </w:tcPr>
          <w:p>
            <w:pPr>
              <w:spacing w:after="0"/>
              <w:rPr>
                <w:sz w:val="19"/>
                <w:szCs w:val="19"/>
                <w:color w:val="auto"/>
              </w:rPr>
            </w:pPr>
          </w:p>
        </w:tc>
        <w:tc>
          <w:tcPr>
            <w:tcW w:w="460" w:type="dxa"/>
            <w:vAlign w:val="bottom"/>
            <w:shd w:val="clear" w:color="auto" w:fill="D6F3E8"/>
          </w:tcPr>
          <w:p>
            <w:pPr>
              <w:spacing w:after="0"/>
              <w:rPr>
                <w:sz w:val="19"/>
                <w:szCs w:val="19"/>
                <w:color w:val="auto"/>
              </w:rPr>
            </w:pPr>
          </w:p>
        </w:tc>
        <w:tc>
          <w:tcPr>
            <w:tcW w:w="980" w:type="dxa"/>
            <w:vAlign w:val="bottom"/>
            <w:gridSpan w:val="2"/>
            <w:shd w:val="clear" w:color="auto" w:fill="D6F3E8"/>
          </w:tcPr>
          <w:p>
            <w:pPr>
              <w:jc w:val="right"/>
              <w:ind w:right="20"/>
              <w:spacing w:after="0"/>
              <w:rPr>
                <w:sz w:val="20"/>
                <w:szCs w:val="20"/>
                <w:color w:val="auto"/>
              </w:rPr>
            </w:pPr>
            <w:r>
              <w:rPr>
                <w:rFonts w:ascii="Arial" w:cs="Arial" w:eastAsia="Arial" w:hAnsi="Arial"/>
                <w:sz w:val="18"/>
                <w:szCs w:val="18"/>
                <w:color w:val="auto"/>
              </w:rPr>
              <w:t>208,354</w:t>
            </w:r>
          </w:p>
        </w:tc>
        <w:tc>
          <w:tcPr>
            <w:tcW w:w="180" w:type="dxa"/>
            <w:vAlign w:val="bottom"/>
            <w:shd w:val="clear" w:color="auto" w:fill="D6F3E8"/>
          </w:tcPr>
          <w:p>
            <w:pPr>
              <w:spacing w:after="0"/>
              <w:rPr>
                <w:sz w:val="19"/>
                <w:szCs w:val="19"/>
                <w:color w:val="auto"/>
              </w:rPr>
            </w:pPr>
          </w:p>
        </w:tc>
      </w:tr>
      <w:tr>
        <w:trPr>
          <w:trHeight w:val="210"/>
        </w:trPr>
        <w:tc>
          <w:tcPr>
            <w:tcW w:w="8080" w:type="dxa"/>
            <w:vAlign w:val="bottom"/>
          </w:tcPr>
          <w:p>
            <w:pPr>
              <w:ind w:left="320"/>
              <w:spacing w:after="0"/>
              <w:rPr>
                <w:sz w:val="20"/>
                <w:szCs w:val="20"/>
                <w:color w:val="auto"/>
              </w:rPr>
            </w:pPr>
            <w:r>
              <w:rPr>
                <w:rFonts w:ascii="Arial" w:cs="Arial" w:eastAsia="Arial" w:hAnsi="Arial"/>
                <w:sz w:val="18"/>
                <w:szCs w:val="18"/>
                <w:color w:val="auto"/>
              </w:rPr>
              <w:t>Total liabilities and stockholders’ equity</w:t>
            </w:r>
          </w:p>
        </w:tc>
        <w:tc>
          <w:tcPr>
            <w:tcW w:w="420" w:type="dxa"/>
            <w:vAlign w:val="bottom"/>
            <w:tcBorders>
              <w:top w:val="single" w:sz="8" w:color="auto"/>
              <w:bottom w:val="single" w:sz="8" w:color="auto"/>
            </w:tcBorders>
          </w:tcPr>
          <w:p>
            <w:pPr>
              <w:jc w:val="right"/>
              <w:ind w:right="232"/>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364,008</w:t>
            </w:r>
          </w:p>
        </w:tc>
        <w:tc>
          <w:tcPr>
            <w:tcW w:w="3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460" w:type="dxa"/>
            <w:vAlign w:val="bottom"/>
            <w:tcBorders>
              <w:top w:val="single" w:sz="8" w:color="auto"/>
              <w:bottom w:val="single" w:sz="8" w:color="auto"/>
            </w:tcBorders>
          </w:tcPr>
          <w:p>
            <w:pPr>
              <w:jc w:val="right"/>
              <w:ind w:right="303"/>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366,510</w:t>
            </w:r>
          </w:p>
        </w:tc>
        <w:tc>
          <w:tcPr>
            <w:tcW w:w="2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r>
      <w:tr>
        <w:trPr>
          <w:trHeight w:val="20"/>
        </w:trPr>
        <w:tc>
          <w:tcPr>
            <w:tcW w:w="80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649605</wp:posOffset>
            </wp:positionV>
            <wp:extent cx="7250430"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Winnebago Industries, Inc.</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 Condensed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200" w:lineRule="exact"/>
        <w:rPr>
          <w:sz w:val="20"/>
          <w:szCs w:val="20"/>
          <w:color w:val="auto"/>
        </w:rPr>
      </w:pP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6"/>
              </w:rPr>
              <w:t>Fourteen Weeks</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8"/>
              </w:rPr>
              <w:t>Thirteen Weeks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8"/>
              </w:rPr>
              <w:t>Ended</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8"/>
              </w:rPr>
              <w:t>Ended</w:t>
            </w:r>
          </w:p>
        </w:tc>
        <w:tc>
          <w:tcPr>
            <w:tcW w:w="0" w:type="dxa"/>
            <w:vAlign w:val="bottom"/>
          </w:tcPr>
          <w:p>
            <w:pPr>
              <w:spacing w:after="0"/>
              <w:rPr>
                <w:sz w:val="1"/>
                <w:szCs w:val="1"/>
                <w:color w:val="auto"/>
              </w:rPr>
            </w:pPr>
          </w:p>
        </w:tc>
      </w:tr>
      <w:tr>
        <w:trPr>
          <w:trHeight w:val="161"/>
        </w:trPr>
        <w:tc>
          <w:tcPr>
            <w:tcW w:w="84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Operating activities:</w:t>
            </w:r>
          </w:p>
        </w:tc>
        <w:tc>
          <w:tcPr>
            <w:tcW w:w="100" w:type="dxa"/>
            <w:vAlign w:val="bottom"/>
          </w:tcPr>
          <w:p>
            <w:pPr>
              <w:spacing w:after="0"/>
              <w:rPr>
                <w:sz w:val="14"/>
                <w:szCs w:val="14"/>
                <w:color w:val="auto"/>
              </w:rPr>
            </w:pPr>
          </w:p>
        </w:tc>
        <w:tc>
          <w:tcPr>
            <w:tcW w:w="13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4"/>
              </w:rPr>
              <w:t>Dec. 1, 2007</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5"/>
              </w:rPr>
              <w:t>Nov. 25, 2006</w:t>
            </w:r>
          </w:p>
        </w:tc>
        <w:tc>
          <w:tcPr>
            <w:tcW w:w="0" w:type="dxa"/>
            <w:vAlign w:val="bottom"/>
          </w:tcPr>
          <w:p>
            <w:pPr>
              <w:spacing w:after="0"/>
              <w:rPr>
                <w:sz w:val="1"/>
                <w:szCs w:val="1"/>
                <w:color w:val="auto"/>
              </w:rPr>
            </w:pPr>
          </w:p>
        </w:tc>
      </w:tr>
      <w:tr>
        <w:trPr>
          <w:trHeight w:val="195"/>
        </w:trPr>
        <w:tc>
          <w:tcPr>
            <w:tcW w:w="8480" w:type="dxa"/>
            <w:vAlign w:val="bottom"/>
            <w:gridSpan w:val="2"/>
            <w:vMerge w:val="continue"/>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460" w:type="dxa"/>
            <w:vAlign w:val="bottom"/>
            <w:shd w:val="clear" w:color="auto" w:fill="D6F3E8"/>
          </w:tcPr>
          <w:p>
            <w:pPr>
              <w:ind w:left="140"/>
              <w:spacing w:after="0"/>
              <w:rPr>
                <w:sz w:val="20"/>
                <w:szCs w:val="20"/>
                <w:color w:val="auto"/>
              </w:rPr>
            </w:pPr>
            <w:r>
              <w:rPr>
                <w:rFonts w:ascii="Arial" w:cs="Arial" w:eastAsia="Arial" w:hAnsi="Arial"/>
                <w:sz w:val="18"/>
                <w:szCs w:val="18"/>
                <w:color w:val="auto"/>
              </w:rPr>
              <w:t>Net income</w:t>
            </w:r>
          </w:p>
        </w:tc>
        <w:tc>
          <w:tcPr>
            <w:tcW w:w="100" w:type="dxa"/>
            <w:vAlign w:val="bottom"/>
            <w:shd w:val="clear" w:color="auto" w:fill="D6F3E8"/>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D6F3E8"/>
          </w:tcPr>
          <w:p>
            <w:pPr>
              <w:jc w:val="right"/>
              <w:ind w:right="260"/>
              <w:spacing w:after="0"/>
              <w:rPr>
                <w:sz w:val="20"/>
                <w:szCs w:val="20"/>
                <w:color w:val="auto"/>
              </w:rPr>
            </w:pPr>
            <w:r>
              <w:rPr>
                <w:rFonts w:ascii="Arial" w:cs="Arial" w:eastAsia="Arial" w:hAnsi="Arial"/>
                <w:sz w:val="18"/>
                <w:szCs w:val="18"/>
                <w:color w:val="auto"/>
              </w:rPr>
              <w:t>9,962</w:t>
            </w:r>
          </w:p>
        </w:tc>
        <w:tc>
          <w:tcPr>
            <w:tcW w:w="280" w:type="dxa"/>
            <w:vAlign w:val="bottom"/>
            <w:gridSpan w:val="2"/>
            <w:shd w:val="clear" w:color="auto" w:fill="D6F3E8"/>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D6F3E8"/>
          </w:tcPr>
          <w:p>
            <w:pPr>
              <w:jc w:val="right"/>
              <w:spacing w:after="0"/>
              <w:rPr>
                <w:sz w:val="20"/>
                <w:szCs w:val="20"/>
                <w:color w:val="auto"/>
              </w:rPr>
            </w:pPr>
            <w:r>
              <w:rPr>
                <w:rFonts w:ascii="Arial" w:cs="Arial" w:eastAsia="Arial" w:hAnsi="Arial"/>
                <w:sz w:val="18"/>
                <w:szCs w:val="18"/>
                <w:color w:val="auto"/>
              </w:rPr>
              <w:t>7,936</w:t>
            </w:r>
          </w:p>
        </w:tc>
        <w:tc>
          <w:tcPr>
            <w:tcW w:w="22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460" w:type="dxa"/>
            <w:vAlign w:val="bottom"/>
          </w:tcPr>
          <w:p>
            <w:pPr>
              <w:ind w:left="14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460" w:type="dxa"/>
            <w:vAlign w:val="bottom"/>
          </w:tcPr>
          <w:p>
            <w:pPr>
              <w:ind w:left="320"/>
              <w:spacing w:after="0"/>
              <w:rPr>
                <w:sz w:val="20"/>
                <w:szCs w:val="20"/>
                <w:color w:val="auto"/>
              </w:rPr>
            </w:pPr>
            <w:r>
              <w:rPr>
                <w:rFonts w:ascii="Arial" w:cs="Arial" w:eastAsia="Arial" w:hAnsi="Arial"/>
                <w:sz w:val="18"/>
                <w:szCs w:val="18"/>
                <w:color w:val="auto"/>
              </w:rPr>
              <w:t>Depreciation</w:t>
            </w:r>
          </w:p>
        </w:tc>
        <w:tc>
          <w:tcPr>
            <w:tcW w:w="100" w:type="dxa"/>
            <w:vAlign w:val="bottom"/>
          </w:tcPr>
          <w:p>
            <w:pPr>
              <w:spacing w:after="0"/>
              <w:rPr>
                <w:sz w:val="19"/>
                <w:szCs w:val="19"/>
                <w:color w:val="auto"/>
              </w:rPr>
            </w:pPr>
          </w:p>
        </w:tc>
        <w:tc>
          <w:tcPr>
            <w:tcW w:w="1300" w:type="dxa"/>
            <w:vAlign w:val="bottom"/>
            <w:gridSpan w:val="2"/>
          </w:tcPr>
          <w:p>
            <w:pPr>
              <w:jc w:val="right"/>
              <w:ind w:right="260"/>
              <w:spacing w:after="0"/>
              <w:rPr>
                <w:sz w:val="20"/>
                <w:szCs w:val="20"/>
                <w:color w:val="auto"/>
              </w:rPr>
            </w:pPr>
            <w:r>
              <w:rPr>
                <w:rFonts w:ascii="Arial" w:cs="Arial" w:eastAsia="Arial" w:hAnsi="Arial"/>
                <w:sz w:val="18"/>
                <w:szCs w:val="18"/>
                <w:color w:val="auto"/>
              </w:rPr>
              <w:t>2,713</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2,654</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460" w:type="dxa"/>
            <w:vAlign w:val="bottom"/>
            <w:shd w:val="clear" w:color="auto" w:fill="D6F3E8"/>
          </w:tcPr>
          <w:p>
            <w:pPr>
              <w:ind w:left="320"/>
              <w:spacing w:after="0"/>
              <w:rPr>
                <w:sz w:val="20"/>
                <w:szCs w:val="20"/>
                <w:color w:val="auto"/>
              </w:rPr>
            </w:pPr>
            <w:r>
              <w:rPr>
                <w:rFonts w:ascii="Arial" w:cs="Arial" w:eastAsia="Arial" w:hAnsi="Arial"/>
                <w:sz w:val="18"/>
                <w:szCs w:val="18"/>
                <w:color w:val="auto"/>
              </w:rPr>
              <w:t>Stock-based compensation</w:t>
            </w:r>
          </w:p>
        </w:tc>
        <w:tc>
          <w:tcPr>
            <w:tcW w:w="100" w:type="dxa"/>
            <w:vAlign w:val="bottom"/>
            <w:shd w:val="clear" w:color="auto" w:fill="D6F3E8"/>
          </w:tcPr>
          <w:p>
            <w:pPr>
              <w:spacing w:after="0"/>
              <w:rPr>
                <w:sz w:val="18"/>
                <w:szCs w:val="18"/>
                <w:color w:val="auto"/>
              </w:rPr>
            </w:pPr>
          </w:p>
        </w:tc>
        <w:tc>
          <w:tcPr>
            <w:tcW w:w="1300" w:type="dxa"/>
            <w:vAlign w:val="bottom"/>
            <w:gridSpan w:val="2"/>
            <w:shd w:val="clear" w:color="auto" w:fill="D6F3E8"/>
          </w:tcPr>
          <w:p>
            <w:pPr>
              <w:jc w:val="right"/>
              <w:ind w:right="260"/>
              <w:spacing w:after="0"/>
              <w:rPr>
                <w:sz w:val="20"/>
                <w:szCs w:val="20"/>
                <w:color w:val="auto"/>
              </w:rPr>
            </w:pPr>
            <w:r>
              <w:rPr>
                <w:rFonts w:ascii="Arial" w:cs="Arial" w:eastAsia="Arial" w:hAnsi="Arial"/>
                <w:sz w:val="18"/>
                <w:szCs w:val="18"/>
                <w:color w:val="auto"/>
              </w:rPr>
              <w:t>2,270</w:t>
            </w:r>
          </w:p>
        </w:tc>
        <w:tc>
          <w:tcPr>
            <w:tcW w:w="180" w:type="dxa"/>
            <w:vAlign w:val="bottom"/>
            <w:shd w:val="clear" w:color="auto" w:fill="D6F3E8"/>
          </w:tcPr>
          <w:p>
            <w:pPr>
              <w:spacing w:after="0"/>
              <w:rPr>
                <w:sz w:val="18"/>
                <w:szCs w:val="18"/>
                <w:color w:val="auto"/>
              </w:rPr>
            </w:pPr>
          </w:p>
        </w:tc>
        <w:tc>
          <w:tcPr>
            <w:tcW w:w="100" w:type="dxa"/>
            <w:vAlign w:val="bottom"/>
            <w:shd w:val="clear" w:color="auto" w:fill="D6F3E8"/>
          </w:tcPr>
          <w:p>
            <w:pPr>
              <w:spacing w:after="0"/>
              <w:rPr>
                <w:sz w:val="18"/>
                <w:szCs w:val="18"/>
                <w:color w:val="auto"/>
              </w:rPr>
            </w:pPr>
          </w:p>
        </w:tc>
        <w:tc>
          <w:tcPr>
            <w:tcW w:w="1040" w:type="dxa"/>
            <w:vAlign w:val="bottom"/>
            <w:shd w:val="clear" w:color="auto" w:fill="D6F3E8"/>
          </w:tcPr>
          <w:p>
            <w:pPr>
              <w:jc w:val="right"/>
              <w:spacing w:after="0"/>
              <w:rPr>
                <w:sz w:val="20"/>
                <w:szCs w:val="20"/>
                <w:color w:val="auto"/>
              </w:rPr>
            </w:pPr>
            <w:r>
              <w:rPr>
                <w:rFonts w:ascii="Arial" w:cs="Arial" w:eastAsia="Arial" w:hAnsi="Arial"/>
                <w:sz w:val="18"/>
                <w:szCs w:val="18"/>
                <w:color w:val="auto"/>
              </w:rPr>
              <w:t>2,817</w:t>
            </w:r>
          </w:p>
        </w:tc>
        <w:tc>
          <w:tcPr>
            <w:tcW w:w="22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tcPr>
          <w:p>
            <w:pPr>
              <w:ind w:left="320"/>
              <w:spacing w:after="0"/>
              <w:rPr>
                <w:sz w:val="20"/>
                <w:szCs w:val="20"/>
                <w:color w:val="auto"/>
              </w:rPr>
            </w:pPr>
            <w:r>
              <w:rPr>
                <w:rFonts w:ascii="Arial" w:cs="Arial" w:eastAsia="Arial" w:hAnsi="Arial"/>
                <w:sz w:val="18"/>
                <w:szCs w:val="18"/>
                <w:color w:val="auto"/>
              </w:rPr>
              <w:t>Postretirement benefit income and deferred compensation expense</w:t>
            </w:r>
          </w:p>
        </w:tc>
        <w:tc>
          <w:tcPr>
            <w:tcW w:w="100" w:type="dxa"/>
            <w:vAlign w:val="bottom"/>
          </w:tcPr>
          <w:p>
            <w:pPr>
              <w:spacing w:after="0"/>
              <w:rPr>
                <w:sz w:val="18"/>
                <w:szCs w:val="18"/>
                <w:color w:val="auto"/>
              </w:rPr>
            </w:pPr>
          </w:p>
        </w:tc>
        <w:tc>
          <w:tcPr>
            <w:tcW w:w="1300" w:type="dxa"/>
            <w:vAlign w:val="bottom"/>
            <w:gridSpan w:val="2"/>
          </w:tcPr>
          <w:p>
            <w:pPr>
              <w:jc w:val="right"/>
              <w:ind w:right="260"/>
              <w:spacing w:after="0"/>
              <w:rPr>
                <w:sz w:val="20"/>
                <w:szCs w:val="20"/>
                <w:color w:val="auto"/>
              </w:rPr>
            </w:pPr>
            <w:r>
              <w:rPr>
                <w:rFonts w:ascii="Arial" w:cs="Arial" w:eastAsia="Arial" w:hAnsi="Arial"/>
                <w:sz w:val="18"/>
                <w:szCs w:val="18"/>
                <w:color w:val="auto"/>
              </w:rPr>
              <w:t>377</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419</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shd w:val="clear" w:color="auto" w:fill="D6F3E8"/>
          </w:tcPr>
          <w:p>
            <w:pPr>
              <w:ind w:left="320"/>
              <w:spacing w:after="0"/>
              <w:rPr>
                <w:sz w:val="20"/>
                <w:szCs w:val="20"/>
                <w:color w:val="auto"/>
              </w:rPr>
            </w:pPr>
            <w:r>
              <w:rPr>
                <w:rFonts w:ascii="Arial" w:cs="Arial" w:eastAsia="Arial" w:hAnsi="Arial"/>
                <w:sz w:val="18"/>
                <w:szCs w:val="18"/>
                <w:color w:val="auto"/>
              </w:rPr>
              <w:t>Deferred income taxes</w:t>
            </w:r>
          </w:p>
        </w:tc>
        <w:tc>
          <w:tcPr>
            <w:tcW w:w="100" w:type="dxa"/>
            <w:vAlign w:val="bottom"/>
            <w:shd w:val="clear" w:color="auto" w:fill="D6F3E8"/>
          </w:tcPr>
          <w:p>
            <w:pPr>
              <w:spacing w:after="0"/>
              <w:rPr>
                <w:sz w:val="18"/>
                <w:szCs w:val="18"/>
                <w:color w:val="auto"/>
              </w:rPr>
            </w:pPr>
          </w:p>
        </w:tc>
        <w:tc>
          <w:tcPr>
            <w:tcW w:w="1300" w:type="dxa"/>
            <w:vAlign w:val="bottom"/>
            <w:gridSpan w:val="2"/>
            <w:shd w:val="clear" w:color="auto" w:fill="D6F3E8"/>
          </w:tcPr>
          <w:p>
            <w:pPr>
              <w:jc w:val="right"/>
              <w:ind w:right="260"/>
              <w:spacing w:after="0"/>
              <w:rPr>
                <w:sz w:val="20"/>
                <w:szCs w:val="20"/>
                <w:color w:val="auto"/>
              </w:rPr>
            </w:pPr>
            <w:r>
              <w:rPr>
                <w:rFonts w:ascii="Arial" w:cs="Arial" w:eastAsia="Arial" w:hAnsi="Arial"/>
                <w:sz w:val="18"/>
                <w:szCs w:val="18"/>
                <w:color w:val="auto"/>
              </w:rPr>
              <w:t>478</w:t>
            </w:r>
          </w:p>
        </w:tc>
        <w:tc>
          <w:tcPr>
            <w:tcW w:w="180" w:type="dxa"/>
            <w:vAlign w:val="bottom"/>
            <w:shd w:val="clear" w:color="auto" w:fill="D6F3E8"/>
          </w:tcPr>
          <w:p>
            <w:pPr>
              <w:spacing w:after="0"/>
              <w:rPr>
                <w:sz w:val="18"/>
                <w:szCs w:val="18"/>
                <w:color w:val="auto"/>
              </w:rPr>
            </w:pPr>
          </w:p>
        </w:tc>
        <w:tc>
          <w:tcPr>
            <w:tcW w:w="100" w:type="dxa"/>
            <w:vAlign w:val="bottom"/>
            <w:shd w:val="clear" w:color="auto" w:fill="D6F3E8"/>
          </w:tcPr>
          <w:p>
            <w:pPr>
              <w:spacing w:after="0"/>
              <w:rPr>
                <w:sz w:val="18"/>
                <w:szCs w:val="18"/>
                <w:color w:val="auto"/>
              </w:rPr>
            </w:pPr>
          </w:p>
        </w:tc>
        <w:tc>
          <w:tcPr>
            <w:tcW w:w="1260" w:type="dxa"/>
            <w:vAlign w:val="bottom"/>
            <w:gridSpan w:val="2"/>
            <w:shd w:val="clear" w:color="auto" w:fill="D6F3E8"/>
          </w:tcPr>
          <w:p>
            <w:pPr>
              <w:jc w:val="right"/>
              <w:ind w:right="160"/>
              <w:spacing w:after="0"/>
              <w:rPr>
                <w:sz w:val="20"/>
                <w:szCs w:val="20"/>
                <w:color w:val="auto"/>
              </w:rPr>
            </w:pPr>
            <w:r>
              <w:rPr>
                <w:rFonts w:ascii="Arial" w:cs="Arial" w:eastAsia="Arial" w:hAnsi="Arial"/>
                <w:sz w:val="18"/>
                <w:szCs w:val="18"/>
                <w:color w:val="auto"/>
              </w:rPr>
              <w:t>(738)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tcPr>
          <w:p>
            <w:pPr>
              <w:ind w:left="320"/>
              <w:spacing w:after="0"/>
              <w:rPr>
                <w:sz w:val="20"/>
                <w:szCs w:val="20"/>
                <w:color w:val="auto"/>
              </w:rPr>
            </w:pPr>
            <w:r>
              <w:rPr>
                <w:rFonts w:ascii="Arial" w:cs="Arial" w:eastAsia="Arial" w:hAnsi="Arial"/>
                <w:sz w:val="18"/>
                <w:szCs w:val="18"/>
                <w:color w:val="auto"/>
              </w:rPr>
              <w:t>Increase in cash surrender value of life insurance policies</w:t>
            </w:r>
          </w:p>
        </w:tc>
        <w:tc>
          <w:tcPr>
            <w:tcW w:w="100" w:type="dxa"/>
            <w:vAlign w:val="bottom"/>
          </w:tcPr>
          <w:p>
            <w:pPr>
              <w:spacing w:after="0"/>
              <w:rPr>
                <w:sz w:val="18"/>
                <w:szCs w:val="18"/>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(170)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(195)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shd w:val="clear" w:color="auto" w:fill="D6F3E8"/>
          </w:tcPr>
          <w:p>
            <w:pPr>
              <w:ind w:left="320"/>
              <w:spacing w:after="0"/>
              <w:rPr>
                <w:sz w:val="20"/>
                <w:szCs w:val="20"/>
                <w:color w:val="auto"/>
              </w:rPr>
            </w:pPr>
            <w:r>
              <w:rPr>
                <w:rFonts w:ascii="Arial" w:cs="Arial" w:eastAsia="Arial" w:hAnsi="Arial"/>
                <w:sz w:val="18"/>
                <w:szCs w:val="18"/>
                <w:color w:val="auto"/>
              </w:rPr>
              <w:t>Excess tax benefit from stock-based compensation</w:t>
            </w:r>
          </w:p>
        </w:tc>
        <w:tc>
          <w:tcPr>
            <w:tcW w:w="100" w:type="dxa"/>
            <w:vAlign w:val="bottom"/>
            <w:shd w:val="clear" w:color="auto" w:fill="D6F3E8"/>
          </w:tcPr>
          <w:p>
            <w:pPr>
              <w:spacing w:after="0"/>
              <w:rPr>
                <w:sz w:val="18"/>
                <w:szCs w:val="18"/>
                <w:color w:val="auto"/>
              </w:rPr>
            </w:pPr>
          </w:p>
        </w:tc>
        <w:tc>
          <w:tcPr>
            <w:tcW w:w="1300" w:type="dxa"/>
            <w:vAlign w:val="bottom"/>
            <w:gridSpan w:val="2"/>
            <w:shd w:val="clear" w:color="auto" w:fill="D6F3E8"/>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shd w:val="clear" w:color="auto" w:fill="D6F3E8"/>
          </w:tcPr>
          <w:p>
            <w:pPr>
              <w:spacing w:after="0"/>
              <w:rPr>
                <w:sz w:val="18"/>
                <w:szCs w:val="18"/>
                <w:color w:val="auto"/>
              </w:rPr>
            </w:pPr>
          </w:p>
        </w:tc>
        <w:tc>
          <w:tcPr>
            <w:tcW w:w="100" w:type="dxa"/>
            <w:vAlign w:val="bottom"/>
            <w:shd w:val="clear" w:color="auto" w:fill="D6F3E8"/>
          </w:tcPr>
          <w:p>
            <w:pPr>
              <w:spacing w:after="0"/>
              <w:rPr>
                <w:sz w:val="18"/>
                <w:szCs w:val="18"/>
                <w:color w:val="auto"/>
              </w:rPr>
            </w:pPr>
          </w:p>
        </w:tc>
        <w:tc>
          <w:tcPr>
            <w:tcW w:w="1260" w:type="dxa"/>
            <w:vAlign w:val="bottom"/>
            <w:gridSpan w:val="2"/>
            <w:shd w:val="clear" w:color="auto" w:fill="D6F3E8"/>
          </w:tcPr>
          <w:p>
            <w:pPr>
              <w:jc w:val="right"/>
              <w:ind w:right="160"/>
              <w:spacing w:after="0"/>
              <w:rPr>
                <w:sz w:val="20"/>
                <w:szCs w:val="20"/>
                <w:color w:val="auto"/>
              </w:rPr>
            </w:pPr>
            <w:r>
              <w:rPr>
                <w:rFonts w:ascii="Arial" w:cs="Arial" w:eastAsia="Arial" w:hAnsi="Arial"/>
                <w:sz w:val="18"/>
                <w:szCs w:val="18"/>
                <w:color w:val="auto"/>
              </w:rPr>
              <w:t>(525)</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460" w:type="dxa"/>
            <w:vAlign w:val="bottom"/>
          </w:tcPr>
          <w:p>
            <w:pPr>
              <w:ind w:left="320"/>
              <w:spacing w:after="0"/>
              <w:rPr>
                <w:sz w:val="20"/>
                <w:szCs w:val="20"/>
                <w:color w:val="auto"/>
              </w:rPr>
            </w:pPr>
            <w:r>
              <w:rPr>
                <w:rFonts w:ascii="Arial" w:cs="Arial" w:eastAsia="Arial" w:hAnsi="Arial"/>
                <w:sz w:val="18"/>
                <w:szCs w:val="18"/>
                <w:color w:val="auto"/>
              </w:rPr>
              <w:t>Other</w:t>
            </w:r>
          </w:p>
        </w:tc>
        <w:tc>
          <w:tcPr>
            <w:tcW w:w="100" w:type="dxa"/>
            <w:vAlign w:val="bottom"/>
          </w:tcPr>
          <w:p>
            <w:pPr>
              <w:spacing w:after="0"/>
              <w:rPr>
                <w:sz w:val="18"/>
                <w:szCs w:val="18"/>
                <w:color w:val="auto"/>
              </w:rPr>
            </w:pPr>
          </w:p>
        </w:tc>
        <w:tc>
          <w:tcPr>
            <w:tcW w:w="1300" w:type="dxa"/>
            <w:vAlign w:val="bottom"/>
            <w:gridSpan w:val="2"/>
          </w:tcPr>
          <w:p>
            <w:pPr>
              <w:jc w:val="right"/>
              <w:ind w:right="260"/>
              <w:spacing w:after="0"/>
              <w:rPr>
                <w:sz w:val="20"/>
                <w:szCs w:val="20"/>
                <w:color w:val="auto"/>
              </w:rPr>
            </w:pPr>
            <w:r>
              <w:rPr>
                <w:rFonts w:ascii="Arial" w:cs="Arial" w:eastAsia="Arial" w:hAnsi="Arial"/>
                <w:sz w:val="18"/>
                <w:szCs w:val="18"/>
                <w:color w:val="auto"/>
              </w:rPr>
              <w:t>62</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102</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460" w:type="dxa"/>
            <w:vAlign w:val="bottom"/>
          </w:tcPr>
          <w:p>
            <w:pPr>
              <w:ind w:left="140"/>
              <w:spacing w:after="0"/>
              <w:rPr>
                <w:sz w:val="20"/>
                <w:szCs w:val="20"/>
                <w:color w:val="auto"/>
              </w:rPr>
            </w:pPr>
            <w:r>
              <w:rPr>
                <w:rFonts w:ascii="Arial" w:cs="Arial" w:eastAsia="Arial" w:hAnsi="Arial"/>
                <w:sz w:val="18"/>
                <w:szCs w:val="18"/>
                <w:color w:val="auto"/>
              </w:rPr>
              <w:t>Change in assets and liabilities:</w:t>
            </w: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460" w:type="dxa"/>
            <w:vAlign w:val="bottom"/>
            <w:shd w:val="clear" w:color="auto" w:fill="D6F3E8"/>
          </w:tcPr>
          <w:p>
            <w:pPr>
              <w:ind w:left="320"/>
              <w:spacing w:after="0"/>
              <w:rPr>
                <w:sz w:val="20"/>
                <w:szCs w:val="20"/>
                <w:color w:val="auto"/>
              </w:rPr>
            </w:pPr>
            <w:r>
              <w:rPr>
                <w:rFonts w:ascii="Arial" w:cs="Arial" w:eastAsia="Arial" w:hAnsi="Arial"/>
                <w:sz w:val="18"/>
                <w:szCs w:val="18"/>
                <w:color w:val="auto"/>
              </w:rPr>
              <w:t>Inventories</w:t>
            </w:r>
          </w:p>
        </w:tc>
        <w:tc>
          <w:tcPr>
            <w:tcW w:w="100" w:type="dxa"/>
            <w:vAlign w:val="bottom"/>
            <w:shd w:val="clear" w:color="auto" w:fill="D6F3E8"/>
          </w:tcPr>
          <w:p>
            <w:pPr>
              <w:spacing w:after="0"/>
              <w:rPr>
                <w:sz w:val="18"/>
                <w:szCs w:val="18"/>
                <w:color w:val="auto"/>
              </w:rPr>
            </w:pPr>
          </w:p>
        </w:tc>
        <w:tc>
          <w:tcPr>
            <w:tcW w:w="1300" w:type="dxa"/>
            <w:vAlign w:val="bottom"/>
            <w:gridSpan w:val="2"/>
            <w:shd w:val="clear" w:color="auto" w:fill="D6F3E8"/>
          </w:tcPr>
          <w:p>
            <w:pPr>
              <w:jc w:val="right"/>
              <w:ind w:right="200"/>
              <w:spacing w:after="0"/>
              <w:rPr>
                <w:sz w:val="20"/>
                <w:szCs w:val="20"/>
                <w:color w:val="auto"/>
              </w:rPr>
            </w:pPr>
            <w:r>
              <w:rPr>
                <w:rFonts w:ascii="Arial" w:cs="Arial" w:eastAsia="Arial" w:hAnsi="Arial"/>
                <w:sz w:val="18"/>
                <w:szCs w:val="18"/>
                <w:color w:val="auto"/>
              </w:rPr>
              <w:t>(18,909)</w:t>
            </w:r>
          </w:p>
        </w:tc>
        <w:tc>
          <w:tcPr>
            <w:tcW w:w="180" w:type="dxa"/>
            <w:vAlign w:val="bottom"/>
            <w:shd w:val="clear" w:color="auto" w:fill="D6F3E8"/>
          </w:tcPr>
          <w:p>
            <w:pPr>
              <w:spacing w:after="0"/>
              <w:rPr>
                <w:sz w:val="18"/>
                <w:szCs w:val="18"/>
                <w:color w:val="auto"/>
              </w:rPr>
            </w:pPr>
          </w:p>
        </w:tc>
        <w:tc>
          <w:tcPr>
            <w:tcW w:w="100" w:type="dxa"/>
            <w:vAlign w:val="bottom"/>
            <w:shd w:val="clear" w:color="auto" w:fill="D6F3E8"/>
          </w:tcPr>
          <w:p>
            <w:pPr>
              <w:spacing w:after="0"/>
              <w:rPr>
                <w:sz w:val="18"/>
                <w:szCs w:val="18"/>
                <w:color w:val="auto"/>
              </w:rPr>
            </w:pPr>
          </w:p>
        </w:tc>
        <w:tc>
          <w:tcPr>
            <w:tcW w:w="1260" w:type="dxa"/>
            <w:vAlign w:val="bottom"/>
            <w:gridSpan w:val="2"/>
            <w:shd w:val="clear" w:color="auto" w:fill="D6F3E8"/>
          </w:tcPr>
          <w:p>
            <w:pPr>
              <w:jc w:val="right"/>
              <w:ind w:right="160"/>
              <w:spacing w:after="0"/>
              <w:rPr>
                <w:sz w:val="20"/>
                <w:szCs w:val="20"/>
                <w:color w:val="auto"/>
              </w:rPr>
            </w:pPr>
            <w:r>
              <w:rPr>
                <w:rFonts w:ascii="Arial" w:cs="Arial" w:eastAsia="Arial" w:hAnsi="Arial"/>
                <w:sz w:val="18"/>
                <w:szCs w:val="18"/>
                <w:color w:val="auto"/>
              </w:rPr>
              <w:t>(20,087)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tcPr>
          <w:p>
            <w:pPr>
              <w:ind w:left="320"/>
              <w:spacing w:after="0"/>
              <w:rPr>
                <w:sz w:val="20"/>
                <w:szCs w:val="20"/>
                <w:color w:val="auto"/>
              </w:rPr>
            </w:pPr>
            <w:r>
              <w:rPr>
                <w:rFonts w:ascii="Arial" w:cs="Arial" w:eastAsia="Arial" w:hAnsi="Arial"/>
                <w:sz w:val="18"/>
                <w:szCs w:val="18"/>
                <w:color w:val="auto"/>
              </w:rPr>
              <w:t>Receivables and prepaid assets</w:t>
            </w:r>
          </w:p>
        </w:tc>
        <w:tc>
          <w:tcPr>
            <w:tcW w:w="100" w:type="dxa"/>
            <w:vAlign w:val="bottom"/>
          </w:tcPr>
          <w:p>
            <w:pPr>
              <w:spacing w:after="0"/>
              <w:rPr>
                <w:sz w:val="18"/>
                <w:szCs w:val="18"/>
                <w:color w:val="auto"/>
              </w:rPr>
            </w:pPr>
          </w:p>
        </w:tc>
        <w:tc>
          <w:tcPr>
            <w:tcW w:w="1300" w:type="dxa"/>
            <w:vAlign w:val="bottom"/>
            <w:gridSpan w:val="2"/>
          </w:tcPr>
          <w:p>
            <w:pPr>
              <w:jc w:val="right"/>
              <w:ind w:right="260"/>
              <w:spacing w:after="0"/>
              <w:rPr>
                <w:sz w:val="20"/>
                <w:szCs w:val="20"/>
                <w:color w:val="auto"/>
              </w:rPr>
            </w:pPr>
            <w:r>
              <w:rPr>
                <w:rFonts w:ascii="Arial" w:cs="Arial" w:eastAsia="Arial" w:hAnsi="Arial"/>
                <w:sz w:val="18"/>
                <w:szCs w:val="18"/>
                <w:color w:val="auto"/>
              </w:rPr>
              <w:t>12,724</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(3,034)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shd w:val="clear" w:color="auto" w:fill="D6F3E8"/>
          </w:tcPr>
          <w:p>
            <w:pPr>
              <w:ind w:left="320"/>
              <w:spacing w:after="0"/>
              <w:rPr>
                <w:sz w:val="20"/>
                <w:szCs w:val="20"/>
                <w:color w:val="auto"/>
              </w:rPr>
            </w:pPr>
            <w:r>
              <w:rPr>
                <w:rFonts w:ascii="Arial" w:cs="Arial" w:eastAsia="Arial" w:hAnsi="Arial"/>
                <w:sz w:val="18"/>
                <w:szCs w:val="18"/>
                <w:color w:val="auto"/>
              </w:rPr>
              <w:t>Accounts payable and accrued expenses</w:t>
            </w:r>
          </w:p>
        </w:tc>
        <w:tc>
          <w:tcPr>
            <w:tcW w:w="100" w:type="dxa"/>
            <w:vAlign w:val="bottom"/>
            <w:shd w:val="clear" w:color="auto" w:fill="D6F3E8"/>
          </w:tcPr>
          <w:p>
            <w:pPr>
              <w:spacing w:after="0"/>
              <w:rPr>
                <w:sz w:val="18"/>
                <w:szCs w:val="18"/>
                <w:color w:val="auto"/>
              </w:rPr>
            </w:pPr>
          </w:p>
        </w:tc>
        <w:tc>
          <w:tcPr>
            <w:tcW w:w="1300" w:type="dxa"/>
            <w:vAlign w:val="bottom"/>
            <w:gridSpan w:val="2"/>
            <w:shd w:val="clear" w:color="auto" w:fill="D6F3E8"/>
          </w:tcPr>
          <w:p>
            <w:pPr>
              <w:jc w:val="right"/>
              <w:ind w:right="200"/>
              <w:spacing w:after="0"/>
              <w:rPr>
                <w:sz w:val="20"/>
                <w:szCs w:val="20"/>
                <w:color w:val="auto"/>
              </w:rPr>
            </w:pPr>
            <w:r>
              <w:rPr>
                <w:rFonts w:ascii="Arial" w:cs="Arial" w:eastAsia="Arial" w:hAnsi="Arial"/>
                <w:sz w:val="18"/>
                <w:szCs w:val="18"/>
                <w:color w:val="auto"/>
              </w:rPr>
              <w:t>(5,879)</w:t>
            </w:r>
          </w:p>
        </w:tc>
        <w:tc>
          <w:tcPr>
            <w:tcW w:w="180" w:type="dxa"/>
            <w:vAlign w:val="bottom"/>
            <w:shd w:val="clear" w:color="auto" w:fill="D6F3E8"/>
          </w:tcPr>
          <w:p>
            <w:pPr>
              <w:spacing w:after="0"/>
              <w:rPr>
                <w:sz w:val="18"/>
                <w:szCs w:val="18"/>
                <w:color w:val="auto"/>
              </w:rPr>
            </w:pPr>
          </w:p>
        </w:tc>
        <w:tc>
          <w:tcPr>
            <w:tcW w:w="100" w:type="dxa"/>
            <w:vAlign w:val="bottom"/>
            <w:shd w:val="clear" w:color="auto" w:fill="D6F3E8"/>
          </w:tcPr>
          <w:p>
            <w:pPr>
              <w:spacing w:after="0"/>
              <w:rPr>
                <w:sz w:val="18"/>
                <w:szCs w:val="18"/>
                <w:color w:val="auto"/>
              </w:rPr>
            </w:pPr>
          </w:p>
        </w:tc>
        <w:tc>
          <w:tcPr>
            <w:tcW w:w="1260" w:type="dxa"/>
            <w:vAlign w:val="bottom"/>
            <w:gridSpan w:val="2"/>
            <w:shd w:val="clear" w:color="auto" w:fill="D6F3E8"/>
          </w:tcPr>
          <w:p>
            <w:pPr>
              <w:jc w:val="right"/>
              <w:ind w:right="160"/>
              <w:spacing w:after="0"/>
              <w:rPr>
                <w:sz w:val="20"/>
                <w:szCs w:val="20"/>
                <w:color w:val="auto"/>
              </w:rPr>
            </w:pPr>
            <w:r>
              <w:rPr>
                <w:rFonts w:ascii="Arial" w:cs="Arial" w:eastAsia="Arial" w:hAnsi="Arial"/>
                <w:sz w:val="18"/>
                <w:szCs w:val="18"/>
                <w:color w:val="auto"/>
              </w:rPr>
              <w:t>(3,112)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tcPr>
          <w:p>
            <w:pPr>
              <w:ind w:left="320"/>
              <w:spacing w:after="0"/>
              <w:rPr>
                <w:sz w:val="20"/>
                <w:szCs w:val="20"/>
                <w:color w:val="auto"/>
              </w:rPr>
            </w:pPr>
            <w:r>
              <w:rPr>
                <w:rFonts w:ascii="Arial" w:cs="Arial" w:eastAsia="Arial" w:hAnsi="Arial"/>
                <w:sz w:val="18"/>
                <w:szCs w:val="18"/>
                <w:color w:val="auto"/>
              </w:rPr>
              <w:t>Income taxes payable</w:t>
            </w:r>
          </w:p>
        </w:tc>
        <w:tc>
          <w:tcPr>
            <w:tcW w:w="100" w:type="dxa"/>
            <w:vAlign w:val="bottom"/>
          </w:tcPr>
          <w:p>
            <w:pPr>
              <w:spacing w:after="0"/>
              <w:rPr>
                <w:sz w:val="18"/>
                <w:szCs w:val="18"/>
                <w:color w:val="auto"/>
              </w:rPr>
            </w:pPr>
          </w:p>
        </w:tc>
        <w:tc>
          <w:tcPr>
            <w:tcW w:w="1300" w:type="dxa"/>
            <w:vAlign w:val="bottom"/>
            <w:gridSpan w:val="2"/>
          </w:tcPr>
          <w:p>
            <w:pPr>
              <w:jc w:val="right"/>
              <w:ind w:right="260"/>
              <w:spacing w:after="0"/>
              <w:rPr>
                <w:sz w:val="20"/>
                <w:szCs w:val="20"/>
                <w:color w:val="auto"/>
              </w:rPr>
            </w:pPr>
            <w:r>
              <w:rPr>
                <w:rFonts w:ascii="Arial" w:cs="Arial" w:eastAsia="Arial" w:hAnsi="Arial"/>
                <w:sz w:val="18"/>
                <w:szCs w:val="18"/>
                <w:color w:val="auto"/>
              </w:rPr>
              <w:t>4,303</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2,440</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460" w:type="dxa"/>
            <w:vAlign w:val="bottom"/>
            <w:shd w:val="clear" w:color="auto" w:fill="D6F3E8"/>
          </w:tcPr>
          <w:p>
            <w:pPr>
              <w:ind w:left="320"/>
              <w:spacing w:after="0"/>
              <w:rPr>
                <w:sz w:val="20"/>
                <w:szCs w:val="20"/>
                <w:color w:val="auto"/>
              </w:rPr>
            </w:pPr>
            <w:r>
              <w:rPr>
                <w:rFonts w:ascii="Arial" w:cs="Arial" w:eastAsia="Arial" w:hAnsi="Arial"/>
                <w:sz w:val="18"/>
                <w:szCs w:val="18"/>
                <w:color w:val="auto"/>
              </w:rPr>
              <w:t>Postretirement and deferred compensation benefits</w:t>
            </w:r>
          </w:p>
        </w:tc>
        <w:tc>
          <w:tcPr>
            <w:tcW w:w="100" w:type="dxa"/>
            <w:vAlign w:val="bottom"/>
            <w:shd w:val="clear" w:color="auto" w:fill="D6F3E8"/>
          </w:tcPr>
          <w:p>
            <w:pPr>
              <w:spacing w:after="0"/>
              <w:rPr>
                <w:sz w:val="19"/>
                <w:szCs w:val="19"/>
                <w:color w:val="auto"/>
              </w:rPr>
            </w:pPr>
          </w:p>
        </w:tc>
        <w:tc>
          <w:tcPr>
            <w:tcW w:w="1300" w:type="dxa"/>
            <w:vAlign w:val="bottom"/>
            <w:gridSpan w:val="2"/>
            <w:shd w:val="clear" w:color="auto" w:fill="D6F3E8"/>
          </w:tcPr>
          <w:p>
            <w:pPr>
              <w:jc w:val="right"/>
              <w:ind w:right="200"/>
              <w:spacing w:after="0"/>
              <w:rPr>
                <w:sz w:val="20"/>
                <w:szCs w:val="20"/>
                <w:color w:val="auto"/>
              </w:rPr>
            </w:pPr>
            <w:r>
              <w:rPr>
                <w:rFonts w:ascii="Arial" w:cs="Arial" w:eastAsia="Arial" w:hAnsi="Arial"/>
                <w:sz w:val="18"/>
                <w:szCs w:val="18"/>
                <w:color w:val="auto"/>
              </w:rPr>
              <w:t>(344)</w:t>
            </w:r>
          </w:p>
        </w:tc>
        <w:tc>
          <w:tcPr>
            <w:tcW w:w="180" w:type="dxa"/>
            <w:vAlign w:val="bottom"/>
            <w:shd w:val="clear" w:color="auto" w:fill="D6F3E8"/>
          </w:tcPr>
          <w:p>
            <w:pPr>
              <w:spacing w:after="0"/>
              <w:rPr>
                <w:sz w:val="19"/>
                <w:szCs w:val="19"/>
                <w:color w:val="auto"/>
              </w:rPr>
            </w:pPr>
          </w:p>
        </w:tc>
        <w:tc>
          <w:tcPr>
            <w:tcW w:w="100" w:type="dxa"/>
            <w:vAlign w:val="bottom"/>
            <w:shd w:val="clear" w:color="auto" w:fill="D6F3E8"/>
          </w:tcPr>
          <w:p>
            <w:pPr>
              <w:spacing w:after="0"/>
              <w:rPr>
                <w:sz w:val="19"/>
                <w:szCs w:val="19"/>
                <w:color w:val="auto"/>
              </w:rPr>
            </w:pPr>
          </w:p>
        </w:tc>
        <w:tc>
          <w:tcPr>
            <w:tcW w:w="1260" w:type="dxa"/>
            <w:vAlign w:val="bottom"/>
            <w:gridSpan w:val="2"/>
            <w:shd w:val="clear" w:color="auto" w:fill="D6F3E8"/>
          </w:tcPr>
          <w:p>
            <w:pPr>
              <w:jc w:val="right"/>
              <w:ind w:right="160"/>
              <w:spacing w:after="0"/>
              <w:rPr>
                <w:sz w:val="20"/>
                <w:szCs w:val="20"/>
                <w:color w:val="auto"/>
              </w:rPr>
            </w:pPr>
            <w:r>
              <w:rPr>
                <w:rFonts w:ascii="Arial" w:cs="Arial" w:eastAsia="Arial" w:hAnsi="Arial"/>
                <w:sz w:val="18"/>
                <w:szCs w:val="18"/>
                <w:color w:val="auto"/>
              </w:rPr>
              <w:t>(254)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460" w:type="dxa"/>
            <w:vAlign w:val="bottom"/>
          </w:tcPr>
          <w:p>
            <w:pPr>
              <w:ind w:left="140"/>
              <w:spacing w:after="0"/>
              <w:rPr>
                <w:sz w:val="20"/>
                <w:szCs w:val="20"/>
                <w:color w:val="auto"/>
              </w:rPr>
            </w:pPr>
            <w:r>
              <w:rPr>
                <w:rFonts w:ascii="Arial" w:cs="Arial" w:eastAsia="Arial" w:hAnsi="Arial"/>
                <w:sz w:val="18"/>
                <w:szCs w:val="18"/>
                <w:color w:val="auto"/>
              </w:rPr>
              <w:t>Net cash provided by (used in) operating activities</w:t>
            </w:r>
          </w:p>
        </w:tc>
        <w:tc>
          <w:tcPr>
            <w:tcW w:w="10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7,587</w:t>
            </w:r>
          </w:p>
        </w:tc>
        <w:tc>
          <w:tcPr>
            <w:tcW w:w="260" w:type="dxa"/>
            <w:vAlign w:val="bottom"/>
            <w:tcBorders>
              <w:top w:val="single" w:sz="8" w:color="D6F3E8"/>
            </w:tcBorders>
          </w:tcPr>
          <w:p>
            <w:pPr>
              <w:spacing w:after="0"/>
              <w:rPr>
                <w:sz w:val="18"/>
                <w:szCs w:val="18"/>
                <w:color w:val="auto"/>
              </w:rPr>
            </w:pPr>
          </w:p>
        </w:tc>
        <w:tc>
          <w:tcPr>
            <w:tcW w:w="180" w:type="dxa"/>
            <w:vAlign w:val="bottom"/>
            <w:tcBorders>
              <w:top w:val="single" w:sz="8" w:color="D6F3E8"/>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(11,577)</w:t>
            </w:r>
          </w:p>
        </w:tc>
        <w:tc>
          <w:tcPr>
            <w:tcW w:w="220" w:type="dxa"/>
            <w:vAlign w:val="bottom"/>
            <w:tcBorders>
              <w:top w:val="single" w:sz="8" w:color="D6F3E8"/>
            </w:tcBorders>
          </w:tcPr>
          <w:p>
            <w:pPr>
              <w:spacing w:after="0"/>
              <w:rPr>
                <w:sz w:val="18"/>
                <w:szCs w:val="18"/>
                <w:color w:val="auto"/>
              </w:rPr>
            </w:pPr>
          </w:p>
        </w:tc>
        <w:tc>
          <w:tcPr>
            <w:tcW w:w="0" w:type="dxa"/>
            <w:vAlign w:val="bottom"/>
          </w:tcPr>
          <w:p>
            <w:pPr>
              <w:spacing w:after="0"/>
              <w:rPr>
                <w:sz w:val="1"/>
                <w:szCs w:val="1"/>
                <w:color w:val="auto"/>
              </w:rPr>
            </w:pPr>
          </w:p>
        </w:tc>
      </w:tr>
      <w:tr>
        <w:trPr>
          <w:trHeight w:val="357"/>
        </w:trPr>
        <w:tc>
          <w:tcPr>
            <w:tcW w:w="8480" w:type="dxa"/>
            <w:vAlign w:val="bottom"/>
            <w:gridSpan w:val="2"/>
          </w:tcPr>
          <w:p>
            <w:pPr>
              <w:spacing w:after="0"/>
              <w:rPr>
                <w:sz w:val="20"/>
                <w:szCs w:val="20"/>
                <w:color w:val="auto"/>
              </w:rPr>
            </w:pPr>
            <w:r>
              <w:rPr>
                <w:rFonts w:ascii="Arial" w:cs="Arial" w:eastAsia="Arial" w:hAnsi="Arial"/>
                <w:sz w:val="18"/>
                <w:szCs w:val="18"/>
                <w:b w:val="1"/>
                <w:bCs w:val="1"/>
                <w:color w:val="auto"/>
              </w:rPr>
              <w:t>Investing activities:</w:t>
            </w: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460" w:type="dxa"/>
            <w:vAlign w:val="bottom"/>
            <w:shd w:val="clear" w:color="auto" w:fill="D6F3E8"/>
          </w:tcPr>
          <w:p>
            <w:pPr>
              <w:ind w:left="140"/>
              <w:spacing w:after="0"/>
              <w:rPr>
                <w:sz w:val="20"/>
                <w:szCs w:val="20"/>
                <w:color w:val="auto"/>
              </w:rPr>
            </w:pPr>
            <w:r>
              <w:rPr>
                <w:rFonts w:ascii="Arial" w:cs="Arial" w:eastAsia="Arial" w:hAnsi="Arial"/>
                <w:sz w:val="18"/>
                <w:szCs w:val="18"/>
                <w:color w:val="auto"/>
              </w:rPr>
              <w:t>Purchases of short-term investments</w:t>
            </w:r>
          </w:p>
        </w:tc>
        <w:tc>
          <w:tcPr>
            <w:tcW w:w="100" w:type="dxa"/>
            <w:vAlign w:val="bottom"/>
            <w:shd w:val="clear" w:color="auto" w:fill="D6F3E8"/>
          </w:tcPr>
          <w:p>
            <w:pPr>
              <w:spacing w:after="0"/>
              <w:rPr>
                <w:sz w:val="18"/>
                <w:szCs w:val="18"/>
                <w:color w:val="auto"/>
              </w:rPr>
            </w:pPr>
          </w:p>
        </w:tc>
        <w:tc>
          <w:tcPr>
            <w:tcW w:w="1300" w:type="dxa"/>
            <w:vAlign w:val="bottom"/>
            <w:gridSpan w:val="2"/>
            <w:shd w:val="clear" w:color="auto" w:fill="D6F3E8"/>
          </w:tcPr>
          <w:p>
            <w:pPr>
              <w:jc w:val="right"/>
              <w:ind w:right="200"/>
              <w:spacing w:after="0"/>
              <w:rPr>
                <w:sz w:val="20"/>
                <w:szCs w:val="20"/>
                <w:color w:val="auto"/>
              </w:rPr>
            </w:pPr>
            <w:r>
              <w:rPr>
                <w:rFonts w:ascii="Arial" w:cs="Arial" w:eastAsia="Arial" w:hAnsi="Arial"/>
                <w:sz w:val="18"/>
                <w:szCs w:val="18"/>
                <w:color w:val="auto"/>
              </w:rPr>
              <w:t>(150,072)</w:t>
            </w:r>
          </w:p>
        </w:tc>
        <w:tc>
          <w:tcPr>
            <w:tcW w:w="180" w:type="dxa"/>
            <w:vAlign w:val="bottom"/>
            <w:shd w:val="clear" w:color="auto" w:fill="D6F3E8"/>
          </w:tcPr>
          <w:p>
            <w:pPr>
              <w:spacing w:after="0"/>
              <w:rPr>
                <w:sz w:val="18"/>
                <w:szCs w:val="18"/>
                <w:color w:val="auto"/>
              </w:rPr>
            </w:pPr>
          </w:p>
        </w:tc>
        <w:tc>
          <w:tcPr>
            <w:tcW w:w="100" w:type="dxa"/>
            <w:vAlign w:val="bottom"/>
            <w:shd w:val="clear" w:color="auto" w:fill="D6F3E8"/>
          </w:tcPr>
          <w:p>
            <w:pPr>
              <w:spacing w:after="0"/>
              <w:rPr>
                <w:sz w:val="18"/>
                <w:szCs w:val="18"/>
                <w:color w:val="auto"/>
              </w:rPr>
            </w:pPr>
          </w:p>
        </w:tc>
        <w:tc>
          <w:tcPr>
            <w:tcW w:w="1260" w:type="dxa"/>
            <w:vAlign w:val="bottom"/>
            <w:gridSpan w:val="2"/>
            <w:shd w:val="clear" w:color="auto" w:fill="D6F3E8"/>
          </w:tcPr>
          <w:p>
            <w:pPr>
              <w:jc w:val="right"/>
              <w:ind w:right="160"/>
              <w:spacing w:after="0"/>
              <w:rPr>
                <w:sz w:val="20"/>
                <w:szCs w:val="20"/>
                <w:color w:val="auto"/>
              </w:rPr>
            </w:pPr>
            <w:r>
              <w:rPr>
                <w:rFonts w:ascii="Arial" w:cs="Arial" w:eastAsia="Arial" w:hAnsi="Arial"/>
                <w:sz w:val="18"/>
                <w:szCs w:val="18"/>
                <w:color w:val="auto"/>
              </w:rPr>
              <w:t>(80,449)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tcPr>
          <w:p>
            <w:pPr>
              <w:ind w:left="140"/>
              <w:spacing w:after="0"/>
              <w:rPr>
                <w:sz w:val="20"/>
                <w:szCs w:val="20"/>
                <w:color w:val="auto"/>
              </w:rPr>
            </w:pPr>
            <w:r>
              <w:rPr>
                <w:rFonts w:ascii="Arial" w:cs="Arial" w:eastAsia="Arial" w:hAnsi="Arial"/>
                <w:sz w:val="18"/>
                <w:szCs w:val="18"/>
                <w:color w:val="auto"/>
              </w:rPr>
              <w:t>Proceeds from the sale or maturity of short-term investments</w:t>
            </w:r>
          </w:p>
        </w:tc>
        <w:tc>
          <w:tcPr>
            <w:tcW w:w="100" w:type="dxa"/>
            <w:vAlign w:val="bottom"/>
          </w:tcPr>
          <w:p>
            <w:pPr>
              <w:spacing w:after="0"/>
              <w:rPr>
                <w:sz w:val="18"/>
                <w:szCs w:val="18"/>
                <w:color w:val="auto"/>
              </w:rPr>
            </w:pPr>
          </w:p>
        </w:tc>
        <w:tc>
          <w:tcPr>
            <w:tcW w:w="1300" w:type="dxa"/>
            <w:vAlign w:val="bottom"/>
            <w:gridSpan w:val="2"/>
          </w:tcPr>
          <w:p>
            <w:pPr>
              <w:jc w:val="right"/>
              <w:ind w:right="260"/>
              <w:spacing w:after="0"/>
              <w:rPr>
                <w:sz w:val="20"/>
                <w:szCs w:val="20"/>
                <w:color w:val="auto"/>
              </w:rPr>
            </w:pPr>
            <w:r>
              <w:rPr>
                <w:rFonts w:ascii="Arial" w:cs="Arial" w:eastAsia="Arial" w:hAnsi="Arial"/>
                <w:sz w:val="18"/>
                <w:szCs w:val="18"/>
                <w:color w:val="auto"/>
              </w:rPr>
              <w:t>163,375</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80,449</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shd w:val="clear" w:color="auto" w:fill="D6F3E8"/>
          </w:tcPr>
          <w:p>
            <w:pPr>
              <w:ind w:left="140"/>
              <w:spacing w:after="0"/>
              <w:rPr>
                <w:sz w:val="20"/>
                <w:szCs w:val="20"/>
                <w:color w:val="auto"/>
              </w:rPr>
            </w:pPr>
            <w:r>
              <w:rPr>
                <w:rFonts w:ascii="Arial" w:cs="Arial" w:eastAsia="Arial" w:hAnsi="Arial"/>
                <w:sz w:val="18"/>
                <w:szCs w:val="18"/>
                <w:color w:val="auto"/>
              </w:rPr>
              <w:t>Purchases of property and equipment</w:t>
            </w:r>
          </w:p>
        </w:tc>
        <w:tc>
          <w:tcPr>
            <w:tcW w:w="100" w:type="dxa"/>
            <w:vAlign w:val="bottom"/>
            <w:shd w:val="clear" w:color="auto" w:fill="D6F3E8"/>
          </w:tcPr>
          <w:p>
            <w:pPr>
              <w:spacing w:after="0"/>
              <w:rPr>
                <w:sz w:val="18"/>
                <w:szCs w:val="18"/>
                <w:color w:val="auto"/>
              </w:rPr>
            </w:pPr>
          </w:p>
        </w:tc>
        <w:tc>
          <w:tcPr>
            <w:tcW w:w="1300" w:type="dxa"/>
            <w:vAlign w:val="bottom"/>
            <w:gridSpan w:val="2"/>
            <w:shd w:val="clear" w:color="auto" w:fill="D6F3E8"/>
          </w:tcPr>
          <w:p>
            <w:pPr>
              <w:jc w:val="right"/>
              <w:ind w:right="200"/>
              <w:spacing w:after="0"/>
              <w:rPr>
                <w:sz w:val="20"/>
                <w:szCs w:val="20"/>
                <w:color w:val="auto"/>
              </w:rPr>
            </w:pPr>
            <w:r>
              <w:rPr>
                <w:rFonts w:ascii="Arial" w:cs="Arial" w:eastAsia="Arial" w:hAnsi="Arial"/>
                <w:sz w:val="18"/>
                <w:szCs w:val="18"/>
                <w:color w:val="auto"/>
              </w:rPr>
              <w:t>(1,505)</w:t>
            </w:r>
          </w:p>
        </w:tc>
        <w:tc>
          <w:tcPr>
            <w:tcW w:w="180" w:type="dxa"/>
            <w:vAlign w:val="bottom"/>
            <w:shd w:val="clear" w:color="auto" w:fill="D6F3E8"/>
          </w:tcPr>
          <w:p>
            <w:pPr>
              <w:spacing w:after="0"/>
              <w:rPr>
                <w:sz w:val="18"/>
                <w:szCs w:val="18"/>
                <w:color w:val="auto"/>
              </w:rPr>
            </w:pPr>
          </w:p>
        </w:tc>
        <w:tc>
          <w:tcPr>
            <w:tcW w:w="100" w:type="dxa"/>
            <w:vAlign w:val="bottom"/>
            <w:shd w:val="clear" w:color="auto" w:fill="D6F3E8"/>
          </w:tcPr>
          <w:p>
            <w:pPr>
              <w:spacing w:after="0"/>
              <w:rPr>
                <w:sz w:val="18"/>
                <w:szCs w:val="18"/>
                <w:color w:val="auto"/>
              </w:rPr>
            </w:pPr>
          </w:p>
        </w:tc>
        <w:tc>
          <w:tcPr>
            <w:tcW w:w="1260" w:type="dxa"/>
            <w:vAlign w:val="bottom"/>
            <w:gridSpan w:val="2"/>
            <w:shd w:val="clear" w:color="auto" w:fill="D6F3E8"/>
          </w:tcPr>
          <w:p>
            <w:pPr>
              <w:jc w:val="right"/>
              <w:ind w:right="160"/>
              <w:spacing w:after="0"/>
              <w:rPr>
                <w:sz w:val="20"/>
                <w:szCs w:val="20"/>
                <w:color w:val="auto"/>
              </w:rPr>
            </w:pPr>
            <w:r>
              <w:rPr>
                <w:rFonts w:ascii="Arial" w:cs="Arial" w:eastAsia="Arial" w:hAnsi="Arial"/>
                <w:sz w:val="18"/>
                <w:szCs w:val="18"/>
                <w:color w:val="auto"/>
              </w:rPr>
              <w:t>(1,176)</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460" w:type="dxa"/>
            <w:vAlign w:val="bottom"/>
          </w:tcPr>
          <w:p>
            <w:pPr>
              <w:ind w:left="140"/>
              <w:spacing w:after="0"/>
              <w:rPr>
                <w:sz w:val="20"/>
                <w:szCs w:val="20"/>
                <w:color w:val="auto"/>
              </w:rPr>
            </w:pPr>
            <w:r>
              <w:rPr>
                <w:rFonts w:ascii="Arial" w:cs="Arial" w:eastAsia="Arial" w:hAnsi="Arial"/>
                <w:sz w:val="18"/>
                <w:szCs w:val="18"/>
                <w:color w:val="auto"/>
              </w:rPr>
              <w:t>Other</w:t>
            </w:r>
          </w:p>
        </w:tc>
        <w:tc>
          <w:tcPr>
            <w:tcW w:w="100" w:type="dxa"/>
            <w:vAlign w:val="bottom"/>
          </w:tcPr>
          <w:p>
            <w:pPr>
              <w:spacing w:after="0"/>
              <w:rPr>
                <w:sz w:val="19"/>
                <w:szCs w:val="19"/>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(431)</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564</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8460" w:type="dxa"/>
            <w:vAlign w:val="bottom"/>
            <w:tcBorders>
              <w:top w:val="single" w:sz="8" w:color="D6F3E8"/>
            </w:tcBorders>
            <w:shd w:val="clear" w:color="auto" w:fill="D6F3E8"/>
          </w:tcPr>
          <w:p>
            <w:pPr>
              <w:spacing w:after="0"/>
              <w:rPr>
                <w:sz w:val="20"/>
                <w:szCs w:val="20"/>
                <w:color w:val="auto"/>
              </w:rPr>
            </w:pPr>
            <w:r>
              <w:rPr>
                <w:rFonts w:ascii="Arial" w:cs="Arial" w:eastAsia="Arial" w:hAnsi="Arial"/>
                <w:sz w:val="18"/>
                <w:szCs w:val="18"/>
                <w:color w:val="auto"/>
              </w:rPr>
              <w:t>Net cash provided by (used in) investing activities</w:t>
            </w:r>
          </w:p>
        </w:tc>
        <w:tc>
          <w:tcPr>
            <w:tcW w:w="100" w:type="dxa"/>
            <w:vAlign w:val="bottom"/>
            <w:tcBorders>
              <w:top w:val="single" w:sz="8" w:color="auto"/>
              <w:bottom w:val="single" w:sz="8" w:color="auto"/>
            </w:tcBorders>
            <w:shd w:val="clear" w:color="auto" w:fill="D6F3E8"/>
          </w:tcPr>
          <w:p>
            <w:pPr>
              <w:spacing w:after="0"/>
              <w:rPr>
                <w:sz w:val="18"/>
                <w:szCs w:val="18"/>
                <w:color w:val="auto"/>
              </w:rPr>
            </w:pPr>
          </w:p>
        </w:tc>
        <w:tc>
          <w:tcPr>
            <w:tcW w:w="1040" w:type="dxa"/>
            <w:vAlign w:val="bottom"/>
            <w:tcBorders>
              <w:top w:val="single" w:sz="8" w:color="auto"/>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11,367</w:t>
            </w:r>
          </w:p>
        </w:tc>
        <w:tc>
          <w:tcPr>
            <w:tcW w:w="260" w:type="dxa"/>
            <w:vAlign w:val="bottom"/>
            <w:tcBorders>
              <w:top w:val="single" w:sz="8" w:color="D6F3E8"/>
            </w:tcBorders>
            <w:shd w:val="clear" w:color="auto" w:fill="D6F3E8"/>
          </w:tcPr>
          <w:p>
            <w:pPr>
              <w:spacing w:after="0"/>
              <w:rPr>
                <w:sz w:val="18"/>
                <w:szCs w:val="18"/>
                <w:color w:val="auto"/>
              </w:rPr>
            </w:pPr>
          </w:p>
        </w:tc>
        <w:tc>
          <w:tcPr>
            <w:tcW w:w="180" w:type="dxa"/>
            <w:vAlign w:val="bottom"/>
            <w:tcBorders>
              <w:top w:val="single" w:sz="8" w:color="D6F3E8"/>
            </w:tcBorders>
            <w:shd w:val="clear" w:color="auto" w:fill="D6F3E8"/>
          </w:tcPr>
          <w:p>
            <w:pPr>
              <w:spacing w:after="0"/>
              <w:rPr>
                <w:sz w:val="18"/>
                <w:szCs w:val="18"/>
                <w:color w:val="auto"/>
              </w:rPr>
            </w:pPr>
          </w:p>
        </w:tc>
        <w:tc>
          <w:tcPr>
            <w:tcW w:w="100" w:type="dxa"/>
            <w:vAlign w:val="bottom"/>
            <w:tcBorders>
              <w:top w:val="single" w:sz="8" w:color="auto"/>
              <w:bottom w:val="single" w:sz="8" w:color="auto"/>
            </w:tcBorders>
            <w:shd w:val="clear" w:color="auto" w:fill="D6F3E8"/>
          </w:tcPr>
          <w:p>
            <w:pPr>
              <w:spacing w:after="0"/>
              <w:rPr>
                <w:sz w:val="18"/>
                <w:szCs w:val="18"/>
                <w:color w:val="auto"/>
              </w:rPr>
            </w:pPr>
          </w:p>
        </w:tc>
        <w:tc>
          <w:tcPr>
            <w:tcW w:w="1040" w:type="dxa"/>
            <w:vAlign w:val="bottom"/>
            <w:tcBorders>
              <w:top w:val="single" w:sz="8" w:color="auto"/>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(612)</w:t>
            </w:r>
          </w:p>
        </w:tc>
        <w:tc>
          <w:tcPr>
            <w:tcW w:w="220" w:type="dxa"/>
            <w:vAlign w:val="bottom"/>
            <w:tcBorders>
              <w:top w:val="single" w:sz="8" w:color="D6F3E8"/>
              <w:bottom w:val="single" w:sz="8" w:color="D6F3E8"/>
            </w:tcBorders>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350"/>
        </w:trPr>
        <w:tc>
          <w:tcPr>
            <w:tcW w:w="8480" w:type="dxa"/>
            <w:vAlign w:val="bottom"/>
            <w:gridSpan w:val="2"/>
          </w:tcPr>
          <w:p>
            <w:pPr>
              <w:spacing w:after="0"/>
              <w:rPr>
                <w:sz w:val="20"/>
                <w:szCs w:val="20"/>
                <w:color w:val="auto"/>
              </w:rPr>
            </w:pPr>
            <w:r>
              <w:rPr>
                <w:rFonts w:ascii="Arial" w:cs="Arial" w:eastAsia="Arial" w:hAnsi="Arial"/>
                <w:sz w:val="18"/>
                <w:szCs w:val="18"/>
                <w:b w:val="1"/>
                <w:bCs w:val="1"/>
                <w:color w:val="auto"/>
              </w:rPr>
              <w:t>Financing activities:</w:t>
            </w: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460" w:type="dxa"/>
            <w:vAlign w:val="bottom"/>
          </w:tcPr>
          <w:p>
            <w:pPr>
              <w:ind w:left="140"/>
              <w:spacing w:after="0"/>
              <w:rPr>
                <w:sz w:val="20"/>
                <w:szCs w:val="20"/>
                <w:color w:val="auto"/>
              </w:rPr>
            </w:pPr>
            <w:r>
              <w:rPr>
                <w:rFonts w:ascii="Arial" w:cs="Arial" w:eastAsia="Arial" w:hAnsi="Arial"/>
                <w:sz w:val="18"/>
                <w:szCs w:val="18"/>
                <w:color w:val="auto"/>
              </w:rPr>
              <w:t>Payments for purchase of common stock</w:t>
            </w:r>
          </w:p>
        </w:tc>
        <w:tc>
          <w:tcPr>
            <w:tcW w:w="100" w:type="dxa"/>
            <w:vAlign w:val="bottom"/>
          </w:tcPr>
          <w:p>
            <w:pPr>
              <w:spacing w:after="0"/>
              <w:rPr>
                <w:sz w:val="19"/>
                <w:szCs w:val="19"/>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(17,519)</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460" w:type="dxa"/>
            <w:vAlign w:val="bottom"/>
            <w:shd w:val="clear" w:color="auto" w:fill="D6F3E8"/>
          </w:tcPr>
          <w:p>
            <w:pPr>
              <w:ind w:left="140"/>
              <w:spacing w:after="0"/>
              <w:rPr>
                <w:sz w:val="20"/>
                <w:szCs w:val="20"/>
                <w:color w:val="auto"/>
              </w:rPr>
            </w:pPr>
            <w:r>
              <w:rPr>
                <w:rFonts w:ascii="Arial" w:cs="Arial" w:eastAsia="Arial" w:hAnsi="Arial"/>
                <w:sz w:val="18"/>
                <w:szCs w:val="18"/>
                <w:color w:val="auto"/>
              </w:rPr>
              <w:t>Payments of cash dividends</w:t>
            </w:r>
          </w:p>
        </w:tc>
        <w:tc>
          <w:tcPr>
            <w:tcW w:w="100" w:type="dxa"/>
            <w:vAlign w:val="bottom"/>
            <w:shd w:val="clear" w:color="auto" w:fill="D6F3E8"/>
          </w:tcPr>
          <w:p>
            <w:pPr>
              <w:spacing w:after="0"/>
              <w:rPr>
                <w:sz w:val="18"/>
                <w:szCs w:val="18"/>
                <w:color w:val="auto"/>
              </w:rPr>
            </w:pPr>
          </w:p>
        </w:tc>
        <w:tc>
          <w:tcPr>
            <w:tcW w:w="1300" w:type="dxa"/>
            <w:vAlign w:val="bottom"/>
            <w:gridSpan w:val="2"/>
            <w:shd w:val="clear" w:color="auto" w:fill="D6F3E8"/>
          </w:tcPr>
          <w:p>
            <w:pPr>
              <w:jc w:val="right"/>
              <w:ind w:right="200"/>
              <w:spacing w:after="0"/>
              <w:rPr>
                <w:sz w:val="20"/>
                <w:szCs w:val="20"/>
                <w:color w:val="auto"/>
              </w:rPr>
            </w:pPr>
            <w:r>
              <w:rPr>
                <w:rFonts w:ascii="Arial" w:cs="Arial" w:eastAsia="Arial" w:hAnsi="Arial"/>
                <w:sz w:val="18"/>
                <w:szCs w:val="18"/>
                <w:color w:val="auto"/>
              </w:rPr>
              <w:t>(3,546)</w:t>
            </w:r>
          </w:p>
        </w:tc>
        <w:tc>
          <w:tcPr>
            <w:tcW w:w="180" w:type="dxa"/>
            <w:vAlign w:val="bottom"/>
            <w:shd w:val="clear" w:color="auto" w:fill="D6F3E8"/>
          </w:tcPr>
          <w:p>
            <w:pPr>
              <w:spacing w:after="0"/>
              <w:rPr>
                <w:sz w:val="18"/>
                <w:szCs w:val="18"/>
                <w:color w:val="auto"/>
              </w:rPr>
            </w:pPr>
          </w:p>
        </w:tc>
        <w:tc>
          <w:tcPr>
            <w:tcW w:w="100" w:type="dxa"/>
            <w:vAlign w:val="bottom"/>
            <w:shd w:val="clear" w:color="auto" w:fill="D6F3E8"/>
          </w:tcPr>
          <w:p>
            <w:pPr>
              <w:spacing w:after="0"/>
              <w:rPr>
                <w:sz w:val="18"/>
                <w:szCs w:val="18"/>
                <w:color w:val="auto"/>
              </w:rPr>
            </w:pPr>
          </w:p>
        </w:tc>
        <w:tc>
          <w:tcPr>
            <w:tcW w:w="1260" w:type="dxa"/>
            <w:vAlign w:val="bottom"/>
            <w:gridSpan w:val="2"/>
            <w:shd w:val="clear" w:color="auto" w:fill="D6F3E8"/>
          </w:tcPr>
          <w:p>
            <w:pPr>
              <w:jc w:val="right"/>
              <w:ind w:right="160"/>
              <w:spacing w:after="0"/>
              <w:rPr>
                <w:sz w:val="20"/>
                <w:szCs w:val="20"/>
                <w:color w:val="auto"/>
              </w:rPr>
            </w:pPr>
            <w:r>
              <w:rPr>
                <w:rFonts w:ascii="Arial" w:cs="Arial" w:eastAsia="Arial" w:hAnsi="Arial"/>
                <w:sz w:val="18"/>
                <w:szCs w:val="18"/>
                <w:color w:val="auto"/>
              </w:rPr>
              <w:t>(3,114)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tcPr>
          <w:p>
            <w:pPr>
              <w:ind w:left="140"/>
              <w:spacing w:after="0"/>
              <w:rPr>
                <w:sz w:val="20"/>
                <w:szCs w:val="20"/>
                <w:color w:val="auto"/>
              </w:rPr>
            </w:pPr>
            <w:r>
              <w:rPr>
                <w:rFonts w:ascii="Arial" w:cs="Arial" w:eastAsia="Arial" w:hAnsi="Arial"/>
                <w:sz w:val="18"/>
                <w:szCs w:val="18"/>
                <w:color w:val="auto"/>
              </w:rPr>
              <w:t>Proceeds from issuance of treasury stock</w:t>
            </w:r>
          </w:p>
        </w:tc>
        <w:tc>
          <w:tcPr>
            <w:tcW w:w="100" w:type="dxa"/>
            <w:vAlign w:val="bottom"/>
          </w:tcPr>
          <w:p>
            <w:pPr>
              <w:spacing w:after="0"/>
              <w:rPr>
                <w:sz w:val="18"/>
                <w:szCs w:val="18"/>
                <w:color w:val="auto"/>
              </w:rPr>
            </w:pPr>
          </w:p>
        </w:tc>
        <w:tc>
          <w:tcPr>
            <w:tcW w:w="1300" w:type="dxa"/>
            <w:vAlign w:val="bottom"/>
            <w:gridSpan w:val="2"/>
          </w:tcPr>
          <w:p>
            <w:pPr>
              <w:jc w:val="right"/>
              <w:ind w:right="260"/>
              <w:spacing w:after="0"/>
              <w:rPr>
                <w:sz w:val="20"/>
                <w:szCs w:val="20"/>
                <w:color w:val="auto"/>
              </w:rPr>
            </w:pPr>
            <w:r>
              <w:rPr>
                <w:rFonts w:ascii="Arial" w:cs="Arial" w:eastAsia="Arial" w:hAnsi="Arial"/>
                <w:sz w:val="18"/>
                <w:szCs w:val="18"/>
                <w:color w:val="auto"/>
              </w:rPr>
              <w:t>58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2,798</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460" w:type="dxa"/>
            <w:vAlign w:val="bottom"/>
            <w:shd w:val="clear" w:color="auto" w:fill="D6F3E8"/>
          </w:tcPr>
          <w:p>
            <w:pPr>
              <w:ind w:left="140"/>
              <w:spacing w:after="0"/>
              <w:rPr>
                <w:sz w:val="20"/>
                <w:szCs w:val="20"/>
                <w:color w:val="auto"/>
              </w:rPr>
            </w:pPr>
            <w:r>
              <w:rPr>
                <w:rFonts w:ascii="Arial" w:cs="Arial" w:eastAsia="Arial" w:hAnsi="Arial"/>
                <w:sz w:val="18"/>
                <w:szCs w:val="18"/>
                <w:color w:val="auto"/>
              </w:rPr>
              <w:t>Excess tax benefit from stock-based compensation</w:t>
            </w:r>
          </w:p>
        </w:tc>
        <w:tc>
          <w:tcPr>
            <w:tcW w:w="100" w:type="dxa"/>
            <w:vAlign w:val="bottom"/>
            <w:shd w:val="clear" w:color="auto" w:fill="D6F3E8"/>
          </w:tcPr>
          <w:p>
            <w:pPr>
              <w:spacing w:after="0"/>
              <w:rPr>
                <w:sz w:val="19"/>
                <w:szCs w:val="19"/>
                <w:color w:val="auto"/>
              </w:rPr>
            </w:pPr>
          </w:p>
        </w:tc>
        <w:tc>
          <w:tcPr>
            <w:tcW w:w="1300" w:type="dxa"/>
            <w:vAlign w:val="bottom"/>
            <w:gridSpan w:val="2"/>
            <w:shd w:val="clear" w:color="auto" w:fill="D6F3E8"/>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shd w:val="clear" w:color="auto" w:fill="D6F3E8"/>
          </w:tcPr>
          <w:p>
            <w:pPr>
              <w:spacing w:after="0"/>
              <w:rPr>
                <w:sz w:val="19"/>
                <w:szCs w:val="19"/>
                <w:color w:val="auto"/>
              </w:rPr>
            </w:pPr>
          </w:p>
        </w:tc>
        <w:tc>
          <w:tcPr>
            <w:tcW w:w="100" w:type="dxa"/>
            <w:vAlign w:val="bottom"/>
            <w:shd w:val="clear" w:color="auto" w:fill="D6F3E8"/>
          </w:tcPr>
          <w:p>
            <w:pPr>
              <w:spacing w:after="0"/>
              <w:rPr>
                <w:sz w:val="19"/>
                <w:szCs w:val="19"/>
                <w:color w:val="auto"/>
              </w:rPr>
            </w:pPr>
          </w:p>
        </w:tc>
        <w:tc>
          <w:tcPr>
            <w:tcW w:w="1040" w:type="dxa"/>
            <w:vAlign w:val="bottom"/>
            <w:shd w:val="clear" w:color="auto" w:fill="D6F3E8"/>
          </w:tcPr>
          <w:p>
            <w:pPr>
              <w:jc w:val="right"/>
              <w:spacing w:after="0"/>
              <w:rPr>
                <w:sz w:val="20"/>
                <w:szCs w:val="20"/>
                <w:color w:val="auto"/>
              </w:rPr>
            </w:pPr>
            <w:r>
              <w:rPr>
                <w:rFonts w:ascii="Arial" w:cs="Arial" w:eastAsia="Arial" w:hAnsi="Arial"/>
                <w:sz w:val="18"/>
                <w:szCs w:val="18"/>
                <w:color w:val="auto"/>
              </w:rPr>
              <w:t>525</w:t>
            </w:r>
          </w:p>
        </w:tc>
        <w:tc>
          <w:tcPr>
            <w:tcW w:w="220" w:type="dxa"/>
            <w:vAlign w:val="bottom"/>
            <w:shd w:val="clear" w:color="auto" w:fill="D6F3E8"/>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8480" w:type="dxa"/>
            <w:vAlign w:val="bottom"/>
            <w:gridSpan w:val="2"/>
          </w:tcPr>
          <w:p>
            <w:pPr>
              <w:spacing w:after="0"/>
              <w:rPr>
                <w:sz w:val="20"/>
                <w:szCs w:val="20"/>
                <w:color w:val="auto"/>
              </w:rPr>
            </w:pPr>
            <w:r>
              <w:rPr>
                <w:rFonts w:ascii="Arial" w:cs="Arial" w:eastAsia="Arial" w:hAnsi="Arial"/>
                <w:sz w:val="18"/>
                <w:szCs w:val="18"/>
                <w:color w:val="auto"/>
              </w:rPr>
              <w:t>Net cash (used in) provided by financing activities</w:t>
            </w:r>
          </w:p>
        </w:tc>
        <w:tc>
          <w:tcPr>
            <w:tcW w:w="10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(21,007)</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209</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8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60" w:type="dxa"/>
            <w:vAlign w:val="bottom"/>
            <w:shd w:val="clear" w:color="auto" w:fill="D6F3E8"/>
          </w:tcPr>
          <w:p>
            <w:pPr>
              <w:spacing w:after="0"/>
              <w:rPr>
                <w:sz w:val="20"/>
                <w:szCs w:val="20"/>
                <w:color w:val="auto"/>
              </w:rPr>
            </w:pPr>
            <w:r>
              <w:rPr>
                <w:rFonts w:ascii="Arial" w:cs="Arial" w:eastAsia="Arial" w:hAnsi="Arial"/>
                <w:sz w:val="18"/>
                <w:szCs w:val="18"/>
                <w:color w:val="auto"/>
              </w:rPr>
              <w:t>Net decrease in cash and cash equivalents</w:t>
            </w:r>
          </w:p>
        </w:tc>
        <w:tc>
          <w:tcPr>
            <w:tcW w:w="100" w:type="dxa"/>
            <w:vAlign w:val="bottom"/>
            <w:shd w:val="clear" w:color="auto" w:fill="D6F3E8"/>
          </w:tcPr>
          <w:p>
            <w:pPr>
              <w:spacing w:after="0"/>
              <w:rPr>
                <w:sz w:val="18"/>
                <w:szCs w:val="18"/>
                <w:color w:val="auto"/>
              </w:rPr>
            </w:pPr>
          </w:p>
        </w:tc>
        <w:tc>
          <w:tcPr>
            <w:tcW w:w="1300" w:type="dxa"/>
            <w:vAlign w:val="bottom"/>
            <w:gridSpan w:val="2"/>
            <w:shd w:val="clear" w:color="auto" w:fill="D6F3E8"/>
          </w:tcPr>
          <w:p>
            <w:pPr>
              <w:jc w:val="right"/>
              <w:ind w:right="200"/>
              <w:spacing w:after="0"/>
              <w:rPr>
                <w:sz w:val="20"/>
                <w:szCs w:val="20"/>
                <w:color w:val="auto"/>
              </w:rPr>
            </w:pPr>
            <w:r>
              <w:rPr>
                <w:rFonts w:ascii="Arial" w:cs="Arial" w:eastAsia="Arial" w:hAnsi="Arial"/>
                <w:sz w:val="18"/>
                <w:szCs w:val="18"/>
                <w:color w:val="auto"/>
              </w:rPr>
              <w:t>(2,053)</w:t>
            </w:r>
          </w:p>
        </w:tc>
        <w:tc>
          <w:tcPr>
            <w:tcW w:w="180" w:type="dxa"/>
            <w:vAlign w:val="bottom"/>
            <w:shd w:val="clear" w:color="auto" w:fill="D6F3E8"/>
          </w:tcPr>
          <w:p>
            <w:pPr>
              <w:spacing w:after="0"/>
              <w:rPr>
                <w:sz w:val="18"/>
                <w:szCs w:val="18"/>
                <w:color w:val="auto"/>
              </w:rPr>
            </w:pPr>
          </w:p>
        </w:tc>
        <w:tc>
          <w:tcPr>
            <w:tcW w:w="100" w:type="dxa"/>
            <w:vAlign w:val="bottom"/>
            <w:shd w:val="clear" w:color="auto" w:fill="D6F3E8"/>
          </w:tcPr>
          <w:p>
            <w:pPr>
              <w:spacing w:after="0"/>
              <w:rPr>
                <w:sz w:val="18"/>
                <w:szCs w:val="18"/>
                <w:color w:val="auto"/>
              </w:rPr>
            </w:pPr>
          </w:p>
        </w:tc>
        <w:tc>
          <w:tcPr>
            <w:tcW w:w="1260" w:type="dxa"/>
            <w:vAlign w:val="bottom"/>
            <w:gridSpan w:val="2"/>
            <w:shd w:val="clear" w:color="auto" w:fill="D6F3E8"/>
          </w:tcPr>
          <w:p>
            <w:pPr>
              <w:jc w:val="right"/>
              <w:ind w:right="160"/>
              <w:spacing w:after="0"/>
              <w:rPr>
                <w:sz w:val="20"/>
                <w:szCs w:val="20"/>
                <w:color w:val="auto"/>
              </w:rPr>
            </w:pPr>
            <w:r>
              <w:rPr>
                <w:rFonts w:ascii="Arial" w:cs="Arial" w:eastAsia="Arial" w:hAnsi="Arial"/>
                <w:sz w:val="18"/>
                <w:szCs w:val="18"/>
                <w:color w:val="auto"/>
              </w:rPr>
              <w:t>(11,980)</w:t>
            </w:r>
          </w:p>
        </w:tc>
        <w:tc>
          <w:tcPr>
            <w:tcW w:w="0" w:type="dxa"/>
            <w:vAlign w:val="bottom"/>
          </w:tcPr>
          <w:p>
            <w:pPr>
              <w:spacing w:after="0"/>
              <w:rPr>
                <w:sz w:val="1"/>
                <w:szCs w:val="1"/>
                <w:color w:val="auto"/>
              </w:rPr>
            </w:pPr>
          </w:p>
        </w:tc>
      </w:tr>
      <w:tr>
        <w:trPr>
          <w:trHeight w:val="377"/>
        </w:trPr>
        <w:tc>
          <w:tcPr>
            <w:tcW w:w="8480" w:type="dxa"/>
            <w:vAlign w:val="bottom"/>
            <w:gridSpan w:val="2"/>
          </w:tcPr>
          <w:p>
            <w:pPr>
              <w:spacing w:after="0"/>
              <w:rPr>
                <w:sz w:val="20"/>
                <w:szCs w:val="20"/>
                <w:color w:val="auto"/>
              </w:rPr>
            </w:pPr>
            <w:r>
              <w:rPr>
                <w:rFonts w:ascii="Arial" w:cs="Arial" w:eastAsia="Arial" w:hAnsi="Arial"/>
                <w:sz w:val="18"/>
                <w:szCs w:val="18"/>
                <w:color w:val="auto"/>
              </w:rPr>
              <w:t>Cash and cash equivalents at beginning of period</w:t>
            </w:r>
          </w:p>
        </w:tc>
        <w:tc>
          <w:tcPr>
            <w:tcW w:w="100" w:type="dxa"/>
            <w:vAlign w:val="bottom"/>
          </w:tcPr>
          <w:p>
            <w:pPr>
              <w:spacing w:after="0"/>
              <w:rPr>
                <w:sz w:val="24"/>
                <w:szCs w:val="24"/>
                <w:color w:val="auto"/>
              </w:rPr>
            </w:pPr>
          </w:p>
        </w:tc>
        <w:tc>
          <w:tcPr>
            <w:tcW w:w="1300" w:type="dxa"/>
            <w:vAlign w:val="bottom"/>
            <w:gridSpan w:val="2"/>
          </w:tcPr>
          <w:p>
            <w:pPr>
              <w:jc w:val="right"/>
              <w:ind w:right="260"/>
              <w:spacing w:after="0"/>
              <w:rPr>
                <w:sz w:val="20"/>
                <w:szCs w:val="20"/>
                <w:color w:val="auto"/>
              </w:rPr>
            </w:pPr>
            <w:r>
              <w:rPr>
                <w:rFonts w:ascii="Arial" w:cs="Arial" w:eastAsia="Arial" w:hAnsi="Arial"/>
                <w:sz w:val="18"/>
                <w:szCs w:val="18"/>
                <w:color w:val="auto"/>
              </w:rPr>
              <w:t>6,889</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24,934</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3"/>
        </w:trPr>
        <w:tc>
          <w:tcPr>
            <w:tcW w:w="20" w:type="dxa"/>
            <w:vAlign w:val="bottom"/>
            <w:vMerge w:val="restart"/>
          </w:tcPr>
          <w:p>
            <w:pPr>
              <w:spacing w:after="0"/>
              <w:rPr>
                <w:sz w:val="12"/>
                <w:szCs w:val="12"/>
                <w:color w:val="auto"/>
              </w:rPr>
            </w:pPr>
          </w:p>
        </w:tc>
        <w:tc>
          <w:tcPr>
            <w:tcW w:w="84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60" w:type="dxa"/>
            <w:vAlign w:val="bottom"/>
            <w:shd w:val="clear" w:color="auto" w:fill="D6F3E8"/>
          </w:tcPr>
          <w:p>
            <w:pPr>
              <w:spacing w:after="0"/>
              <w:rPr>
                <w:sz w:val="20"/>
                <w:szCs w:val="20"/>
                <w:color w:val="auto"/>
              </w:rPr>
            </w:pPr>
            <w:r>
              <w:rPr>
                <w:rFonts w:ascii="Arial" w:cs="Arial" w:eastAsia="Arial" w:hAnsi="Arial"/>
                <w:sz w:val="18"/>
                <w:szCs w:val="18"/>
                <w:color w:val="auto"/>
              </w:rPr>
              <w:t>Cash and cash equivalents at end of period</w:t>
            </w:r>
          </w:p>
        </w:tc>
        <w:tc>
          <w:tcPr>
            <w:tcW w:w="100" w:type="dxa"/>
            <w:vAlign w:val="bottom"/>
            <w:shd w:val="clear" w:color="auto" w:fill="D6F3E8"/>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D6F3E8"/>
          </w:tcPr>
          <w:p>
            <w:pPr>
              <w:jc w:val="right"/>
              <w:ind w:right="260"/>
              <w:spacing w:after="0"/>
              <w:rPr>
                <w:sz w:val="20"/>
                <w:szCs w:val="20"/>
                <w:color w:val="auto"/>
              </w:rPr>
            </w:pPr>
            <w:r>
              <w:rPr>
                <w:rFonts w:ascii="Arial" w:cs="Arial" w:eastAsia="Arial" w:hAnsi="Arial"/>
                <w:sz w:val="18"/>
                <w:szCs w:val="18"/>
                <w:color w:val="auto"/>
              </w:rPr>
              <w:t>4,836</w:t>
            </w:r>
          </w:p>
        </w:tc>
        <w:tc>
          <w:tcPr>
            <w:tcW w:w="280" w:type="dxa"/>
            <w:vAlign w:val="bottom"/>
            <w:gridSpan w:val="2"/>
            <w:shd w:val="clear" w:color="auto" w:fill="D6F3E8"/>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D6F3E8"/>
          </w:tcPr>
          <w:p>
            <w:pPr>
              <w:jc w:val="right"/>
              <w:spacing w:after="0"/>
              <w:rPr>
                <w:sz w:val="20"/>
                <w:szCs w:val="20"/>
                <w:color w:val="auto"/>
              </w:rPr>
            </w:pPr>
            <w:r>
              <w:rPr>
                <w:rFonts w:ascii="Arial" w:cs="Arial" w:eastAsia="Arial" w:hAnsi="Arial"/>
                <w:sz w:val="18"/>
                <w:szCs w:val="18"/>
                <w:color w:val="auto"/>
              </w:rPr>
              <w:t>12,954</w:t>
            </w:r>
          </w:p>
        </w:tc>
        <w:tc>
          <w:tcPr>
            <w:tcW w:w="22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60" w:type="dxa"/>
            <w:vAlign w:val="bottom"/>
            <w:tcBorders>
              <w:top w:val="single" w:sz="8" w:color="D6F3E8"/>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D6F3E8"/>
            </w:tcBorders>
          </w:tcPr>
          <w:p>
            <w:pPr>
              <w:spacing w:after="0" w:line="20" w:lineRule="exact"/>
              <w:rPr>
                <w:sz w:val="1"/>
                <w:szCs w:val="1"/>
                <w:color w:val="auto"/>
              </w:rPr>
            </w:pPr>
          </w:p>
        </w:tc>
        <w:tc>
          <w:tcPr>
            <w:tcW w:w="180" w:type="dxa"/>
            <w:vAlign w:val="bottom"/>
            <w:tcBorders>
              <w:top w:val="single" w:sz="8" w:color="D6F3E8"/>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D6F3E8"/>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6111240</wp:posOffset>
            </wp:positionH>
            <wp:positionV relativeFrom="paragraph">
              <wp:posOffset>-1834515</wp:posOffset>
            </wp:positionV>
            <wp:extent cx="28321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8321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512445</wp:posOffset>
            </wp:positionV>
            <wp:extent cx="7250430"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Winnebago Industries, Inc.</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 Motor Home Deliveries</w:t>
      </w:r>
    </w:p>
    <w:p>
      <w:pPr>
        <w:spacing w:after="0" w:line="200" w:lineRule="exact"/>
        <w:rPr>
          <w:sz w:val="20"/>
          <w:szCs w:val="20"/>
          <w:color w:val="auto"/>
        </w:rPr>
      </w:pP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320" w:type="dxa"/>
            <w:vAlign w:val="bottom"/>
          </w:tcPr>
          <w:p>
            <w:pPr>
              <w:spacing w:after="0"/>
              <w:rPr>
                <w:sz w:val="15"/>
                <w:szCs w:val="15"/>
                <w:color w:val="auto"/>
              </w:rPr>
            </w:pPr>
          </w:p>
        </w:tc>
        <w:tc>
          <w:tcPr>
            <w:tcW w:w="980" w:type="dxa"/>
            <w:vAlign w:val="bottom"/>
          </w:tcPr>
          <w:p>
            <w:pPr>
              <w:jc w:val="center"/>
              <w:ind w:left="214"/>
              <w:spacing w:after="0"/>
              <w:rPr>
                <w:sz w:val="20"/>
                <w:szCs w:val="20"/>
                <w:color w:val="auto"/>
              </w:rPr>
            </w:pPr>
            <w:r>
              <w:rPr>
                <w:rFonts w:ascii="Arial" w:cs="Arial" w:eastAsia="Arial" w:hAnsi="Arial"/>
                <w:sz w:val="14"/>
                <w:szCs w:val="14"/>
                <w:b w:val="1"/>
                <w:bCs w:val="1"/>
                <w:color w:val="auto"/>
                <w:w w:val="83"/>
              </w:rPr>
              <w:t>14-Weeks</w:t>
            </w:r>
          </w:p>
        </w:tc>
        <w:tc>
          <w:tcPr>
            <w:tcW w:w="2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68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86"/>
              </w:rPr>
              <w:t>13-Weeks</w:t>
            </w:r>
          </w:p>
        </w:tc>
        <w:tc>
          <w:tcPr>
            <w:tcW w:w="1040" w:type="dxa"/>
            <w:vAlign w:val="bottom"/>
          </w:tcPr>
          <w:p>
            <w:pPr>
              <w:spacing w:after="0"/>
              <w:rPr>
                <w:sz w:val="15"/>
                <w:szCs w:val="15"/>
                <w:color w:val="auto"/>
              </w:rPr>
            </w:pPr>
          </w:p>
        </w:tc>
        <w:tc>
          <w:tcPr>
            <w:tcW w:w="1680" w:type="dxa"/>
            <w:vAlign w:val="bottom"/>
            <w:gridSpan w:val="3"/>
          </w:tcPr>
          <w:p>
            <w:pPr>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16"/>
        </w:trPr>
        <w:tc>
          <w:tcPr>
            <w:tcW w:w="5320" w:type="dxa"/>
            <w:vAlign w:val="bottom"/>
          </w:tcPr>
          <w:p>
            <w:pPr>
              <w:spacing w:after="0"/>
              <w:rPr>
                <w:sz w:val="10"/>
                <w:szCs w:val="10"/>
                <w:color w:val="auto"/>
              </w:rPr>
            </w:pPr>
          </w:p>
        </w:tc>
        <w:tc>
          <w:tcPr>
            <w:tcW w:w="980" w:type="dxa"/>
            <w:vAlign w:val="bottom"/>
          </w:tcPr>
          <w:p>
            <w:pPr>
              <w:jc w:val="center"/>
              <w:ind w:left="214"/>
              <w:spacing w:after="0" w:line="116" w:lineRule="exact"/>
              <w:rPr>
                <w:sz w:val="20"/>
                <w:szCs w:val="20"/>
                <w:color w:val="auto"/>
              </w:rPr>
            </w:pPr>
            <w:r>
              <w:rPr>
                <w:rFonts w:ascii="Arial" w:cs="Arial" w:eastAsia="Arial" w:hAnsi="Arial"/>
                <w:sz w:val="12"/>
                <w:szCs w:val="12"/>
                <w:b w:val="1"/>
                <w:bCs w:val="1"/>
                <w:color w:val="auto"/>
              </w:rPr>
              <w:t>Ended</w:t>
            </w:r>
          </w:p>
        </w:tc>
        <w:tc>
          <w:tcPr>
            <w:tcW w:w="2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680" w:type="dxa"/>
            <w:vAlign w:val="bottom"/>
            <w:gridSpan w:val="2"/>
          </w:tcPr>
          <w:p>
            <w:pPr>
              <w:jc w:val="center"/>
              <w:ind w:right="440"/>
              <w:spacing w:after="0" w:line="116" w:lineRule="exact"/>
              <w:rPr>
                <w:sz w:val="20"/>
                <w:szCs w:val="20"/>
                <w:color w:val="auto"/>
              </w:rPr>
            </w:pPr>
            <w:r>
              <w:rPr>
                <w:rFonts w:ascii="Arial" w:cs="Arial" w:eastAsia="Arial" w:hAnsi="Arial"/>
                <w:sz w:val="12"/>
                <w:szCs w:val="12"/>
                <w:b w:val="1"/>
                <w:bCs w:val="1"/>
                <w:color w:val="auto"/>
                <w:w w:val="98"/>
              </w:rPr>
              <w:t>Ended</w:t>
            </w:r>
          </w:p>
        </w:tc>
        <w:tc>
          <w:tcPr>
            <w:tcW w:w="1040" w:type="dxa"/>
            <w:vAlign w:val="bottom"/>
            <w:tcBorders>
              <w:top w:val="single" w:sz="8" w:color="auto"/>
            </w:tcBorders>
          </w:tcPr>
          <w:p>
            <w:pPr>
              <w:spacing w:after="0"/>
              <w:rPr>
                <w:sz w:val="10"/>
                <w:szCs w:val="10"/>
                <w:color w:val="auto"/>
              </w:rPr>
            </w:pPr>
          </w:p>
        </w:tc>
        <w:tc>
          <w:tcPr>
            <w:tcW w:w="440" w:type="dxa"/>
            <w:vAlign w:val="bottom"/>
            <w:tcBorders>
              <w:top w:val="single" w:sz="8" w:color="auto"/>
            </w:tcBorders>
          </w:tcPr>
          <w:p>
            <w:pPr>
              <w:spacing w:after="0"/>
              <w:rPr>
                <w:sz w:val="10"/>
                <w:szCs w:val="10"/>
                <w:color w:val="auto"/>
              </w:rPr>
            </w:pPr>
          </w:p>
        </w:tc>
        <w:tc>
          <w:tcPr>
            <w:tcW w:w="102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1"/>
        </w:trPr>
        <w:tc>
          <w:tcPr>
            <w:tcW w:w="5320" w:type="dxa"/>
            <w:vAlign w:val="bottom"/>
            <w:vMerge w:val="restart"/>
          </w:tcPr>
          <w:p>
            <w:pPr>
              <w:spacing w:after="0"/>
              <w:rPr>
                <w:sz w:val="20"/>
                <w:szCs w:val="20"/>
                <w:color w:val="auto"/>
              </w:rPr>
            </w:pPr>
            <w:r>
              <w:rPr>
                <w:rFonts w:ascii="Arial" w:cs="Arial" w:eastAsia="Arial" w:hAnsi="Arial"/>
                <w:sz w:val="18"/>
                <w:szCs w:val="18"/>
                <w:color w:val="auto"/>
              </w:rPr>
              <w:t>Motor home unit deliveries</w:t>
            </w:r>
          </w:p>
        </w:tc>
        <w:tc>
          <w:tcPr>
            <w:tcW w:w="980" w:type="dxa"/>
            <w:vAlign w:val="bottom"/>
          </w:tcPr>
          <w:p>
            <w:pPr>
              <w:jc w:val="center"/>
              <w:ind w:left="214"/>
              <w:spacing w:after="0"/>
              <w:rPr>
                <w:sz w:val="20"/>
                <w:szCs w:val="20"/>
                <w:color w:val="auto"/>
              </w:rPr>
            </w:pPr>
            <w:r>
              <w:rPr>
                <w:rFonts w:ascii="Arial" w:cs="Arial" w:eastAsia="Arial" w:hAnsi="Arial"/>
                <w:sz w:val="14"/>
                <w:szCs w:val="14"/>
                <w:b w:val="1"/>
                <w:bCs w:val="1"/>
                <w:color w:val="auto"/>
                <w:w w:val="87"/>
              </w:rPr>
              <w:t>Dec. 1, 2007</w:t>
            </w:r>
          </w:p>
        </w:tc>
        <w:tc>
          <w:tcPr>
            <w:tcW w:w="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8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85"/>
              </w:rPr>
              <w:t>Nov. 25, 2006</w:t>
            </w:r>
          </w:p>
        </w:tc>
        <w:tc>
          <w:tcPr>
            <w:tcW w:w="1040" w:type="dxa"/>
            <w:vAlign w:val="bottom"/>
          </w:tcPr>
          <w:p>
            <w:pPr>
              <w:jc w:val="right"/>
              <w:ind w:right="279"/>
              <w:spacing w:after="0"/>
              <w:rPr>
                <w:sz w:val="20"/>
                <w:szCs w:val="20"/>
                <w:color w:val="auto"/>
              </w:rPr>
            </w:pPr>
            <w:r>
              <w:rPr>
                <w:rFonts w:ascii="Arial" w:cs="Arial" w:eastAsia="Arial" w:hAnsi="Arial"/>
                <w:sz w:val="14"/>
                <w:szCs w:val="14"/>
                <w:b w:val="1"/>
                <w:bCs w:val="1"/>
                <w:color w:val="auto"/>
              </w:rPr>
              <w:t>Units</w:t>
            </w:r>
          </w:p>
        </w:tc>
        <w:tc>
          <w:tcPr>
            <w:tcW w:w="1460" w:type="dxa"/>
            <w:vAlign w:val="bottom"/>
            <w:gridSpan w:val="2"/>
          </w:tcPr>
          <w:p>
            <w:pPr>
              <w:jc w:val="right"/>
              <w:ind w:right="352"/>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5320" w:type="dxa"/>
            <w:vAlign w:val="bottom"/>
            <w:vMerge w:val="continue"/>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440" w:type="dxa"/>
            <w:vAlign w:val="bottom"/>
          </w:tcPr>
          <w:p>
            <w:pPr>
              <w:spacing w:after="0"/>
              <w:rPr>
                <w:sz w:val="16"/>
                <w:szCs w:val="16"/>
                <w:color w:val="auto"/>
              </w:rPr>
            </w:pPr>
          </w:p>
        </w:tc>
        <w:tc>
          <w:tcPr>
            <w:tcW w:w="1240" w:type="dxa"/>
            <w:vAlign w:val="bottom"/>
            <w:tcBorders>
              <w:top w:val="single" w:sz="8" w:color="auto"/>
            </w:tcBorders>
          </w:tcPr>
          <w:p>
            <w:pPr>
              <w:spacing w:after="0"/>
              <w:rPr>
                <w:sz w:val="16"/>
                <w:szCs w:val="16"/>
                <w:color w:val="auto"/>
              </w:rPr>
            </w:pPr>
          </w:p>
        </w:tc>
        <w:tc>
          <w:tcPr>
            <w:tcW w:w="440" w:type="dxa"/>
            <w:vAlign w:val="bottom"/>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440" w:type="dxa"/>
            <w:vAlign w:val="bottom"/>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6300" w:type="dxa"/>
            <w:vAlign w:val="bottom"/>
            <w:gridSpan w:val="2"/>
            <w:shd w:val="clear" w:color="auto" w:fill="D6F3E8"/>
          </w:tcPr>
          <w:p>
            <w:pPr>
              <w:ind w:left="160"/>
              <w:spacing w:after="0"/>
              <w:rPr>
                <w:sz w:val="20"/>
                <w:szCs w:val="20"/>
                <w:color w:val="auto"/>
              </w:rPr>
            </w:pPr>
            <w:r>
              <w:rPr>
                <w:rFonts w:ascii="Arial" w:cs="Arial" w:eastAsia="Arial" w:hAnsi="Arial"/>
                <w:sz w:val="18"/>
                <w:szCs w:val="18"/>
                <w:color w:val="auto"/>
              </w:rPr>
              <w:t>Class A Gas</w:t>
            </w:r>
          </w:p>
        </w:tc>
        <w:tc>
          <w:tcPr>
            <w:tcW w:w="720" w:type="dxa"/>
            <w:vAlign w:val="bottom"/>
            <w:gridSpan w:val="2"/>
            <w:shd w:val="clear" w:color="auto" w:fill="D6F3E8"/>
          </w:tcPr>
          <w:p>
            <w:pPr>
              <w:jc w:val="right"/>
              <w:ind w:right="440"/>
              <w:spacing w:after="0"/>
              <w:rPr>
                <w:sz w:val="20"/>
                <w:szCs w:val="20"/>
                <w:color w:val="auto"/>
              </w:rPr>
            </w:pPr>
            <w:r>
              <w:rPr>
                <w:rFonts w:ascii="Arial" w:cs="Arial" w:eastAsia="Arial" w:hAnsi="Arial"/>
                <w:sz w:val="18"/>
                <w:szCs w:val="18"/>
                <w:color w:val="auto"/>
                <w:w w:val="86"/>
              </w:rPr>
              <w:t>836</w:t>
            </w:r>
          </w:p>
        </w:tc>
        <w:tc>
          <w:tcPr>
            <w:tcW w:w="1680" w:type="dxa"/>
            <w:vAlign w:val="bottom"/>
            <w:gridSpan w:val="2"/>
            <w:shd w:val="clear" w:color="auto" w:fill="D6F3E8"/>
          </w:tcPr>
          <w:p>
            <w:pPr>
              <w:jc w:val="right"/>
              <w:ind w:right="440"/>
              <w:spacing w:after="0"/>
              <w:rPr>
                <w:sz w:val="20"/>
                <w:szCs w:val="20"/>
                <w:color w:val="auto"/>
              </w:rPr>
            </w:pPr>
            <w:r>
              <w:rPr>
                <w:rFonts w:ascii="Arial" w:cs="Arial" w:eastAsia="Arial" w:hAnsi="Arial"/>
                <w:sz w:val="18"/>
                <w:szCs w:val="18"/>
                <w:color w:val="auto"/>
              </w:rPr>
              <w:t>772</w:t>
            </w:r>
          </w:p>
        </w:tc>
        <w:tc>
          <w:tcPr>
            <w:tcW w:w="1040" w:type="dxa"/>
            <w:vAlign w:val="bottom"/>
            <w:shd w:val="clear" w:color="auto" w:fill="D6F3E8"/>
          </w:tcPr>
          <w:p>
            <w:pPr>
              <w:jc w:val="right"/>
              <w:spacing w:after="0"/>
              <w:rPr>
                <w:sz w:val="20"/>
                <w:szCs w:val="20"/>
                <w:color w:val="auto"/>
              </w:rPr>
            </w:pPr>
            <w:r>
              <w:rPr>
                <w:rFonts w:ascii="Arial" w:cs="Arial" w:eastAsia="Arial" w:hAnsi="Arial"/>
                <w:sz w:val="18"/>
                <w:szCs w:val="18"/>
                <w:color w:val="auto"/>
              </w:rPr>
              <w:t>64</w:t>
            </w:r>
          </w:p>
        </w:tc>
        <w:tc>
          <w:tcPr>
            <w:tcW w:w="1460" w:type="dxa"/>
            <w:vAlign w:val="bottom"/>
            <w:gridSpan w:val="2"/>
            <w:shd w:val="clear" w:color="auto" w:fill="D6F3E8"/>
          </w:tcPr>
          <w:p>
            <w:pPr>
              <w:jc w:val="right"/>
              <w:spacing w:after="0"/>
              <w:rPr>
                <w:sz w:val="20"/>
                <w:szCs w:val="20"/>
                <w:color w:val="auto"/>
              </w:rPr>
            </w:pPr>
            <w:r>
              <w:rPr>
                <w:rFonts w:ascii="Arial" w:cs="Arial" w:eastAsia="Arial" w:hAnsi="Arial"/>
                <w:sz w:val="18"/>
                <w:szCs w:val="18"/>
                <w:color w:val="auto"/>
              </w:rPr>
              <w:t>8.3</w:t>
            </w:r>
          </w:p>
        </w:tc>
        <w:tc>
          <w:tcPr>
            <w:tcW w:w="22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320" w:type="dxa"/>
            <w:vAlign w:val="bottom"/>
          </w:tcPr>
          <w:p>
            <w:pPr>
              <w:ind w:left="160"/>
              <w:spacing w:after="0"/>
              <w:rPr>
                <w:sz w:val="20"/>
                <w:szCs w:val="20"/>
                <w:color w:val="auto"/>
              </w:rPr>
            </w:pPr>
            <w:r>
              <w:rPr>
                <w:rFonts w:ascii="Arial" w:cs="Arial" w:eastAsia="Arial" w:hAnsi="Arial"/>
                <w:sz w:val="18"/>
                <w:szCs w:val="18"/>
                <w:color w:val="auto"/>
              </w:rPr>
              <w:t>Class A Diesel</w:t>
            </w:r>
          </w:p>
        </w:tc>
        <w:tc>
          <w:tcPr>
            <w:tcW w:w="98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363</w:t>
            </w:r>
          </w:p>
        </w:tc>
        <w:tc>
          <w:tcPr>
            <w:tcW w:w="440" w:type="dxa"/>
            <w:vAlign w:val="bottom"/>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341</w:t>
            </w:r>
          </w:p>
        </w:tc>
        <w:tc>
          <w:tcPr>
            <w:tcW w:w="440" w:type="dxa"/>
            <w:vAlign w:val="bottom"/>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440" w:type="dxa"/>
            <w:vAlign w:val="bottom"/>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ectPr>
          <w:pgSz w:w="11900" w:h="16870" w:orient="portrait"/>
          <w:cols w:equalWidth="0" w:num="1">
            <w:col w:w="11420"/>
          </w:cols>
          <w:pgMar w:left="240" w:top="374" w:right="239" w:bottom="0" w:gutter="0" w:footer="0" w:header="0"/>
        </w:sectPr>
      </w:pPr>
    </w:p>
    <w:bookmarkStart w:id="5" w:name="page6"/>
    <w:bookmarkEnd w:id="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4880" w:type="dxa"/>
            <w:vAlign w:val="bottom"/>
            <w:tcBorders>
              <w:top w:val="single" w:sz="8" w:color="D6F3E8"/>
            </w:tcBorders>
            <w:shd w:val="clear" w:color="auto" w:fill="D6F3E8"/>
          </w:tcPr>
          <w:p>
            <w:pPr>
              <w:ind w:left="320"/>
              <w:spacing w:after="0"/>
              <w:rPr>
                <w:sz w:val="20"/>
                <w:szCs w:val="20"/>
                <w:color w:val="auto"/>
              </w:rPr>
            </w:pPr>
            <w:r>
              <w:rPr>
                <w:rFonts w:ascii="Arial" w:cs="Arial" w:eastAsia="Arial" w:hAnsi="Arial"/>
                <w:sz w:val="18"/>
                <w:szCs w:val="18"/>
                <w:color w:val="auto"/>
              </w:rPr>
              <w:t>Total Class A</w:t>
            </w:r>
          </w:p>
        </w:tc>
        <w:tc>
          <w:tcPr>
            <w:tcW w:w="440" w:type="dxa"/>
            <w:vAlign w:val="bottom"/>
            <w:tcBorders>
              <w:top w:val="single" w:sz="8" w:color="D6F3E8"/>
              <w:bottom w:val="single" w:sz="8" w:color="D6F3E8"/>
            </w:tcBorders>
            <w:shd w:val="clear" w:color="auto" w:fill="D6F3E8"/>
          </w:tcPr>
          <w:p>
            <w:pPr>
              <w:spacing w:after="0"/>
              <w:rPr>
                <w:sz w:val="21"/>
                <w:szCs w:val="21"/>
                <w:color w:val="auto"/>
              </w:rPr>
            </w:pPr>
          </w:p>
        </w:tc>
        <w:tc>
          <w:tcPr>
            <w:tcW w:w="1260" w:type="dxa"/>
            <w:vAlign w:val="bottom"/>
            <w:tcBorders>
              <w:top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1,199</w:t>
            </w:r>
          </w:p>
        </w:tc>
        <w:tc>
          <w:tcPr>
            <w:tcW w:w="440" w:type="dxa"/>
            <w:vAlign w:val="bottom"/>
            <w:tcBorders>
              <w:top w:val="single" w:sz="8" w:color="D6F3E8"/>
              <w:bottom w:val="single" w:sz="8" w:color="D6F3E8"/>
            </w:tcBorders>
            <w:shd w:val="clear" w:color="auto" w:fill="D6F3E8"/>
          </w:tcPr>
          <w:p>
            <w:pPr>
              <w:spacing w:after="0"/>
              <w:rPr>
                <w:sz w:val="21"/>
                <w:szCs w:val="21"/>
                <w:color w:val="auto"/>
              </w:rPr>
            </w:pPr>
          </w:p>
        </w:tc>
        <w:tc>
          <w:tcPr>
            <w:tcW w:w="1240" w:type="dxa"/>
            <w:vAlign w:val="bottom"/>
            <w:tcBorders>
              <w:top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1,113</w:t>
            </w:r>
          </w:p>
        </w:tc>
        <w:tc>
          <w:tcPr>
            <w:tcW w:w="440" w:type="dxa"/>
            <w:vAlign w:val="bottom"/>
            <w:tcBorders>
              <w:top w:val="single" w:sz="8" w:color="D6F3E8"/>
              <w:bottom w:val="single" w:sz="8" w:color="D6F3E8"/>
            </w:tcBorders>
            <w:shd w:val="clear" w:color="auto" w:fill="D6F3E8"/>
          </w:tcPr>
          <w:p>
            <w:pPr>
              <w:spacing w:after="0"/>
              <w:rPr>
                <w:sz w:val="21"/>
                <w:szCs w:val="21"/>
                <w:color w:val="auto"/>
              </w:rPr>
            </w:pPr>
          </w:p>
        </w:tc>
        <w:tc>
          <w:tcPr>
            <w:tcW w:w="1040" w:type="dxa"/>
            <w:vAlign w:val="bottom"/>
            <w:tcBorders>
              <w:top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86</w:t>
            </w:r>
          </w:p>
        </w:tc>
        <w:tc>
          <w:tcPr>
            <w:tcW w:w="440" w:type="dxa"/>
            <w:vAlign w:val="bottom"/>
            <w:tcBorders>
              <w:top w:val="single" w:sz="8" w:color="D6F3E8"/>
              <w:bottom w:val="single" w:sz="8" w:color="D6F3E8"/>
            </w:tcBorders>
            <w:shd w:val="clear" w:color="auto" w:fill="D6F3E8"/>
          </w:tcPr>
          <w:p>
            <w:pPr>
              <w:spacing w:after="0"/>
              <w:rPr>
                <w:sz w:val="21"/>
                <w:szCs w:val="21"/>
                <w:color w:val="auto"/>
              </w:rPr>
            </w:pPr>
          </w:p>
        </w:tc>
        <w:tc>
          <w:tcPr>
            <w:tcW w:w="1020" w:type="dxa"/>
            <w:vAlign w:val="bottom"/>
            <w:tcBorders>
              <w:top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7.7</w:t>
            </w:r>
          </w:p>
        </w:tc>
        <w:tc>
          <w:tcPr>
            <w:tcW w:w="220" w:type="dxa"/>
            <w:vAlign w:val="bottom"/>
            <w:tcBorders>
              <w:top w:val="single" w:sz="8" w:color="D6F3E8"/>
              <w:bottom w:val="single" w:sz="8" w:color="D6F3E8"/>
            </w:tcBorders>
            <w:shd w:val="clear" w:color="auto" w:fill="D6F3E8"/>
          </w:tcPr>
          <w:p>
            <w:pPr>
              <w:spacing w:after="0"/>
              <w:rPr>
                <w:sz w:val="21"/>
                <w:szCs w:val="21"/>
                <w:color w:val="auto"/>
              </w:rPr>
            </w:pPr>
          </w:p>
        </w:tc>
      </w:tr>
      <w:tr>
        <w:trPr>
          <w:trHeight w:val="196"/>
        </w:trPr>
        <w:tc>
          <w:tcPr>
            <w:tcW w:w="4880" w:type="dxa"/>
            <w:vAlign w:val="bottom"/>
            <w:tcBorders>
              <w:bottom w:val="single" w:sz="8" w:color="D6F3E8"/>
            </w:tcBorders>
          </w:tcPr>
          <w:p>
            <w:pPr>
              <w:ind w:left="160"/>
              <w:spacing w:after="0" w:line="187" w:lineRule="exact"/>
              <w:rPr>
                <w:sz w:val="20"/>
                <w:szCs w:val="20"/>
                <w:color w:val="auto"/>
              </w:rPr>
            </w:pPr>
            <w:r>
              <w:rPr>
                <w:rFonts w:ascii="Arial" w:cs="Arial" w:eastAsia="Arial" w:hAnsi="Arial"/>
                <w:sz w:val="18"/>
                <w:szCs w:val="18"/>
                <w:color w:val="auto"/>
              </w:rPr>
              <w:t>Class C</w:t>
            </w:r>
          </w:p>
        </w:tc>
        <w:tc>
          <w:tcPr>
            <w:tcW w:w="440" w:type="dxa"/>
            <w:vAlign w:val="bottom"/>
            <w:tcBorders>
              <w:bottom w:val="single" w:sz="8" w:color="D6F3E8"/>
            </w:tcBorders>
          </w:tcPr>
          <w:p>
            <w:pPr>
              <w:spacing w:after="0"/>
              <w:rPr>
                <w:sz w:val="17"/>
                <w:szCs w:val="17"/>
                <w:color w:val="auto"/>
              </w:rPr>
            </w:pPr>
          </w:p>
        </w:tc>
        <w:tc>
          <w:tcPr>
            <w:tcW w:w="1260" w:type="dxa"/>
            <w:vAlign w:val="bottom"/>
            <w:tcBorders>
              <w:bottom w:val="single" w:sz="8" w:color="auto"/>
            </w:tcBorders>
          </w:tcPr>
          <w:p>
            <w:pPr>
              <w:jc w:val="right"/>
              <w:spacing w:after="0" w:line="187" w:lineRule="exact"/>
              <w:rPr>
                <w:sz w:val="20"/>
                <w:szCs w:val="20"/>
                <w:color w:val="auto"/>
              </w:rPr>
            </w:pPr>
            <w:r>
              <w:rPr>
                <w:rFonts w:ascii="Arial" w:cs="Arial" w:eastAsia="Arial" w:hAnsi="Arial"/>
                <w:sz w:val="18"/>
                <w:szCs w:val="18"/>
                <w:color w:val="auto"/>
              </w:rPr>
              <w:t>956</w:t>
            </w:r>
          </w:p>
        </w:tc>
        <w:tc>
          <w:tcPr>
            <w:tcW w:w="440" w:type="dxa"/>
            <w:vAlign w:val="bottom"/>
            <w:tcBorders>
              <w:bottom w:val="single" w:sz="8" w:color="D6F3E8"/>
            </w:tcBorders>
          </w:tcPr>
          <w:p>
            <w:pPr>
              <w:spacing w:after="0"/>
              <w:rPr>
                <w:sz w:val="17"/>
                <w:szCs w:val="17"/>
                <w:color w:val="auto"/>
              </w:rPr>
            </w:pPr>
          </w:p>
        </w:tc>
        <w:tc>
          <w:tcPr>
            <w:tcW w:w="1240" w:type="dxa"/>
            <w:vAlign w:val="bottom"/>
            <w:tcBorders>
              <w:bottom w:val="single" w:sz="8" w:color="auto"/>
            </w:tcBorders>
          </w:tcPr>
          <w:p>
            <w:pPr>
              <w:jc w:val="right"/>
              <w:spacing w:after="0" w:line="187" w:lineRule="exact"/>
              <w:rPr>
                <w:sz w:val="20"/>
                <w:szCs w:val="20"/>
                <w:color w:val="auto"/>
              </w:rPr>
            </w:pPr>
            <w:r>
              <w:rPr>
                <w:rFonts w:ascii="Arial" w:cs="Arial" w:eastAsia="Arial" w:hAnsi="Arial"/>
                <w:sz w:val="18"/>
                <w:szCs w:val="18"/>
                <w:color w:val="auto"/>
              </w:rPr>
              <w:t>1,096</w:t>
            </w:r>
          </w:p>
        </w:tc>
        <w:tc>
          <w:tcPr>
            <w:tcW w:w="440" w:type="dxa"/>
            <w:vAlign w:val="bottom"/>
            <w:tcBorders>
              <w:bottom w:val="single" w:sz="8" w:color="D6F3E8"/>
            </w:tcBorders>
          </w:tcPr>
          <w:p>
            <w:pPr>
              <w:spacing w:after="0"/>
              <w:rPr>
                <w:sz w:val="17"/>
                <w:szCs w:val="17"/>
                <w:color w:val="auto"/>
              </w:rPr>
            </w:pPr>
          </w:p>
        </w:tc>
        <w:tc>
          <w:tcPr>
            <w:tcW w:w="1040" w:type="dxa"/>
            <w:vAlign w:val="bottom"/>
            <w:tcBorders>
              <w:bottom w:val="single" w:sz="8" w:color="auto"/>
            </w:tcBorders>
          </w:tcPr>
          <w:p>
            <w:pPr>
              <w:jc w:val="right"/>
              <w:spacing w:after="0" w:line="187" w:lineRule="exact"/>
              <w:rPr>
                <w:sz w:val="20"/>
                <w:szCs w:val="20"/>
                <w:color w:val="auto"/>
              </w:rPr>
            </w:pPr>
            <w:r>
              <w:rPr>
                <w:rFonts w:ascii="Arial" w:cs="Arial" w:eastAsia="Arial" w:hAnsi="Arial"/>
                <w:sz w:val="18"/>
                <w:szCs w:val="18"/>
                <w:color w:val="auto"/>
              </w:rPr>
              <w:t>(140)</w:t>
            </w:r>
          </w:p>
        </w:tc>
        <w:tc>
          <w:tcPr>
            <w:tcW w:w="440" w:type="dxa"/>
            <w:vAlign w:val="bottom"/>
            <w:tcBorders>
              <w:bottom w:val="single" w:sz="8" w:color="D6F3E8"/>
            </w:tcBorders>
          </w:tcPr>
          <w:p>
            <w:pPr>
              <w:spacing w:after="0"/>
              <w:rPr>
                <w:sz w:val="17"/>
                <w:szCs w:val="17"/>
                <w:color w:val="auto"/>
              </w:rPr>
            </w:pPr>
          </w:p>
        </w:tc>
        <w:tc>
          <w:tcPr>
            <w:tcW w:w="1020" w:type="dxa"/>
            <w:vAlign w:val="bottom"/>
            <w:tcBorders>
              <w:bottom w:val="single" w:sz="8" w:color="auto"/>
            </w:tcBorders>
          </w:tcPr>
          <w:p>
            <w:pPr>
              <w:jc w:val="right"/>
              <w:spacing w:after="0" w:line="187" w:lineRule="exact"/>
              <w:rPr>
                <w:sz w:val="20"/>
                <w:szCs w:val="20"/>
                <w:color w:val="auto"/>
              </w:rPr>
            </w:pPr>
            <w:r>
              <w:rPr>
                <w:rFonts w:ascii="Arial" w:cs="Arial" w:eastAsia="Arial" w:hAnsi="Arial"/>
                <w:sz w:val="18"/>
                <w:szCs w:val="18"/>
                <w:color w:val="auto"/>
              </w:rPr>
              <w:t>(12.8)</w:t>
            </w:r>
          </w:p>
        </w:tc>
        <w:tc>
          <w:tcPr>
            <w:tcW w:w="220" w:type="dxa"/>
            <w:vAlign w:val="bottom"/>
            <w:tcBorders>
              <w:bottom w:val="single" w:sz="8" w:color="D6F3E8"/>
            </w:tcBorders>
          </w:tcPr>
          <w:p>
            <w:pPr>
              <w:spacing w:after="0"/>
              <w:rPr>
                <w:sz w:val="17"/>
                <w:szCs w:val="17"/>
                <w:color w:val="auto"/>
              </w:rPr>
            </w:pPr>
          </w:p>
        </w:tc>
      </w:tr>
      <w:tr>
        <w:trPr>
          <w:trHeight w:val="242"/>
        </w:trPr>
        <w:tc>
          <w:tcPr>
            <w:tcW w:w="4880" w:type="dxa"/>
            <w:vAlign w:val="bottom"/>
            <w:shd w:val="clear" w:color="auto" w:fill="D6F3E8"/>
          </w:tcPr>
          <w:p>
            <w:pPr>
              <w:ind w:left="320"/>
              <w:spacing w:after="0"/>
              <w:rPr>
                <w:sz w:val="20"/>
                <w:szCs w:val="20"/>
                <w:color w:val="auto"/>
              </w:rPr>
            </w:pPr>
            <w:r>
              <w:rPr>
                <w:rFonts w:ascii="Arial" w:cs="Arial" w:eastAsia="Arial" w:hAnsi="Arial"/>
                <w:sz w:val="18"/>
                <w:szCs w:val="18"/>
                <w:color w:val="auto"/>
              </w:rPr>
              <w:t>Total deliveries</w:t>
            </w:r>
          </w:p>
        </w:tc>
        <w:tc>
          <w:tcPr>
            <w:tcW w:w="2140" w:type="dxa"/>
            <w:vAlign w:val="bottom"/>
            <w:gridSpan w:val="3"/>
            <w:shd w:val="clear" w:color="auto" w:fill="D6F3E8"/>
          </w:tcPr>
          <w:p>
            <w:pPr>
              <w:jc w:val="right"/>
              <w:ind w:right="440"/>
              <w:spacing w:after="0"/>
              <w:rPr>
                <w:sz w:val="20"/>
                <w:szCs w:val="20"/>
                <w:color w:val="auto"/>
              </w:rPr>
            </w:pPr>
            <w:r>
              <w:rPr>
                <w:rFonts w:ascii="Arial" w:cs="Arial" w:eastAsia="Arial" w:hAnsi="Arial"/>
                <w:sz w:val="18"/>
                <w:szCs w:val="18"/>
                <w:color w:val="auto"/>
              </w:rPr>
              <w:t>2,155</w:t>
            </w:r>
          </w:p>
        </w:tc>
        <w:tc>
          <w:tcPr>
            <w:tcW w:w="1680" w:type="dxa"/>
            <w:vAlign w:val="bottom"/>
            <w:gridSpan w:val="2"/>
            <w:shd w:val="clear" w:color="auto" w:fill="D6F3E8"/>
          </w:tcPr>
          <w:p>
            <w:pPr>
              <w:jc w:val="right"/>
              <w:ind w:right="440"/>
              <w:spacing w:after="0"/>
              <w:rPr>
                <w:sz w:val="20"/>
                <w:szCs w:val="20"/>
                <w:color w:val="auto"/>
              </w:rPr>
            </w:pPr>
            <w:r>
              <w:rPr>
                <w:rFonts w:ascii="Arial" w:cs="Arial" w:eastAsia="Arial" w:hAnsi="Arial"/>
                <w:sz w:val="18"/>
                <w:szCs w:val="18"/>
                <w:color w:val="auto"/>
              </w:rPr>
              <w:t>2,209</w:t>
            </w:r>
          </w:p>
        </w:tc>
        <w:tc>
          <w:tcPr>
            <w:tcW w:w="1480" w:type="dxa"/>
            <w:vAlign w:val="bottom"/>
            <w:gridSpan w:val="2"/>
            <w:shd w:val="clear" w:color="auto" w:fill="D6F3E8"/>
          </w:tcPr>
          <w:p>
            <w:pPr>
              <w:jc w:val="right"/>
              <w:ind w:right="380"/>
              <w:spacing w:after="0"/>
              <w:rPr>
                <w:sz w:val="20"/>
                <w:szCs w:val="20"/>
                <w:color w:val="auto"/>
              </w:rPr>
            </w:pPr>
            <w:r>
              <w:rPr>
                <w:rFonts w:ascii="Arial" w:cs="Arial" w:eastAsia="Arial" w:hAnsi="Arial"/>
                <w:sz w:val="18"/>
                <w:szCs w:val="18"/>
                <w:color w:val="auto"/>
              </w:rPr>
              <w:t>(54)</w:t>
            </w:r>
          </w:p>
        </w:tc>
        <w:tc>
          <w:tcPr>
            <w:tcW w:w="1240" w:type="dxa"/>
            <w:vAlign w:val="bottom"/>
            <w:gridSpan w:val="2"/>
            <w:shd w:val="clear" w:color="auto" w:fill="D6F3E8"/>
          </w:tcPr>
          <w:p>
            <w:pPr>
              <w:jc w:val="right"/>
              <w:ind w:right="160"/>
              <w:spacing w:after="0"/>
              <w:rPr>
                <w:sz w:val="20"/>
                <w:szCs w:val="20"/>
                <w:color w:val="auto"/>
              </w:rPr>
            </w:pPr>
            <w:r>
              <w:rPr>
                <w:rFonts w:ascii="Arial" w:cs="Arial" w:eastAsia="Arial" w:hAnsi="Arial"/>
                <w:sz w:val="18"/>
                <w:szCs w:val="18"/>
                <w:color w:val="auto"/>
              </w:rPr>
              <w:t>(2.4)</w:t>
            </w:r>
          </w:p>
        </w:tc>
      </w:tr>
      <w:tr>
        <w:trPr>
          <w:trHeight w:val="20"/>
        </w:trPr>
        <w:tc>
          <w:tcPr>
            <w:tcW w:w="4880" w:type="dxa"/>
            <w:vAlign w:val="bottom"/>
            <w:tcBorders>
              <w:top w:val="single" w:sz="8" w:color="D6F3E8"/>
            </w:tcBorders>
          </w:tcPr>
          <w:p>
            <w:pPr>
              <w:spacing w:after="0" w:line="20" w:lineRule="exact"/>
              <w:rPr>
                <w:sz w:val="1"/>
                <w:szCs w:val="1"/>
                <w:color w:val="auto"/>
              </w:rPr>
            </w:pPr>
          </w:p>
        </w:tc>
        <w:tc>
          <w:tcPr>
            <w:tcW w:w="440" w:type="dxa"/>
            <w:vAlign w:val="bottom"/>
            <w:tcBorders>
              <w:top w:val="single" w:sz="8" w:color="D6F3E8"/>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D6F3E8"/>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D6F3E8"/>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D6F3E8"/>
              <w:bottom w:val="single" w:sz="8" w:color="D6F3E8"/>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D6F3E8"/>
              <w:bottom w:val="single" w:sz="8" w:color="D6F3E8"/>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-342265</wp:posOffset>
            </wp:positionV>
            <wp:extent cx="7246620" cy="1543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Winnebago Industries, Inc.</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 Backlog and Dealer Inventory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(Units)</w:t>
      </w:r>
    </w:p>
    <w:p>
      <w:pPr>
        <w:spacing w:after="0" w:line="200" w:lineRule="exact"/>
        <w:rPr>
          <w:sz w:val="20"/>
          <w:szCs w:val="20"/>
          <w:color w:val="auto"/>
        </w:rPr>
      </w:pP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3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gridSpan w:val="2"/>
          </w:tcPr>
          <w:p>
            <w:pPr>
              <w:jc w:val="right"/>
              <w:ind w:right="240"/>
              <w:spacing w:after="0"/>
              <w:rPr>
                <w:sz w:val="20"/>
                <w:szCs w:val="20"/>
                <w:color w:val="auto"/>
              </w:rPr>
            </w:pPr>
            <w:r>
              <w:rPr>
                <w:rFonts w:ascii="Arial" w:cs="Arial" w:eastAsia="Arial" w:hAnsi="Arial"/>
                <w:sz w:val="14"/>
                <w:szCs w:val="14"/>
                <w:b w:val="1"/>
                <w:bCs w:val="1"/>
                <w:color w:val="auto"/>
                <w:w w:val="91"/>
              </w:rPr>
              <w:t>As of</w:t>
            </w:r>
          </w:p>
        </w:tc>
        <w:tc>
          <w:tcPr>
            <w:tcW w:w="1080" w:type="dxa"/>
            <w:vAlign w:val="bottom"/>
            <w:tcBorders>
              <w:bottom w:val="single" w:sz="8" w:color="auto"/>
            </w:tcBorders>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4"/>
                <w:szCs w:val="14"/>
                <w:b w:val="1"/>
                <w:bCs w:val="1"/>
                <w:color w:val="auto"/>
              </w:rPr>
              <w:t>Change</w:t>
            </w:r>
          </w:p>
        </w:tc>
        <w:tc>
          <w:tcPr>
            <w:tcW w:w="102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4340" w:type="dxa"/>
            <w:vAlign w:val="bottom"/>
            <w:gridSpan w:val="2"/>
            <w:vMerge w:val="restart"/>
          </w:tcPr>
          <w:p>
            <w:pPr>
              <w:spacing w:after="0"/>
              <w:rPr>
                <w:sz w:val="20"/>
                <w:szCs w:val="20"/>
                <w:color w:val="auto"/>
              </w:rPr>
            </w:pPr>
            <w:r>
              <w:rPr>
                <w:rFonts w:ascii="Arial" w:cs="Arial" w:eastAsia="Arial" w:hAnsi="Arial"/>
                <w:sz w:val="18"/>
                <w:szCs w:val="18"/>
                <w:color w:val="auto"/>
              </w:rPr>
              <w:t>Sales order backlog</w:t>
            </w: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tcPr>
          <w:p>
            <w:pPr>
              <w:jc w:val="right"/>
              <w:ind w:right="235"/>
              <w:spacing w:after="0"/>
              <w:rPr>
                <w:sz w:val="20"/>
                <w:szCs w:val="20"/>
                <w:color w:val="auto"/>
              </w:rPr>
            </w:pPr>
            <w:r>
              <w:rPr>
                <w:rFonts w:ascii="Arial" w:cs="Arial" w:eastAsia="Arial" w:hAnsi="Arial"/>
                <w:sz w:val="14"/>
                <w:szCs w:val="14"/>
                <w:b w:val="1"/>
                <w:bCs w:val="1"/>
                <w:color w:val="auto"/>
                <w:w w:val="94"/>
              </w:rPr>
              <w:t>Dec. 1, 2007</w:t>
            </w:r>
          </w:p>
        </w:tc>
        <w:tc>
          <w:tcPr>
            <w:tcW w:w="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20" w:type="dxa"/>
            <w:vAlign w:val="bottom"/>
            <w:gridSpan w:val="2"/>
          </w:tcPr>
          <w:p>
            <w:pPr>
              <w:ind w:left="60"/>
              <w:spacing w:after="0"/>
              <w:rPr>
                <w:sz w:val="20"/>
                <w:szCs w:val="20"/>
                <w:color w:val="auto"/>
              </w:rPr>
            </w:pPr>
            <w:r>
              <w:rPr>
                <w:rFonts w:ascii="Arial" w:cs="Arial" w:eastAsia="Arial" w:hAnsi="Arial"/>
                <w:sz w:val="14"/>
                <w:szCs w:val="14"/>
                <w:b w:val="1"/>
                <w:bCs w:val="1"/>
                <w:color w:val="auto"/>
              </w:rPr>
              <w:t>Nov. 25, 2006</w:t>
            </w:r>
          </w:p>
        </w:tc>
        <w:tc>
          <w:tcPr>
            <w:tcW w:w="240" w:type="dxa"/>
            <w:vAlign w:val="bottom"/>
          </w:tcPr>
          <w:p>
            <w:pPr>
              <w:spacing w:after="0"/>
              <w:rPr>
                <w:sz w:val="14"/>
                <w:szCs w:val="14"/>
                <w:color w:val="auto"/>
              </w:rPr>
            </w:pPr>
          </w:p>
        </w:tc>
        <w:tc>
          <w:tcPr>
            <w:tcW w:w="1340" w:type="dxa"/>
            <w:vAlign w:val="bottom"/>
            <w:gridSpan w:val="2"/>
          </w:tcPr>
          <w:p>
            <w:pPr>
              <w:jc w:val="right"/>
              <w:ind w:right="860"/>
              <w:spacing w:after="0"/>
              <w:rPr>
                <w:sz w:val="20"/>
                <w:szCs w:val="20"/>
                <w:color w:val="auto"/>
              </w:rPr>
            </w:pPr>
            <w:r>
              <w:rPr>
                <w:rFonts w:ascii="Arial" w:cs="Arial" w:eastAsia="Arial" w:hAnsi="Arial"/>
                <w:sz w:val="14"/>
                <w:szCs w:val="14"/>
                <w:b w:val="1"/>
                <w:bCs w:val="1"/>
                <w:color w:val="auto"/>
              </w:rPr>
              <w:t>Units</w:t>
            </w:r>
          </w:p>
        </w:tc>
        <w:tc>
          <w:tcPr>
            <w:tcW w:w="1020" w:type="dxa"/>
            <w:vAlign w:val="bottom"/>
          </w:tcPr>
          <w:p>
            <w:pPr>
              <w:jc w:val="right"/>
              <w:ind w:right="355"/>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4340" w:type="dxa"/>
            <w:vAlign w:val="bottom"/>
            <w:gridSpan w:val="2"/>
            <w:vMerge w:val="continue"/>
          </w:tcPr>
          <w:p>
            <w:pPr>
              <w:spacing w:after="0"/>
              <w:rPr>
                <w:sz w:val="16"/>
                <w:szCs w:val="16"/>
                <w:color w:val="auto"/>
              </w:rPr>
            </w:pPr>
          </w:p>
        </w:tc>
        <w:tc>
          <w:tcPr>
            <w:tcW w:w="88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4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spacing w:after="0"/>
              <w:rPr>
                <w:sz w:val="16"/>
                <w:szCs w:val="16"/>
                <w:color w:val="auto"/>
              </w:rPr>
            </w:pPr>
          </w:p>
        </w:tc>
        <w:tc>
          <w:tcPr>
            <w:tcW w:w="44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440" w:type="dxa"/>
            <w:vAlign w:val="bottom"/>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4320" w:type="dxa"/>
            <w:vAlign w:val="bottom"/>
            <w:shd w:val="clear" w:color="auto" w:fill="D6F3E8"/>
          </w:tcPr>
          <w:p>
            <w:pPr>
              <w:ind w:left="140"/>
              <w:spacing w:after="0"/>
              <w:rPr>
                <w:sz w:val="20"/>
                <w:szCs w:val="20"/>
                <w:color w:val="auto"/>
              </w:rPr>
            </w:pPr>
            <w:r>
              <w:rPr>
                <w:rFonts w:ascii="Arial" w:cs="Arial" w:eastAsia="Arial" w:hAnsi="Arial"/>
                <w:sz w:val="18"/>
                <w:szCs w:val="18"/>
                <w:color w:val="auto"/>
              </w:rPr>
              <w:t>Class A Gas</w:t>
            </w:r>
          </w:p>
        </w:tc>
        <w:tc>
          <w:tcPr>
            <w:tcW w:w="880" w:type="dxa"/>
            <w:vAlign w:val="bottom"/>
            <w:shd w:val="clear" w:color="auto" w:fill="D6F3E8"/>
          </w:tcPr>
          <w:p>
            <w:pPr>
              <w:spacing w:after="0"/>
              <w:rPr>
                <w:sz w:val="22"/>
                <w:szCs w:val="22"/>
                <w:color w:val="auto"/>
              </w:rPr>
            </w:pPr>
          </w:p>
        </w:tc>
        <w:tc>
          <w:tcPr>
            <w:tcW w:w="180" w:type="dxa"/>
            <w:vAlign w:val="bottom"/>
            <w:shd w:val="clear" w:color="auto" w:fill="D6F3E8"/>
          </w:tcPr>
          <w:p>
            <w:pPr>
              <w:spacing w:after="0"/>
              <w:rPr>
                <w:sz w:val="22"/>
                <w:szCs w:val="22"/>
                <w:color w:val="auto"/>
              </w:rPr>
            </w:pPr>
          </w:p>
        </w:tc>
        <w:tc>
          <w:tcPr>
            <w:tcW w:w="1100" w:type="dxa"/>
            <w:vAlign w:val="bottom"/>
            <w:tcBorders>
              <w:right w:val="single" w:sz="8" w:color="D6F3E8"/>
            </w:tcBorders>
            <w:shd w:val="clear" w:color="auto" w:fill="D6F3E8"/>
          </w:tcPr>
          <w:p>
            <w:pPr>
              <w:jc w:val="right"/>
              <w:spacing w:after="0"/>
              <w:rPr>
                <w:sz w:val="20"/>
                <w:szCs w:val="20"/>
                <w:color w:val="auto"/>
              </w:rPr>
            </w:pPr>
            <w:r>
              <w:rPr>
                <w:rFonts w:ascii="Arial" w:cs="Arial" w:eastAsia="Arial" w:hAnsi="Arial"/>
                <w:sz w:val="18"/>
                <w:szCs w:val="18"/>
                <w:color w:val="auto"/>
              </w:rPr>
              <w:t>449</w:t>
            </w:r>
          </w:p>
        </w:tc>
        <w:tc>
          <w:tcPr>
            <w:tcW w:w="400" w:type="dxa"/>
            <w:vAlign w:val="bottom"/>
            <w:shd w:val="clear" w:color="auto" w:fill="D6F3E8"/>
          </w:tcPr>
          <w:p>
            <w:pPr>
              <w:spacing w:after="0"/>
              <w:rPr>
                <w:sz w:val="22"/>
                <w:szCs w:val="22"/>
                <w:color w:val="auto"/>
              </w:rPr>
            </w:pPr>
          </w:p>
        </w:tc>
        <w:tc>
          <w:tcPr>
            <w:tcW w:w="180" w:type="dxa"/>
            <w:vAlign w:val="bottom"/>
            <w:shd w:val="clear" w:color="auto" w:fill="D6F3E8"/>
          </w:tcPr>
          <w:p>
            <w:pPr>
              <w:spacing w:after="0"/>
              <w:rPr>
                <w:sz w:val="22"/>
                <w:szCs w:val="22"/>
                <w:color w:val="auto"/>
              </w:rPr>
            </w:pPr>
          </w:p>
        </w:tc>
        <w:tc>
          <w:tcPr>
            <w:tcW w:w="1080" w:type="dxa"/>
            <w:vAlign w:val="bottom"/>
            <w:shd w:val="clear" w:color="auto" w:fill="D6F3E8"/>
          </w:tcPr>
          <w:p>
            <w:pPr>
              <w:jc w:val="right"/>
              <w:spacing w:after="0"/>
              <w:rPr>
                <w:sz w:val="20"/>
                <w:szCs w:val="20"/>
                <w:color w:val="auto"/>
              </w:rPr>
            </w:pPr>
            <w:r>
              <w:rPr>
                <w:rFonts w:ascii="Arial" w:cs="Arial" w:eastAsia="Arial" w:hAnsi="Arial"/>
                <w:sz w:val="18"/>
                <w:szCs w:val="18"/>
                <w:color w:val="auto"/>
              </w:rPr>
              <w:t>552</w:t>
            </w:r>
          </w:p>
        </w:tc>
        <w:tc>
          <w:tcPr>
            <w:tcW w:w="440" w:type="dxa"/>
            <w:vAlign w:val="bottom"/>
            <w:shd w:val="clear" w:color="auto" w:fill="D6F3E8"/>
          </w:tcPr>
          <w:p>
            <w:pPr>
              <w:spacing w:after="0"/>
              <w:rPr>
                <w:sz w:val="22"/>
                <w:szCs w:val="22"/>
                <w:color w:val="auto"/>
              </w:rPr>
            </w:pPr>
          </w:p>
        </w:tc>
        <w:tc>
          <w:tcPr>
            <w:tcW w:w="240" w:type="dxa"/>
            <w:vAlign w:val="bottom"/>
            <w:shd w:val="clear" w:color="auto" w:fill="D6F3E8"/>
          </w:tcPr>
          <w:p>
            <w:pPr>
              <w:spacing w:after="0"/>
              <w:rPr>
                <w:sz w:val="22"/>
                <w:szCs w:val="22"/>
                <w:color w:val="auto"/>
              </w:rPr>
            </w:pPr>
          </w:p>
        </w:tc>
        <w:tc>
          <w:tcPr>
            <w:tcW w:w="1340" w:type="dxa"/>
            <w:vAlign w:val="bottom"/>
            <w:gridSpan w:val="2"/>
            <w:shd w:val="clear" w:color="auto" w:fill="D6F3E8"/>
          </w:tcPr>
          <w:p>
            <w:pPr>
              <w:jc w:val="right"/>
              <w:ind w:right="380"/>
              <w:spacing w:after="0"/>
              <w:rPr>
                <w:sz w:val="20"/>
                <w:szCs w:val="20"/>
                <w:color w:val="auto"/>
              </w:rPr>
            </w:pPr>
            <w:r>
              <w:rPr>
                <w:rFonts w:ascii="Arial" w:cs="Arial" w:eastAsia="Arial" w:hAnsi="Arial"/>
                <w:sz w:val="18"/>
                <w:szCs w:val="18"/>
                <w:color w:val="auto"/>
              </w:rPr>
              <w:t>(103)</w:t>
            </w:r>
          </w:p>
        </w:tc>
        <w:tc>
          <w:tcPr>
            <w:tcW w:w="1240" w:type="dxa"/>
            <w:vAlign w:val="bottom"/>
            <w:gridSpan w:val="2"/>
            <w:shd w:val="clear" w:color="auto" w:fill="D6F3E8"/>
          </w:tcPr>
          <w:p>
            <w:pPr>
              <w:jc w:val="right"/>
              <w:ind w:right="160"/>
              <w:spacing w:after="0"/>
              <w:rPr>
                <w:sz w:val="20"/>
                <w:szCs w:val="20"/>
                <w:color w:val="auto"/>
              </w:rPr>
            </w:pPr>
            <w:r>
              <w:rPr>
                <w:rFonts w:ascii="Arial" w:cs="Arial" w:eastAsia="Arial" w:hAnsi="Arial"/>
                <w:sz w:val="18"/>
                <w:szCs w:val="18"/>
                <w:color w:val="auto"/>
              </w:rPr>
              <w:t>(18.7)</w:t>
            </w: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4320" w:type="dxa"/>
            <w:vAlign w:val="bottom"/>
          </w:tcPr>
          <w:p>
            <w:pPr>
              <w:ind w:left="140"/>
              <w:spacing w:after="0"/>
              <w:rPr>
                <w:sz w:val="20"/>
                <w:szCs w:val="20"/>
                <w:color w:val="auto"/>
              </w:rPr>
            </w:pPr>
            <w:r>
              <w:rPr>
                <w:rFonts w:ascii="Arial" w:cs="Arial" w:eastAsia="Arial" w:hAnsi="Arial"/>
                <w:sz w:val="18"/>
                <w:szCs w:val="18"/>
                <w:color w:val="auto"/>
              </w:rPr>
              <w:t>Class A Diesel</w:t>
            </w:r>
          </w:p>
        </w:tc>
        <w:tc>
          <w:tcPr>
            <w:tcW w:w="8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299</w:t>
            </w:r>
          </w:p>
        </w:tc>
        <w:tc>
          <w:tcPr>
            <w:tcW w:w="4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466</w:t>
            </w:r>
          </w:p>
        </w:tc>
        <w:tc>
          <w:tcPr>
            <w:tcW w:w="4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gridSpan w:val="2"/>
          </w:tcPr>
          <w:p>
            <w:pPr>
              <w:jc w:val="right"/>
              <w:ind w:right="380"/>
              <w:spacing w:after="0"/>
              <w:rPr>
                <w:sz w:val="20"/>
                <w:szCs w:val="20"/>
                <w:color w:val="auto"/>
              </w:rPr>
            </w:pPr>
            <w:r>
              <w:rPr>
                <w:rFonts w:ascii="Arial" w:cs="Arial" w:eastAsia="Arial" w:hAnsi="Arial"/>
                <w:sz w:val="18"/>
                <w:szCs w:val="18"/>
                <w:color w:val="auto"/>
              </w:rPr>
              <w:t>(167)</w:t>
            </w: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(35.8)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20" w:type="dxa"/>
            <w:vAlign w:val="bottom"/>
            <w:vMerge w:val="restart"/>
            <w:shd w:val="clear" w:color="auto" w:fill="D6F3E8"/>
          </w:tcPr>
          <w:p>
            <w:pPr>
              <w:ind w:left="300"/>
              <w:spacing w:after="0"/>
              <w:rPr>
                <w:sz w:val="20"/>
                <w:szCs w:val="20"/>
                <w:color w:val="auto"/>
              </w:rPr>
            </w:pPr>
            <w:r>
              <w:rPr>
                <w:rFonts w:ascii="Arial" w:cs="Arial" w:eastAsia="Arial" w:hAnsi="Arial"/>
                <w:sz w:val="18"/>
                <w:szCs w:val="18"/>
                <w:color w:val="auto"/>
              </w:rPr>
              <w:t>Total Class A</w:t>
            </w:r>
          </w:p>
        </w:tc>
        <w:tc>
          <w:tcPr>
            <w:tcW w:w="880" w:type="dxa"/>
            <w:vAlign w:val="bottom"/>
            <w:shd w:val="clear" w:color="auto" w:fill="D6F3E8"/>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00" w:type="dxa"/>
            <w:vAlign w:val="bottom"/>
            <w:tcBorders>
              <w:right w:val="single" w:sz="8" w:color="D6F3E8"/>
            </w:tcBorders>
            <w:shd w:val="clear" w:color="auto" w:fill="000000"/>
          </w:tcPr>
          <w:p>
            <w:pPr>
              <w:spacing w:after="0" w:line="20" w:lineRule="exact"/>
              <w:rPr>
                <w:sz w:val="1"/>
                <w:szCs w:val="1"/>
                <w:color w:val="auto"/>
              </w:rPr>
            </w:pPr>
          </w:p>
        </w:tc>
        <w:tc>
          <w:tcPr>
            <w:tcW w:w="400" w:type="dxa"/>
            <w:vAlign w:val="bottom"/>
            <w:shd w:val="clear" w:color="auto" w:fill="D6F3E8"/>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440" w:type="dxa"/>
            <w:vAlign w:val="bottom"/>
            <w:shd w:val="clear" w:color="auto" w:fill="D6F3E8"/>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440" w:type="dxa"/>
            <w:vAlign w:val="bottom"/>
            <w:shd w:val="clear" w:color="auto" w:fill="D6F3E8"/>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shd w:val="clear" w:color="auto" w:fill="D6F3E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8"/>
        </w:trPr>
        <w:tc>
          <w:tcPr>
            <w:tcW w:w="20" w:type="dxa"/>
            <w:vAlign w:val="bottom"/>
          </w:tcPr>
          <w:p>
            <w:pPr>
              <w:spacing w:after="0"/>
              <w:rPr>
                <w:sz w:val="20"/>
                <w:szCs w:val="20"/>
                <w:color w:val="auto"/>
              </w:rPr>
            </w:pPr>
          </w:p>
        </w:tc>
        <w:tc>
          <w:tcPr>
            <w:tcW w:w="4320" w:type="dxa"/>
            <w:vAlign w:val="bottom"/>
            <w:vMerge w:val="continue"/>
            <w:shd w:val="clear" w:color="auto" w:fill="D6F3E8"/>
          </w:tcPr>
          <w:p>
            <w:pPr>
              <w:spacing w:after="0"/>
              <w:rPr>
                <w:sz w:val="20"/>
                <w:szCs w:val="20"/>
                <w:color w:val="auto"/>
              </w:rPr>
            </w:pPr>
          </w:p>
        </w:tc>
        <w:tc>
          <w:tcPr>
            <w:tcW w:w="880" w:type="dxa"/>
            <w:vAlign w:val="bottom"/>
            <w:shd w:val="clear" w:color="auto" w:fill="D6F3E8"/>
          </w:tcPr>
          <w:p>
            <w:pPr>
              <w:spacing w:after="0"/>
              <w:rPr>
                <w:sz w:val="20"/>
                <w:szCs w:val="20"/>
                <w:color w:val="auto"/>
              </w:rPr>
            </w:pPr>
          </w:p>
        </w:tc>
        <w:tc>
          <w:tcPr>
            <w:tcW w:w="180" w:type="dxa"/>
            <w:vAlign w:val="bottom"/>
            <w:shd w:val="clear" w:color="auto" w:fill="D6F3E8"/>
          </w:tcPr>
          <w:p>
            <w:pPr>
              <w:spacing w:after="0"/>
              <w:rPr>
                <w:sz w:val="20"/>
                <w:szCs w:val="20"/>
                <w:color w:val="auto"/>
              </w:rPr>
            </w:pPr>
          </w:p>
        </w:tc>
        <w:tc>
          <w:tcPr>
            <w:tcW w:w="1100" w:type="dxa"/>
            <w:vAlign w:val="bottom"/>
            <w:tcBorders>
              <w:right w:val="single" w:sz="8" w:color="D6F3E8"/>
            </w:tcBorders>
            <w:shd w:val="clear" w:color="auto" w:fill="D6F3E8"/>
          </w:tcPr>
          <w:p>
            <w:pPr>
              <w:jc w:val="right"/>
              <w:spacing w:after="0"/>
              <w:rPr>
                <w:sz w:val="20"/>
                <w:szCs w:val="20"/>
                <w:color w:val="auto"/>
              </w:rPr>
            </w:pPr>
            <w:r>
              <w:rPr>
                <w:rFonts w:ascii="Arial" w:cs="Arial" w:eastAsia="Arial" w:hAnsi="Arial"/>
                <w:sz w:val="18"/>
                <w:szCs w:val="18"/>
                <w:color w:val="auto"/>
              </w:rPr>
              <w:t>748</w:t>
            </w:r>
          </w:p>
        </w:tc>
        <w:tc>
          <w:tcPr>
            <w:tcW w:w="400" w:type="dxa"/>
            <w:vAlign w:val="bottom"/>
            <w:shd w:val="clear" w:color="auto" w:fill="D6F3E8"/>
          </w:tcPr>
          <w:p>
            <w:pPr>
              <w:spacing w:after="0"/>
              <w:rPr>
                <w:sz w:val="20"/>
                <w:szCs w:val="20"/>
                <w:color w:val="auto"/>
              </w:rPr>
            </w:pPr>
          </w:p>
        </w:tc>
        <w:tc>
          <w:tcPr>
            <w:tcW w:w="180" w:type="dxa"/>
            <w:vAlign w:val="bottom"/>
            <w:shd w:val="clear" w:color="auto" w:fill="D6F3E8"/>
          </w:tcPr>
          <w:p>
            <w:pPr>
              <w:spacing w:after="0"/>
              <w:rPr>
                <w:sz w:val="20"/>
                <w:szCs w:val="20"/>
                <w:color w:val="auto"/>
              </w:rPr>
            </w:pPr>
          </w:p>
        </w:tc>
        <w:tc>
          <w:tcPr>
            <w:tcW w:w="1080" w:type="dxa"/>
            <w:vAlign w:val="bottom"/>
            <w:shd w:val="clear" w:color="auto" w:fill="D6F3E8"/>
          </w:tcPr>
          <w:p>
            <w:pPr>
              <w:jc w:val="right"/>
              <w:spacing w:after="0"/>
              <w:rPr>
                <w:sz w:val="20"/>
                <w:szCs w:val="20"/>
                <w:color w:val="auto"/>
              </w:rPr>
            </w:pPr>
            <w:r>
              <w:rPr>
                <w:rFonts w:ascii="Arial" w:cs="Arial" w:eastAsia="Arial" w:hAnsi="Arial"/>
                <w:sz w:val="18"/>
                <w:szCs w:val="18"/>
                <w:color w:val="auto"/>
              </w:rPr>
              <w:t>1,018</w:t>
            </w:r>
          </w:p>
        </w:tc>
        <w:tc>
          <w:tcPr>
            <w:tcW w:w="440" w:type="dxa"/>
            <w:vAlign w:val="bottom"/>
            <w:shd w:val="clear" w:color="auto" w:fill="D6F3E8"/>
          </w:tcPr>
          <w:p>
            <w:pPr>
              <w:spacing w:after="0"/>
              <w:rPr>
                <w:sz w:val="20"/>
                <w:szCs w:val="20"/>
                <w:color w:val="auto"/>
              </w:rPr>
            </w:pPr>
          </w:p>
        </w:tc>
        <w:tc>
          <w:tcPr>
            <w:tcW w:w="240" w:type="dxa"/>
            <w:vAlign w:val="bottom"/>
            <w:shd w:val="clear" w:color="auto" w:fill="D6F3E8"/>
          </w:tcPr>
          <w:p>
            <w:pPr>
              <w:spacing w:after="0"/>
              <w:rPr>
                <w:sz w:val="20"/>
                <w:szCs w:val="20"/>
                <w:color w:val="auto"/>
              </w:rPr>
            </w:pPr>
          </w:p>
        </w:tc>
        <w:tc>
          <w:tcPr>
            <w:tcW w:w="1340" w:type="dxa"/>
            <w:vAlign w:val="bottom"/>
            <w:gridSpan w:val="2"/>
            <w:shd w:val="clear" w:color="auto" w:fill="D6F3E8"/>
          </w:tcPr>
          <w:p>
            <w:pPr>
              <w:jc w:val="right"/>
              <w:ind w:right="380"/>
              <w:spacing w:after="0"/>
              <w:rPr>
                <w:sz w:val="20"/>
                <w:szCs w:val="20"/>
                <w:color w:val="auto"/>
              </w:rPr>
            </w:pPr>
            <w:r>
              <w:rPr>
                <w:rFonts w:ascii="Arial" w:cs="Arial" w:eastAsia="Arial" w:hAnsi="Arial"/>
                <w:sz w:val="18"/>
                <w:szCs w:val="18"/>
                <w:color w:val="auto"/>
              </w:rPr>
              <w:t>(270)</w:t>
            </w:r>
          </w:p>
        </w:tc>
        <w:tc>
          <w:tcPr>
            <w:tcW w:w="1240" w:type="dxa"/>
            <w:vAlign w:val="bottom"/>
            <w:gridSpan w:val="2"/>
            <w:shd w:val="clear" w:color="auto" w:fill="D6F3E8"/>
          </w:tcPr>
          <w:p>
            <w:pPr>
              <w:jc w:val="right"/>
              <w:ind w:right="160"/>
              <w:spacing w:after="0"/>
              <w:rPr>
                <w:sz w:val="20"/>
                <w:szCs w:val="20"/>
                <w:color w:val="auto"/>
              </w:rPr>
            </w:pPr>
            <w:r>
              <w:rPr>
                <w:rFonts w:ascii="Arial" w:cs="Arial" w:eastAsia="Arial" w:hAnsi="Arial"/>
                <w:sz w:val="18"/>
                <w:szCs w:val="18"/>
                <w:color w:val="auto"/>
              </w:rPr>
              <w:t>(26.5)</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320" w:type="dxa"/>
            <w:vAlign w:val="bottom"/>
          </w:tcPr>
          <w:p>
            <w:pPr>
              <w:ind w:left="140"/>
              <w:spacing w:after="0"/>
              <w:rPr>
                <w:sz w:val="20"/>
                <w:szCs w:val="20"/>
                <w:color w:val="auto"/>
              </w:rPr>
            </w:pPr>
            <w:r>
              <w:rPr>
                <w:rFonts w:ascii="Arial" w:cs="Arial" w:eastAsia="Arial" w:hAnsi="Arial"/>
                <w:sz w:val="18"/>
                <w:szCs w:val="18"/>
                <w:color w:val="auto"/>
              </w:rPr>
              <w:t>Class C</w:t>
            </w:r>
          </w:p>
        </w:tc>
        <w:tc>
          <w:tcPr>
            <w:tcW w:w="8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1,085</w:t>
            </w:r>
          </w:p>
        </w:tc>
        <w:tc>
          <w:tcPr>
            <w:tcW w:w="4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727</w:t>
            </w:r>
          </w:p>
        </w:tc>
        <w:tc>
          <w:tcPr>
            <w:tcW w:w="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358</w:t>
            </w:r>
          </w:p>
        </w:tc>
        <w:tc>
          <w:tcPr>
            <w:tcW w:w="4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49.2</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4320" w:type="dxa"/>
            <w:vAlign w:val="bottom"/>
            <w:tcBorders>
              <w:top w:val="single" w:sz="8" w:color="D6F3E8"/>
              <w:bottom w:val="single" w:sz="8" w:color="D6F3E8"/>
            </w:tcBorders>
            <w:shd w:val="clear" w:color="auto" w:fill="D6F3E8"/>
          </w:tcPr>
          <w:p>
            <w:pPr>
              <w:ind w:left="300"/>
              <w:spacing w:after="0"/>
              <w:rPr>
                <w:sz w:val="20"/>
                <w:szCs w:val="20"/>
                <w:color w:val="auto"/>
              </w:rPr>
            </w:pPr>
            <w:r>
              <w:rPr>
                <w:rFonts w:ascii="Arial" w:cs="Arial" w:eastAsia="Arial" w:hAnsi="Arial"/>
                <w:sz w:val="18"/>
                <w:szCs w:val="18"/>
                <w:color w:val="auto"/>
              </w:rPr>
              <w:t>Total backlog*</w:t>
            </w:r>
          </w:p>
        </w:tc>
        <w:tc>
          <w:tcPr>
            <w:tcW w:w="880" w:type="dxa"/>
            <w:vAlign w:val="bottom"/>
            <w:tcBorders>
              <w:top w:val="single" w:sz="8" w:color="D6F3E8"/>
              <w:bottom w:val="single" w:sz="8" w:color="D6F3E8"/>
            </w:tcBorders>
            <w:shd w:val="clear" w:color="auto" w:fill="D6F3E8"/>
          </w:tcPr>
          <w:p>
            <w:pPr>
              <w:spacing w:after="0"/>
              <w:rPr>
                <w:sz w:val="18"/>
                <w:szCs w:val="18"/>
                <w:color w:val="auto"/>
              </w:rPr>
            </w:pPr>
          </w:p>
        </w:tc>
        <w:tc>
          <w:tcPr>
            <w:tcW w:w="180" w:type="dxa"/>
            <w:vAlign w:val="bottom"/>
            <w:tcBorders>
              <w:top w:val="single" w:sz="8" w:color="auto"/>
              <w:bottom w:val="single" w:sz="8" w:color="auto"/>
            </w:tcBorders>
            <w:shd w:val="clear" w:color="auto" w:fill="D6F3E8"/>
          </w:tcPr>
          <w:p>
            <w:pPr>
              <w:spacing w:after="0"/>
              <w:rPr>
                <w:sz w:val="18"/>
                <w:szCs w:val="18"/>
                <w:color w:val="auto"/>
              </w:rPr>
            </w:pPr>
          </w:p>
        </w:tc>
        <w:tc>
          <w:tcPr>
            <w:tcW w:w="1100" w:type="dxa"/>
            <w:vAlign w:val="bottom"/>
            <w:tcBorders>
              <w:top w:val="single" w:sz="8" w:color="auto"/>
              <w:bottom w:val="single" w:sz="8" w:color="auto"/>
              <w:right w:val="single" w:sz="8" w:color="D6F3E8"/>
            </w:tcBorders>
            <w:shd w:val="clear" w:color="auto" w:fill="D6F3E8"/>
          </w:tcPr>
          <w:p>
            <w:pPr>
              <w:jc w:val="right"/>
              <w:spacing w:after="0"/>
              <w:rPr>
                <w:sz w:val="20"/>
                <w:szCs w:val="20"/>
                <w:color w:val="auto"/>
              </w:rPr>
            </w:pPr>
            <w:r>
              <w:rPr>
                <w:rFonts w:ascii="Arial" w:cs="Arial" w:eastAsia="Arial" w:hAnsi="Arial"/>
                <w:sz w:val="18"/>
                <w:szCs w:val="18"/>
                <w:color w:val="auto"/>
              </w:rPr>
              <w:t>1,833</w:t>
            </w:r>
          </w:p>
        </w:tc>
        <w:tc>
          <w:tcPr>
            <w:tcW w:w="400" w:type="dxa"/>
            <w:vAlign w:val="bottom"/>
            <w:tcBorders>
              <w:top w:val="single" w:sz="8" w:color="D6F3E8"/>
              <w:bottom w:val="single" w:sz="8" w:color="D6F3E8"/>
            </w:tcBorders>
            <w:shd w:val="clear" w:color="auto" w:fill="D6F3E8"/>
          </w:tcPr>
          <w:p>
            <w:pPr>
              <w:spacing w:after="0"/>
              <w:rPr>
                <w:sz w:val="18"/>
                <w:szCs w:val="18"/>
                <w:color w:val="auto"/>
              </w:rPr>
            </w:pPr>
          </w:p>
        </w:tc>
        <w:tc>
          <w:tcPr>
            <w:tcW w:w="180" w:type="dxa"/>
            <w:vAlign w:val="bottom"/>
            <w:tcBorders>
              <w:top w:val="single" w:sz="8" w:color="auto"/>
              <w:bottom w:val="single" w:sz="8" w:color="auto"/>
            </w:tcBorders>
            <w:shd w:val="clear" w:color="auto" w:fill="D6F3E8"/>
          </w:tcPr>
          <w:p>
            <w:pPr>
              <w:spacing w:after="0"/>
              <w:rPr>
                <w:sz w:val="18"/>
                <w:szCs w:val="18"/>
                <w:color w:val="auto"/>
              </w:rPr>
            </w:pPr>
          </w:p>
        </w:tc>
        <w:tc>
          <w:tcPr>
            <w:tcW w:w="1080" w:type="dxa"/>
            <w:vAlign w:val="bottom"/>
            <w:tcBorders>
              <w:top w:val="single" w:sz="8" w:color="auto"/>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1,745</w:t>
            </w:r>
          </w:p>
        </w:tc>
        <w:tc>
          <w:tcPr>
            <w:tcW w:w="440" w:type="dxa"/>
            <w:vAlign w:val="bottom"/>
            <w:tcBorders>
              <w:top w:val="single" w:sz="8" w:color="D6F3E8"/>
              <w:bottom w:val="single" w:sz="8" w:color="D6F3E8"/>
            </w:tcBorders>
            <w:shd w:val="clear" w:color="auto" w:fill="D6F3E8"/>
          </w:tcPr>
          <w:p>
            <w:pPr>
              <w:spacing w:after="0"/>
              <w:rPr>
                <w:sz w:val="18"/>
                <w:szCs w:val="18"/>
                <w:color w:val="auto"/>
              </w:rPr>
            </w:pPr>
          </w:p>
        </w:tc>
        <w:tc>
          <w:tcPr>
            <w:tcW w:w="240" w:type="dxa"/>
            <w:vAlign w:val="bottom"/>
            <w:tcBorders>
              <w:top w:val="single" w:sz="8" w:color="auto"/>
              <w:bottom w:val="single" w:sz="8" w:color="auto"/>
            </w:tcBorders>
            <w:shd w:val="clear" w:color="auto" w:fill="D6F3E8"/>
          </w:tcPr>
          <w:p>
            <w:pPr>
              <w:spacing w:after="0"/>
              <w:rPr>
                <w:sz w:val="18"/>
                <w:szCs w:val="18"/>
                <w:color w:val="auto"/>
              </w:rPr>
            </w:pPr>
          </w:p>
        </w:tc>
        <w:tc>
          <w:tcPr>
            <w:tcW w:w="900" w:type="dxa"/>
            <w:vAlign w:val="bottom"/>
            <w:tcBorders>
              <w:top w:val="single" w:sz="8" w:color="auto"/>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88</w:t>
            </w:r>
          </w:p>
        </w:tc>
        <w:tc>
          <w:tcPr>
            <w:tcW w:w="440" w:type="dxa"/>
            <w:vAlign w:val="bottom"/>
            <w:tcBorders>
              <w:top w:val="single" w:sz="8" w:color="D6F3E8"/>
              <w:bottom w:val="single" w:sz="8" w:color="D6F3E8"/>
            </w:tcBorders>
            <w:shd w:val="clear" w:color="auto" w:fill="D6F3E8"/>
          </w:tcPr>
          <w:p>
            <w:pPr>
              <w:spacing w:after="0"/>
              <w:rPr>
                <w:sz w:val="18"/>
                <w:szCs w:val="18"/>
                <w:color w:val="auto"/>
              </w:rPr>
            </w:pPr>
          </w:p>
        </w:tc>
        <w:tc>
          <w:tcPr>
            <w:tcW w:w="1020" w:type="dxa"/>
            <w:vAlign w:val="bottom"/>
            <w:tcBorders>
              <w:top w:val="single" w:sz="8" w:color="auto"/>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5.0</w:t>
            </w:r>
          </w:p>
        </w:tc>
        <w:tc>
          <w:tcPr>
            <w:tcW w:w="220" w:type="dxa"/>
            <w:vAlign w:val="bottom"/>
            <w:tcBorders>
              <w:top w:val="single" w:sz="8" w:color="D6F3E8"/>
              <w:bottom w:val="single" w:sz="8" w:color="D6F3E8"/>
            </w:tcBorders>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340" w:type="dxa"/>
            <w:vAlign w:val="bottom"/>
            <w:gridSpan w:val="2"/>
            <w:vMerge w:val="restart"/>
          </w:tcPr>
          <w:p>
            <w:pPr>
              <w:spacing w:after="0"/>
              <w:rPr>
                <w:sz w:val="20"/>
                <w:szCs w:val="20"/>
                <w:color w:val="auto"/>
              </w:rPr>
            </w:pPr>
            <w:r>
              <w:rPr>
                <w:rFonts w:ascii="Arial" w:cs="Arial" w:eastAsia="Arial" w:hAnsi="Arial"/>
                <w:sz w:val="18"/>
                <w:szCs w:val="18"/>
                <w:color w:val="auto"/>
              </w:rPr>
              <w:t>Total approximate revenue dollars (in thousands)</w:t>
            </w:r>
          </w:p>
        </w:tc>
        <w:tc>
          <w:tcPr>
            <w:tcW w:w="8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7"/>
        </w:trPr>
        <w:tc>
          <w:tcPr>
            <w:tcW w:w="4340" w:type="dxa"/>
            <w:vAlign w:val="bottom"/>
            <w:gridSpan w:val="2"/>
            <w:vMerge w:val="continue"/>
          </w:tcPr>
          <w:p>
            <w:pPr>
              <w:spacing w:after="0"/>
              <w:rPr>
                <w:sz w:val="24"/>
                <w:szCs w:val="24"/>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161,743</w:t>
            </w:r>
          </w:p>
        </w:tc>
        <w:tc>
          <w:tcPr>
            <w:tcW w:w="5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166,905</w:t>
            </w:r>
          </w:p>
        </w:tc>
        <w:tc>
          <w:tcPr>
            <w:tcW w:w="440" w:type="dxa"/>
            <w:vAlign w:val="bottom"/>
          </w:tcPr>
          <w:p>
            <w:pPr>
              <w:spacing w:after="0"/>
              <w:rPr>
                <w:sz w:val="24"/>
                <w:szCs w:val="24"/>
                <w:color w:val="auto"/>
              </w:rPr>
            </w:pPr>
          </w:p>
        </w:tc>
        <w:tc>
          <w:tcPr>
            <w:tcW w:w="240" w:type="dxa"/>
            <w:vAlign w:val="bottom"/>
          </w:tcPr>
          <w:p>
            <w:pPr>
              <w:jc w:val="right"/>
              <w:ind w:right="83"/>
              <w:spacing w:after="0"/>
              <w:rPr>
                <w:sz w:val="20"/>
                <w:szCs w:val="20"/>
                <w:color w:val="auto"/>
              </w:rPr>
            </w:pPr>
            <w:r>
              <w:rPr>
                <w:rFonts w:ascii="Arial" w:cs="Arial" w:eastAsia="Arial" w:hAnsi="Arial"/>
                <w:sz w:val="15"/>
                <w:szCs w:val="15"/>
                <w:color w:val="auto"/>
                <w:w w:val="71"/>
              </w:rPr>
              <w:t>$</w:t>
            </w:r>
          </w:p>
        </w:tc>
        <w:tc>
          <w:tcPr>
            <w:tcW w:w="1340" w:type="dxa"/>
            <w:vAlign w:val="bottom"/>
            <w:gridSpan w:val="2"/>
          </w:tcPr>
          <w:p>
            <w:pPr>
              <w:jc w:val="right"/>
              <w:ind w:right="380"/>
              <w:spacing w:after="0"/>
              <w:rPr>
                <w:sz w:val="20"/>
                <w:szCs w:val="20"/>
                <w:color w:val="auto"/>
              </w:rPr>
            </w:pPr>
            <w:r>
              <w:rPr>
                <w:rFonts w:ascii="Arial" w:cs="Arial" w:eastAsia="Arial" w:hAnsi="Arial"/>
                <w:sz w:val="18"/>
                <w:szCs w:val="18"/>
                <w:color w:val="auto"/>
              </w:rPr>
              <w:t>(5,162)</w:t>
            </w: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191"/>
        </w:trPr>
        <w:tc>
          <w:tcPr>
            <w:tcW w:w="20" w:type="dxa"/>
            <w:vAlign w:val="bottom"/>
            <w:vMerge w:val="restart"/>
          </w:tcPr>
          <w:p>
            <w:pPr>
              <w:spacing w:after="0"/>
              <w:rPr>
                <w:sz w:val="16"/>
                <w:szCs w:val="16"/>
                <w:color w:val="auto"/>
              </w:rPr>
            </w:pPr>
          </w:p>
        </w:tc>
        <w:tc>
          <w:tcPr>
            <w:tcW w:w="43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4320" w:type="dxa"/>
            <w:vAlign w:val="bottom"/>
            <w:shd w:val="clear" w:color="auto" w:fill="D6F3E8"/>
          </w:tcPr>
          <w:p>
            <w:pPr>
              <w:spacing w:after="0"/>
              <w:rPr>
                <w:sz w:val="20"/>
                <w:szCs w:val="20"/>
                <w:color w:val="auto"/>
              </w:rPr>
            </w:pPr>
            <w:r>
              <w:rPr>
                <w:rFonts w:ascii="Arial" w:cs="Arial" w:eastAsia="Arial" w:hAnsi="Arial"/>
                <w:sz w:val="18"/>
                <w:szCs w:val="18"/>
                <w:color w:val="auto"/>
              </w:rPr>
              <w:t>Dealer inventory</w:t>
            </w:r>
          </w:p>
        </w:tc>
        <w:tc>
          <w:tcPr>
            <w:tcW w:w="880" w:type="dxa"/>
            <w:vAlign w:val="bottom"/>
            <w:shd w:val="clear" w:color="auto" w:fill="D6F3E8"/>
          </w:tcPr>
          <w:p>
            <w:pPr>
              <w:spacing w:after="0"/>
              <w:rPr>
                <w:sz w:val="22"/>
                <w:szCs w:val="22"/>
                <w:color w:val="auto"/>
              </w:rPr>
            </w:pPr>
          </w:p>
        </w:tc>
        <w:tc>
          <w:tcPr>
            <w:tcW w:w="180" w:type="dxa"/>
            <w:vAlign w:val="bottom"/>
            <w:shd w:val="clear" w:color="auto" w:fill="D6F3E8"/>
          </w:tcPr>
          <w:p>
            <w:pPr>
              <w:spacing w:after="0"/>
              <w:rPr>
                <w:sz w:val="22"/>
                <w:szCs w:val="22"/>
                <w:color w:val="auto"/>
              </w:rPr>
            </w:pPr>
          </w:p>
        </w:tc>
        <w:tc>
          <w:tcPr>
            <w:tcW w:w="1100" w:type="dxa"/>
            <w:vAlign w:val="bottom"/>
            <w:tcBorders>
              <w:right w:val="single" w:sz="8" w:color="D6F3E8"/>
            </w:tcBorders>
            <w:shd w:val="clear" w:color="auto" w:fill="D6F3E8"/>
          </w:tcPr>
          <w:p>
            <w:pPr>
              <w:jc w:val="right"/>
              <w:spacing w:after="0"/>
              <w:rPr>
                <w:sz w:val="20"/>
                <w:szCs w:val="20"/>
                <w:color w:val="auto"/>
              </w:rPr>
            </w:pPr>
            <w:r>
              <w:rPr>
                <w:rFonts w:ascii="Arial" w:cs="Arial" w:eastAsia="Arial" w:hAnsi="Arial"/>
                <w:sz w:val="18"/>
                <w:szCs w:val="18"/>
                <w:color w:val="auto"/>
              </w:rPr>
              <w:t>4,364</w:t>
            </w:r>
          </w:p>
        </w:tc>
        <w:tc>
          <w:tcPr>
            <w:tcW w:w="400" w:type="dxa"/>
            <w:vAlign w:val="bottom"/>
            <w:shd w:val="clear" w:color="auto" w:fill="D6F3E8"/>
          </w:tcPr>
          <w:p>
            <w:pPr>
              <w:spacing w:after="0"/>
              <w:rPr>
                <w:sz w:val="22"/>
                <w:szCs w:val="22"/>
                <w:color w:val="auto"/>
              </w:rPr>
            </w:pPr>
          </w:p>
        </w:tc>
        <w:tc>
          <w:tcPr>
            <w:tcW w:w="180" w:type="dxa"/>
            <w:vAlign w:val="bottom"/>
            <w:shd w:val="clear" w:color="auto" w:fill="D6F3E8"/>
          </w:tcPr>
          <w:p>
            <w:pPr>
              <w:spacing w:after="0"/>
              <w:rPr>
                <w:sz w:val="22"/>
                <w:szCs w:val="22"/>
                <w:color w:val="auto"/>
              </w:rPr>
            </w:pPr>
          </w:p>
        </w:tc>
        <w:tc>
          <w:tcPr>
            <w:tcW w:w="1080" w:type="dxa"/>
            <w:vAlign w:val="bottom"/>
            <w:shd w:val="clear" w:color="auto" w:fill="D6F3E8"/>
          </w:tcPr>
          <w:p>
            <w:pPr>
              <w:jc w:val="right"/>
              <w:spacing w:after="0"/>
              <w:rPr>
                <w:sz w:val="20"/>
                <w:szCs w:val="20"/>
                <w:color w:val="auto"/>
              </w:rPr>
            </w:pPr>
            <w:r>
              <w:rPr>
                <w:rFonts w:ascii="Arial" w:cs="Arial" w:eastAsia="Arial" w:hAnsi="Arial"/>
                <w:sz w:val="18"/>
                <w:szCs w:val="18"/>
                <w:color w:val="auto"/>
              </w:rPr>
              <w:t>4,551</w:t>
            </w:r>
          </w:p>
        </w:tc>
        <w:tc>
          <w:tcPr>
            <w:tcW w:w="440" w:type="dxa"/>
            <w:vAlign w:val="bottom"/>
            <w:shd w:val="clear" w:color="auto" w:fill="D6F3E8"/>
          </w:tcPr>
          <w:p>
            <w:pPr>
              <w:spacing w:after="0"/>
              <w:rPr>
                <w:sz w:val="22"/>
                <w:szCs w:val="22"/>
                <w:color w:val="auto"/>
              </w:rPr>
            </w:pPr>
          </w:p>
        </w:tc>
        <w:tc>
          <w:tcPr>
            <w:tcW w:w="240" w:type="dxa"/>
            <w:vAlign w:val="bottom"/>
            <w:shd w:val="clear" w:color="auto" w:fill="D6F3E8"/>
          </w:tcPr>
          <w:p>
            <w:pPr>
              <w:spacing w:after="0"/>
              <w:rPr>
                <w:sz w:val="22"/>
                <w:szCs w:val="22"/>
                <w:color w:val="auto"/>
              </w:rPr>
            </w:pPr>
          </w:p>
        </w:tc>
        <w:tc>
          <w:tcPr>
            <w:tcW w:w="1340" w:type="dxa"/>
            <w:vAlign w:val="bottom"/>
            <w:gridSpan w:val="2"/>
            <w:shd w:val="clear" w:color="auto" w:fill="D6F3E8"/>
          </w:tcPr>
          <w:p>
            <w:pPr>
              <w:jc w:val="right"/>
              <w:ind w:right="380"/>
              <w:spacing w:after="0"/>
              <w:rPr>
                <w:sz w:val="20"/>
                <w:szCs w:val="20"/>
                <w:color w:val="auto"/>
              </w:rPr>
            </w:pPr>
            <w:r>
              <w:rPr>
                <w:rFonts w:ascii="Arial" w:cs="Arial" w:eastAsia="Arial" w:hAnsi="Arial"/>
                <w:sz w:val="18"/>
                <w:szCs w:val="18"/>
                <w:color w:val="auto"/>
              </w:rPr>
              <w:t>(187)</w:t>
            </w:r>
          </w:p>
        </w:tc>
        <w:tc>
          <w:tcPr>
            <w:tcW w:w="1240" w:type="dxa"/>
            <w:vAlign w:val="bottom"/>
            <w:gridSpan w:val="2"/>
            <w:shd w:val="clear" w:color="auto" w:fill="D6F3E8"/>
          </w:tcPr>
          <w:p>
            <w:pPr>
              <w:jc w:val="right"/>
              <w:ind w:right="16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24" w:lineRule="exact"/>
        <w:rPr>
          <w:sz w:val="20"/>
          <w:szCs w:val="20"/>
          <w:color w:val="auto"/>
        </w:rPr>
      </w:pPr>
    </w:p>
    <w:p>
      <w:pPr>
        <w:jc w:val="both"/>
        <w:ind w:right="740" w:firstLine="8"/>
        <w:spacing w:after="0" w:line="370" w:lineRule="auto"/>
        <w:tabs>
          <w:tab w:leader="none" w:pos="132" w:val="left"/>
        </w:tabs>
        <w:numPr>
          <w:ilvl w:val="0"/>
          <w:numId w:val="2"/>
        </w:numPr>
        <w:rPr>
          <w:rFonts w:ascii="Arial" w:cs="Arial" w:eastAsia="Arial" w:hAnsi="Arial"/>
          <w:sz w:val="15"/>
          <w:szCs w:val="15"/>
          <w:color w:val="auto"/>
        </w:rPr>
      </w:pPr>
      <w:r>
        <w:rPr>
          <w:rFonts w:ascii="Arial" w:cs="Arial" w:eastAsia="Arial" w:hAnsi="Arial"/>
          <w:sz w:val="15"/>
          <w:szCs w:val="15"/>
          <w:color w:val="auto"/>
        </w:rPr>
        <w:t>The Company includes in its backlog all accepted orders from dealers to be shipped within the next six months. Orders in backlog can be cancelled or postponed at the option of the purchaser at any time without penalty and, therefore, backlog may not necessarily be an accurate measure of future sales.</w:t>
      </w:r>
    </w:p>
    <w:p>
      <w:pPr>
        <w:spacing w:after="0" w:line="170" w:lineRule="exact"/>
        <w:rPr>
          <w:rFonts w:ascii="Arial" w:cs="Arial" w:eastAsia="Arial" w:hAnsi="Arial"/>
          <w:sz w:val="15"/>
          <w:szCs w:val="15"/>
          <w:color w:val="auto"/>
        </w:rPr>
      </w:pPr>
    </w:p>
    <w:p>
      <w:pPr>
        <w:ind w:left="5680" w:hanging="142"/>
        <w:spacing w:after="0"/>
        <w:tabs>
          <w:tab w:leader="none" w:pos="5680" w:val="left"/>
        </w:tabs>
        <w:numPr>
          <w:ilvl w:val="1"/>
          <w:numId w:val="2"/>
        </w:numPr>
        <w:rPr>
          <w:rFonts w:ascii="Arial" w:cs="Arial" w:eastAsia="Arial" w:hAnsi="Arial"/>
          <w:sz w:val="18"/>
          <w:szCs w:val="18"/>
          <w:color w:val="auto"/>
        </w:rPr>
      </w:pPr>
      <w:r>
        <w:rPr>
          <w:rFonts w:ascii="Arial" w:cs="Arial" w:eastAsia="Arial" w:hAnsi="Arial"/>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1021080</wp:posOffset>
            </wp:positionV>
            <wp:extent cx="7250430"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420"/>
          </w:cols>
          <w:pgMar w:left="240" w:top="120" w:right="239" w:bottom="1440" w:gutter="0" w:footer="0" w:header="0"/>
        </w:sectPr>
      </w:pPr>
    </w:p>
    <w:bookmarkStart w:id="6" w:name="page7"/>
    <w:bookmarkEnd w:id="6"/>
    <w:p>
      <w:pPr>
        <w:jc w:val="right"/>
        <w:spacing w:after="0"/>
        <w:rPr>
          <w:sz w:val="20"/>
          <w:szCs w:val="20"/>
          <w:color w:val="auto"/>
        </w:rPr>
      </w:pPr>
      <w:r>
        <w:rPr>
          <w:rFonts w:ascii="Arial" w:cs="Arial" w:eastAsia="Arial" w:hAnsi="Arial"/>
          <w:sz w:val="22"/>
          <w:szCs w:val="22"/>
          <w:b w:val="1"/>
          <w:bCs w:val="1"/>
          <w:color w:val="auto"/>
        </w:rPr>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328930</wp:posOffset>
            </wp:positionV>
            <wp:extent cx="7246620" cy="66294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6629400"/>
                    </a:xfrm>
                    <a:prstGeom prst="rect">
                      <a:avLst/>
                    </a:prstGeom>
                    <a:noFill/>
                  </pic:spPr>
                </pic:pic>
              </a:graphicData>
            </a:graphic>
          </wp:anchor>
        </w:drawing>
      </w:r>
    </w:p>
    <w:p>
      <w:pPr>
        <w:spacing w:after="0" w:line="200" w:lineRule="exact"/>
        <w:rPr>
          <w:sz w:val="20"/>
          <w:szCs w:val="20"/>
          <w:color w:val="auto"/>
        </w:rPr>
      </w:pPr>
    </w:p>
    <w:p>
      <w:pPr>
        <w:spacing w:after="0" w:line="320" w:lineRule="exact"/>
        <w:rPr>
          <w:sz w:val="20"/>
          <w:szCs w:val="20"/>
          <w:color w:val="auto"/>
        </w:rPr>
      </w:pPr>
    </w:p>
    <w:p>
      <w:pPr>
        <w:ind w:left="9520"/>
        <w:spacing w:after="0"/>
        <w:rPr>
          <w:sz w:val="20"/>
          <w:szCs w:val="20"/>
          <w:color w:val="auto"/>
        </w:rPr>
      </w:pPr>
      <w:r>
        <w:rPr>
          <w:rFonts w:ascii="Arial" w:cs="Arial" w:eastAsia="Arial" w:hAnsi="Arial"/>
          <w:sz w:val="18"/>
          <w:szCs w:val="18"/>
          <w:b w:val="1"/>
          <w:bCs w:val="1"/>
          <w:color w:val="003399"/>
        </w:rPr>
        <w:t>FINAL TRANSCRIPT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280"/>
        <w:spacing w:after="0"/>
        <w:rPr>
          <w:sz w:val="20"/>
          <w:szCs w:val="20"/>
          <w:color w:val="auto"/>
        </w:rPr>
      </w:pPr>
      <w:r>
        <w:rPr>
          <w:rFonts w:ascii="Arial" w:cs="Arial" w:eastAsia="Arial" w:hAnsi="Arial"/>
          <w:sz w:val="32"/>
          <w:szCs w:val="32"/>
          <w:b w:val="1"/>
          <w:bCs w:val="1"/>
          <w:color w:val="003399"/>
        </w:rPr>
        <w:t>Conference Call Transcript</w:t>
      </w:r>
    </w:p>
    <w:p>
      <w:pPr>
        <w:spacing w:after="0" w:line="159" w:lineRule="exact"/>
        <w:rPr>
          <w:sz w:val="20"/>
          <w:szCs w:val="20"/>
          <w:color w:val="auto"/>
        </w:rPr>
      </w:pPr>
    </w:p>
    <w:p>
      <w:pPr>
        <w:ind w:left="280"/>
        <w:spacing w:after="0"/>
        <w:rPr>
          <w:sz w:val="20"/>
          <w:szCs w:val="20"/>
          <w:color w:val="auto"/>
        </w:rPr>
      </w:pPr>
      <w:r>
        <w:rPr>
          <w:rFonts w:ascii="Arial" w:cs="Arial" w:eastAsia="Arial" w:hAnsi="Arial"/>
          <w:sz w:val="22"/>
          <w:szCs w:val="22"/>
          <w:b w:val="1"/>
          <w:bCs w:val="1"/>
          <w:color w:val="003399"/>
        </w:rPr>
        <w:t>WGO - Q1 2008 Winnebago Earnings Conference Call</w:t>
      </w:r>
    </w:p>
    <w:p>
      <w:pPr>
        <w:spacing w:after="0" w:line="219"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003399"/>
        </w:rPr>
        <w:t>Event Date/Time: Dec. 20. 2007 / 10:00AM 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3160" w:type="dxa"/>
            <w:vAlign w:val="bottom"/>
            <w:tcBorders>
              <w:top w:val="single" w:sz="8" w:color="003399"/>
            </w:tcBorders>
            <w:shd w:val="clear" w:color="auto" w:fill="003399"/>
          </w:tcPr>
          <w:p>
            <w:pPr>
              <w:ind w:left="740"/>
              <w:spacing w:after="0"/>
              <w:rPr>
                <w:sz w:val="20"/>
                <w:szCs w:val="20"/>
                <w:color w:val="auto"/>
              </w:rPr>
            </w:pPr>
            <w:r>
              <w:rPr>
                <w:rFonts w:ascii="Arial" w:cs="Arial" w:eastAsia="Arial" w:hAnsi="Arial"/>
                <w:sz w:val="18"/>
                <w:szCs w:val="18"/>
                <w:b w:val="1"/>
                <w:bCs w:val="1"/>
                <w:color w:val="FFFFFF"/>
              </w:rPr>
              <w:t>Thomson StreetEvents</w:t>
            </w:r>
          </w:p>
        </w:tc>
        <w:tc>
          <w:tcPr>
            <w:tcW w:w="780" w:type="dxa"/>
            <w:vAlign w:val="bottom"/>
            <w:tcBorders>
              <w:top w:val="single" w:sz="8" w:color="003399"/>
            </w:tcBorders>
          </w:tcPr>
          <w:p>
            <w:pPr>
              <w:spacing w:after="0"/>
              <w:rPr>
                <w:sz w:val="21"/>
                <w:szCs w:val="21"/>
                <w:color w:val="auto"/>
              </w:rPr>
            </w:pPr>
          </w:p>
        </w:tc>
        <w:tc>
          <w:tcPr>
            <w:tcW w:w="2000" w:type="dxa"/>
            <w:vAlign w:val="bottom"/>
            <w:tcBorders>
              <w:top w:val="single" w:sz="8" w:color="003399"/>
              <w:right w:val="single" w:sz="8" w:color="003399"/>
            </w:tcBorders>
            <w:gridSpan w:val="2"/>
          </w:tcPr>
          <w:p>
            <w:pPr>
              <w:spacing w:after="0"/>
              <w:rPr>
                <w:sz w:val="20"/>
                <w:szCs w:val="20"/>
                <w:color w:val="auto"/>
              </w:rPr>
            </w:pPr>
            <w:r>
              <w:rPr>
                <w:rFonts w:ascii="Arial" w:cs="Arial" w:eastAsia="Arial" w:hAnsi="Arial"/>
                <w:sz w:val="14"/>
                <w:szCs w:val="14"/>
                <w:color w:val="003399"/>
              </w:rPr>
              <w:t>www.streetevents.com</w:t>
            </w:r>
          </w:p>
        </w:tc>
        <w:tc>
          <w:tcPr>
            <w:tcW w:w="2180" w:type="dxa"/>
            <w:vAlign w:val="bottom"/>
            <w:tcBorders>
              <w:top w:val="single" w:sz="8" w:color="003399"/>
              <w:right w:val="single" w:sz="8" w:color="003399"/>
            </w:tcBorders>
          </w:tcPr>
          <w:p>
            <w:pPr>
              <w:spacing w:after="0"/>
              <w:rPr>
                <w:sz w:val="21"/>
                <w:szCs w:val="21"/>
                <w:color w:val="auto"/>
              </w:rPr>
            </w:pPr>
          </w:p>
        </w:tc>
        <w:tc>
          <w:tcPr>
            <w:tcW w:w="2580" w:type="dxa"/>
            <w:vAlign w:val="bottom"/>
            <w:tcBorders>
              <w:top w:val="single" w:sz="8" w:color="003399"/>
              <w:right w:val="single" w:sz="8" w:color="003399"/>
            </w:tcBorders>
            <w:gridSpan w:val="3"/>
          </w:tcPr>
          <w:p>
            <w:pPr>
              <w:ind w:left="980"/>
              <w:spacing w:after="0"/>
              <w:rPr>
                <w:sz w:val="20"/>
                <w:szCs w:val="20"/>
                <w:color w:val="auto"/>
              </w:rPr>
            </w:pPr>
            <w:r>
              <w:rPr>
                <w:rFonts w:ascii="Arial" w:cs="Arial" w:eastAsia="Arial" w:hAnsi="Arial"/>
                <w:sz w:val="14"/>
                <w:szCs w:val="14"/>
                <w:color w:val="003399"/>
              </w:rPr>
              <w:t>Contact Us</w:t>
            </w:r>
          </w:p>
        </w:tc>
        <w:tc>
          <w:tcPr>
            <w:tcW w:w="720" w:type="dxa"/>
            <w:vAlign w:val="bottom"/>
            <w:tcBorders>
              <w:top w:val="single" w:sz="8" w:color="003399"/>
              <w:right w:val="single" w:sz="8" w:color="003399"/>
            </w:tcBorders>
            <w:shd w:val="clear" w:color="auto" w:fill="6B9915"/>
          </w:tcPr>
          <w:p>
            <w:pPr>
              <w:jc w:val="right"/>
              <w:ind w:right="232"/>
              <w:spacing w:after="0"/>
              <w:rPr>
                <w:sz w:val="20"/>
                <w:szCs w:val="20"/>
                <w:color w:val="auto"/>
              </w:rPr>
            </w:pPr>
            <w:r>
              <w:rPr>
                <w:rFonts w:ascii="Arial" w:cs="Arial" w:eastAsia="Arial" w:hAnsi="Arial"/>
                <w:sz w:val="18"/>
                <w:szCs w:val="18"/>
                <w:color w:val="FFFFFF"/>
              </w:rPr>
              <w:t>1</w:t>
            </w:r>
          </w:p>
        </w:tc>
      </w:tr>
      <w:tr>
        <w:trPr>
          <w:trHeight w:val="61"/>
        </w:trPr>
        <w:tc>
          <w:tcPr>
            <w:tcW w:w="3160" w:type="dxa"/>
            <w:vAlign w:val="bottom"/>
            <w:tcBorders>
              <w:top w:val="single" w:sz="8" w:color="003399"/>
              <w:bottom w:val="single" w:sz="8" w:color="003399"/>
            </w:tcBorders>
            <w:shd w:val="clear" w:color="auto" w:fill="003399"/>
          </w:tcPr>
          <w:p>
            <w:pPr>
              <w:spacing w:after="0"/>
              <w:rPr>
                <w:sz w:val="5"/>
                <w:szCs w:val="5"/>
                <w:color w:val="auto"/>
              </w:rPr>
            </w:pPr>
          </w:p>
        </w:tc>
        <w:tc>
          <w:tcPr>
            <w:tcW w:w="780" w:type="dxa"/>
            <w:vAlign w:val="bottom"/>
            <w:tcBorders>
              <w:bottom w:val="single" w:sz="8" w:color="003399"/>
            </w:tcBorders>
          </w:tcPr>
          <w:p>
            <w:pPr>
              <w:spacing w:after="0"/>
              <w:rPr>
                <w:sz w:val="5"/>
                <w:szCs w:val="5"/>
                <w:color w:val="auto"/>
              </w:rPr>
            </w:pPr>
          </w:p>
        </w:tc>
        <w:tc>
          <w:tcPr>
            <w:tcW w:w="1220" w:type="dxa"/>
            <w:vAlign w:val="bottom"/>
            <w:tcBorders>
              <w:top w:val="single" w:sz="8" w:color="003399"/>
              <w:bottom w:val="single" w:sz="8" w:color="003399"/>
            </w:tcBorders>
          </w:tcPr>
          <w:p>
            <w:pPr>
              <w:spacing w:after="0"/>
              <w:rPr>
                <w:sz w:val="5"/>
                <w:szCs w:val="5"/>
                <w:color w:val="auto"/>
              </w:rPr>
            </w:pPr>
          </w:p>
        </w:tc>
        <w:tc>
          <w:tcPr>
            <w:tcW w:w="780" w:type="dxa"/>
            <w:vAlign w:val="bottom"/>
            <w:tcBorders>
              <w:bottom w:val="single" w:sz="8" w:color="003399"/>
              <w:right w:val="single" w:sz="8" w:color="003399"/>
            </w:tcBorders>
          </w:tcPr>
          <w:p>
            <w:pPr>
              <w:spacing w:after="0"/>
              <w:rPr>
                <w:sz w:val="5"/>
                <w:szCs w:val="5"/>
                <w:color w:val="auto"/>
              </w:rPr>
            </w:pPr>
          </w:p>
        </w:tc>
        <w:tc>
          <w:tcPr>
            <w:tcW w:w="2180" w:type="dxa"/>
            <w:vAlign w:val="bottom"/>
            <w:tcBorders>
              <w:bottom w:val="single" w:sz="8" w:color="003399"/>
              <w:right w:val="single" w:sz="8" w:color="003399"/>
            </w:tcBorders>
          </w:tcPr>
          <w:p>
            <w:pPr>
              <w:spacing w:after="0"/>
              <w:rPr>
                <w:sz w:val="5"/>
                <w:szCs w:val="5"/>
                <w:color w:val="auto"/>
              </w:rPr>
            </w:pPr>
          </w:p>
        </w:tc>
        <w:tc>
          <w:tcPr>
            <w:tcW w:w="980" w:type="dxa"/>
            <w:vAlign w:val="bottom"/>
            <w:tcBorders>
              <w:bottom w:val="single" w:sz="8" w:color="003399"/>
            </w:tcBorders>
          </w:tcPr>
          <w:p>
            <w:pPr>
              <w:spacing w:after="0"/>
              <w:rPr>
                <w:sz w:val="5"/>
                <w:szCs w:val="5"/>
                <w:color w:val="auto"/>
              </w:rPr>
            </w:pPr>
          </w:p>
        </w:tc>
        <w:tc>
          <w:tcPr>
            <w:tcW w:w="600" w:type="dxa"/>
            <w:vAlign w:val="bottom"/>
            <w:tcBorders>
              <w:top w:val="single" w:sz="8" w:color="003399"/>
              <w:bottom w:val="single" w:sz="8" w:color="003399"/>
            </w:tcBorders>
          </w:tcPr>
          <w:p>
            <w:pPr>
              <w:spacing w:after="0"/>
              <w:rPr>
                <w:sz w:val="5"/>
                <w:szCs w:val="5"/>
                <w:color w:val="auto"/>
              </w:rPr>
            </w:pPr>
          </w:p>
        </w:tc>
        <w:tc>
          <w:tcPr>
            <w:tcW w:w="1000" w:type="dxa"/>
            <w:vAlign w:val="bottom"/>
            <w:tcBorders>
              <w:bottom w:val="single" w:sz="8" w:color="003399"/>
              <w:right w:val="single" w:sz="8" w:color="003399"/>
            </w:tcBorders>
          </w:tcPr>
          <w:p>
            <w:pPr>
              <w:spacing w:after="0"/>
              <w:rPr>
                <w:sz w:val="5"/>
                <w:szCs w:val="5"/>
                <w:color w:val="auto"/>
              </w:rPr>
            </w:pPr>
          </w:p>
        </w:tc>
        <w:tc>
          <w:tcPr>
            <w:tcW w:w="720" w:type="dxa"/>
            <w:vAlign w:val="bottom"/>
            <w:tcBorders>
              <w:top w:val="single" w:sz="8" w:color="6B9915"/>
              <w:bottom w:val="single" w:sz="8" w:color="003399"/>
              <w:right w:val="single" w:sz="8" w:color="003399"/>
            </w:tcBorders>
            <w:shd w:val="clear" w:color="auto" w:fill="6B9915"/>
          </w:tcPr>
          <w:p>
            <w:pPr>
              <w:spacing w:after="0"/>
              <w:rPr>
                <w:sz w:val="5"/>
                <w:szCs w:val="5"/>
                <w:color w:val="auto"/>
              </w:rPr>
            </w:pPr>
          </w:p>
        </w:tc>
      </w:tr>
    </w:tbl>
    <w:p>
      <w:pPr>
        <w:spacing w:after="0" w:line="30" w:lineRule="exact"/>
        <w:rPr>
          <w:sz w:val="20"/>
          <w:szCs w:val="20"/>
          <w:color w:val="auto"/>
        </w:rPr>
      </w:pPr>
    </w:p>
    <w:p>
      <w:pPr>
        <w:spacing w:after="0"/>
        <w:rPr>
          <w:sz w:val="20"/>
          <w:szCs w:val="20"/>
          <w:color w:val="auto"/>
        </w:rPr>
      </w:pPr>
      <w:r>
        <w:rPr>
          <w:rFonts w:ascii="Arial" w:cs="Arial" w:eastAsia="Arial" w:hAnsi="Arial"/>
          <w:sz w:val="12"/>
          <w:szCs w:val="12"/>
          <w:color w:val="auto"/>
        </w:rPr>
        <w:t>© 2007 Thomson Financial. Republished with permission. No part of this publication may be reproduced or transmitted in any form or by any means without the prior written consent of Thomson Financial.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328930</wp:posOffset>
            </wp:positionV>
            <wp:extent cx="7250430"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003399"/>
        </w:rPr>
        <w:t>FINAL TRANSCRIPT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22288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222885"/>
                    </a:xfrm>
                    <a:prstGeom prst="rect">
                      <a:avLst/>
                    </a:prstGeom>
                    <a:noFill/>
                  </pic:spPr>
                </pic:pic>
              </a:graphicData>
            </a:graphic>
          </wp:anchor>
        </w:drawing>
      </w:r>
    </w:p>
    <w:p>
      <w:pPr>
        <w:spacing w:after="0" w:line="4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003399"/>
        </w:rPr>
        <w:t>Dec. 20. 2007 / 10:00AM ET, WGO - Q1 2008 Winnebago Earnings Conference Call</w:t>
      </w: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b w:val="1"/>
          <w:bCs w:val="1"/>
          <w:color w:val="6B9915"/>
        </w:rPr>
        <w:t>CORPORATE PARTICIPANTS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Sheila Davis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Winnebago Industries - Public Relations &amp; IR Manager</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Bruce Hertzke</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Winnebago Industries - Chairman &amp; CEO</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Bob Olson</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Winnebago Industries - President</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Sarah Nielsen</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Winnebago Industries - VP &amp; CFO</w:t>
      </w:r>
    </w:p>
    <w:p>
      <w:pPr>
        <w:sectPr>
          <w:pgSz w:w="11900" w:h="16838" w:orient="portrait"/>
          <w:cols w:equalWidth="0" w:num="1">
            <w:col w:w="11420"/>
          </w:cols>
          <w:pgMar w:left="240" w:top="111" w:right="239" w:bottom="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6B9915"/>
        </w:rPr>
        <w:t>CONFERENCE CALL PARTICIPANTS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Gregory Badishkanian</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Citigroup - Analyst</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Scott Stember</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Sidoti &amp; Co. - Analyst</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John Diffendal</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BB&amp;T Capital Markets - Analyst</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Craig Kennison</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Robert W. Baird - Analyst</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David Wells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Avondale Partners - Analyst</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Paul Burton</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RBC Capital Markets - Analyst</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Barry Vogel</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Barry Vogel &amp; Associates - Analyst</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Gil Alexandre</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Darphil Associates - Analyst</w:t>
      </w:r>
    </w:p>
    <w:p>
      <w:pPr>
        <w:spacing w:after="0" w:line="334" w:lineRule="exact"/>
        <w:rPr>
          <w:sz w:val="20"/>
          <w:szCs w:val="20"/>
          <w:color w:val="auto"/>
        </w:rPr>
      </w:pPr>
    </w:p>
    <w:p>
      <w:pPr>
        <w:spacing w:after="0"/>
        <w:rPr>
          <w:sz w:val="20"/>
          <w:szCs w:val="20"/>
          <w:color w:val="auto"/>
        </w:rPr>
      </w:pPr>
      <w:r>
        <w:rPr>
          <w:rFonts w:ascii="Arial" w:cs="Arial" w:eastAsia="Arial" w:hAnsi="Arial"/>
          <w:sz w:val="18"/>
          <w:szCs w:val="18"/>
          <w:b w:val="1"/>
          <w:bCs w:val="1"/>
          <w:color w:val="6B9915"/>
        </w:rPr>
        <w:t>PRESENTATION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358140</wp:posOffset>
            </wp:positionV>
            <wp:extent cx="72466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Operator</w:t>
      </w:r>
    </w:p>
    <w:p>
      <w:pPr>
        <w:spacing w:after="0" w:line="299"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Good day, ladies and gentlemen, and welcome to the Winnebago Industries first quarter 2008 conference call. At this time all participants are in a listen-only mode. We will be facilitating a question-and-answer session toward the end of today's conference. (OPERATOR INSTRUCTIONS). I would now like to turn the presentation over to your host for today's conference Ms. Sheila Davis, public relations and investor relations manager. Please proceed.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149860</wp:posOffset>
            </wp:positionV>
            <wp:extent cx="72466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Sheila Davis </w:t>
      </w:r>
      <w:r>
        <w:rPr>
          <w:rFonts w:ascii="Arial" w:cs="Arial" w:eastAsia="Arial" w:hAnsi="Arial"/>
          <w:sz w:val="18"/>
          <w:szCs w:val="18"/>
          <w:b w:val="1"/>
          <w:bCs w:val="1"/>
          <w:i w:val="1"/>
          <w:iCs w:val="1"/>
          <w:color w:val="auto"/>
        </w:rPr>
        <w:t>- Winnebago Industries - Public Relations &amp; IR Manager</w:t>
      </w:r>
    </w:p>
    <w:p>
      <w:pPr>
        <w:spacing w:after="0" w:line="29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Thank you, Gracie. Good morning, and welcome to the Winnebago Industries Inc. conference call to review the company's results for the first quarter of fiscal year 2008 ended December 1, 2007. Conducting the call today are Bruce Hertzke, Winnebago Industries Chairman of the Board and Chief Executive Officer. Bob Olson, President and Sarah Nielsen, Vice President and Chief Financial Officer. I trust each of you have received a copy of the news release with our earnings results this morning. This call is being broadcast live on our website at WinnebagoIND.com. A replay of the call will be available on our website at approximately noon today. If you have any questions about accessing any of this information, please call our Investor Relations department at 641-585-6803 following the conference call.</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304"/>
        </w:trPr>
        <w:tc>
          <w:tcPr>
            <w:tcW w:w="3160" w:type="dxa"/>
            <w:vAlign w:val="bottom"/>
            <w:tcBorders>
              <w:top w:val="single" w:sz="8" w:color="003399"/>
              <w:bottom w:val="single" w:sz="8" w:color="003399"/>
            </w:tcBorders>
            <w:shd w:val="clear" w:color="auto" w:fill="003399"/>
          </w:tcPr>
          <w:p>
            <w:pPr>
              <w:ind w:left="740"/>
              <w:spacing w:after="0"/>
              <w:rPr>
                <w:sz w:val="20"/>
                <w:szCs w:val="20"/>
                <w:color w:val="auto"/>
              </w:rPr>
            </w:pPr>
            <w:r>
              <w:rPr>
                <w:rFonts w:ascii="Arial" w:cs="Arial" w:eastAsia="Arial" w:hAnsi="Arial"/>
                <w:sz w:val="18"/>
                <w:szCs w:val="18"/>
                <w:b w:val="1"/>
                <w:bCs w:val="1"/>
                <w:color w:val="FFFFFF"/>
              </w:rPr>
              <w:t>Thomson StreetEvents</w:t>
            </w:r>
          </w:p>
        </w:tc>
        <w:tc>
          <w:tcPr>
            <w:tcW w:w="2780" w:type="dxa"/>
            <w:vAlign w:val="bottom"/>
            <w:tcBorders>
              <w:top w:val="single" w:sz="8" w:color="003399"/>
              <w:right w:val="single" w:sz="8" w:color="003399"/>
            </w:tcBorders>
          </w:tcPr>
          <w:p>
            <w:pPr>
              <w:ind w:left="780"/>
              <w:spacing w:after="0"/>
              <w:rPr>
                <w:sz w:val="20"/>
                <w:szCs w:val="20"/>
                <w:color w:val="auto"/>
              </w:rPr>
            </w:pPr>
            <w:r>
              <w:rPr>
                <w:rFonts w:ascii="Arial" w:cs="Arial" w:eastAsia="Arial" w:hAnsi="Arial"/>
                <w:sz w:val="14"/>
                <w:szCs w:val="14"/>
                <w:color w:val="003399"/>
              </w:rPr>
              <w:t>www.streetevents.com</w:t>
            </w:r>
          </w:p>
        </w:tc>
        <w:tc>
          <w:tcPr>
            <w:tcW w:w="2180" w:type="dxa"/>
            <w:vAlign w:val="bottom"/>
            <w:tcBorders>
              <w:top w:val="single" w:sz="8" w:color="003399"/>
              <w:right w:val="single" w:sz="8" w:color="003399"/>
            </w:tcBorders>
          </w:tcPr>
          <w:p>
            <w:pPr>
              <w:spacing w:after="0"/>
              <w:rPr>
                <w:sz w:val="24"/>
                <w:szCs w:val="24"/>
                <w:color w:val="auto"/>
              </w:rPr>
            </w:pPr>
          </w:p>
        </w:tc>
        <w:tc>
          <w:tcPr>
            <w:tcW w:w="2580" w:type="dxa"/>
            <w:vAlign w:val="bottom"/>
            <w:tcBorders>
              <w:top w:val="single" w:sz="8" w:color="003399"/>
              <w:right w:val="single" w:sz="8" w:color="003399"/>
            </w:tcBorders>
          </w:tcPr>
          <w:p>
            <w:pPr>
              <w:ind w:left="980"/>
              <w:spacing w:after="0"/>
              <w:rPr>
                <w:sz w:val="20"/>
                <w:szCs w:val="20"/>
                <w:color w:val="auto"/>
              </w:rPr>
            </w:pPr>
            <w:r>
              <w:rPr>
                <w:rFonts w:ascii="Arial" w:cs="Arial" w:eastAsia="Arial" w:hAnsi="Arial"/>
                <w:sz w:val="14"/>
                <w:szCs w:val="14"/>
                <w:color w:val="003399"/>
              </w:rPr>
              <w:t>Contact Us</w:t>
            </w:r>
          </w:p>
        </w:tc>
        <w:tc>
          <w:tcPr>
            <w:tcW w:w="720" w:type="dxa"/>
            <w:vAlign w:val="bottom"/>
            <w:tcBorders>
              <w:top w:val="single" w:sz="8" w:color="003399"/>
              <w:bottom w:val="single" w:sz="8" w:color="6B9915"/>
              <w:right w:val="single" w:sz="8" w:color="003399"/>
            </w:tcBorders>
            <w:shd w:val="clear" w:color="auto" w:fill="6B9915"/>
          </w:tcPr>
          <w:p>
            <w:pPr>
              <w:jc w:val="right"/>
              <w:ind w:right="232"/>
              <w:spacing w:after="0"/>
              <w:rPr>
                <w:sz w:val="20"/>
                <w:szCs w:val="20"/>
                <w:color w:val="auto"/>
              </w:rPr>
            </w:pPr>
            <w:r>
              <w:rPr>
                <w:rFonts w:ascii="Arial" w:cs="Arial" w:eastAsia="Arial" w:hAnsi="Arial"/>
                <w:sz w:val="18"/>
                <w:szCs w:val="18"/>
                <w:color w:val="FFFFFF"/>
              </w:rPr>
              <w:t>2</w:t>
            </w:r>
          </w:p>
        </w:tc>
      </w:tr>
      <w:tr>
        <w:trPr>
          <w:trHeight w:val="20"/>
        </w:trPr>
        <w:tc>
          <w:tcPr>
            <w:tcW w:w="3160" w:type="dxa"/>
            <w:vAlign w:val="bottom"/>
            <w:shd w:val="clear" w:color="auto" w:fill="003399"/>
          </w:tcPr>
          <w:p>
            <w:pPr>
              <w:spacing w:after="0" w:line="20" w:lineRule="exact"/>
              <w:rPr>
                <w:sz w:val="1"/>
                <w:szCs w:val="1"/>
                <w:color w:val="auto"/>
              </w:rPr>
            </w:pPr>
          </w:p>
        </w:tc>
        <w:tc>
          <w:tcPr>
            <w:tcW w:w="2780" w:type="dxa"/>
            <w:vAlign w:val="bottom"/>
            <w:tcBorders>
              <w:right w:val="single" w:sz="8" w:color="003399"/>
            </w:tcBorders>
            <w:shd w:val="clear" w:color="auto" w:fill="003399"/>
          </w:tcPr>
          <w:p>
            <w:pPr>
              <w:spacing w:after="0" w:line="20" w:lineRule="exact"/>
              <w:rPr>
                <w:sz w:val="1"/>
                <w:szCs w:val="1"/>
                <w:color w:val="auto"/>
              </w:rPr>
            </w:pPr>
          </w:p>
        </w:tc>
        <w:tc>
          <w:tcPr>
            <w:tcW w:w="2180" w:type="dxa"/>
            <w:vAlign w:val="bottom"/>
            <w:tcBorders>
              <w:right w:val="single" w:sz="8" w:color="003399"/>
            </w:tcBorders>
            <w:shd w:val="clear" w:color="auto" w:fill="003399"/>
          </w:tcPr>
          <w:p>
            <w:pPr>
              <w:spacing w:after="0" w:line="20" w:lineRule="exact"/>
              <w:rPr>
                <w:sz w:val="1"/>
                <w:szCs w:val="1"/>
                <w:color w:val="auto"/>
              </w:rPr>
            </w:pPr>
          </w:p>
        </w:tc>
        <w:tc>
          <w:tcPr>
            <w:tcW w:w="2580" w:type="dxa"/>
            <w:vAlign w:val="bottom"/>
            <w:tcBorders>
              <w:right w:val="single" w:sz="8" w:color="003399"/>
            </w:tcBorders>
            <w:shd w:val="clear" w:color="auto" w:fill="003399"/>
          </w:tcPr>
          <w:p>
            <w:pPr>
              <w:spacing w:after="0" w:line="20" w:lineRule="exact"/>
              <w:rPr>
                <w:sz w:val="1"/>
                <w:szCs w:val="1"/>
                <w:color w:val="auto"/>
              </w:rPr>
            </w:pPr>
          </w:p>
        </w:tc>
        <w:tc>
          <w:tcPr>
            <w:tcW w:w="720" w:type="dxa"/>
            <w:vAlign w:val="bottom"/>
            <w:tcBorders>
              <w:right w:val="single" w:sz="8" w:color="003399"/>
            </w:tcBorders>
            <w:shd w:val="clear" w:color="auto" w:fill="003399"/>
          </w:tcPr>
          <w:p>
            <w:pPr>
              <w:spacing w:after="0" w:line="20" w:lineRule="exact"/>
              <w:rPr>
                <w:sz w:val="1"/>
                <w:szCs w:val="1"/>
                <w:color w:val="auto"/>
              </w:rPr>
            </w:pPr>
          </w:p>
        </w:tc>
      </w:tr>
    </w:tbl>
    <w:p>
      <w:pPr>
        <w:spacing w:after="0" w:line="30" w:lineRule="exact"/>
        <w:rPr>
          <w:sz w:val="20"/>
          <w:szCs w:val="20"/>
          <w:color w:val="auto"/>
        </w:rPr>
      </w:pPr>
    </w:p>
    <w:p>
      <w:pPr>
        <w:spacing w:after="0"/>
        <w:rPr>
          <w:sz w:val="20"/>
          <w:szCs w:val="20"/>
          <w:color w:val="auto"/>
        </w:rPr>
      </w:pPr>
      <w:r>
        <w:rPr>
          <w:rFonts w:ascii="Arial" w:cs="Arial" w:eastAsia="Arial" w:hAnsi="Arial"/>
          <w:sz w:val="12"/>
          <w:szCs w:val="12"/>
          <w:color w:val="auto"/>
        </w:rPr>
        <w:t>© 2007 Thomson Financial. Republished with permission. No part of this publication may be reproduced or transmitted in any form or by any means without the prior written consent of Thomson Financial.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328930</wp:posOffset>
            </wp:positionV>
            <wp:extent cx="7250430"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003399"/>
        </w:rPr>
        <w:t>FINAL TRANSCRIPT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22288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222885"/>
                    </a:xfrm>
                    <a:prstGeom prst="rect">
                      <a:avLst/>
                    </a:prstGeom>
                    <a:noFill/>
                  </pic:spPr>
                </pic:pic>
              </a:graphicData>
            </a:graphic>
          </wp:anchor>
        </w:drawing>
      </w:r>
    </w:p>
    <w:p>
      <w:pPr>
        <w:spacing w:after="0" w:line="4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003399"/>
        </w:rPr>
        <w:t>Dec. 20. 2007 / 10:00AM ET, WGO - Q1 2008 Winnebago Earnings Conference Call</w:t>
      </w:r>
    </w:p>
    <w:p>
      <w:pPr>
        <w:spacing w:after="0" w:line="200" w:lineRule="exact"/>
        <w:rPr>
          <w:sz w:val="20"/>
          <w:szCs w:val="20"/>
          <w:color w:val="auto"/>
        </w:rPr>
      </w:pPr>
    </w:p>
    <w:p>
      <w:pPr>
        <w:spacing w:after="0" w:line="315"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Before we start, let me offer the following cautionary note. This presentation contains forward-looking statements within the meaning of the Private Securities Litigation Reform Act of 1995. Investors are cautioned that forward-looking statements are inherently uncertain. A number of factors could cause actual results to differ materially from these statements. These factors are contained in the company's filings with the Securities and Exchange Commission over the last twelve months; copies of which are available from the SEC or from the company upon request. I will now turn the call over to Bruce Hertzke.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111125</wp:posOffset>
            </wp:positionV>
            <wp:extent cx="72466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Bruce Hertzke </w:t>
      </w:r>
      <w:r>
        <w:rPr>
          <w:rFonts w:ascii="Arial" w:cs="Arial" w:eastAsia="Arial" w:hAnsi="Arial"/>
          <w:sz w:val="18"/>
          <w:szCs w:val="18"/>
          <w:b w:val="1"/>
          <w:bCs w:val="1"/>
          <w:i w:val="1"/>
          <w:iCs w:val="1"/>
          <w:color w:val="auto"/>
        </w:rPr>
        <w:t>- Winnebago Industries - Chairman &amp; CEO</w:t>
      </w:r>
    </w:p>
    <w:p>
      <w:pPr>
        <w:spacing w:after="0" w:line="312"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Thank you, Sheila. Good morning, everyone, and welcome to Winnebago Industries first quarter conference call. We are pleased with our performance during the first quarter in spite of the current downturn. Winnebago Industries is facing the current economic downturn just like the rest of the industry. But we are extremely pleased to continue to be very profitable even with the market conditions that we face. At the recent National RV Trade Show in Louisville, Kentucky, we introduced several new floor plans, such as the Winnebago Tour and the Itasca Ellipse 40WD Class A diesel full-wall slide. We also introduced a second exciting floor plan, the new Navion iQ. This 24 DL floor plan features a unique rear slide that extends the queen bed from the back of the motorhome itself. Making its debut also was the all-new 2009 era of Class B motorhomes. This is Winnebago Industries first Class B product since 2003 when the Volkswagen product was discontinued that Winnebago built the European camper chassis for the US. The new ERA is a very competitively priced and featured product for Winnebago Industries. And we believe that we can command a commanding market share in the Class B market.</w:t>
      </w:r>
    </w:p>
    <w:p>
      <w:pPr>
        <w:spacing w:after="0" w:line="17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continue to manage the company with a focus on profitability and returning profits to the shareholder. And we intend to maintain this goal in spite of the challenging market conditions. As part of a long-term strategy of returning profits to our shareholders, we repurchased approximately 675,800 shares of the company's common stock during the first quarter for approximately $17.5 million. This completes the $60 million authorization that began in June of 2007 in which we repurchased a total of approximately 2.2 million shares. Yesterday the Board of Directors approved an additional $60 million stock repurchase authorization for Winnebago Industries.</w:t>
      </w:r>
    </w:p>
    <w:p>
      <w:pPr>
        <w:sectPr>
          <w:pgSz w:w="11900" w:h="16838" w:orient="portrait"/>
          <w:cols w:equalWidth="0" w:num="1">
            <w:col w:w="11420"/>
          </w:cols>
          <w:pgMar w:left="240" w:top="341" w:right="239" w:bottom="0" w:gutter="0" w:footer="0" w:header="0"/>
        </w:sectPr>
      </w:pPr>
    </w:p>
    <w:bookmarkStart w:id="8" w:name="page9"/>
    <w:bookmarkEnd w:id="8"/>
    <w:p>
      <w:pPr>
        <w:spacing w:after="0" w:line="52"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Winnebago Industries continues to have a very strong balance sheet and no long-term debt. Also, we continue to demonstrate the stability and longevity of our corporation. Earlier this week we celebrated the production of our 400,000th motorhome. We are extremely proud of achieving this exciting milestone as we celebrate the 50th anniversary during fiscal 2008 as a leading RV manufacturer. In a moment Sarah will review the full details of the first quarter's financial results. But first I will turn the call over to Bob Olson for a review of the first quarter operational performances.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111125</wp:posOffset>
            </wp:positionV>
            <wp:extent cx="72466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Bob Olson </w:t>
      </w:r>
      <w:r>
        <w:rPr>
          <w:rFonts w:ascii="Arial" w:cs="Arial" w:eastAsia="Arial" w:hAnsi="Arial"/>
          <w:sz w:val="18"/>
          <w:szCs w:val="18"/>
          <w:b w:val="1"/>
          <w:bCs w:val="1"/>
          <w:i w:val="1"/>
          <w:iCs w:val="1"/>
          <w:color w:val="auto"/>
        </w:rPr>
        <w:t>- Winnebago Industries - President</w:t>
      </w:r>
    </w:p>
    <w:p>
      <w:pPr>
        <w:spacing w:after="0" w:line="299"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Thank you, Bruce, and good morning. First I want to congratulate our employees for their performance in reaching these revenue and earnings results during the first quarter in light of the current market conditions. As Bruce mentioned, we introduced new products at the national RV Trade Show in Louisville, Kentucky that featured exciting new floor plans as well as additional paint on some of our lower-level productlines. We had a tremendous amount of interest in the new ERA Class B motorhome at the Louisville show and will begin production during the second quarter with products entering the retail market in approximately March. The new ERA has a separate brand identity from our Winnebago and Itasca lineups and will be retailed in part through a separate and new dealer base.</w:t>
      </w:r>
    </w:p>
    <w:p>
      <w:pPr>
        <w:spacing w:after="0" w:line="170" w:lineRule="exact"/>
        <w:rPr>
          <w:sz w:val="20"/>
          <w:szCs w:val="20"/>
          <w:color w:val="auto"/>
        </w:rPr>
      </w:pPr>
    </w:p>
    <w:p>
      <w:pPr>
        <w:jc w:val="both"/>
        <w:spacing w:after="0" w:line="318" w:lineRule="auto"/>
        <w:rPr>
          <w:sz w:val="20"/>
          <w:szCs w:val="20"/>
          <w:color w:val="auto"/>
        </w:rPr>
      </w:pPr>
      <w:r>
        <w:rPr>
          <w:rFonts w:ascii="Arial" w:cs="Arial" w:eastAsia="Arial" w:hAnsi="Arial"/>
          <w:sz w:val="15"/>
          <w:szCs w:val="15"/>
          <w:color w:val="auto"/>
        </w:rPr>
        <w:t>While we are pleased with our results for the first quarter, we are still concerned about indicators we see that could affect us as we go forward. Our dealers' inventories of Winnebago and Itasca brand products at the end of the quarter was 4,364 units, a decrease of 4.1% from the first quarter last year, as well as a 2.4% decrease from the end of the fourth quarter. We anticipate that dealers will continue to keep motorhome inventories low as they go through the slower winter season. Statistical surveys, the retail reporting service from the RV industry has reported continued softness in the retail motorhome sales with Class A and Class C motorhomes combined down 8.9% for the month of October and down 5.2% year-to-date through October 2007 compared to the same periods last year.</w:t>
      </w:r>
    </w:p>
    <w:p>
      <w:pPr>
        <w:spacing w:after="0" w:line="154"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On a wholesale shipment basis the RV industry has also reported its third consecutive year-over-year decline in the volume of class A and Class C motorhomes shipped to dealers. Also RVIA's economist, Dr. Richard Curtin from the University of Michigan has also forecast an additional decline of 5% for 2008. While we continue to be very bullish about the long-term outlook of the RV industry, the negative short-term forecasts along with the reports of consumer confidence levels being a two-year low, continued media reports of weakness in the housing market and dealers continue to be conservative in their inventory stocking levels lead us to be concerned as we go into our seasonally slowest part of the year.</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Now I will turn the call over to Sarah for the financial review.</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304"/>
        </w:trPr>
        <w:tc>
          <w:tcPr>
            <w:tcW w:w="3160" w:type="dxa"/>
            <w:vAlign w:val="bottom"/>
            <w:tcBorders>
              <w:top w:val="single" w:sz="8" w:color="003399"/>
              <w:bottom w:val="single" w:sz="8" w:color="003399"/>
            </w:tcBorders>
            <w:shd w:val="clear" w:color="auto" w:fill="003399"/>
          </w:tcPr>
          <w:p>
            <w:pPr>
              <w:ind w:left="740"/>
              <w:spacing w:after="0"/>
              <w:rPr>
                <w:sz w:val="20"/>
                <w:szCs w:val="20"/>
                <w:color w:val="auto"/>
              </w:rPr>
            </w:pPr>
            <w:r>
              <w:rPr>
                <w:rFonts w:ascii="Arial" w:cs="Arial" w:eastAsia="Arial" w:hAnsi="Arial"/>
                <w:sz w:val="18"/>
                <w:szCs w:val="18"/>
                <w:b w:val="1"/>
                <w:bCs w:val="1"/>
                <w:color w:val="FFFFFF"/>
              </w:rPr>
              <w:t>Thomson StreetEvents</w:t>
            </w:r>
          </w:p>
        </w:tc>
        <w:tc>
          <w:tcPr>
            <w:tcW w:w="2780" w:type="dxa"/>
            <w:vAlign w:val="bottom"/>
            <w:tcBorders>
              <w:top w:val="single" w:sz="8" w:color="003399"/>
              <w:right w:val="single" w:sz="8" w:color="003399"/>
            </w:tcBorders>
          </w:tcPr>
          <w:p>
            <w:pPr>
              <w:ind w:left="780"/>
              <w:spacing w:after="0"/>
              <w:rPr>
                <w:sz w:val="20"/>
                <w:szCs w:val="20"/>
                <w:color w:val="auto"/>
              </w:rPr>
            </w:pPr>
            <w:r>
              <w:rPr>
                <w:rFonts w:ascii="Arial" w:cs="Arial" w:eastAsia="Arial" w:hAnsi="Arial"/>
                <w:sz w:val="14"/>
                <w:szCs w:val="14"/>
                <w:color w:val="003399"/>
              </w:rPr>
              <w:t>www.streetevents.com</w:t>
            </w:r>
          </w:p>
        </w:tc>
        <w:tc>
          <w:tcPr>
            <w:tcW w:w="2180" w:type="dxa"/>
            <w:vAlign w:val="bottom"/>
            <w:tcBorders>
              <w:top w:val="single" w:sz="8" w:color="003399"/>
              <w:right w:val="single" w:sz="8" w:color="003399"/>
            </w:tcBorders>
          </w:tcPr>
          <w:p>
            <w:pPr>
              <w:spacing w:after="0"/>
              <w:rPr>
                <w:sz w:val="24"/>
                <w:szCs w:val="24"/>
                <w:color w:val="auto"/>
              </w:rPr>
            </w:pPr>
          </w:p>
        </w:tc>
        <w:tc>
          <w:tcPr>
            <w:tcW w:w="2580" w:type="dxa"/>
            <w:vAlign w:val="bottom"/>
            <w:tcBorders>
              <w:top w:val="single" w:sz="8" w:color="003399"/>
              <w:right w:val="single" w:sz="8" w:color="003399"/>
            </w:tcBorders>
          </w:tcPr>
          <w:p>
            <w:pPr>
              <w:ind w:left="980"/>
              <w:spacing w:after="0"/>
              <w:rPr>
                <w:sz w:val="20"/>
                <w:szCs w:val="20"/>
                <w:color w:val="auto"/>
              </w:rPr>
            </w:pPr>
            <w:r>
              <w:rPr>
                <w:rFonts w:ascii="Arial" w:cs="Arial" w:eastAsia="Arial" w:hAnsi="Arial"/>
                <w:sz w:val="14"/>
                <w:szCs w:val="14"/>
                <w:color w:val="003399"/>
              </w:rPr>
              <w:t>Contact Us</w:t>
            </w:r>
          </w:p>
        </w:tc>
        <w:tc>
          <w:tcPr>
            <w:tcW w:w="720" w:type="dxa"/>
            <w:vAlign w:val="bottom"/>
            <w:tcBorders>
              <w:top w:val="single" w:sz="8" w:color="003399"/>
              <w:bottom w:val="single" w:sz="8" w:color="6B9915"/>
              <w:right w:val="single" w:sz="8" w:color="003399"/>
            </w:tcBorders>
            <w:shd w:val="clear" w:color="auto" w:fill="6B9915"/>
          </w:tcPr>
          <w:p>
            <w:pPr>
              <w:jc w:val="right"/>
              <w:ind w:right="232"/>
              <w:spacing w:after="0"/>
              <w:rPr>
                <w:sz w:val="20"/>
                <w:szCs w:val="20"/>
                <w:color w:val="auto"/>
              </w:rPr>
            </w:pPr>
            <w:r>
              <w:rPr>
                <w:rFonts w:ascii="Arial" w:cs="Arial" w:eastAsia="Arial" w:hAnsi="Arial"/>
                <w:sz w:val="18"/>
                <w:szCs w:val="18"/>
                <w:color w:val="FFFFFF"/>
              </w:rPr>
              <w:t>3</w:t>
            </w:r>
          </w:p>
        </w:tc>
      </w:tr>
      <w:tr>
        <w:trPr>
          <w:trHeight w:val="20"/>
        </w:trPr>
        <w:tc>
          <w:tcPr>
            <w:tcW w:w="3160" w:type="dxa"/>
            <w:vAlign w:val="bottom"/>
            <w:shd w:val="clear" w:color="auto" w:fill="003399"/>
          </w:tcPr>
          <w:p>
            <w:pPr>
              <w:spacing w:after="0" w:line="20" w:lineRule="exact"/>
              <w:rPr>
                <w:sz w:val="1"/>
                <w:szCs w:val="1"/>
                <w:color w:val="auto"/>
              </w:rPr>
            </w:pPr>
          </w:p>
        </w:tc>
        <w:tc>
          <w:tcPr>
            <w:tcW w:w="2780" w:type="dxa"/>
            <w:vAlign w:val="bottom"/>
            <w:tcBorders>
              <w:right w:val="single" w:sz="8" w:color="003399"/>
            </w:tcBorders>
            <w:shd w:val="clear" w:color="auto" w:fill="003399"/>
          </w:tcPr>
          <w:p>
            <w:pPr>
              <w:spacing w:after="0" w:line="20" w:lineRule="exact"/>
              <w:rPr>
                <w:sz w:val="1"/>
                <w:szCs w:val="1"/>
                <w:color w:val="auto"/>
              </w:rPr>
            </w:pPr>
          </w:p>
        </w:tc>
        <w:tc>
          <w:tcPr>
            <w:tcW w:w="2180" w:type="dxa"/>
            <w:vAlign w:val="bottom"/>
            <w:tcBorders>
              <w:right w:val="single" w:sz="8" w:color="003399"/>
            </w:tcBorders>
            <w:shd w:val="clear" w:color="auto" w:fill="003399"/>
          </w:tcPr>
          <w:p>
            <w:pPr>
              <w:spacing w:after="0" w:line="20" w:lineRule="exact"/>
              <w:rPr>
                <w:sz w:val="1"/>
                <w:szCs w:val="1"/>
                <w:color w:val="auto"/>
              </w:rPr>
            </w:pPr>
          </w:p>
        </w:tc>
        <w:tc>
          <w:tcPr>
            <w:tcW w:w="2580" w:type="dxa"/>
            <w:vAlign w:val="bottom"/>
            <w:tcBorders>
              <w:right w:val="single" w:sz="8" w:color="003399"/>
            </w:tcBorders>
            <w:shd w:val="clear" w:color="auto" w:fill="003399"/>
          </w:tcPr>
          <w:p>
            <w:pPr>
              <w:spacing w:after="0" w:line="20" w:lineRule="exact"/>
              <w:rPr>
                <w:sz w:val="1"/>
                <w:szCs w:val="1"/>
                <w:color w:val="auto"/>
              </w:rPr>
            </w:pPr>
          </w:p>
        </w:tc>
        <w:tc>
          <w:tcPr>
            <w:tcW w:w="720" w:type="dxa"/>
            <w:vAlign w:val="bottom"/>
            <w:tcBorders>
              <w:right w:val="single" w:sz="8" w:color="003399"/>
            </w:tcBorders>
            <w:shd w:val="clear" w:color="auto" w:fill="003399"/>
          </w:tcPr>
          <w:p>
            <w:pPr>
              <w:spacing w:after="0" w:line="20" w:lineRule="exact"/>
              <w:rPr>
                <w:sz w:val="1"/>
                <w:szCs w:val="1"/>
                <w:color w:val="auto"/>
              </w:rPr>
            </w:pPr>
          </w:p>
        </w:tc>
      </w:tr>
    </w:tbl>
    <w:p>
      <w:pPr>
        <w:spacing w:after="0" w:line="30" w:lineRule="exact"/>
        <w:rPr>
          <w:sz w:val="20"/>
          <w:szCs w:val="20"/>
          <w:color w:val="auto"/>
        </w:rPr>
      </w:pPr>
    </w:p>
    <w:p>
      <w:pPr>
        <w:spacing w:after="0"/>
        <w:rPr>
          <w:sz w:val="20"/>
          <w:szCs w:val="20"/>
          <w:color w:val="auto"/>
        </w:rPr>
      </w:pPr>
      <w:r>
        <w:rPr>
          <w:rFonts w:ascii="Arial" w:cs="Arial" w:eastAsia="Arial" w:hAnsi="Arial"/>
          <w:sz w:val="12"/>
          <w:szCs w:val="12"/>
          <w:color w:val="auto"/>
        </w:rPr>
        <w:t>© 2007 Thomson Financial. Republished with permission. No part of this publication may be reproduced or transmitted in any form or by any means without the prior written consent of Thomson Financial.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328930</wp:posOffset>
            </wp:positionV>
            <wp:extent cx="7250430"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003399"/>
        </w:rPr>
        <w:t>FINAL TRANSCRIPT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22288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222885"/>
                    </a:xfrm>
                    <a:prstGeom prst="rect">
                      <a:avLst/>
                    </a:prstGeom>
                    <a:noFill/>
                  </pic:spPr>
                </pic:pic>
              </a:graphicData>
            </a:graphic>
          </wp:anchor>
        </w:drawing>
      </w:r>
    </w:p>
    <w:p>
      <w:pPr>
        <w:spacing w:after="0" w:line="4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003399"/>
        </w:rPr>
        <w:t>Dec. 20. 2007 / 10:00AM ET, WGO - Q1 2008 Winnebago Earnings Conference Call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375285</wp:posOffset>
            </wp:positionV>
            <wp:extent cx="72466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Sarah Nielsen </w:t>
      </w:r>
      <w:r>
        <w:rPr>
          <w:rFonts w:ascii="Arial" w:cs="Arial" w:eastAsia="Arial" w:hAnsi="Arial"/>
          <w:sz w:val="18"/>
          <w:szCs w:val="18"/>
          <w:b w:val="1"/>
          <w:bCs w:val="1"/>
          <w:i w:val="1"/>
          <w:iCs w:val="1"/>
          <w:color w:val="auto"/>
        </w:rPr>
        <w:t>- Winnebago Industries - VP &amp; CFO</w:t>
      </w:r>
    </w:p>
    <w:p>
      <w:pPr>
        <w:spacing w:after="0" w:line="312"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Thank you, Bob. Good morning, everyone. I am pleased to review with you the financial performance for the company's first quarter of fiscal year 2008. I do want to note that this quarter included 14 weeks as compared to 13 weeks last year, as a result of the timing of our fiscal year end, which ended the last Saturday of August. This dynamic of a 14 week quarter happens once every six years for us and last occurred in our first quarter of 2002.</w:t>
      </w:r>
    </w:p>
    <w:p>
      <w:pPr>
        <w:spacing w:after="0" w:line="16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Revenues for the first quarter of fiscal 2008 were $215.1 million, a 6.6% increase over the first quarter of 2007. In addition to the extra week in the quarter, the revenue increase was primarily the result of an 8.6% increase in our average motorhome selling price due to an increase of Class A deliveries in the quarter of 7.7%. This was partially offset by a decrease in the total units delivered by 2.4%.</w:t>
      </w:r>
    </w:p>
    <w:p>
      <w:pPr>
        <w:spacing w:after="0" w:line="19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Our gross profit margin was 11.9% for the first quarter compared to 10.6% for the same quarter last year. The 130 basis point increase in our margins was a result of a mix shift to more Class A product and decreased retail promotional programs as compared to last year.</w:t>
      </w:r>
    </w:p>
    <w:p>
      <w:pPr>
        <w:spacing w:after="0" w:line="18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Selling expenses increased $878,000 as compared to the same quarter last year due in part to the fact that we attended the National RV Trade Show in Louisville, Kentucky in the last week of our first quarter. The cost of attending this show typically is included in our second quarter but as our quarter extended that additional week the costs were shifted into our first quarter.</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Financial income decreased $323,000 or 20.7% as a result of lower average investment balances partially offset by a higher average interest rate earned.</w:t>
      </w:r>
    </w:p>
    <w:p>
      <w:pPr>
        <w:spacing w:after="0" w:line="24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effective tax rate was 32.8% as compared to 32.2% for the first quarter of last year. The increase is primarily a result of increased state taxes, a decrease in tax-free income offset partially by a higher production activities credit.</w:t>
      </w:r>
    </w:p>
    <w:p>
      <w:pPr>
        <w:spacing w:after="0" w:line="186" w:lineRule="exact"/>
        <w:rPr>
          <w:sz w:val="20"/>
          <w:szCs w:val="20"/>
          <w:color w:val="auto"/>
        </w:rPr>
      </w:pPr>
    </w:p>
    <w:p>
      <w:pPr>
        <w:jc w:val="both"/>
        <w:spacing w:after="0" w:line="370" w:lineRule="auto"/>
        <w:rPr>
          <w:sz w:val="20"/>
          <w:szCs w:val="20"/>
          <w:color w:val="auto"/>
        </w:rPr>
      </w:pPr>
      <w:r>
        <w:rPr>
          <w:rFonts w:ascii="Arial" w:cs="Arial" w:eastAsia="Arial" w:hAnsi="Arial"/>
          <w:sz w:val="15"/>
          <w:szCs w:val="15"/>
          <w:color w:val="auto"/>
        </w:rPr>
        <w:t>Net income increased by 25.5% and diluted earnings per share increased by 36% when comparing the same quarter last year. Diluted earnings per share increased at a higher rate than net income as the result of 2.1 million fewer average shares outstanding due to the stock that has been repurchased in the last year.</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I will now highlight a few significant balance sheet items.</w:t>
      </w:r>
    </w:p>
    <w:p>
      <w:pPr>
        <w:spacing w:after="0" w:line="225"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Receivable levels decreased $12.8 million in the quarter. This is due to fewer units included in receivables at the end of the quarter offset partially by an increase in the average motorhome selling price.</w:t>
      </w:r>
    </w:p>
    <w:p>
      <w:pPr>
        <w:spacing w:after="0" w:line="18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Inventories increased $18.9 million during the quarter. The increase was entirely a result of raw material chassis increases as finished goods inventory decreased approximately 7% and work in process inventories decreased over 4%. Raw material chassis inventory levels increased primarily due to the following three reasons.</w:t>
      </w:r>
    </w:p>
    <w:p>
      <w:pPr>
        <w:spacing w:after="0" w:line="194"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First, a new chassis platform was on hand at the end of the quarter to support our new product offering, the Navion iQ. Secondly, additional chassis inventory had been ordered to ensure that there were no disruptions to our production with new model year product from the chassis manufacturer. The model year transition did in fact go smoothly during our first quarter. And thirdly, challenging market conditions as evidenced by the continued decline in retail demand had affected our</w:t>
      </w:r>
    </w:p>
    <w:p>
      <w:pPr>
        <w:sectPr>
          <w:pgSz w:w="11900" w:h="16891" w:orient="portrait"/>
          <w:cols w:equalWidth="0" w:num="1">
            <w:col w:w="11420"/>
          </w:cols>
          <w:pgMar w:left="240" w:top="131" w:right="239" w:bottom="0" w:gutter="0" w:footer="0" w:header="0"/>
        </w:sectPr>
      </w:pPr>
    </w:p>
    <w:bookmarkStart w:id="9" w:name="page10"/>
    <w:bookmarkEnd w:id="9"/>
    <w:p>
      <w:pPr>
        <w:jc w:val="both"/>
        <w:ind w:right="20"/>
        <w:spacing w:after="0" w:line="268" w:lineRule="auto"/>
        <w:rPr>
          <w:sz w:val="20"/>
          <w:szCs w:val="20"/>
          <w:color w:val="auto"/>
        </w:rPr>
      </w:pPr>
      <w:r>
        <w:rPr>
          <w:rFonts w:ascii="Arial" w:cs="Arial" w:eastAsia="Arial" w:hAnsi="Arial"/>
          <w:sz w:val="18"/>
          <w:szCs w:val="18"/>
          <w:color w:val="auto"/>
        </w:rPr>
        <w:t>inventory levels. Due to these factors we do have additional chassis inventory currently on hand and it will take time to work our way down to a lower level which we anticipate to occur during our third quarter.</w:t>
      </w:r>
    </w:p>
    <w:p>
      <w:pPr>
        <w:spacing w:after="0" w:line="18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As indicated in the earnings release, we have adopted the new income tax accounting standard FIN 48 at the beginning of the quarter. FIN 48 clarifies the accounting for uncertainties in income tax laws by prescribing criteria for the financial statement recognition and measurement of tax positions taken or expected to be taken in our tax returns. The impact of adoption to our balance sheet is consistent with what we had previously disclosed in our 2007 annual report. The new accounting change had no P&amp;L impact in our first quarter; however, there may be impacts to income tax expense, positive or negative in the future as these tax positions are resolved.</w:t>
      </w:r>
    </w:p>
    <w:p>
      <w:pPr>
        <w:spacing w:after="0" w:line="197"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We completed the quarter with $94.2 million in cash and investments, a decrease of $15.2 million from the end of the fiscal year. Cash provided by operations was $7.6 million as compared to use of cash from operations of $11.6 million in the first quarter of last year. This is in part due to an increase in our net income and to a greater extent the working capital changes in receivables and inventory which I have already touched upon.</w:t>
      </w:r>
    </w:p>
    <w:p>
      <w:pPr>
        <w:spacing w:after="0" w:line="16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From a capital expenditures perspective we spent $1.5 million in the quarter and expect to spend approximately $5 to $6 million in fiscal 2008. One significant capital expenditure during the quarter related to a laser tube cutter that was approximately $1.1 million. We were able to consolidate five different processes into one with this new machinery.</w:t>
      </w:r>
    </w:p>
    <w:p>
      <w:pPr>
        <w:spacing w:after="0" w:line="331" w:lineRule="exact"/>
        <w:rPr>
          <w:sz w:val="20"/>
          <w:szCs w:val="20"/>
          <w:color w:val="auto"/>
        </w:rPr>
      </w:pPr>
    </w:p>
    <w:tbl>
      <w:tblPr>
        <w:tblLayout w:type="fixed"/>
        <w:tblInd w:w="0" w:type="dxa"/>
        <w:tblCellMar>
          <w:top w:w="0" w:type="dxa"/>
          <w:left w:w="0" w:type="dxa"/>
          <w:bottom w:w="0" w:type="dxa"/>
          <w:right w:w="0" w:type="dxa"/>
        </w:tblCellMar>
      </w:tblPr>
      <w:tr>
        <w:trPr>
          <w:trHeight w:val="304"/>
        </w:trPr>
        <w:tc>
          <w:tcPr>
            <w:tcW w:w="3160" w:type="dxa"/>
            <w:vAlign w:val="bottom"/>
            <w:tcBorders>
              <w:top w:val="single" w:sz="8" w:color="003399"/>
              <w:bottom w:val="single" w:sz="8" w:color="003399"/>
            </w:tcBorders>
            <w:shd w:val="clear" w:color="auto" w:fill="003399"/>
          </w:tcPr>
          <w:p>
            <w:pPr>
              <w:ind w:left="740"/>
              <w:spacing w:after="0"/>
              <w:rPr>
                <w:sz w:val="20"/>
                <w:szCs w:val="20"/>
                <w:color w:val="auto"/>
              </w:rPr>
            </w:pPr>
            <w:r>
              <w:rPr>
                <w:rFonts w:ascii="Arial" w:cs="Arial" w:eastAsia="Arial" w:hAnsi="Arial"/>
                <w:sz w:val="18"/>
                <w:szCs w:val="18"/>
                <w:b w:val="1"/>
                <w:bCs w:val="1"/>
                <w:color w:val="FFFFFF"/>
              </w:rPr>
              <w:t>Thomson StreetEvents</w:t>
            </w:r>
          </w:p>
        </w:tc>
        <w:tc>
          <w:tcPr>
            <w:tcW w:w="2780" w:type="dxa"/>
            <w:vAlign w:val="bottom"/>
            <w:tcBorders>
              <w:top w:val="single" w:sz="8" w:color="003399"/>
              <w:right w:val="single" w:sz="8" w:color="003399"/>
            </w:tcBorders>
          </w:tcPr>
          <w:p>
            <w:pPr>
              <w:ind w:left="780"/>
              <w:spacing w:after="0"/>
              <w:rPr>
                <w:sz w:val="20"/>
                <w:szCs w:val="20"/>
                <w:color w:val="auto"/>
              </w:rPr>
            </w:pPr>
            <w:r>
              <w:rPr>
                <w:rFonts w:ascii="Arial" w:cs="Arial" w:eastAsia="Arial" w:hAnsi="Arial"/>
                <w:sz w:val="14"/>
                <w:szCs w:val="14"/>
                <w:color w:val="003399"/>
              </w:rPr>
              <w:t>www.streetevents.com</w:t>
            </w:r>
          </w:p>
        </w:tc>
        <w:tc>
          <w:tcPr>
            <w:tcW w:w="2180" w:type="dxa"/>
            <w:vAlign w:val="bottom"/>
            <w:tcBorders>
              <w:top w:val="single" w:sz="8" w:color="003399"/>
              <w:right w:val="single" w:sz="8" w:color="003399"/>
            </w:tcBorders>
          </w:tcPr>
          <w:p>
            <w:pPr>
              <w:spacing w:after="0"/>
              <w:rPr>
                <w:sz w:val="24"/>
                <w:szCs w:val="24"/>
                <w:color w:val="auto"/>
              </w:rPr>
            </w:pPr>
          </w:p>
        </w:tc>
        <w:tc>
          <w:tcPr>
            <w:tcW w:w="2580" w:type="dxa"/>
            <w:vAlign w:val="bottom"/>
            <w:tcBorders>
              <w:top w:val="single" w:sz="8" w:color="003399"/>
              <w:right w:val="single" w:sz="8" w:color="003399"/>
            </w:tcBorders>
          </w:tcPr>
          <w:p>
            <w:pPr>
              <w:ind w:left="980"/>
              <w:spacing w:after="0"/>
              <w:rPr>
                <w:sz w:val="20"/>
                <w:szCs w:val="20"/>
                <w:color w:val="auto"/>
              </w:rPr>
            </w:pPr>
            <w:r>
              <w:rPr>
                <w:rFonts w:ascii="Arial" w:cs="Arial" w:eastAsia="Arial" w:hAnsi="Arial"/>
                <w:sz w:val="14"/>
                <w:szCs w:val="14"/>
                <w:color w:val="003399"/>
              </w:rPr>
              <w:t>Contact Us</w:t>
            </w:r>
          </w:p>
        </w:tc>
        <w:tc>
          <w:tcPr>
            <w:tcW w:w="720" w:type="dxa"/>
            <w:vAlign w:val="bottom"/>
            <w:tcBorders>
              <w:top w:val="single" w:sz="8" w:color="003399"/>
              <w:bottom w:val="single" w:sz="8" w:color="6B9915"/>
              <w:right w:val="single" w:sz="8" w:color="003399"/>
            </w:tcBorders>
            <w:shd w:val="clear" w:color="auto" w:fill="6B9915"/>
          </w:tcPr>
          <w:p>
            <w:pPr>
              <w:jc w:val="right"/>
              <w:ind w:right="232"/>
              <w:spacing w:after="0"/>
              <w:rPr>
                <w:sz w:val="20"/>
                <w:szCs w:val="20"/>
                <w:color w:val="auto"/>
              </w:rPr>
            </w:pPr>
            <w:r>
              <w:rPr>
                <w:rFonts w:ascii="Arial" w:cs="Arial" w:eastAsia="Arial" w:hAnsi="Arial"/>
                <w:sz w:val="18"/>
                <w:szCs w:val="18"/>
                <w:color w:val="FFFFFF"/>
              </w:rPr>
              <w:t>4</w:t>
            </w:r>
          </w:p>
        </w:tc>
      </w:tr>
      <w:tr>
        <w:trPr>
          <w:trHeight w:val="20"/>
        </w:trPr>
        <w:tc>
          <w:tcPr>
            <w:tcW w:w="3160" w:type="dxa"/>
            <w:vAlign w:val="bottom"/>
            <w:shd w:val="clear" w:color="auto" w:fill="003399"/>
          </w:tcPr>
          <w:p>
            <w:pPr>
              <w:spacing w:after="0" w:line="20" w:lineRule="exact"/>
              <w:rPr>
                <w:sz w:val="1"/>
                <w:szCs w:val="1"/>
                <w:color w:val="auto"/>
              </w:rPr>
            </w:pPr>
          </w:p>
        </w:tc>
        <w:tc>
          <w:tcPr>
            <w:tcW w:w="2780" w:type="dxa"/>
            <w:vAlign w:val="bottom"/>
            <w:tcBorders>
              <w:right w:val="single" w:sz="8" w:color="003399"/>
            </w:tcBorders>
            <w:shd w:val="clear" w:color="auto" w:fill="003399"/>
          </w:tcPr>
          <w:p>
            <w:pPr>
              <w:spacing w:after="0" w:line="20" w:lineRule="exact"/>
              <w:rPr>
                <w:sz w:val="1"/>
                <w:szCs w:val="1"/>
                <w:color w:val="auto"/>
              </w:rPr>
            </w:pPr>
          </w:p>
        </w:tc>
        <w:tc>
          <w:tcPr>
            <w:tcW w:w="2180" w:type="dxa"/>
            <w:vAlign w:val="bottom"/>
            <w:tcBorders>
              <w:right w:val="single" w:sz="8" w:color="003399"/>
            </w:tcBorders>
            <w:shd w:val="clear" w:color="auto" w:fill="003399"/>
          </w:tcPr>
          <w:p>
            <w:pPr>
              <w:spacing w:after="0" w:line="20" w:lineRule="exact"/>
              <w:rPr>
                <w:sz w:val="1"/>
                <w:szCs w:val="1"/>
                <w:color w:val="auto"/>
              </w:rPr>
            </w:pPr>
          </w:p>
        </w:tc>
        <w:tc>
          <w:tcPr>
            <w:tcW w:w="2580" w:type="dxa"/>
            <w:vAlign w:val="bottom"/>
            <w:tcBorders>
              <w:right w:val="single" w:sz="8" w:color="003399"/>
            </w:tcBorders>
            <w:shd w:val="clear" w:color="auto" w:fill="003399"/>
          </w:tcPr>
          <w:p>
            <w:pPr>
              <w:spacing w:after="0" w:line="20" w:lineRule="exact"/>
              <w:rPr>
                <w:sz w:val="1"/>
                <w:szCs w:val="1"/>
                <w:color w:val="auto"/>
              </w:rPr>
            </w:pPr>
          </w:p>
        </w:tc>
        <w:tc>
          <w:tcPr>
            <w:tcW w:w="720" w:type="dxa"/>
            <w:vAlign w:val="bottom"/>
            <w:tcBorders>
              <w:right w:val="single" w:sz="8" w:color="003399"/>
            </w:tcBorders>
            <w:shd w:val="clear" w:color="auto" w:fill="003399"/>
          </w:tcPr>
          <w:p>
            <w:pPr>
              <w:spacing w:after="0" w:line="20" w:lineRule="exact"/>
              <w:rPr>
                <w:sz w:val="1"/>
                <w:szCs w:val="1"/>
                <w:color w:val="auto"/>
              </w:rPr>
            </w:pPr>
          </w:p>
        </w:tc>
      </w:tr>
    </w:tbl>
    <w:p>
      <w:pPr>
        <w:spacing w:after="0" w:line="30" w:lineRule="exact"/>
        <w:rPr>
          <w:sz w:val="20"/>
          <w:szCs w:val="20"/>
          <w:color w:val="auto"/>
        </w:rPr>
      </w:pPr>
    </w:p>
    <w:p>
      <w:pPr>
        <w:spacing w:after="0"/>
        <w:rPr>
          <w:sz w:val="20"/>
          <w:szCs w:val="20"/>
          <w:color w:val="auto"/>
        </w:rPr>
      </w:pPr>
      <w:r>
        <w:rPr>
          <w:rFonts w:ascii="Arial" w:cs="Arial" w:eastAsia="Arial" w:hAnsi="Arial"/>
          <w:sz w:val="12"/>
          <w:szCs w:val="12"/>
          <w:color w:val="auto"/>
        </w:rPr>
        <w:t>© 2007 Thomson Financial. Republished with permission. No part of this publication may be reproduced or transmitted in any form or by any means without the prior written consent of Thomson Financial.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328930</wp:posOffset>
            </wp:positionV>
            <wp:extent cx="7250430" cy="298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003399"/>
        </w:rPr>
        <w:t>FINAL TRANSCRIPT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22288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222885"/>
                    </a:xfrm>
                    <a:prstGeom prst="rect">
                      <a:avLst/>
                    </a:prstGeom>
                    <a:noFill/>
                  </pic:spPr>
                </pic:pic>
              </a:graphicData>
            </a:graphic>
          </wp:anchor>
        </w:drawing>
      </w:r>
    </w:p>
    <w:p>
      <w:pPr>
        <w:spacing w:after="0" w:line="4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003399"/>
        </w:rPr>
        <w:t>Dec. 20. 2007 / 10:00AM ET, WGO - Q1 2008 Winnebago Earnings Conference Call</w:t>
      </w:r>
    </w:p>
    <w:p>
      <w:pPr>
        <w:spacing w:after="0" w:line="200" w:lineRule="exact"/>
        <w:rPr>
          <w:sz w:val="20"/>
          <w:szCs w:val="20"/>
          <w:color w:val="auto"/>
        </w:rPr>
      </w:pPr>
    </w:p>
    <w:p>
      <w:pPr>
        <w:spacing w:after="0" w:line="31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We completed the stock repurchase authorization approved by the Board this past June and bought back approximately 676,000 shares for $17.5 million during the quarter. We also paid dividends of $3.5 million. I will now turn the call back over to Bruce.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123190</wp:posOffset>
            </wp:positionV>
            <wp:extent cx="72466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Bruce Hertzke </w:t>
      </w:r>
      <w:r>
        <w:rPr>
          <w:rFonts w:ascii="Arial" w:cs="Arial" w:eastAsia="Arial" w:hAnsi="Arial"/>
          <w:sz w:val="18"/>
          <w:szCs w:val="18"/>
          <w:b w:val="1"/>
          <w:bCs w:val="1"/>
          <w:i w:val="1"/>
          <w:iCs w:val="1"/>
          <w:color w:val="auto"/>
        </w:rPr>
        <w:t>- Winnebago Industries - Chairman &amp; CEO</w:t>
      </w:r>
    </w:p>
    <w:p>
      <w:pPr>
        <w:spacing w:after="0" w:line="312" w:lineRule="exact"/>
        <w:rPr>
          <w:sz w:val="20"/>
          <w:szCs w:val="20"/>
          <w:color w:val="auto"/>
        </w:rPr>
      </w:pPr>
    </w:p>
    <w:p>
      <w:pPr>
        <w:spacing w:after="0"/>
        <w:rPr>
          <w:sz w:val="20"/>
          <w:szCs w:val="20"/>
          <w:color w:val="auto"/>
        </w:rPr>
      </w:pPr>
      <w:r>
        <w:rPr>
          <w:rFonts w:ascii="Arial" w:cs="Arial" w:eastAsia="Arial" w:hAnsi="Arial"/>
          <w:sz w:val="18"/>
          <w:szCs w:val="18"/>
          <w:color w:val="auto"/>
        </w:rPr>
        <w:t>Thank you, Sarah. At this time I will turn the call over to the operator for the question and answer portion of the call today.</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6B9915"/>
        </w:rPr>
        <w:t>QUESTION AND ANSWER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358140</wp:posOffset>
            </wp:positionV>
            <wp:extent cx="72466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Operator</w:t>
      </w:r>
    </w:p>
    <w:p>
      <w:pPr>
        <w:spacing w:after="0" w:line="312" w:lineRule="exact"/>
        <w:rPr>
          <w:sz w:val="20"/>
          <w:szCs w:val="20"/>
          <w:color w:val="auto"/>
        </w:rPr>
      </w:pPr>
    </w:p>
    <w:p>
      <w:pPr>
        <w:spacing w:after="0"/>
        <w:rPr>
          <w:sz w:val="20"/>
          <w:szCs w:val="20"/>
          <w:color w:val="auto"/>
        </w:rPr>
      </w:pPr>
      <w:r>
        <w:rPr>
          <w:rFonts w:ascii="Arial" w:cs="Arial" w:eastAsia="Arial" w:hAnsi="Arial"/>
          <w:sz w:val="18"/>
          <w:szCs w:val="18"/>
          <w:color w:val="auto"/>
        </w:rPr>
        <w:t>(OPERATOR INSTRUCTIONS) Gregory Badishkanian, Citigroup Capital Market.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191135</wp:posOffset>
            </wp:positionV>
            <wp:extent cx="72466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Gregory Badishkanian </w:t>
      </w:r>
      <w:r>
        <w:rPr>
          <w:rFonts w:ascii="Arial" w:cs="Arial" w:eastAsia="Arial" w:hAnsi="Arial"/>
          <w:sz w:val="18"/>
          <w:szCs w:val="18"/>
          <w:b w:val="1"/>
          <w:bCs w:val="1"/>
          <w:i w:val="1"/>
          <w:iCs w:val="1"/>
          <w:color w:val="auto"/>
        </w:rPr>
        <w:t>- Citigroup - Analyst</w:t>
      </w:r>
    </w:p>
    <w:p>
      <w:pPr>
        <w:spacing w:after="0" w:line="31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Thank you. And good job in a particularly tough environment. A few questions; one is just promotional level. It was lower this quarter. Was that the case with your competitors, and would you expect to see continued discipline by the manufacturers going forward?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166370</wp:posOffset>
            </wp:positionV>
            <wp:extent cx="72466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Bruce Hertzke </w:t>
      </w:r>
      <w:r>
        <w:rPr>
          <w:rFonts w:ascii="Arial" w:cs="Arial" w:eastAsia="Arial" w:hAnsi="Arial"/>
          <w:sz w:val="18"/>
          <w:szCs w:val="18"/>
          <w:b w:val="1"/>
          <w:bCs w:val="1"/>
          <w:i w:val="1"/>
          <w:iCs w:val="1"/>
          <w:color w:val="auto"/>
        </w:rPr>
        <w:t>- Winnebago Industries - Chairman &amp; CEO</w:t>
      </w:r>
    </w:p>
    <w:p>
      <w:pPr>
        <w:spacing w:after="0" w:line="31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 think that's a fair statement. I think most manufacturers now have their inventories much better in line with what the demand is. And I think we've seen a reduction in some of the promotional activities; I know as you can see by our financials we don't have as much as we had last year, and I think the market is kind of turning that way right now, as well.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72466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Gregory Badishkanian </w:t>
      </w:r>
      <w:r>
        <w:rPr>
          <w:rFonts w:ascii="Arial" w:cs="Arial" w:eastAsia="Arial" w:hAnsi="Arial"/>
          <w:sz w:val="18"/>
          <w:szCs w:val="18"/>
          <w:b w:val="1"/>
          <w:bCs w:val="1"/>
          <w:i w:val="1"/>
          <w:iCs w:val="1"/>
          <w:color w:val="auto"/>
        </w:rPr>
        <w:t>- Citigroup - Analyst</w:t>
      </w:r>
    </w:p>
    <w:p>
      <w:pPr>
        <w:spacing w:after="0" w:line="312" w:lineRule="exact"/>
        <w:rPr>
          <w:sz w:val="20"/>
          <w:szCs w:val="20"/>
          <w:color w:val="auto"/>
        </w:rPr>
      </w:pPr>
    </w:p>
    <w:p>
      <w:pPr>
        <w:jc w:val="both"/>
        <w:spacing w:after="0" w:line="332" w:lineRule="auto"/>
        <w:rPr>
          <w:sz w:val="20"/>
          <w:szCs w:val="20"/>
          <w:color w:val="auto"/>
        </w:rPr>
      </w:pPr>
      <w:r>
        <w:rPr>
          <w:rFonts w:ascii="Arial" w:cs="Arial" w:eastAsia="Arial" w:hAnsi="Arial"/>
          <w:sz w:val="16"/>
          <w:szCs w:val="16"/>
          <w:color w:val="auto"/>
        </w:rPr>
        <w:t>Good, thanks. And also with respect to backlogs, so A was down about 27%. C was up 49%. Can you give a little color on the weakness in A and then also just did the recent new entries of other Class C diesels have any impact on that backlog, because it was pretty, up 49% is pretty strong?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136525</wp:posOffset>
            </wp:positionV>
            <wp:extent cx="72466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Bob Olson </w:t>
      </w:r>
      <w:r>
        <w:rPr>
          <w:rFonts w:ascii="Arial" w:cs="Arial" w:eastAsia="Arial" w:hAnsi="Arial"/>
          <w:sz w:val="18"/>
          <w:szCs w:val="18"/>
          <w:b w:val="1"/>
          <w:bCs w:val="1"/>
          <w:i w:val="1"/>
          <w:iCs w:val="1"/>
          <w:color w:val="auto"/>
        </w:rPr>
        <w:t>- Winnebago Industries - President</w:t>
      </w:r>
    </w:p>
    <w:p>
      <w:pPr>
        <w:spacing w:after="0" w:line="312"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Just to comment on the A, I think you remember that the fourth quarter and through the first quarter we've been producing our redesigned diesel product quite heavily. And so now we've got a lot of those products out to the dealer's inventory. And we are now waiting for retail to catch up. &gt;From a C perspective we've got some pretty tough comps to last year. Our View and Navion has always been strong, and with competition coming out there, although we haven't seen a lot of them, their products out on the dealer lots, but we recognize the fact that we've kind of had that game all to ourselves. And there's going to be some competition to it. But we feel confident that we are on the cutting edge. We have the View and Navion now for 2, 2.5 years. And as noticed at the Louisville show we've turned around and introduced a new Navion iQ. We plan on continuing to look at opportunities for that product lineup.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158750</wp:posOffset>
            </wp:positionV>
            <wp:extent cx="72466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Bruce Hertzke </w:t>
      </w:r>
      <w:r>
        <w:rPr>
          <w:rFonts w:ascii="Arial" w:cs="Arial" w:eastAsia="Arial" w:hAnsi="Arial"/>
          <w:sz w:val="18"/>
          <w:szCs w:val="18"/>
          <w:b w:val="1"/>
          <w:bCs w:val="1"/>
          <w:i w:val="1"/>
          <w:iCs w:val="1"/>
          <w:color w:val="auto"/>
        </w:rPr>
        <w:t>- Winnebago Industries - Chairman &amp; CEO</w:t>
      </w:r>
    </w:p>
    <w:p>
      <w:pPr>
        <w:sectPr>
          <w:pgSz w:w="11900" w:h="16838" w:orient="portrait"/>
          <w:cols w:equalWidth="0" w:num="1">
            <w:col w:w="11420"/>
          </w:cols>
          <w:pgMar w:left="240" w:top="131" w:right="239" w:bottom="0" w:gutter="0" w:footer="0" w:header="0"/>
        </w:sectPr>
      </w:pPr>
    </w:p>
    <w:bookmarkStart w:id="10" w:name="page11"/>
    <w:bookmarkEnd w:id="10"/>
    <w:p>
      <w:pPr>
        <w:spacing w:after="0"/>
        <w:rPr>
          <w:sz w:val="20"/>
          <w:szCs w:val="20"/>
          <w:color w:val="auto"/>
        </w:rPr>
      </w:pPr>
      <w:r>
        <w:rPr>
          <w:rFonts w:ascii="Arial" w:cs="Arial" w:eastAsia="Arial" w:hAnsi="Arial"/>
          <w:sz w:val="16"/>
          <w:szCs w:val="16"/>
          <w:color w:val="auto"/>
        </w:rPr>
        <w:t>One of the things that we don't want you to do, there were no B; you've mentioned some diesel C. There were no B orders in any of our numbers from Louisville.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So the new ERA product we have not released any orders for that product yet.</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304"/>
        </w:trPr>
        <w:tc>
          <w:tcPr>
            <w:tcW w:w="3160" w:type="dxa"/>
            <w:vAlign w:val="bottom"/>
            <w:tcBorders>
              <w:top w:val="single" w:sz="8" w:color="003399"/>
              <w:bottom w:val="single" w:sz="8" w:color="003399"/>
            </w:tcBorders>
            <w:shd w:val="clear" w:color="auto" w:fill="003399"/>
          </w:tcPr>
          <w:p>
            <w:pPr>
              <w:ind w:left="740"/>
              <w:spacing w:after="0"/>
              <w:rPr>
                <w:sz w:val="20"/>
                <w:szCs w:val="20"/>
                <w:color w:val="auto"/>
              </w:rPr>
            </w:pPr>
            <w:r>
              <w:rPr>
                <w:rFonts w:ascii="Arial" w:cs="Arial" w:eastAsia="Arial" w:hAnsi="Arial"/>
                <w:sz w:val="18"/>
                <w:szCs w:val="18"/>
                <w:b w:val="1"/>
                <w:bCs w:val="1"/>
                <w:color w:val="FFFFFF"/>
              </w:rPr>
              <w:t>Thomson StreetEvents</w:t>
            </w:r>
          </w:p>
        </w:tc>
        <w:tc>
          <w:tcPr>
            <w:tcW w:w="2780" w:type="dxa"/>
            <w:vAlign w:val="bottom"/>
            <w:tcBorders>
              <w:top w:val="single" w:sz="8" w:color="003399"/>
              <w:right w:val="single" w:sz="8" w:color="003399"/>
            </w:tcBorders>
          </w:tcPr>
          <w:p>
            <w:pPr>
              <w:ind w:left="780"/>
              <w:spacing w:after="0"/>
              <w:rPr>
                <w:sz w:val="20"/>
                <w:szCs w:val="20"/>
                <w:color w:val="auto"/>
              </w:rPr>
            </w:pPr>
            <w:r>
              <w:rPr>
                <w:rFonts w:ascii="Arial" w:cs="Arial" w:eastAsia="Arial" w:hAnsi="Arial"/>
                <w:sz w:val="14"/>
                <w:szCs w:val="14"/>
                <w:color w:val="003399"/>
              </w:rPr>
              <w:t>www.streetevents.com</w:t>
            </w:r>
          </w:p>
        </w:tc>
        <w:tc>
          <w:tcPr>
            <w:tcW w:w="2180" w:type="dxa"/>
            <w:vAlign w:val="bottom"/>
            <w:tcBorders>
              <w:top w:val="single" w:sz="8" w:color="003399"/>
              <w:right w:val="single" w:sz="8" w:color="003399"/>
            </w:tcBorders>
          </w:tcPr>
          <w:p>
            <w:pPr>
              <w:spacing w:after="0"/>
              <w:rPr>
                <w:sz w:val="24"/>
                <w:szCs w:val="24"/>
                <w:color w:val="auto"/>
              </w:rPr>
            </w:pPr>
          </w:p>
        </w:tc>
        <w:tc>
          <w:tcPr>
            <w:tcW w:w="2580" w:type="dxa"/>
            <w:vAlign w:val="bottom"/>
            <w:tcBorders>
              <w:top w:val="single" w:sz="8" w:color="003399"/>
              <w:right w:val="single" w:sz="8" w:color="003399"/>
            </w:tcBorders>
          </w:tcPr>
          <w:p>
            <w:pPr>
              <w:ind w:left="980"/>
              <w:spacing w:after="0"/>
              <w:rPr>
                <w:sz w:val="20"/>
                <w:szCs w:val="20"/>
                <w:color w:val="auto"/>
              </w:rPr>
            </w:pPr>
            <w:r>
              <w:rPr>
                <w:rFonts w:ascii="Arial" w:cs="Arial" w:eastAsia="Arial" w:hAnsi="Arial"/>
                <w:sz w:val="14"/>
                <w:szCs w:val="14"/>
                <w:color w:val="003399"/>
              </w:rPr>
              <w:t>Contact Us</w:t>
            </w:r>
          </w:p>
        </w:tc>
        <w:tc>
          <w:tcPr>
            <w:tcW w:w="720" w:type="dxa"/>
            <w:vAlign w:val="bottom"/>
            <w:tcBorders>
              <w:top w:val="single" w:sz="8" w:color="003399"/>
              <w:bottom w:val="single" w:sz="8" w:color="6B9915"/>
              <w:right w:val="single" w:sz="8" w:color="003399"/>
            </w:tcBorders>
            <w:shd w:val="clear" w:color="auto" w:fill="6B9915"/>
          </w:tcPr>
          <w:p>
            <w:pPr>
              <w:jc w:val="right"/>
              <w:ind w:right="232"/>
              <w:spacing w:after="0"/>
              <w:rPr>
                <w:sz w:val="20"/>
                <w:szCs w:val="20"/>
                <w:color w:val="auto"/>
              </w:rPr>
            </w:pPr>
            <w:r>
              <w:rPr>
                <w:rFonts w:ascii="Arial" w:cs="Arial" w:eastAsia="Arial" w:hAnsi="Arial"/>
                <w:sz w:val="18"/>
                <w:szCs w:val="18"/>
                <w:color w:val="FFFFFF"/>
              </w:rPr>
              <w:t>5</w:t>
            </w:r>
          </w:p>
        </w:tc>
      </w:tr>
      <w:tr>
        <w:trPr>
          <w:trHeight w:val="20"/>
        </w:trPr>
        <w:tc>
          <w:tcPr>
            <w:tcW w:w="3160" w:type="dxa"/>
            <w:vAlign w:val="bottom"/>
            <w:shd w:val="clear" w:color="auto" w:fill="003399"/>
          </w:tcPr>
          <w:p>
            <w:pPr>
              <w:spacing w:after="0" w:line="20" w:lineRule="exact"/>
              <w:rPr>
                <w:sz w:val="1"/>
                <w:szCs w:val="1"/>
                <w:color w:val="auto"/>
              </w:rPr>
            </w:pPr>
          </w:p>
        </w:tc>
        <w:tc>
          <w:tcPr>
            <w:tcW w:w="2780" w:type="dxa"/>
            <w:vAlign w:val="bottom"/>
            <w:tcBorders>
              <w:right w:val="single" w:sz="8" w:color="003399"/>
            </w:tcBorders>
            <w:shd w:val="clear" w:color="auto" w:fill="003399"/>
          </w:tcPr>
          <w:p>
            <w:pPr>
              <w:spacing w:after="0" w:line="20" w:lineRule="exact"/>
              <w:rPr>
                <w:sz w:val="1"/>
                <w:szCs w:val="1"/>
                <w:color w:val="auto"/>
              </w:rPr>
            </w:pPr>
          </w:p>
        </w:tc>
        <w:tc>
          <w:tcPr>
            <w:tcW w:w="2180" w:type="dxa"/>
            <w:vAlign w:val="bottom"/>
            <w:tcBorders>
              <w:right w:val="single" w:sz="8" w:color="003399"/>
            </w:tcBorders>
            <w:shd w:val="clear" w:color="auto" w:fill="003399"/>
          </w:tcPr>
          <w:p>
            <w:pPr>
              <w:spacing w:after="0" w:line="20" w:lineRule="exact"/>
              <w:rPr>
                <w:sz w:val="1"/>
                <w:szCs w:val="1"/>
                <w:color w:val="auto"/>
              </w:rPr>
            </w:pPr>
          </w:p>
        </w:tc>
        <w:tc>
          <w:tcPr>
            <w:tcW w:w="2580" w:type="dxa"/>
            <w:vAlign w:val="bottom"/>
            <w:tcBorders>
              <w:right w:val="single" w:sz="8" w:color="003399"/>
            </w:tcBorders>
            <w:shd w:val="clear" w:color="auto" w:fill="003399"/>
          </w:tcPr>
          <w:p>
            <w:pPr>
              <w:spacing w:after="0" w:line="20" w:lineRule="exact"/>
              <w:rPr>
                <w:sz w:val="1"/>
                <w:szCs w:val="1"/>
                <w:color w:val="auto"/>
              </w:rPr>
            </w:pPr>
          </w:p>
        </w:tc>
        <w:tc>
          <w:tcPr>
            <w:tcW w:w="720" w:type="dxa"/>
            <w:vAlign w:val="bottom"/>
            <w:tcBorders>
              <w:right w:val="single" w:sz="8" w:color="003399"/>
            </w:tcBorders>
            <w:shd w:val="clear" w:color="auto" w:fill="003399"/>
          </w:tcPr>
          <w:p>
            <w:pPr>
              <w:spacing w:after="0" w:line="20" w:lineRule="exact"/>
              <w:rPr>
                <w:sz w:val="1"/>
                <w:szCs w:val="1"/>
                <w:color w:val="auto"/>
              </w:rPr>
            </w:pPr>
          </w:p>
        </w:tc>
      </w:tr>
    </w:tbl>
    <w:p>
      <w:pPr>
        <w:spacing w:after="0" w:line="30" w:lineRule="exact"/>
        <w:rPr>
          <w:sz w:val="20"/>
          <w:szCs w:val="20"/>
          <w:color w:val="auto"/>
        </w:rPr>
      </w:pPr>
    </w:p>
    <w:p>
      <w:pPr>
        <w:spacing w:after="0"/>
        <w:rPr>
          <w:sz w:val="20"/>
          <w:szCs w:val="20"/>
          <w:color w:val="auto"/>
        </w:rPr>
      </w:pPr>
      <w:r>
        <w:rPr>
          <w:rFonts w:ascii="Arial" w:cs="Arial" w:eastAsia="Arial" w:hAnsi="Arial"/>
          <w:sz w:val="12"/>
          <w:szCs w:val="12"/>
          <w:color w:val="auto"/>
        </w:rPr>
        <w:t>© 2007 Thomson Financial. Republished with permission. No part of this publication may be reproduced or transmitted in any form or by any means without the prior written consent of Thomson Financial.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328930</wp:posOffset>
            </wp:positionV>
            <wp:extent cx="7250430" cy="298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003399"/>
        </w:rPr>
        <w:t>FINAL TRANSCRIPT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22288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222885"/>
                    </a:xfrm>
                    <a:prstGeom prst="rect">
                      <a:avLst/>
                    </a:prstGeom>
                    <a:noFill/>
                  </pic:spPr>
                </pic:pic>
              </a:graphicData>
            </a:graphic>
          </wp:anchor>
        </w:drawing>
      </w:r>
    </w:p>
    <w:p>
      <w:pPr>
        <w:spacing w:after="0" w:line="4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003399"/>
        </w:rPr>
        <w:t>Dec. 20. 2007 / 10:00AM ET, WGO - Q1 2008 Winnebago Earnings Conference Call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375285</wp:posOffset>
            </wp:positionV>
            <wp:extent cx="72466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Bob Olson </w:t>
      </w:r>
      <w:r>
        <w:rPr>
          <w:rFonts w:ascii="Arial" w:cs="Arial" w:eastAsia="Arial" w:hAnsi="Arial"/>
          <w:sz w:val="18"/>
          <w:szCs w:val="18"/>
          <w:b w:val="1"/>
          <w:bCs w:val="1"/>
          <w:i w:val="1"/>
          <w:iCs w:val="1"/>
          <w:color w:val="auto"/>
        </w:rPr>
        <w:t>- Winnebago Industries - President</w:t>
      </w:r>
    </w:p>
    <w:p>
      <w:pPr>
        <w:spacing w:after="0" w:line="31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One other thing I can comment as far as the backlog on C's, we did introduce the Navion iQ, which helped the backlog this year on C bodies but we also had the Winnebago Access bunkbed model that was very well-received at Louisville for our Winnebago dealers. And so that had a positive impact on the backlog as of right now, as well.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128905</wp:posOffset>
            </wp:positionV>
            <wp:extent cx="72466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Gregory Badishkanian </w:t>
      </w:r>
      <w:r>
        <w:rPr>
          <w:rFonts w:ascii="Arial" w:cs="Arial" w:eastAsia="Arial" w:hAnsi="Arial"/>
          <w:sz w:val="18"/>
          <w:szCs w:val="18"/>
          <w:b w:val="1"/>
          <w:bCs w:val="1"/>
          <w:i w:val="1"/>
          <w:iCs w:val="1"/>
          <w:color w:val="auto"/>
        </w:rPr>
        <w:t>- Citigroup - Analyst</w:t>
      </w:r>
    </w:p>
    <w:p>
      <w:pPr>
        <w:spacing w:after="0" w:line="312" w:lineRule="exact"/>
        <w:rPr>
          <w:sz w:val="20"/>
          <w:szCs w:val="20"/>
          <w:color w:val="auto"/>
        </w:rPr>
      </w:pPr>
    </w:p>
    <w:p>
      <w:pPr>
        <w:jc w:val="both"/>
        <w:spacing w:after="0" w:line="332" w:lineRule="auto"/>
        <w:rPr>
          <w:sz w:val="20"/>
          <w:szCs w:val="20"/>
          <w:color w:val="auto"/>
        </w:rPr>
      </w:pPr>
      <w:r>
        <w:rPr>
          <w:rFonts w:ascii="Arial" w:cs="Arial" w:eastAsia="Arial" w:hAnsi="Arial"/>
          <w:sz w:val="16"/>
          <w:szCs w:val="16"/>
          <w:color w:val="auto"/>
        </w:rPr>
        <w:t>So to clarify, I didn't see obviously there was no B in your backlog, so that (multiple speakers) the incremental. And would your inventories kind of reflect those sort of that trend that we've been seeing in terms of A versus C, because they are obviously down year-over-year. Any change in that mix then?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136525</wp:posOffset>
            </wp:positionV>
            <wp:extent cx="72466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Sarah Nielsen </w:t>
      </w:r>
      <w:r>
        <w:rPr>
          <w:rFonts w:ascii="Arial" w:cs="Arial" w:eastAsia="Arial" w:hAnsi="Arial"/>
          <w:sz w:val="18"/>
          <w:szCs w:val="18"/>
          <w:b w:val="1"/>
          <w:bCs w:val="1"/>
          <w:i w:val="1"/>
          <w:iCs w:val="1"/>
          <w:color w:val="auto"/>
        </w:rPr>
        <w:t>- Winnebago Industries - VP &amp; CFO</w:t>
      </w:r>
    </w:p>
    <w:p>
      <w:pPr>
        <w:spacing w:after="0" w:line="312" w:lineRule="exact"/>
        <w:rPr>
          <w:sz w:val="20"/>
          <w:szCs w:val="20"/>
          <w:color w:val="auto"/>
        </w:rPr>
      </w:pPr>
    </w:p>
    <w:p>
      <w:pPr>
        <w:spacing w:after="0"/>
        <w:rPr>
          <w:sz w:val="20"/>
          <w:szCs w:val="20"/>
          <w:color w:val="auto"/>
        </w:rPr>
      </w:pPr>
      <w:r>
        <w:rPr>
          <w:rFonts w:ascii="Arial" w:cs="Arial" w:eastAsia="Arial" w:hAnsi="Arial"/>
          <w:sz w:val="18"/>
          <w:szCs w:val="18"/>
          <w:color w:val="auto"/>
        </w:rPr>
        <w:t>From an inventory level on hand we still do have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191135</wp:posOffset>
            </wp:positionV>
            <wp:extent cx="72466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Gregory Badishkanian </w:t>
      </w:r>
      <w:r>
        <w:rPr>
          <w:rFonts w:ascii="Arial" w:cs="Arial" w:eastAsia="Arial" w:hAnsi="Arial"/>
          <w:sz w:val="18"/>
          <w:szCs w:val="18"/>
          <w:b w:val="1"/>
          <w:bCs w:val="1"/>
          <w:i w:val="1"/>
          <w:iCs w:val="1"/>
          <w:color w:val="auto"/>
        </w:rPr>
        <w:t>- Citigroup - Analyst</w:t>
      </w:r>
    </w:p>
    <w:p>
      <w:pPr>
        <w:spacing w:after="0" w:line="312" w:lineRule="exact"/>
        <w:rPr>
          <w:sz w:val="20"/>
          <w:szCs w:val="20"/>
          <w:color w:val="auto"/>
        </w:rPr>
      </w:pPr>
    </w:p>
    <w:p>
      <w:pPr>
        <w:spacing w:after="0"/>
        <w:rPr>
          <w:sz w:val="20"/>
          <w:szCs w:val="20"/>
          <w:color w:val="auto"/>
        </w:rPr>
      </w:pPr>
      <w:r>
        <w:rPr>
          <w:rFonts w:ascii="Arial" w:cs="Arial" w:eastAsia="Arial" w:hAnsi="Arial"/>
          <w:sz w:val="18"/>
          <w:szCs w:val="18"/>
          <w:color w:val="auto"/>
        </w:rPr>
        <w:t>Dealer inventory, sorry.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191135</wp:posOffset>
            </wp:positionV>
            <wp:extent cx="72466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Sarah Nielsen </w:t>
      </w:r>
      <w:r>
        <w:rPr>
          <w:rFonts w:ascii="Arial" w:cs="Arial" w:eastAsia="Arial" w:hAnsi="Arial"/>
          <w:sz w:val="18"/>
          <w:szCs w:val="18"/>
          <w:b w:val="1"/>
          <w:bCs w:val="1"/>
          <w:i w:val="1"/>
          <w:iCs w:val="1"/>
          <w:color w:val="auto"/>
        </w:rPr>
        <w:t>- Winnebago Industries - VP &amp; CFO</w:t>
      </w:r>
    </w:p>
    <w:p>
      <w:pPr>
        <w:spacing w:after="0" w:line="31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From a dealer inventory standpoint you can see the units overall are down slightly but on a dollar basis they are up slightly so the mix has continued to trend with what we are shipping. And it is a stronger or a mix of more higher priced product, very much similar to the strategy of our concentration in that dealer side of the business or the diesel side of the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72466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Gregory Badishkanian </w:t>
      </w:r>
      <w:r>
        <w:rPr>
          <w:rFonts w:ascii="Arial" w:cs="Arial" w:eastAsia="Arial" w:hAnsi="Arial"/>
          <w:sz w:val="18"/>
          <w:szCs w:val="18"/>
          <w:b w:val="1"/>
          <w:bCs w:val="1"/>
          <w:i w:val="1"/>
          <w:iCs w:val="1"/>
          <w:color w:val="auto"/>
        </w:rPr>
        <w:t>- Citigroup - Analyst</w:t>
      </w:r>
    </w:p>
    <w:p>
      <w:pPr>
        <w:spacing w:after="0" w:line="312" w:lineRule="exact"/>
        <w:rPr>
          <w:sz w:val="20"/>
          <w:szCs w:val="20"/>
          <w:color w:val="auto"/>
        </w:rPr>
      </w:pPr>
    </w:p>
    <w:p>
      <w:pPr>
        <w:spacing w:after="0"/>
        <w:rPr>
          <w:sz w:val="20"/>
          <w:szCs w:val="20"/>
          <w:color w:val="auto"/>
        </w:rPr>
      </w:pPr>
      <w:r>
        <w:rPr>
          <w:rFonts w:ascii="Arial" w:cs="Arial" w:eastAsia="Arial" w:hAnsi="Arial"/>
          <w:sz w:val="18"/>
          <w:szCs w:val="18"/>
          <w:color w:val="auto"/>
        </w:rPr>
        <w:t>Okay, great. Very helpful. Thank you.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191135</wp:posOffset>
            </wp:positionV>
            <wp:extent cx="724662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Operator</w:t>
      </w:r>
    </w:p>
    <w:p>
      <w:pPr>
        <w:spacing w:after="0" w:line="312" w:lineRule="exact"/>
        <w:rPr>
          <w:sz w:val="20"/>
          <w:szCs w:val="20"/>
          <w:color w:val="auto"/>
        </w:rPr>
      </w:pPr>
    </w:p>
    <w:p>
      <w:pPr>
        <w:spacing w:after="0"/>
        <w:rPr>
          <w:sz w:val="20"/>
          <w:szCs w:val="20"/>
          <w:color w:val="auto"/>
        </w:rPr>
      </w:pPr>
      <w:r>
        <w:rPr>
          <w:rFonts w:ascii="Arial" w:cs="Arial" w:eastAsia="Arial" w:hAnsi="Arial"/>
          <w:sz w:val="18"/>
          <w:szCs w:val="18"/>
          <w:color w:val="auto"/>
        </w:rPr>
        <w:t>Scott Stember, Sidoti.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191135</wp:posOffset>
            </wp:positionV>
            <wp:extent cx="724662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Scott Stember </w:t>
      </w:r>
      <w:r>
        <w:rPr>
          <w:rFonts w:ascii="Arial" w:cs="Arial" w:eastAsia="Arial" w:hAnsi="Arial"/>
          <w:sz w:val="18"/>
          <w:szCs w:val="18"/>
          <w:b w:val="1"/>
          <w:bCs w:val="1"/>
          <w:i w:val="1"/>
          <w:iCs w:val="1"/>
          <w:color w:val="auto"/>
        </w:rPr>
        <w:t>- Sidoti &amp; Co. - Analyst</w:t>
      </w:r>
    </w:p>
    <w:p>
      <w:pPr>
        <w:spacing w:after="0" w:line="312" w:lineRule="exact"/>
        <w:rPr>
          <w:sz w:val="20"/>
          <w:szCs w:val="20"/>
          <w:color w:val="auto"/>
        </w:rPr>
      </w:pPr>
    </w:p>
    <w:p>
      <w:pPr>
        <w:spacing w:after="0"/>
        <w:rPr>
          <w:sz w:val="20"/>
          <w:szCs w:val="20"/>
          <w:color w:val="auto"/>
        </w:rPr>
      </w:pPr>
      <w:r>
        <w:rPr>
          <w:rFonts w:ascii="Arial" w:cs="Arial" w:eastAsia="Arial" w:hAnsi="Arial"/>
          <w:sz w:val="18"/>
          <w:szCs w:val="18"/>
          <w:color w:val="auto"/>
        </w:rPr>
        <w:t>Sarah, do you have the ASP's for this year and last year by productlines or by segment?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191135</wp:posOffset>
            </wp:positionV>
            <wp:extent cx="724662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Sarah Nielsen </w:t>
      </w:r>
      <w:r>
        <w:rPr>
          <w:rFonts w:ascii="Arial" w:cs="Arial" w:eastAsia="Arial" w:hAnsi="Arial"/>
          <w:sz w:val="18"/>
          <w:szCs w:val="18"/>
          <w:b w:val="1"/>
          <w:bCs w:val="1"/>
          <w:i w:val="1"/>
          <w:iCs w:val="1"/>
          <w:color w:val="auto"/>
        </w:rPr>
        <w:t>- Winnebago Industries - VP &amp; CFO</w:t>
      </w:r>
    </w:p>
    <w:p>
      <w:pPr>
        <w:spacing w:after="0" w:line="31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Yes, I will start with 2008. Our Class A gas ASP was 90,528. Class A diesel is 173,093. Our average Class A was 115,525. And Class C 63,909, totaling an average for all Class A and C motorhomes to 92,627. For the same quarter last year our Class A gas was 88,597. Diesel was 160,311. Average or total Class A was $110,569. Class C was 59,552 which averaged overall last year to 85,257.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724662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Scott Stember </w:t>
      </w:r>
      <w:r>
        <w:rPr>
          <w:rFonts w:ascii="Arial" w:cs="Arial" w:eastAsia="Arial" w:hAnsi="Arial"/>
          <w:sz w:val="18"/>
          <w:szCs w:val="18"/>
          <w:b w:val="1"/>
          <w:bCs w:val="1"/>
          <w:i w:val="1"/>
          <w:iCs w:val="1"/>
          <w:color w:val="auto"/>
        </w:rPr>
        <w:t>- Sidoti &amp; Co. - Analyst</w:t>
      </w:r>
    </w:p>
    <w:p>
      <w:pPr>
        <w:spacing w:after="0" w:line="312" w:lineRule="exact"/>
        <w:rPr>
          <w:sz w:val="20"/>
          <w:szCs w:val="20"/>
          <w:color w:val="auto"/>
        </w:rPr>
      </w:pPr>
    </w:p>
    <w:p>
      <w:pPr>
        <w:jc w:val="both"/>
        <w:ind w:right="20"/>
        <w:spacing w:after="0" w:line="332" w:lineRule="auto"/>
        <w:rPr>
          <w:sz w:val="20"/>
          <w:szCs w:val="20"/>
          <w:color w:val="auto"/>
        </w:rPr>
      </w:pPr>
      <w:r>
        <w:rPr>
          <w:rFonts w:ascii="Arial" w:cs="Arial" w:eastAsia="Arial" w:hAnsi="Arial"/>
          <w:sz w:val="16"/>
          <w:szCs w:val="16"/>
          <w:color w:val="auto"/>
        </w:rPr>
        <w:t>Okay and can you talk about where your capacity utilization is right now versus a year ago? It seems like you guys were able to put out nice amount of products and could you talk -- I mean with the backlog where it is right now, maybe talk about where rates could go in the next couple quarters?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304"/>
        </w:trPr>
        <w:tc>
          <w:tcPr>
            <w:tcW w:w="3160" w:type="dxa"/>
            <w:vAlign w:val="bottom"/>
            <w:tcBorders>
              <w:top w:val="single" w:sz="8" w:color="003399"/>
              <w:bottom w:val="single" w:sz="8" w:color="003399"/>
            </w:tcBorders>
            <w:shd w:val="clear" w:color="auto" w:fill="003399"/>
          </w:tcPr>
          <w:p>
            <w:pPr>
              <w:ind w:left="740"/>
              <w:spacing w:after="0"/>
              <w:rPr>
                <w:sz w:val="20"/>
                <w:szCs w:val="20"/>
                <w:color w:val="auto"/>
              </w:rPr>
            </w:pPr>
            <w:r>
              <w:rPr>
                <w:rFonts w:ascii="Arial" w:cs="Arial" w:eastAsia="Arial" w:hAnsi="Arial"/>
                <w:sz w:val="18"/>
                <w:szCs w:val="18"/>
                <w:b w:val="1"/>
                <w:bCs w:val="1"/>
                <w:color w:val="FFFFFF"/>
              </w:rPr>
              <w:t>Thomson StreetEvents</w:t>
            </w:r>
          </w:p>
        </w:tc>
        <w:tc>
          <w:tcPr>
            <w:tcW w:w="2780" w:type="dxa"/>
            <w:vAlign w:val="bottom"/>
            <w:tcBorders>
              <w:top w:val="single" w:sz="8" w:color="003399"/>
              <w:right w:val="single" w:sz="8" w:color="003399"/>
            </w:tcBorders>
          </w:tcPr>
          <w:p>
            <w:pPr>
              <w:ind w:left="780"/>
              <w:spacing w:after="0"/>
              <w:rPr>
                <w:sz w:val="20"/>
                <w:szCs w:val="20"/>
                <w:color w:val="auto"/>
              </w:rPr>
            </w:pPr>
            <w:r>
              <w:rPr>
                <w:rFonts w:ascii="Arial" w:cs="Arial" w:eastAsia="Arial" w:hAnsi="Arial"/>
                <w:sz w:val="14"/>
                <w:szCs w:val="14"/>
                <w:color w:val="003399"/>
              </w:rPr>
              <w:t>www.streetevents.com</w:t>
            </w:r>
          </w:p>
        </w:tc>
        <w:tc>
          <w:tcPr>
            <w:tcW w:w="2180" w:type="dxa"/>
            <w:vAlign w:val="bottom"/>
            <w:tcBorders>
              <w:top w:val="single" w:sz="8" w:color="003399"/>
              <w:right w:val="single" w:sz="8" w:color="003399"/>
            </w:tcBorders>
          </w:tcPr>
          <w:p>
            <w:pPr>
              <w:spacing w:after="0"/>
              <w:rPr>
                <w:sz w:val="24"/>
                <w:szCs w:val="24"/>
                <w:color w:val="auto"/>
              </w:rPr>
            </w:pPr>
          </w:p>
        </w:tc>
        <w:tc>
          <w:tcPr>
            <w:tcW w:w="2580" w:type="dxa"/>
            <w:vAlign w:val="bottom"/>
            <w:tcBorders>
              <w:top w:val="single" w:sz="8" w:color="003399"/>
              <w:right w:val="single" w:sz="8" w:color="003399"/>
            </w:tcBorders>
          </w:tcPr>
          <w:p>
            <w:pPr>
              <w:ind w:left="980"/>
              <w:spacing w:after="0"/>
              <w:rPr>
                <w:sz w:val="20"/>
                <w:szCs w:val="20"/>
                <w:color w:val="auto"/>
              </w:rPr>
            </w:pPr>
            <w:r>
              <w:rPr>
                <w:rFonts w:ascii="Arial" w:cs="Arial" w:eastAsia="Arial" w:hAnsi="Arial"/>
                <w:sz w:val="14"/>
                <w:szCs w:val="14"/>
                <w:color w:val="003399"/>
              </w:rPr>
              <w:t>Contact Us</w:t>
            </w:r>
          </w:p>
        </w:tc>
        <w:tc>
          <w:tcPr>
            <w:tcW w:w="720" w:type="dxa"/>
            <w:vAlign w:val="bottom"/>
            <w:tcBorders>
              <w:top w:val="single" w:sz="8" w:color="003399"/>
              <w:bottom w:val="single" w:sz="8" w:color="6B9915"/>
              <w:right w:val="single" w:sz="8" w:color="003399"/>
            </w:tcBorders>
            <w:shd w:val="clear" w:color="auto" w:fill="6B9915"/>
          </w:tcPr>
          <w:p>
            <w:pPr>
              <w:jc w:val="right"/>
              <w:ind w:right="232"/>
              <w:spacing w:after="0"/>
              <w:rPr>
                <w:sz w:val="20"/>
                <w:szCs w:val="20"/>
                <w:color w:val="auto"/>
              </w:rPr>
            </w:pPr>
            <w:r>
              <w:rPr>
                <w:rFonts w:ascii="Arial" w:cs="Arial" w:eastAsia="Arial" w:hAnsi="Arial"/>
                <w:sz w:val="18"/>
                <w:szCs w:val="18"/>
                <w:color w:val="FFFFFF"/>
              </w:rPr>
              <w:t>6</w:t>
            </w:r>
          </w:p>
        </w:tc>
      </w:tr>
      <w:tr>
        <w:trPr>
          <w:trHeight w:val="20"/>
        </w:trPr>
        <w:tc>
          <w:tcPr>
            <w:tcW w:w="3160" w:type="dxa"/>
            <w:vAlign w:val="bottom"/>
            <w:shd w:val="clear" w:color="auto" w:fill="003399"/>
          </w:tcPr>
          <w:p>
            <w:pPr>
              <w:spacing w:after="0" w:line="20" w:lineRule="exact"/>
              <w:rPr>
                <w:sz w:val="1"/>
                <w:szCs w:val="1"/>
                <w:color w:val="auto"/>
              </w:rPr>
            </w:pPr>
          </w:p>
        </w:tc>
        <w:tc>
          <w:tcPr>
            <w:tcW w:w="2780" w:type="dxa"/>
            <w:vAlign w:val="bottom"/>
            <w:tcBorders>
              <w:right w:val="single" w:sz="8" w:color="003399"/>
            </w:tcBorders>
            <w:shd w:val="clear" w:color="auto" w:fill="003399"/>
          </w:tcPr>
          <w:p>
            <w:pPr>
              <w:spacing w:after="0" w:line="20" w:lineRule="exact"/>
              <w:rPr>
                <w:sz w:val="1"/>
                <w:szCs w:val="1"/>
                <w:color w:val="auto"/>
              </w:rPr>
            </w:pPr>
          </w:p>
        </w:tc>
        <w:tc>
          <w:tcPr>
            <w:tcW w:w="2180" w:type="dxa"/>
            <w:vAlign w:val="bottom"/>
            <w:tcBorders>
              <w:right w:val="single" w:sz="8" w:color="003399"/>
            </w:tcBorders>
            <w:shd w:val="clear" w:color="auto" w:fill="003399"/>
          </w:tcPr>
          <w:p>
            <w:pPr>
              <w:spacing w:after="0" w:line="20" w:lineRule="exact"/>
              <w:rPr>
                <w:sz w:val="1"/>
                <w:szCs w:val="1"/>
                <w:color w:val="auto"/>
              </w:rPr>
            </w:pPr>
          </w:p>
        </w:tc>
        <w:tc>
          <w:tcPr>
            <w:tcW w:w="2580" w:type="dxa"/>
            <w:vAlign w:val="bottom"/>
            <w:tcBorders>
              <w:right w:val="single" w:sz="8" w:color="003399"/>
            </w:tcBorders>
            <w:shd w:val="clear" w:color="auto" w:fill="003399"/>
          </w:tcPr>
          <w:p>
            <w:pPr>
              <w:spacing w:after="0" w:line="20" w:lineRule="exact"/>
              <w:rPr>
                <w:sz w:val="1"/>
                <w:szCs w:val="1"/>
                <w:color w:val="auto"/>
              </w:rPr>
            </w:pPr>
          </w:p>
        </w:tc>
        <w:tc>
          <w:tcPr>
            <w:tcW w:w="720" w:type="dxa"/>
            <w:vAlign w:val="bottom"/>
            <w:tcBorders>
              <w:right w:val="single" w:sz="8" w:color="003399"/>
            </w:tcBorders>
            <w:shd w:val="clear" w:color="auto" w:fill="003399"/>
          </w:tcPr>
          <w:p>
            <w:pPr>
              <w:spacing w:after="0" w:line="20" w:lineRule="exact"/>
              <w:rPr>
                <w:sz w:val="1"/>
                <w:szCs w:val="1"/>
                <w:color w:val="auto"/>
              </w:rPr>
            </w:pPr>
          </w:p>
        </w:tc>
      </w:tr>
    </w:tbl>
    <w:p>
      <w:pPr>
        <w:spacing w:after="0" w:line="16" w:lineRule="exact"/>
        <w:rPr>
          <w:sz w:val="20"/>
          <w:szCs w:val="20"/>
          <w:color w:val="auto"/>
        </w:rPr>
      </w:pPr>
    </w:p>
    <w:p>
      <w:pPr>
        <w:spacing w:after="0"/>
        <w:rPr>
          <w:sz w:val="20"/>
          <w:szCs w:val="20"/>
          <w:color w:val="auto"/>
        </w:rPr>
      </w:pPr>
      <w:r>
        <w:rPr>
          <w:rFonts w:ascii="Arial" w:cs="Arial" w:eastAsia="Arial" w:hAnsi="Arial"/>
          <w:sz w:val="12"/>
          <w:szCs w:val="12"/>
          <w:color w:val="auto"/>
        </w:rPr>
        <w:t>© 2007 Thomson Financial. Republished with permission. No part of this publication may be reproduced or transmitted in any form or by any means without the prior written consent of Thomson Financial.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328930</wp:posOffset>
            </wp:positionV>
            <wp:extent cx="7250430" cy="298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420"/>
          </w:cols>
          <w:pgMar w:left="240" w:top="131" w:right="239" w:bottom="354" w:gutter="0" w:footer="0" w:header="0"/>
        </w:sectPr>
      </w:pPr>
    </w:p>
    <w:bookmarkStart w:id="11" w:name="page12"/>
    <w:bookmarkEnd w:id="11"/>
    <w:p>
      <w:pPr>
        <w:jc w:val="right"/>
        <w:spacing w:after="0"/>
        <w:rPr>
          <w:sz w:val="20"/>
          <w:szCs w:val="20"/>
          <w:color w:val="auto"/>
        </w:rPr>
      </w:pPr>
      <w:r>
        <w:rPr>
          <w:rFonts w:ascii="Arial" w:cs="Arial" w:eastAsia="Arial" w:hAnsi="Arial"/>
          <w:sz w:val="18"/>
          <w:szCs w:val="18"/>
          <w:b w:val="1"/>
          <w:bCs w:val="1"/>
          <w:color w:val="003399"/>
        </w:rPr>
        <w:t>FINAL TRANSCRIPT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22288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222885"/>
                    </a:xfrm>
                    <a:prstGeom prst="rect">
                      <a:avLst/>
                    </a:prstGeom>
                    <a:noFill/>
                  </pic:spPr>
                </pic:pic>
              </a:graphicData>
            </a:graphic>
          </wp:anchor>
        </w:drawing>
      </w:r>
    </w:p>
    <w:p>
      <w:pPr>
        <w:spacing w:after="0" w:line="4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003399"/>
        </w:rPr>
        <w:t>Dec. 20. 2007 / 10:00AM ET, WGO - Q1 2008 Winnebago Earnings Conference Call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375285</wp:posOffset>
            </wp:positionV>
            <wp:extent cx="724662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Bob Olson </w:t>
      </w:r>
      <w:r>
        <w:rPr>
          <w:rFonts w:ascii="Arial" w:cs="Arial" w:eastAsia="Arial" w:hAnsi="Arial"/>
          <w:sz w:val="18"/>
          <w:szCs w:val="18"/>
          <w:b w:val="1"/>
          <w:bCs w:val="1"/>
          <w:i w:val="1"/>
          <w:iCs w:val="1"/>
          <w:color w:val="auto"/>
        </w:rPr>
        <w:t>- Winnebago Industries - President</w:t>
      </w:r>
    </w:p>
    <w:p>
      <w:pPr>
        <w:spacing w:after="0" w:line="29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Right now we were a little bit over 55% capacity utilization in the first quarter. That compares to about 53%, 54% last year at this time. If you remember right fourth quarter we were at 72%. So we did go down a little bit. We look at probably we don't like to go too far forward, but I can say that going into our slower quarter, the slowest quarter that we've got from a seasonal adjusted standpoint, we feel right now we're going to be probably relatively flat with where we were in the first quarter in the second quarter.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173355</wp:posOffset>
            </wp:positionV>
            <wp:extent cx="724662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Scott Stember </w:t>
      </w:r>
      <w:r>
        <w:rPr>
          <w:rFonts w:ascii="Arial" w:cs="Arial" w:eastAsia="Arial" w:hAnsi="Arial"/>
          <w:sz w:val="18"/>
          <w:szCs w:val="18"/>
          <w:b w:val="1"/>
          <w:bCs w:val="1"/>
          <w:i w:val="1"/>
          <w:iCs w:val="1"/>
          <w:color w:val="auto"/>
        </w:rPr>
        <w:t>- Sidoti &amp; Co. - Analyst</w:t>
      </w: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color w:val="auto"/>
        </w:rPr>
        <w:t>Did you say 65 the first quarter or 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191135</wp:posOffset>
            </wp:positionV>
            <wp:extent cx="724662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Bob Olson </w:t>
      </w:r>
      <w:r>
        <w:rPr>
          <w:rFonts w:ascii="Arial" w:cs="Arial" w:eastAsia="Arial" w:hAnsi="Arial"/>
          <w:sz w:val="18"/>
          <w:szCs w:val="18"/>
          <w:b w:val="1"/>
          <w:bCs w:val="1"/>
          <w:i w:val="1"/>
          <w:iCs w:val="1"/>
          <w:color w:val="auto"/>
        </w:rPr>
        <w:t>- Winnebago Industries - President</w:t>
      </w: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191135</wp:posOffset>
            </wp:positionV>
            <wp:extent cx="724662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Scott Stember </w:t>
      </w:r>
      <w:r>
        <w:rPr>
          <w:rFonts w:ascii="Arial" w:cs="Arial" w:eastAsia="Arial" w:hAnsi="Arial"/>
          <w:sz w:val="18"/>
          <w:szCs w:val="18"/>
          <w:b w:val="1"/>
          <w:bCs w:val="1"/>
          <w:i w:val="1"/>
          <w:iCs w:val="1"/>
          <w:color w:val="auto"/>
        </w:rPr>
        <w:t>- Sidoti &amp; Co. - Analyst</w:t>
      </w:r>
    </w:p>
    <w:p>
      <w:pPr>
        <w:spacing w:after="0" w:line="29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5 5, okay. And I know you guys don't normally talk about specific margins going forward but when you look at the backlog and you see that we've seen a little bit of a reversal from an order standpoint from A's to C's, is it a fair assumption plus the comments that you made about the market that we could see the gross margin sequentially tighten up a little bit in the second quarter?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724662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Sarah Nielsen </w:t>
      </w:r>
      <w:r>
        <w:rPr>
          <w:rFonts w:ascii="Arial" w:cs="Arial" w:eastAsia="Arial" w:hAnsi="Arial"/>
          <w:sz w:val="18"/>
          <w:szCs w:val="18"/>
          <w:b w:val="1"/>
          <w:bCs w:val="1"/>
          <w:i w:val="1"/>
          <w:iCs w:val="1"/>
          <w:color w:val="auto"/>
        </w:rPr>
        <w:t>- Winnebago Industries - VP &amp; CFO</w:t>
      </w:r>
    </w:p>
    <w:p>
      <w:pPr>
        <w:spacing w:after="0" w:line="299" w:lineRule="exact"/>
        <w:rPr>
          <w:sz w:val="20"/>
          <w:szCs w:val="20"/>
          <w:color w:val="auto"/>
        </w:rPr>
      </w:pPr>
    </w:p>
    <w:p>
      <w:pPr>
        <w:spacing w:after="0"/>
        <w:rPr>
          <w:sz w:val="20"/>
          <w:szCs w:val="20"/>
          <w:color w:val="auto"/>
        </w:rPr>
      </w:pPr>
      <w:r>
        <w:rPr>
          <w:rFonts w:ascii="Arial" w:cs="Arial" w:eastAsia="Arial" w:hAnsi="Arial"/>
          <w:sz w:val="15"/>
          <w:szCs w:val="15"/>
          <w:color w:val="auto"/>
        </w:rPr>
        <w:t>I think that is a fair perspective. Second quarter, as Bob touched upon is our seasonally weakest and usually the lowest margin out of our four quarters every year.</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So we don't expect the trend to be different from that.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187325</wp:posOffset>
            </wp:positionV>
            <wp:extent cx="724662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Scott Stember </w:t>
      </w:r>
      <w:r>
        <w:rPr>
          <w:rFonts w:ascii="Arial" w:cs="Arial" w:eastAsia="Arial" w:hAnsi="Arial"/>
          <w:sz w:val="18"/>
          <w:szCs w:val="18"/>
          <w:b w:val="1"/>
          <w:bCs w:val="1"/>
          <w:i w:val="1"/>
          <w:iCs w:val="1"/>
          <w:color w:val="auto"/>
        </w:rPr>
        <w:t>- Sidoti &amp; Co. - Analyst</w:t>
      </w: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color w:val="auto"/>
        </w:rPr>
        <w:t>Okay and the SG&amp;A shift that you talked about from the Louisville show, what was the impact on the quarter?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191135</wp:posOffset>
            </wp:positionV>
            <wp:extent cx="724662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Sarah Nielsen </w:t>
      </w:r>
      <w:r>
        <w:rPr>
          <w:rFonts w:ascii="Arial" w:cs="Arial" w:eastAsia="Arial" w:hAnsi="Arial"/>
          <w:sz w:val="18"/>
          <w:szCs w:val="18"/>
          <w:b w:val="1"/>
          <w:bCs w:val="1"/>
          <w:i w:val="1"/>
          <w:iCs w:val="1"/>
          <w:color w:val="auto"/>
        </w:rPr>
        <w:t>- Winnebago Industries - VP &amp; CFO</w:t>
      </w:r>
    </w:p>
    <w:p>
      <w:pPr>
        <w:spacing w:after="0" w:line="299"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Well, we're looking at approximately $400,000 shifted quarters with the Louisville show landing in our first; and then we also do have additional spend in relation to some of the new product offerings included in our first quarter.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166370</wp:posOffset>
            </wp:positionV>
            <wp:extent cx="724662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Scott Stember </w:t>
      </w:r>
      <w:r>
        <w:rPr>
          <w:rFonts w:ascii="Arial" w:cs="Arial" w:eastAsia="Arial" w:hAnsi="Arial"/>
          <w:sz w:val="18"/>
          <w:szCs w:val="18"/>
          <w:b w:val="1"/>
          <w:bCs w:val="1"/>
          <w:i w:val="1"/>
          <w:iCs w:val="1"/>
          <w:color w:val="auto"/>
        </w:rPr>
        <w:t>- Sidoti &amp; Co. - Analyst</w:t>
      </w:r>
    </w:p>
    <w:p>
      <w:pPr>
        <w:spacing w:after="0" w:line="299"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And the backlog numbers you guys had said that it does not include any of the B offerings from the Louisville show. Did it include the full order bank that you got for other products at the Louisville show?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166370</wp:posOffset>
            </wp:positionV>
            <wp:extent cx="724662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Bob Olson </w:t>
      </w:r>
      <w:r>
        <w:rPr>
          <w:rFonts w:ascii="Arial" w:cs="Arial" w:eastAsia="Arial" w:hAnsi="Arial"/>
          <w:sz w:val="18"/>
          <w:szCs w:val="18"/>
          <w:b w:val="1"/>
          <w:bCs w:val="1"/>
          <w:i w:val="1"/>
          <w:iCs w:val="1"/>
          <w:color w:val="auto"/>
        </w:rPr>
        <w:t>- Winnebago Industries - President</w:t>
      </w:r>
    </w:p>
    <w:p>
      <w:pPr>
        <w:spacing w:after="0" w:line="299"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No, it didn't, Scott. We are still going through that right now, and at the end of the quarter we did not have all of it in. Approximately 70% of it might have been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166370</wp:posOffset>
            </wp:positionV>
            <wp:extent cx="724662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Scott Stember </w:t>
      </w:r>
      <w:r>
        <w:rPr>
          <w:rFonts w:ascii="Arial" w:cs="Arial" w:eastAsia="Arial" w:hAnsi="Arial"/>
          <w:sz w:val="18"/>
          <w:szCs w:val="18"/>
          <w:b w:val="1"/>
          <w:bCs w:val="1"/>
          <w:i w:val="1"/>
          <w:iCs w:val="1"/>
          <w:color w:val="auto"/>
        </w:rPr>
        <w:t>- Sidoti &amp; Co. - Analyst</w:t>
      </w: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color w:val="auto"/>
        </w:rPr>
        <w:t>70% was in? Okay. And last year, if you recall could you speak to whether or not you've had the full amount of the show in your backlog?</w:t>
      </w:r>
    </w:p>
    <w:p>
      <w:pPr>
        <w:spacing w:after="0" w:line="362" w:lineRule="exact"/>
        <w:rPr>
          <w:sz w:val="20"/>
          <w:szCs w:val="20"/>
          <w:color w:val="auto"/>
        </w:rPr>
      </w:pPr>
    </w:p>
    <w:tbl>
      <w:tblPr>
        <w:tblLayout w:type="fixed"/>
        <w:tblInd w:w="0" w:type="dxa"/>
        <w:tblCellMar>
          <w:top w:w="0" w:type="dxa"/>
          <w:left w:w="0" w:type="dxa"/>
          <w:bottom w:w="0" w:type="dxa"/>
          <w:right w:w="0" w:type="dxa"/>
        </w:tblCellMar>
      </w:tblPr>
      <w:tr>
        <w:trPr>
          <w:trHeight w:val="304"/>
        </w:trPr>
        <w:tc>
          <w:tcPr>
            <w:tcW w:w="3160" w:type="dxa"/>
            <w:vAlign w:val="bottom"/>
            <w:tcBorders>
              <w:top w:val="single" w:sz="8" w:color="003399"/>
              <w:bottom w:val="single" w:sz="8" w:color="003399"/>
            </w:tcBorders>
            <w:shd w:val="clear" w:color="auto" w:fill="003399"/>
          </w:tcPr>
          <w:p>
            <w:pPr>
              <w:ind w:left="740"/>
              <w:spacing w:after="0"/>
              <w:rPr>
                <w:sz w:val="20"/>
                <w:szCs w:val="20"/>
                <w:color w:val="auto"/>
              </w:rPr>
            </w:pPr>
            <w:r>
              <w:rPr>
                <w:rFonts w:ascii="Arial" w:cs="Arial" w:eastAsia="Arial" w:hAnsi="Arial"/>
                <w:sz w:val="18"/>
                <w:szCs w:val="18"/>
                <w:b w:val="1"/>
                <w:bCs w:val="1"/>
                <w:color w:val="FFFFFF"/>
              </w:rPr>
              <w:t>Thomson StreetEvents</w:t>
            </w:r>
          </w:p>
        </w:tc>
        <w:tc>
          <w:tcPr>
            <w:tcW w:w="2780" w:type="dxa"/>
            <w:vAlign w:val="bottom"/>
            <w:tcBorders>
              <w:top w:val="single" w:sz="8" w:color="003399"/>
              <w:right w:val="single" w:sz="8" w:color="003399"/>
            </w:tcBorders>
          </w:tcPr>
          <w:p>
            <w:pPr>
              <w:ind w:left="780"/>
              <w:spacing w:after="0"/>
              <w:rPr>
                <w:sz w:val="20"/>
                <w:szCs w:val="20"/>
                <w:color w:val="auto"/>
              </w:rPr>
            </w:pPr>
            <w:r>
              <w:rPr>
                <w:rFonts w:ascii="Arial" w:cs="Arial" w:eastAsia="Arial" w:hAnsi="Arial"/>
                <w:sz w:val="14"/>
                <w:szCs w:val="14"/>
                <w:color w:val="003399"/>
              </w:rPr>
              <w:t>www.streetevents.com</w:t>
            </w:r>
          </w:p>
        </w:tc>
        <w:tc>
          <w:tcPr>
            <w:tcW w:w="2180" w:type="dxa"/>
            <w:vAlign w:val="bottom"/>
            <w:tcBorders>
              <w:top w:val="single" w:sz="8" w:color="003399"/>
              <w:right w:val="single" w:sz="8" w:color="003399"/>
            </w:tcBorders>
          </w:tcPr>
          <w:p>
            <w:pPr>
              <w:spacing w:after="0"/>
              <w:rPr>
                <w:sz w:val="24"/>
                <w:szCs w:val="24"/>
                <w:color w:val="auto"/>
              </w:rPr>
            </w:pPr>
          </w:p>
        </w:tc>
        <w:tc>
          <w:tcPr>
            <w:tcW w:w="2580" w:type="dxa"/>
            <w:vAlign w:val="bottom"/>
            <w:tcBorders>
              <w:top w:val="single" w:sz="8" w:color="003399"/>
              <w:right w:val="single" w:sz="8" w:color="003399"/>
            </w:tcBorders>
          </w:tcPr>
          <w:p>
            <w:pPr>
              <w:ind w:left="980"/>
              <w:spacing w:after="0"/>
              <w:rPr>
                <w:sz w:val="20"/>
                <w:szCs w:val="20"/>
                <w:color w:val="auto"/>
              </w:rPr>
            </w:pPr>
            <w:r>
              <w:rPr>
                <w:rFonts w:ascii="Arial" w:cs="Arial" w:eastAsia="Arial" w:hAnsi="Arial"/>
                <w:sz w:val="14"/>
                <w:szCs w:val="14"/>
                <w:color w:val="003399"/>
              </w:rPr>
              <w:t>Contact Us</w:t>
            </w:r>
          </w:p>
        </w:tc>
        <w:tc>
          <w:tcPr>
            <w:tcW w:w="720" w:type="dxa"/>
            <w:vAlign w:val="bottom"/>
            <w:tcBorders>
              <w:top w:val="single" w:sz="8" w:color="003399"/>
              <w:bottom w:val="single" w:sz="8" w:color="6B9915"/>
              <w:right w:val="single" w:sz="8" w:color="003399"/>
            </w:tcBorders>
            <w:shd w:val="clear" w:color="auto" w:fill="6B9915"/>
          </w:tcPr>
          <w:p>
            <w:pPr>
              <w:jc w:val="right"/>
              <w:ind w:right="232"/>
              <w:spacing w:after="0"/>
              <w:rPr>
                <w:sz w:val="20"/>
                <w:szCs w:val="20"/>
                <w:color w:val="auto"/>
              </w:rPr>
            </w:pPr>
            <w:r>
              <w:rPr>
                <w:rFonts w:ascii="Arial" w:cs="Arial" w:eastAsia="Arial" w:hAnsi="Arial"/>
                <w:sz w:val="18"/>
                <w:szCs w:val="18"/>
                <w:color w:val="FFFFFF"/>
              </w:rPr>
              <w:t>7</w:t>
            </w:r>
          </w:p>
        </w:tc>
      </w:tr>
      <w:tr>
        <w:trPr>
          <w:trHeight w:val="20"/>
        </w:trPr>
        <w:tc>
          <w:tcPr>
            <w:tcW w:w="3160" w:type="dxa"/>
            <w:vAlign w:val="bottom"/>
            <w:shd w:val="clear" w:color="auto" w:fill="003399"/>
          </w:tcPr>
          <w:p>
            <w:pPr>
              <w:spacing w:after="0" w:line="20" w:lineRule="exact"/>
              <w:rPr>
                <w:sz w:val="1"/>
                <w:szCs w:val="1"/>
                <w:color w:val="auto"/>
              </w:rPr>
            </w:pPr>
          </w:p>
        </w:tc>
        <w:tc>
          <w:tcPr>
            <w:tcW w:w="2780" w:type="dxa"/>
            <w:vAlign w:val="bottom"/>
            <w:tcBorders>
              <w:right w:val="single" w:sz="8" w:color="003399"/>
            </w:tcBorders>
            <w:shd w:val="clear" w:color="auto" w:fill="003399"/>
          </w:tcPr>
          <w:p>
            <w:pPr>
              <w:spacing w:after="0" w:line="20" w:lineRule="exact"/>
              <w:rPr>
                <w:sz w:val="1"/>
                <w:szCs w:val="1"/>
                <w:color w:val="auto"/>
              </w:rPr>
            </w:pPr>
          </w:p>
        </w:tc>
        <w:tc>
          <w:tcPr>
            <w:tcW w:w="2180" w:type="dxa"/>
            <w:vAlign w:val="bottom"/>
            <w:tcBorders>
              <w:right w:val="single" w:sz="8" w:color="003399"/>
            </w:tcBorders>
            <w:shd w:val="clear" w:color="auto" w:fill="003399"/>
          </w:tcPr>
          <w:p>
            <w:pPr>
              <w:spacing w:after="0" w:line="20" w:lineRule="exact"/>
              <w:rPr>
                <w:sz w:val="1"/>
                <w:szCs w:val="1"/>
                <w:color w:val="auto"/>
              </w:rPr>
            </w:pPr>
          </w:p>
        </w:tc>
        <w:tc>
          <w:tcPr>
            <w:tcW w:w="2580" w:type="dxa"/>
            <w:vAlign w:val="bottom"/>
            <w:tcBorders>
              <w:right w:val="single" w:sz="8" w:color="003399"/>
            </w:tcBorders>
            <w:shd w:val="clear" w:color="auto" w:fill="003399"/>
          </w:tcPr>
          <w:p>
            <w:pPr>
              <w:spacing w:after="0" w:line="20" w:lineRule="exact"/>
              <w:rPr>
                <w:sz w:val="1"/>
                <w:szCs w:val="1"/>
                <w:color w:val="auto"/>
              </w:rPr>
            </w:pPr>
          </w:p>
        </w:tc>
        <w:tc>
          <w:tcPr>
            <w:tcW w:w="720" w:type="dxa"/>
            <w:vAlign w:val="bottom"/>
            <w:tcBorders>
              <w:right w:val="single" w:sz="8" w:color="003399"/>
            </w:tcBorders>
            <w:shd w:val="clear" w:color="auto" w:fill="003399"/>
          </w:tcPr>
          <w:p>
            <w:pPr>
              <w:spacing w:after="0" w:line="20" w:lineRule="exact"/>
              <w:rPr>
                <w:sz w:val="1"/>
                <w:szCs w:val="1"/>
                <w:color w:val="auto"/>
              </w:rPr>
            </w:pPr>
          </w:p>
        </w:tc>
      </w:tr>
    </w:tbl>
    <w:p>
      <w:pPr>
        <w:spacing w:after="0" w:line="30" w:lineRule="exact"/>
        <w:rPr>
          <w:sz w:val="20"/>
          <w:szCs w:val="20"/>
          <w:color w:val="auto"/>
        </w:rPr>
      </w:pPr>
    </w:p>
    <w:p>
      <w:pPr>
        <w:spacing w:after="0"/>
        <w:rPr>
          <w:sz w:val="20"/>
          <w:szCs w:val="20"/>
          <w:color w:val="auto"/>
        </w:rPr>
      </w:pPr>
      <w:r>
        <w:rPr>
          <w:rFonts w:ascii="Arial" w:cs="Arial" w:eastAsia="Arial" w:hAnsi="Arial"/>
          <w:sz w:val="12"/>
          <w:szCs w:val="12"/>
          <w:color w:val="auto"/>
        </w:rPr>
        <w:t>© 2007 Thomson Financial. Republished with permission. No part of this publication may be reproduced or transmitted in any form or by any means without the prior written consent of Thomson Financial.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328930</wp:posOffset>
            </wp:positionV>
            <wp:extent cx="7250430" cy="298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003399"/>
        </w:rPr>
        <w:t>FINAL TRANSCRIPT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22288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46620" cy="222885"/>
                    </a:xfrm>
                    <a:prstGeom prst="rect">
                      <a:avLst/>
                    </a:prstGeom>
                    <a:noFill/>
                  </pic:spPr>
                </pic:pic>
              </a:graphicData>
            </a:graphic>
          </wp:anchor>
        </w:drawing>
      </w:r>
    </w:p>
    <w:p>
      <w:pPr>
        <w:spacing w:after="0" w:line="4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003399"/>
        </w:rPr>
        <w:t>Dec. 20. 2007 / 10:00AM ET, WGO - Q1 2008 Winnebago Earnings Conference Call</w:t>
      </w:r>
    </w:p>
    <w:p>
      <w:pPr>
        <w:sectPr>
          <w:pgSz w:w="11900" w:h="16838" w:orient="portrait"/>
          <w:cols w:equalWidth="0" w:num="1">
            <w:col w:w="11420"/>
          </w:cols>
          <w:pgMar w:left="240" w:top="391" w:right="239" w:bottom="343"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46620" cy="8890"/>
                    </a:xfrm>
                    <a:prstGeom prst="rect">
                      <a:avLst/>
                    </a:prstGeom>
                    <a:noFill/>
                  </pic:spPr>
                </pic:pic>
              </a:graphicData>
            </a:graphic>
          </wp:anchor>
        </w:drawing>
        <w:t xml:space="preserve">Sarah Nielsen </w:t>
      </w:r>
      <w:r>
        <w:rPr>
          <w:rFonts w:ascii="Arial" w:cs="Arial" w:eastAsia="Arial" w:hAnsi="Arial"/>
          <w:sz w:val="18"/>
          <w:szCs w:val="18"/>
          <w:b w:val="1"/>
          <w:bCs w:val="1"/>
          <w:i w:val="1"/>
          <w:iCs w:val="1"/>
          <w:color w:val="auto"/>
        </w:rPr>
        <w:t>- Winnebago Industries - VP &amp; CFO</w:t>
      </w:r>
    </w:p>
    <w:p>
      <w:pPr>
        <w:spacing w:after="0" w:line="31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wouldn't have had any. It is unusual for us to have Louisville even be part of our first quarter. We got, we returned from the show on Friday and our quarter ended Saturday. Normally the quarter ends that Saturday right after Thanksgiving, so there would have been no orders from Louisville last year in our first quarter backlog.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724662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Scott Stember </w:t>
      </w:r>
      <w:r>
        <w:rPr>
          <w:rFonts w:ascii="Arial" w:cs="Arial" w:eastAsia="Arial" w:hAnsi="Arial"/>
          <w:sz w:val="18"/>
          <w:szCs w:val="18"/>
          <w:b w:val="1"/>
          <w:bCs w:val="1"/>
          <w:i w:val="1"/>
          <w:iCs w:val="1"/>
          <w:color w:val="auto"/>
        </w:rPr>
        <w:t>- Sidoti &amp; Co. - Analyst</w:t>
      </w:r>
    </w:p>
    <w:p>
      <w:pPr>
        <w:spacing w:after="0" w:line="312" w:lineRule="exact"/>
        <w:rPr>
          <w:sz w:val="20"/>
          <w:szCs w:val="20"/>
          <w:color w:val="auto"/>
        </w:rPr>
      </w:pPr>
    </w:p>
    <w:p>
      <w:pPr>
        <w:spacing w:after="0"/>
        <w:rPr>
          <w:sz w:val="20"/>
          <w:szCs w:val="20"/>
          <w:color w:val="auto"/>
        </w:rPr>
      </w:pPr>
      <w:r>
        <w:rPr>
          <w:rFonts w:ascii="Arial" w:cs="Arial" w:eastAsia="Arial" w:hAnsi="Arial"/>
          <w:sz w:val="16"/>
          <w:szCs w:val="16"/>
          <w:color w:val="auto"/>
        </w:rPr>
        <w:t>And just two last questions. I know that availability of the Sprinter chassis has been an issue. Anything clearing up on that front or is it still tough to come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Bruce Hertzke </w:t>
      </w:r>
      <w:r>
        <w:rPr>
          <w:rFonts w:ascii="Arial" w:cs="Arial" w:eastAsia="Arial" w:hAnsi="Arial"/>
          <w:sz w:val="18"/>
          <w:szCs w:val="18"/>
          <w:b w:val="1"/>
          <w:bCs w:val="1"/>
          <w:i w:val="1"/>
          <w:iCs w:val="1"/>
          <w:color w:val="auto"/>
        </w:rPr>
        <w:t>- Winnebago Industries - Chairman &amp; CEO</w:t>
      </w:r>
    </w:p>
    <w:p>
      <w:pPr>
        <w:spacing w:after="0" w:line="31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Winnebago has been in a very strong position. We have not had any -- because we started a long time ago we have been getting our chassis. We have more than ample and enough chassis for our current production.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166370</wp:posOffset>
            </wp:positionV>
            <wp:extent cx="724662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Scott Stember </w:t>
      </w:r>
      <w:r>
        <w:rPr>
          <w:rFonts w:ascii="Arial" w:cs="Arial" w:eastAsia="Arial" w:hAnsi="Arial"/>
          <w:sz w:val="18"/>
          <w:szCs w:val="18"/>
          <w:b w:val="1"/>
          <w:bCs w:val="1"/>
          <w:i w:val="1"/>
          <w:iCs w:val="1"/>
          <w:color w:val="auto"/>
        </w:rPr>
        <w:t>- Sidoti &amp; Co. - Analyst</w:t>
      </w:r>
    </w:p>
    <w:p>
      <w:pPr>
        <w:spacing w:after="0" w:line="31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And last question just related to the products on the UFO chassis that you put out about three or four quarters ago. It has been out in the fields for a little bit. What is the initial take from the dealers and from the retail side?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166370</wp:posOffset>
            </wp:positionV>
            <wp:extent cx="724662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Bob Olson </w:t>
      </w:r>
      <w:r>
        <w:rPr>
          <w:rFonts w:ascii="Arial" w:cs="Arial" w:eastAsia="Arial" w:hAnsi="Arial"/>
          <w:sz w:val="18"/>
          <w:szCs w:val="18"/>
          <w:b w:val="1"/>
          <w:bCs w:val="1"/>
          <w:i w:val="1"/>
          <w:iCs w:val="1"/>
          <w:color w:val="auto"/>
        </w:rPr>
        <w:t>- Winnebago Industries - President</w:t>
      </w:r>
    </w:p>
    <w:p>
      <w:pPr>
        <w:spacing w:after="0" w:line="31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 think from the perspective of that vehicle I think we are having better success with the diesel product. It is still not where we definitely want it. We've done some adjustments to that product and made some changes at the request of the dealers. But between the two I would say the diesel is stronger. I think there has been a real wait and see attitude and perception on the part of the retail customer with this UFO rear engine gas. They kind of want to see how it operates and how it functions out there before they spend the money on it.</w:t>
      </w:r>
    </w:p>
    <w:p>
      <w:pPr>
        <w:spacing w:after="0" w:line="19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And I think the other side of it is, we positioned that product on the diesel side, more towards the lower end of the diesel lineup where the gas is more towards the higher end or higher end of the gas product. So that for the last several quarters now has not been the strongest area in the gas product. So we haven't given up on it, but it definitely isn't where we want it to be yet. We continue to make changes on 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724662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Scott Stember </w:t>
      </w:r>
      <w:r>
        <w:rPr>
          <w:rFonts w:ascii="Arial" w:cs="Arial" w:eastAsia="Arial" w:hAnsi="Arial"/>
          <w:sz w:val="18"/>
          <w:szCs w:val="18"/>
          <w:b w:val="1"/>
          <w:bCs w:val="1"/>
          <w:i w:val="1"/>
          <w:iCs w:val="1"/>
          <w:color w:val="auto"/>
        </w:rPr>
        <w:t>- Sidoti &amp; Co. - Analyst</w:t>
      </w:r>
    </w:p>
    <w:p>
      <w:pPr>
        <w:spacing w:after="0" w:line="312" w:lineRule="exact"/>
        <w:rPr>
          <w:sz w:val="20"/>
          <w:szCs w:val="20"/>
          <w:color w:val="auto"/>
        </w:rPr>
      </w:pPr>
    </w:p>
    <w:p>
      <w:pPr>
        <w:spacing w:after="0"/>
        <w:rPr>
          <w:sz w:val="20"/>
          <w:szCs w:val="20"/>
          <w:color w:val="auto"/>
        </w:rPr>
      </w:pPr>
      <w:r>
        <w:rPr>
          <w:rFonts w:ascii="Arial" w:cs="Arial" w:eastAsia="Arial" w:hAnsi="Arial"/>
          <w:sz w:val="18"/>
          <w:szCs w:val="18"/>
          <w:color w:val="auto"/>
        </w:rPr>
        <w:t>That's all I have. Thank you.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191135</wp:posOffset>
            </wp:positionV>
            <wp:extent cx="724662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Operator</w:t>
      </w:r>
    </w:p>
    <w:p>
      <w:pPr>
        <w:spacing w:after="0" w:line="312" w:lineRule="exact"/>
        <w:rPr>
          <w:sz w:val="20"/>
          <w:szCs w:val="20"/>
          <w:color w:val="auto"/>
        </w:rPr>
      </w:pPr>
    </w:p>
    <w:p>
      <w:pPr>
        <w:spacing w:after="0"/>
        <w:rPr>
          <w:sz w:val="20"/>
          <w:szCs w:val="20"/>
          <w:color w:val="auto"/>
        </w:rPr>
      </w:pPr>
      <w:r>
        <w:rPr>
          <w:rFonts w:ascii="Arial" w:cs="Arial" w:eastAsia="Arial" w:hAnsi="Arial"/>
          <w:sz w:val="18"/>
          <w:szCs w:val="18"/>
          <w:color w:val="auto"/>
        </w:rPr>
        <w:t>John Diffendal, BB&amp;T Capital Markets.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191135</wp:posOffset>
            </wp:positionV>
            <wp:extent cx="724662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John Diffendal </w:t>
      </w:r>
      <w:r>
        <w:rPr>
          <w:rFonts w:ascii="Arial" w:cs="Arial" w:eastAsia="Arial" w:hAnsi="Arial"/>
          <w:sz w:val="18"/>
          <w:szCs w:val="18"/>
          <w:b w:val="1"/>
          <w:bCs w:val="1"/>
          <w:i w:val="1"/>
          <w:iCs w:val="1"/>
          <w:color w:val="auto"/>
        </w:rPr>
        <w:t>- BB&amp;T Capital Markets - Analyst</w:t>
      </w:r>
    </w:p>
    <w:p>
      <w:pPr>
        <w:spacing w:after="0" w:line="24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To further kind of look at the backlog number, so nothing was in there last year; 70% of what you expect to get is in there this year. Can you give us a sense of what dollar number of backlog is there from that to give us a comparability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123190</wp:posOffset>
            </wp:positionV>
            <wp:extent cx="724662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Bruce Hertzke </w:t>
      </w:r>
      <w:r>
        <w:rPr>
          <w:rFonts w:ascii="Arial" w:cs="Arial" w:eastAsia="Arial" w:hAnsi="Arial"/>
          <w:sz w:val="18"/>
          <w:szCs w:val="18"/>
          <w:b w:val="1"/>
          <w:bCs w:val="1"/>
          <w:i w:val="1"/>
          <w:iCs w:val="1"/>
          <w:color w:val="auto"/>
        </w:rPr>
        <w:t>- Winnebago Industries - Chairman &amp; CEO</w:t>
      </w:r>
    </w:p>
    <w:p>
      <w:pPr>
        <w:spacing w:after="0" w:line="31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never -- we have seen some of our competitors announce different dollars. I think we take a little bit different attitude when we go to Louisville. We actually try to put on, make sure our salespeople actually have products sold before we even get to Louisville throughout the whole thing. When we go to Louisville we will probably show a new product and most of our orders even come, are probably just the newest product. We expect stocking levels of our dealers year-round. And so we focus our Louisville on probably some new floor plans or new product introductions, not so much getting a great big order bank at that one, the two-day or three-day show.</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304"/>
        </w:trPr>
        <w:tc>
          <w:tcPr>
            <w:tcW w:w="3160" w:type="dxa"/>
            <w:vAlign w:val="bottom"/>
            <w:tcBorders>
              <w:top w:val="single" w:sz="8" w:color="003399"/>
              <w:bottom w:val="single" w:sz="8" w:color="003399"/>
            </w:tcBorders>
            <w:shd w:val="clear" w:color="auto" w:fill="003399"/>
          </w:tcPr>
          <w:p>
            <w:pPr>
              <w:ind w:left="740"/>
              <w:spacing w:after="0"/>
              <w:rPr>
                <w:sz w:val="20"/>
                <w:szCs w:val="20"/>
                <w:color w:val="auto"/>
              </w:rPr>
            </w:pPr>
            <w:r>
              <w:rPr>
                <w:rFonts w:ascii="Arial" w:cs="Arial" w:eastAsia="Arial" w:hAnsi="Arial"/>
                <w:sz w:val="18"/>
                <w:szCs w:val="18"/>
                <w:b w:val="1"/>
                <w:bCs w:val="1"/>
                <w:color w:val="FFFFFF"/>
              </w:rPr>
              <w:t>Thomson StreetEvents</w:t>
            </w:r>
          </w:p>
        </w:tc>
        <w:tc>
          <w:tcPr>
            <w:tcW w:w="2780" w:type="dxa"/>
            <w:vAlign w:val="bottom"/>
            <w:tcBorders>
              <w:top w:val="single" w:sz="8" w:color="003399"/>
              <w:right w:val="single" w:sz="8" w:color="003399"/>
            </w:tcBorders>
          </w:tcPr>
          <w:p>
            <w:pPr>
              <w:ind w:left="780"/>
              <w:spacing w:after="0"/>
              <w:rPr>
                <w:sz w:val="20"/>
                <w:szCs w:val="20"/>
                <w:color w:val="auto"/>
              </w:rPr>
            </w:pPr>
            <w:r>
              <w:rPr>
                <w:rFonts w:ascii="Arial" w:cs="Arial" w:eastAsia="Arial" w:hAnsi="Arial"/>
                <w:sz w:val="14"/>
                <w:szCs w:val="14"/>
                <w:color w:val="003399"/>
              </w:rPr>
              <w:t>www.streetevents.com</w:t>
            </w:r>
          </w:p>
        </w:tc>
        <w:tc>
          <w:tcPr>
            <w:tcW w:w="2180" w:type="dxa"/>
            <w:vAlign w:val="bottom"/>
            <w:tcBorders>
              <w:top w:val="single" w:sz="8" w:color="003399"/>
              <w:right w:val="single" w:sz="8" w:color="003399"/>
            </w:tcBorders>
          </w:tcPr>
          <w:p>
            <w:pPr>
              <w:spacing w:after="0"/>
              <w:rPr>
                <w:sz w:val="24"/>
                <w:szCs w:val="24"/>
                <w:color w:val="auto"/>
              </w:rPr>
            </w:pPr>
          </w:p>
        </w:tc>
        <w:tc>
          <w:tcPr>
            <w:tcW w:w="2580" w:type="dxa"/>
            <w:vAlign w:val="bottom"/>
            <w:tcBorders>
              <w:top w:val="single" w:sz="8" w:color="003399"/>
              <w:right w:val="single" w:sz="8" w:color="003399"/>
            </w:tcBorders>
          </w:tcPr>
          <w:p>
            <w:pPr>
              <w:ind w:left="980"/>
              <w:spacing w:after="0"/>
              <w:rPr>
                <w:sz w:val="20"/>
                <w:szCs w:val="20"/>
                <w:color w:val="auto"/>
              </w:rPr>
            </w:pPr>
            <w:r>
              <w:rPr>
                <w:rFonts w:ascii="Arial" w:cs="Arial" w:eastAsia="Arial" w:hAnsi="Arial"/>
                <w:sz w:val="14"/>
                <w:szCs w:val="14"/>
                <w:color w:val="003399"/>
              </w:rPr>
              <w:t>Contact Us</w:t>
            </w:r>
          </w:p>
        </w:tc>
        <w:tc>
          <w:tcPr>
            <w:tcW w:w="720" w:type="dxa"/>
            <w:vAlign w:val="bottom"/>
            <w:tcBorders>
              <w:top w:val="single" w:sz="8" w:color="003399"/>
              <w:bottom w:val="single" w:sz="8" w:color="6B9915"/>
              <w:right w:val="single" w:sz="8" w:color="003399"/>
            </w:tcBorders>
            <w:shd w:val="clear" w:color="auto" w:fill="6B9915"/>
          </w:tcPr>
          <w:p>
            <w:pPr>
              <w:jc w:val="right"/>
              <w:ind w:right="232"/>
              <w:spacing w:after="0"/>
              <w:rPr>
                <w:sz w:val="20"/>
                <w:szCs w:val="20"/>
                <w:color w:val="auto"/>
              </w:rPr>
            </w:pPr>
            <w:r>
              <w:rPr>
                <w:rFonts w:ascii="Arial" w:cs="Arial" w:eastAsia="Arial" w:hAnsi="Arial"/>
                <w:sz w:val="18"/>
                <w:szCs w:val="18"/>
                <w:color w:val="FFFFFF"/>
              </w:rPr>
              <w:t>8</w:t>
            </w:r>
          </w:p>
        </w:tc>
      </w:tr>
      <w:tr>
        <w:trPr>
          <w:trHeight w:val="20"/>
        </w:trPr>
        <w:tc>
          <w:tcPr>
            <w:tcW w:w="3160" w:type="dxa"/>
            <w:vAlign w:val="bottom"/>
            <w:shd w:val="clear" w:color="auto" w:fill="003399"/>
          </w:tcPr>
          <w:p>
            <w:pPr>
              <w:spacing w:after="0" w:line="20" w:lineRule="exact"/>
              <w:rPr>
                <w:sz w:val="1"/>
                <w:szCs w:val="1"/>
                <w:color w:val="auto"/>
              </w:rPr>
            </w:pPr>
          </w:p>
        </w:tc>
        <w:tc>
          <w:tcPr>
            <w:tcW w:w="2780" w:type="dxa"/>
            <w:vAlign w:val="bottom"/>
            <w:tcBorders>
              <w:right w:val="single" w:sz="8" w:color="003399"/>
            </w:tcBorders>
            <w:shd w:val="clear" w:color="auto" w:fill="003399"/>
          </w:tcPr>
          <w:p>
            <w:pPr>
              <w:spacing w:after="0" w:line="20" w:lineRule="exact"/>
              <w:rPr>
                <w:sz w:val="1"/>
                <w:szCs w:val="1"/>
                <w:color w:val="auto"/>
              </w:rPr>
            </w:pPr>
          </w:p>
        </w:tc>
        <w:tc>
          <w:tcPr>
            <w:tcW w:w="2180" w:type="dxa"/>
            <w:vAlign w:val="bottom"/>
            <w:tcBorders>
              <w:right w:val="single" w:sz="8" w:color="003399"/>
            </w:tcBorders>
            <w:shd w:val="clear" w:color="auto" w:fill="003399"/>
          </w:tcPr>
          <w:p>
            <w:pPr>
              <w:spacing w:after="0" w:line="20" w:lineRule="exact"/>
              <w:rPr>
                <w:sz w:val="1"/>
                <w:szCs w:val="1"/>
                <w:color w:val="auto"/>
              </w:rPr>
            </w:pPr>
          </w:p>
        </w:tc>
        <w:tc>
          <w:tcPr>
            <w:tcW w:w="2580" w:type="dxa"/>
            <w:vAlign w:val="bottom"/>
            <w:tcBorders>
              <w:right w:val="single" w:sz="8" w:color="003399"/>
            </w:tcBorders>
            <w:shd w:val="clear" w:color="auto" w:fill="003399"/>
          </w:tcPr>
          <w:p>
            <w:pPr>
              <w:spacing w:after="0" w:line="20" w:lineRule="exact"/>
              <w:rPr>
                <w:sz w:val="1"/>
                <w:szCs w:val="1"/>
                <w:color w:val="auto"/>
              </w:rPr>
            </w:pPr>
          </w:p>
        </w:tc>
        <w:tc>
          <w:tcPr>
            <w:tcW w:w="720" w:type="dxa"/>
            <w:vAlign w:val="bottom"/>
            <w:tcBorders>
              <w:right w:val="single" w:sz="8" w:color="003399"/>
            </w:tcBorders>
            <w:shd w:val="clear" w:color="auto" w:fill="003399"/>
          </w:tcPr>
          <w:p>
            <w:pPr>
              <w:spacing w:after="0" w:line="20" w:lineRule="exact"/>
              <w:rPr>
                <w:sz w:val="1"/>
                <w:szCs w:val="1"/>
                <w:color w:val="auto"/>
              </w:rPr>
            </w:pPr>
          </w:p>
        </w:tc>
      </w:tr>
    </w:tbl>
    <w:p>
      <w:pPr>
        <w:spacing w:after="0" w:line="16" w:lineRule="exact"/>
        <w:rPr>
          <w:sz w:val="20"/>
          <w:szCs w:val="20"/>
          <w:color w:val="auto"/>
        </w:rPr>
      </w:pPr>
    </w:p>
    <w:p>
      <w:pPr>
        <w:spacing w:after="0"/>
        <w:rPr>
          <w:sz w:val="20"/>
          <w:szCs w:val="20"/>
          <w:color w:val="auto"/>
        </w:rPr>
      </w:pPr>
      <w:r>
        <w:rPr>
          <w:rFonts w:ascii="Arial" w:cs="Arial" w:eastAsia="Arial" w:hAnsi="Arial"/>
          <w:sz w:val="12"/>
          <w:szCs w:val="12"/>
          <w:color w:val="auto"/>
        </w:rPr>
        <w:t>© 2007 Thomson Financial. Republished with permission. No part of this publication may be reproduced or transmitted in any form or by any means without the prior written consent of Thomson Financial.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328930</wp:posOffset>
            </wp:positionV>
            <wp:extent cx="7250430" cy="298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9640"/>
        <w:spacing w:after="0"/>
        <w:rPr>
          <w:sz w:val="20"/>
          <w:szCs w:val="20"/>
          <w:color w:val="auto"/>
        </w:rPr>
      </w:pPr>
      <w:r>
        <w:rPr>
          <w:rFonts w:ascii="Arial" w:cs="Arial" w:eastAsia="Arial" w:hAnsi="Arial"/>
          <w:sz w:val="18"/>
          <w:szCs w:val="18"/>
          <w:b w:val="1"/>
          <w:bCs w:val="1"/>
          <w:color w:val="003399"/>
        </w:rPr>
        <w:t>FINAL TRANSCRIPT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22288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46620" cy="222885"/>
                    </a:xfrm>
                    <a:prstGeom prst="rect">
                      <a:avLst/>
                    </a:prstGeom>
                    <a:noFill/>
                  </pic:spPr>
                </pic:pic>
              </a:graphicData>
            </a:graphic>
          </wp:anchor>
        </w:drawing>
      </w:r>
    </w:p>
    <w:p>
      <w:pPr>
        <w:spacing w:after="0" w:line="4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003399"/>
        </w:rPr>
        <w:t>Dec. 20. 2007 / 10:00AM ET, WGO - Q1 2008 Winnebago Earnings Conference Call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383540</wp:posOffset>
            </wp:positionV>
            <wp:extent cx="724662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John Diffendal </w:t>
      </w:r>
      <w:r>
        <w:rPr>
          <w:rFonts w:ascii="Arial" w:cs="Arial" w:eastAsia="Arial" w:hAnsi="Arial"/>
          <w:sz w:val="18"/>
          <w:szCs w:val="18"/>
          <w:b w:val="1"/>
          <w:bCs w:val="1"/>
          <w:i w:val="1"/>
          <w:iCs w:val="1"/>
          <w:color w:val="auto"/>
        </w:rPr>
        <w:t>- BB&amp;T Capital Markets - Analyst</w:t>
      </w:r>
    </w:p>
    <w:p>
      <w:pPr>
        <w:spacing w:after="0" w:line="299"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So it's not -- your class A's were, as others have pointed out, down 26.5% year-over-year with some Louisville and no Louisville there last year, so it is down a little bit more than that sort of on an apples to apples basis I guess.</w:t>
      </w:r>
    </w:p>
    <w:p>
      <w:pPr>
        <w:sectPr>
          <w:pgSz w:w="11900" w:h="16838" w:orient="portrait"/>
          <w:cols w:equalWidth="0" w:num="1">
            <w:col w:w="11420"/>
          </w:cols>
          <w:pgMar w:left="240" w:top="166" w:right="239" w:bottom="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46620" cy="8890"/>
                    </a:xfrm>
                    <a:prstGeom prst="rect">
                      <a:avLst/>
                    </a:prstGeom>
                    <a:noFill/>
                  </pic:spPr>
                </pic:pic>
              </a:graphicData>
            </a:graphic>
          </wp:anchor>
        </w:drawing>
        <w:t xml:space="preserve">Bruce Hertzke </w:t>
      </w:r>
      <w:r>
        <w:rPr>
          <w:rFonts w:ascii="Arial" w:cs="Arial" w:eastAsia="Arial" w:hAnsi="Arial"/>
          <w:sz w:val="18"/>
          <w:szCs w:val="18"/>
          <w:b w:val="1"/>
          <w:bCs w:val="1"/>
          <w:i w:val="1"/>
          <w:iCs w:val="1"/>
          <w:color w:val="auto"/>
        </w:rPr>
        <w:t>- Winnebago Industries - Chairman &amp; CEO</w:t>
      </w:r>
    </w:p>
    <w:p>
      <w:pPr>
        <w:spacing w:after="0" w:line="31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 think it is a somewhat fair comparison. The other thing is when you are at this level of capacity hopefully we are supplying product to our dealer a lot faster also. Naturally, with our two production facilities hopefully we can get product built and displayed, shipped out to our dealers a lot faster. And I think our whole industry actually should be that way right now.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724662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John Diffendal </w:t>
      </w:r>
      <w:r>
        <w:rPr>
          <w:rFonts w:ascii="Arial" w:cs="Arial" w:eastAsia="Arial" w:hAnsi="Arial"/>
          <w:sz w:val="18"/>
          <w:szCs w:val="18"/>
          <w:b w:val="1"/>
          <w:bCs w:val="1"/>
          <w:i w:val="1"/>
          <w:iCs w:val="1"/>
          <w:color w:val="auto"/>
        </w:rPr>
        <w:t>- BB&amp;T Capital Markets - Analyst</w:t>
      </w:r>
    </w:p>
    <w:p>
      <w:pPr>
        <w:spacing w:after="0" w:line="312"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Second question is you mentioned you are heading into your seasonally weakest quarter, the February quarter. I guess you indicated earlier you expect sequential decline. But you had about a 9.5% gross margin last year's quarter, which is even low by second quarter standards. Given mix of business between the two quarters and that utilization rate you mentioned staying relatively stable, would you expect some improvement relative to last year on gross margin?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149860</wp:posOffset>
            </wp:positionV>
            <wp:extent cx="724662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Sarah Nielsen </w:t>
      </w:r>
      <w:r>
        <w:rPr>
          <w:rFonts w:ascii="Arial" w:cs="Arial" w:eastAsia="Arial" w:hAnsi="Arial"/>
          <w:sz w:val="18"/>
          <w:szCs w:val="18"/>
          <w:b w:val="1"/>
          <w:bCs w:val="1"/>
          <w:i w:val="1"/>
          <w:iCs w:val="1"/>
          <w:color w:val="auto"/>
        </w:rPr>
        <w:t>- Winnebago Industries - VP &amp; CFO</w:t>
      </w:r>
    </w:p>
    <w:p>
      <w:pPr>
        <w:spacing w:after="0" w:line="312"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Similar I guess to our past practice, we are not going to be providing guidance on our gross profit or on the EPS side just because it is such a volatile marketplace. And it is very hard to project accurately where that is going to land. It is a tough marketplace right now, and we definitely are seeing a lot of short-term indicators that are not positive. So we try to adjust our production schedule weekly based on what we are seeing out in the marketplace.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149860</wp:posOffset>
            </wp:positionV>
            <wp:extent cx="724662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John Diffendal </w:t>
      </w:r>
      <w:r>
        <w:rPr>
          <w:rFonts w:ascii="Arial" w:cs="Arial" w:eastAsia="Arial" w:hAnsi="Arial"/>
          <w:sz w:val="18"/>
          <w:szCs w:val="18"/>
          <w:b w:val="1"/>
          <w:bCs w:val="1"/>
          <w:i w:val="1"/>
          <w:iCs w:val="1"/>
          <w:color w:val="auto"/>
        </w:rPr>
        <w:t>- BB&amp;T Capital Markets - Analyst</w:t>
      </w:r>
    </w:p>
    <w:p>
      <w:pPr>
        <w:spacing w:after="0" w:line="312" w:lineRule="exact"/>
        <w:rPr>
          <w:sz w:val="20"/>
          <w:szCs w:val="20"/>
          <w:color w:val="auto"/>
        </w:rPr>
      </w:pPr>
    </w:p>
    <w:p>
      <w:pPr>
        <w:spacing w:after="0"/>
        <w:rPr>
          <w:sz w:val="20"/>
          <w:szCs w:val="20"/>
          <w:color w:val="auto"/>
        </w:rPr>
      </w:pPr>
      <w:r>
        <w:rPr>
          <w:rFonts w:ascii="Arial" w:cs="Arial" w:eastAsia="Arial" w:hAnsi="Arial"/>
          <w:sz w:val="18"/>
          <w:szCs w:val="18"/>
          <w:color w:val="auto"/>
        </w:rPr>
        <w:t>You can't fault a guy for trying though still. That's all I have. Thanks.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191135</wp:posOffset>
            </wp:positionV>
            <wp:extent cx="724662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Operator</w:t>
      </w:r>
    </w:p>
    <w:p>
      <w:pPr>
        <w:spacing w:after="0" w:line="312" w:lineRule="exact"/>
        <w:rPr>
          <w:sz w:val="20"/>
          <w:szCs w:val="20"/>
          <w:color w:val="auto"/>
        </w:rPr>
      </w:pPr>
    </w:p>
    <w:p>
      <w:pPr>
        <w:spacing w:after="0"/>
        <w:rPr>
          <w:sz w:val="20"/>
          <w:szCs w:val="20"/>
          <w:color w:val="auto"/>
        </w:rPr>
      </w:pPr>
      <w:r>
        <w:rPr>
          <w:rFonts w:ascii="Arial" w:cs="Arial" w:eastAsia="Arial" w:hAnsi="Arial"/>
          <w:sz w:val="18"/>
          <w:szCs w:val="18"/>
          <w:color w:val="auto"/>
        </w:rPr>
        <w:t>Craig Kennison, Robert W. Baird.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191135</wp:posOffset>
            </wp:positionV>
            <wp:extent cx="724662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Craig Kennison </w:t>
      </w:r>
      <w:r>
        <w:rPr>
          <w:rFonts w:ascii="Arial" w:cs="Arial" w:eastAsia="Arial" w:hAnsi="Arial"/>
          <w:sz w:val="18"/>
          <w:szCs w:val="18"/>
          <w:b w:val="1"/>
          <w:bCs w:val="1"/>
          <w:i w:val="1"/>
          <w:iCs w:val="1"/>
          <w:color w:val="auto"/>
        </w:rPr>
        <w:t>- Robert W. Baird - Analyst</w:t>
      </w:r>
    </w:p>
    <w:p>
      <w:pPr>
        <w:spacing w:after="0" w:line="31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Following up on John's question, with respect to the Class B market ultimately where do you expect to report those units? Are you going to report them separately or along with Class 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166370</wp:posOffset>
            </wp:positionV>
            <wp:extent cx="724662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Bruce Hertzke </w:t>
      </w:r>
      <w:r>
        <w:rPr>
          <w:rFonts w:ascii="Arial" w:cs="Arial" w:eastAsia="Arial" w:hAnsi="Arial"/>
          <w:sz w:val="18"/>
          <w:szCs w:val="18"/>
          <w:b w:val="1"/>
          <w:bCs w:val="1"/>
          <w:i w:val="1"/>
          <w:iCs w:val="1"/>
          <w:color w:val="auto"/>
        </w:rPr>
        <w:t>- Winnebago Industries - Chairman &amp; CEO</w:t>
      </w:r>
    </w:p>
    <w:p>
      <w:pPr>
        <w:spacing w:after="0" w:line="31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No, they will be recorded separately. There is actually a Class B division of products; you will see in the future that Winnebago will -- and I'm even getting the information that Stat Surveys is going to look at maybe some Class B registration information for the industry, which I think will be helpful for all of us. But you will see Winnebago having a separate Class A, B AND C line so that you can continue to track that, once we get everything established and we go into the future with those products.</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304"/>
        </w:trPr>
        <w:tc>
          <w:tcPr>
            <w:tcW w:w="3160" w:type="dxa"/>
            <w:vAlign w:val="bottom"/>
            <w:tcBorders>
              <w:top w:val="single" w:sz="8" w:color="003399"/>
              <w:bottom w:val="single" w:sz="8" w:color="003399"/>
            </w:tcBorders>
            <w:shd w:val="clear" w:color="auto" w:fill="003399"/>
          </w:tcPr>
          <w:p>
            <w:pPr>
              <w:ind w:left="740"/>
              <w:spacing w:after="0"/>
              <w:rPr>
                <w:sz w:val="20"/>
                <w:szCs w:val="20"/>
                <w:color w:val="auto"/>
              </w:rPr>
            </w:pPr>
            <w:r>
              <w:rPr>
                <w:rFonts w:ascii="Arial" w:cs="Arial" w:eastAsia="Arial" w:hAnsi="Arial"/>
                <w:sz w:val="18"/>
                <w:szCs w:val="18"/>
                <w:b w:val="1"/>
                <w:bCs w:val="1"/>
                <w:color w:val="FFFFFF"/>
              </w:rPr>
              <w:t>Thomson StreetEvents</w:t>
            </w:r>
          </w:p>
        </w:tc>
        <w:tc>
          <w:tcPr>
            <w:tcW w:w="2780" w:type="dxa"/>
            <w:vAlign w:val="bottom"/>
            <w:tcBorders>
              <w:top w:val="single" w:sz="8" w:color="003399"/>
              <w:right w:val="single" w:sz="8" w:color="003399"/>
            </w:tcBorders>
          </w:tcPr>
          <w:p>
            <w:pPr>
              <w:ind w:left="780"/>
              <w:spacing w:after="0"/>
              <w:rPr>
                <w:sz w:val="20"/>
                <w:szCs w:val="20"/>
                <w:color w:val="auto"/>
              </w:rPr>
            </w:pPr>
            <w:r>
              <w:rPr>
                <w:rFonts w:ascii="Arial" w:cs="Arial" w:eastAsia="Arial" w:hAnsi="Arial"/>
                <w:sz w:val="14"/>
                <w:szCs w:val="14"/>
                <w:color w:val="003399"/>
              </w:rPr>
              <w:t>www.streetevents.com</w:t>
            </w:r>
          </w:p>
        </w:tc>
        <w:tc>
          <w:tcPr>
            <w:tcW w:w="2180" w:type="dxa"/>
            <w:vAlign w:val="bottom"/>
            <w:tcBorders>
              <w:top w:val="single" w:sz="8" w:color="003399"/>
              <w:right w:val="single" w:sz="8" w:color="003399"/>
            </w:tcBorders>
          </w:tcPr>
          <w:p>
            <w:pPr>
              <w:spacing w:after="0"/>
              <w:rPr>
                <w:sz w:val="24"/>
                <w:szCs w:val="24"/>
                <w:color w:val="auto"/>
              </w:rPr>
            </w:pPr>
          </w:p>
        </w:tc>
        <w:tc>
          <w:tcPr>
            <w:tcW w:w="2580" w:type="dxa"/>
            <w:vAlign w:val="bottom"/>
            <w:tcBorders>
              <w:top w:val="single" w:sz="8" w:color="003399"/>
              <w:right w:val="single" w:sz="8" w:color="003399"/>
            </w:tcBorders>
          </w:tcPr>
          <w:p>
            <w:pPr>
              <w:ind w:left="980"/>
              <w:spacing w:after="0"/>
              <w:rPr>
                <w:sz w:val="20"/>
                <w:szCs w:val="20"/>
                <w:color w:val="auto"/>
              </w:rPr>
            </w:pPr>
            <w:r>
              <w:rPr>
                <w:rFonts w:ascii="Arial" w:cs="Arial" w:eastAsia="Arial" w:hAnsi="Arial"/>
                <w:sz w:val="14"/>
                <w:szCs w:val="14"/>
                <w:color w:val="003399"/>
              </w:rPr>
              <w:t>Contact Us</w:t>
            </w:r>
          </w:p>
        </w:tc>
        <w:tc>
          <w:tcPr>
            <w:tcW w:w="720" w:type="dxa"/>
            <w:vAlign w:val="bottom"/>
            <w:tcBorders>
              <w:top w:val="single" w:sz="8" w:color="003399"/>
              <w:bottom w:val="single" w:sz="8" w:color="6B9915"/>
              <w:right w:val="single" w:sz="8" w:color="003399"/>
            </w:tcBorders>
            <w:shd w:val="clear" w:color="auto" w:fill="6B9915"/>
          </w:tcPr>
          <w:p>
            <w:pPr>
              <w:jc w:val="right"/>
              <w:ind w:right="232"/>
              <w:spacing w:after="0"/>
              <w:rPr>
                <w:sz w:val="20"/>
                <w:szCs w:val="20"/>
                <w:color w:val="auto"/>
              </w:rPr>
            </w:pPr>
            <w:r>
              <w:rPr>
                <w:rFonts w:ascii="Arial" w:cs="Arial" w:eastAsia="Arial" w:hAnsi="Arial"/>
                <w:sz w:val="18"/>
                <w:szCs w:val="18"/>
                <w:color w:val="FFFFFF"/>
              </w:rPr>
              <w:t>9</w:t>
            </w:r>
          </w:p>
        </w:tc>
      </w:tr>
      <w:tr>
        <w:trPr>
          <w:trHeight w:val="20"/>
        </w:trPr>
        <w:tc>
          <w:tcPr>
            <w:tcW w:w="3160" w:type="dxa"/>
            <w:vAlign w:val="bottom"/>
            <w:shd w:val="clear" w:color="auto" w:fill="003399"/>
          </w:tcPr>
          <w:p>
            <w:pPr>
              <w:spacing w:after="0" w:line="20" w:lineRule="exact"/>
              <w:rPr>
                <w:sz w:val="1"/>
                <w:szCs w:val="1"/>
                <w:color w:val="auto"/>
              </w:rPr>
            </w:pPr>
          </w:p>
        </w:tc>
        <w:tc>
          <w:tcPr>
            <w:tcW w:w="2780" w:type="dxa"/>
            <w:vAlign w:val="bottom"/>
            <w:tcBorders>
              <w:right w:val="single" w:sz="8" w:color="003399"/>
            </w:tcBorders>
            <w:shd w:val="clear" w:color="auto" w:fill="003399"/>
          </w:tcPr>
          <w:p>
            <w:pPr>
              <w:spacing w:after="0" w:line="20" w:lineRule="exact"/>
              <w:rPr>
                <w:sz w:val="1"/>
                <w:szCs w:val="1"/>
                <w:color w:val="auto"/>
              </w:rPr>
            </w:pPr>
          </w:p>
        </w:tc>
        <w:tc>
          <w:tcPr>
            <w:tcW w:w="2180" w:type="dxa"/>
            <w:vAlign w:val="bottom"/>
            <w:tcBorders>
              <w:right w:val="single" w:sz="8" w:color="003399"/>
            </w:tcBorders>
            <w:shd w:val="clear" w:color="auto" w:fill="003399"/>
          </w:tcPr>
          <w:p>
            <w:pPr>
              <w:spacing w:after="0" w:line="20" w:lineRule="exact"/>
              <w:rPr>
                <w:sz w:val="1"/>
                <w:szCs w:val="1"/>
                <w:color w:val="auto"/>
              </w:rPr>
            </w:pPr>
          </w:p>
        </w:tc>
        <w:tc>
          <w:tcPr>
            <w:tcW w:w="2580" w:type="dxa"/>
            <w:vAlign w:val="bottom"/>
            <w:tcBorders>
              <w:right w:val="single" w:sz="8" w:color="003399"/>
            </w:tcBorders>
            <w:shd w:val="clear" w:color="auto" w:fill="003399"/>
          </w:tcPr>
          <w:p>
            <w:pPr>
              <w:spacing w:after="0" w:line="20" w:lineRule="exact"/>
              <w:rPr>
                <w:sz w:val="1"/>
                <w:szCs w:val="1"/>
                <w:color w:val="auto"/>
              </w:rPr>
            </w:pPr>
          </w:p>
        </w:tc>
        <w:tc>
          <w:tcPr>
            <w:tcW w:w="720" w:type="dxa"/>
            <w:vAlign w:val="bottom"/>
            <w:tcBorders>
              <w:right w:val="single" w:sz="8" w:color="003399"/>
            </w:tcBorders>
            <w:shd w:val="clear" w:color="auto" w:fill="003399"/>
          </w:tcPr>
          <w:p>
            <w:pPr>
              <w:spacing w:after="0" w:line="20" w:lineRule="exact"/>
              <w:rPr>
                <w:sz w:val="1"/>
                <w:szCs w:val="1"/>
                <w:color w:val="auto"/>
              </w:rPr>
            </w:pPr>
          </w:p>
        </w:tc>
      </w:tr>
    </w:tbl>
    <w:p>
      <w:pPr>
        <w:spacing w:after="0" w:line="16" w:lineRule="exact"/>
        <w:rPr>
          <w:sz w:val="20"/>
          <w:szCs w:val="20"/>
          <w:color w:val="auto"/>
        </w:rPr>
      </w:pPr>
    </w:p>
    <w:p>
      <w:pPr>
        <w:spacing w:after="0"/>
        <w:rPr>
          <w:sz w:val="20"/>
          <w:szCs w:val="20"/>
          <w:color w:val="auto"/>
        </w:rPr>
      </w:pPr>
      <w:r>
        <w:rPr>
          <w:rFonts w:ascii="Arial" w:cs="Arial" w:eastAsia="Arial" w:hAnsi="Arial"/>
          <w:sz w:val="12"/>
          <w:szCs w:val="12"/>
          <w:color w:val="auto"/>
        </w:rPr>
        <w:t>© 2007 Thomson Financial. Republished with permission. No part of this publication may be reproduced or transmitted in any form or by any means without the prior written consent of Thomson Financial.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328930</wp:posOffset>
            </wp:positionV>
            <wp:extent cx="7250430" cy="298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003399"/>
        </w:rPr>
        <w:t>FINAL TRANSCRIPT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22288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46620" cy="222885"/>
                    </a:xfrm>
                    <a:prstGeom prst="rect">
                      <a:avLst/>
                    </a:prstGeom>
                    <a:noFill/>
                  </pic:spPr>
                </pic:pic>
              </a:graphicData>
            </a:graphic>
          </wp:anchor>
        </w:drawing>
      </w:r>
    </w:p>
    <w:p>
      <w:pPr>
        <w:spacing w:after="0" w:line="4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003399"/>
        </w:rPr>
        <w:t>Dec. 20. 2007 / 10:00AM ET, WGO - Q1 2008 Winnebago Earnings Conference Call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332105</wp:posOffset>
            </wp:positionV>
            <wp:extent cx="724662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Craig Kennison - Robert W. Baird - Analyst</w:t>
      </w:r>
    </w:p>
    <w:p>
      <w:pPr>
        <w:spacing w:after="0" w:line="23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That will be helpful. We of course appreciate that disclosure. What would the timing, the anticipated timing of that Class B rollout be from a shipment perspective?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166370</wp:posOffset>
            </wp:positionV>
            <wp:extent cx="724662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Bob Olson </w:t>
      </w:r>
      <w:r>
        <w:rPr>
          <w:rFonts w:ascii="Arial" w:cs="Arial" w:eastAsia="Arial" w:hAnsi="Arial"/>
          <w:sz w:val="18"/>
          <w:szCs w:val="18"/>
          <w:b w:val="1"/>
          <w:bCs w:val="1"/>
          <w:i w:val="1"/>
          <w:iCs w:val="1"/>
          <w:color w:val="auto"/>
        </w:rPr>
        <w:t>- Winnebago Industries - President</w:t>
      </w:r>
    </w:p>
    <w:p>
      <w:pPr>
        <w:spacing w:after="0" w:line="29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We're looking right now that we've got a fairly conservative ramp up of that product because it is something new for us. And it looks like it will start hitting dealers' lots probably really late February, first part of March. And so then we will continue to ramp up our production rate from that point. So there is going to be quite a bit of product out there probably the late April May time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724662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Craig Kennison </w:t>
      </w:r>
      <w:r>
        <w:rPr>
          <w:rFonts w:ascii="Arial" w:cs="Arial" w:eastAsia="Arial" w:hAnsi="Arial"/>
          <w:sz w:val="18"/>
          <w:szCs w:val="18"/>
          <w:b w:val="1"/>
          <w:bCs w:val="1"/>
          <w:i w:val="1"/>
          <w:iCs w:val="1"/>
          <w:color w:val="auto"/>
        </w:rPr>
        <w:t>- Robert W. Baird - Analyst</w:t>
      </w:r>
    </w:p>
    <w:p>
      <w:pPr>
        <w:spacing w:after="0" w:line="299"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Typically when we look at a new product we can say you've got 300 dealers, every dealer could take one or two and that would give us a feel for how many hundreds of units you might ship in a new product. Since you've got a different number of Class B dealers that will unfold differently. Maybe you can give us a sense for how many dealers you hope to add to that Class B network.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724662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Bruce Hertzke </w:t>
      </w:r>
      <w:r>
        <w:rPr>
          <w:rFonts w:ascii="Arial" w:cs="Arial" w:eastAsia="Arial" w:hAnsi="Arial"/>
          <w:sz w:val="18"/>
          <w:szCs w:val="18"/>
          <w:b w:val="1"/>
          <w:bCs w:val="1"/>
          <w:i w:val="1"/>
          <w:iCs w:val="1"/>
          <w:color w:val="auto"/>
        </w:rPr>
        <w:t>- Winnebago Industries - Chairman &amp; CEO</w:t>
      </w:r>
    </w:p>
    <w:p>
      <w:pPr>
        <w:sectPr>
          <w:pgSz w:w="11900" w:h="16838" w:orient="portrait"/>
          <w:cols w:equalWidth="0" w:num="1">
            <w:col w:w="11420"/>
          </w:cols>
          <w:pgMar w:left="240" w:top="166" w:right="239" w:bottom="0" w:gutter="0" w:footer="0" w:header="0"/>
        </w:sectPr>
      </w:pPr>
    </w:p>
    <w:bookmarkStart w:id="14" w:name="page15"/>
    <w:bookmarkEnd w:id="14"/>
    <w:p>
      <w:pPr>
        <w:jc w:val="both"/>
        <w:spacing w:after="0" w:line="291" w:lineRule="auto"/>
        <w:rPr>
          <w:sz w:val="20"/>
          <w:szCs w:val="20"/>
          <w:color w:val="auto"/>
        </w:rPr>
      </w:pPr>
      <w:r>
        <w:rPr>
          <w:rFonts w:ascii="Arial" w:cs="Arial" w:eastAsia="Arial" w:hAnsi="Arial"/>
          <w:sz w:val="16"/>
          <w:szCs w:val="16"/>
          <w:color w:val="auto"/>
        </w:rPr>
        <w:t>First of all, your first assumptions are correct, Craig. The dealer organization will be a little bit different. The sales and marketing department have the opportunity to go to a Winnebago dealer, go to an Itasca dealer or go to a completely new dealer with this productline. And the thing that we will be doing is that because of the availability of chassis and how fast we can ramp this product up, we will be signing new dealers up, extendedly through the entire 2008 calendar year. As we continue to get more and more product we will ramp it up and we will sign on more and more dealers. But the bottom line is we definitely will be looking at some unique new dealers and some existing dealers for Winnebago products. So all 300 of our dealers won't have it and we are not sure exactly how many new dealers that we will have left to see as we ramp up and we sign those dealers up, how many that will end up 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158750</wp:posOffset>
            </wp:positionV>
            <wp:extent cx="724662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Craig Kennison </w:t>
      </w:r>
      <w:r>
        <w:rPr>
          <w:rFonts w:ascii="Arial" w:cs="Arial" w:eastAsia="Arial" w:hAnsi="Arial"/>
          <w:sz w:val="18"/>
          <w:szCs w:val="18"/>
          <w:b w:val="1"/>
          <w:bCs w:val="1"/>
          <w:i w:val="1"/>
          <w:iCs w:val="1"/>
          <w:color w:val="auto"/>
        </w:rPr>
        <w:t>- Robert W. Baird - Analyst</w:t>
      </w: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color w:val="auto"/>
        </w:rPr>
        <w:t>Okay, thank you. That's helpful. With respect to the average selling price of a Class B, is it in that neighborhood of a Class C or different?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191135</wp:posOffset>
            </wp:positionV>
            <wp:extent cx="724662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Bruce Hertzke </w:t>
      </w:r>
      <w:r>
        <w:rPr>
          <w:rFonts w:ascii="Arial" w:cs="Arial" w:eastAsia="Arial" w:hAnsi="Arial"/>
          <w:sz w:val="18"/>
          <w:szCs w:val="18"/>
          <w:b w:val="1"/>
          <w:bCs w:val="1"/>
          <w:i w:val="1"/>
          <w:iCs w:val="1"/>
          <w:color w:val="auto"/>
        </w:rPr>
        <w:t>- Winnebago Industries - Chairman &amp; CEO</w:t>
      </w:r>
    </w:p>
    <w:p>
      <w:pPr>
        <w:spacing w:after="0" w:line="299"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It's actually probably in the neighborhood of a Class C or even slightly a little bit higher. That is kind of a unique product. The product that we displayed at Louisville and showed all the dealers is actually a little higher than the average just typical Class 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166370</wp:posOffset>
            </wp:positionV>
            <wp:extent cx="724662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Craig Kennison </w:t>
      </w:r>
      <w:r>
        <w:rPr>
          <w:rFonts w:ascii="Arial" w:cs="Arial" w:eastAsia="Arial" w:hAnsi="Arial"/>
          <w:sz w:val="18"/>
          <w:szCs w:val="18"/>
          <w:b w:val="1"/>
          <w:bCs w:val="1"/>
          <w:i w:val="1"/>
          <w:iCs w:val="1"/>
          <w:color w:val="auto"/>
        </w:rPr>
        <w:t>- Robert W. Baird - Analyst</w:t>
      </w: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color w:val="auto"/>
        </w:rPr>
        <w:t>What about the contribution margin? How differed from a Class C would it 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191135</wp:posOffset>
            </wp:positionV>
            <wp:extent cx="724662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Bruce Hertzke </w:t>
      </w:r>
      <w:r>
        <w:rPr>
          <w:rFonts w:ascii="Arial" w:cs="Arial" w:eastAsia="Arial" w:hAnsi="Arial"/>
          <w:sz w:val="18"/>
          <w:szCs w:val="18"/>
          <w:b w:val="1"/>
          <w:bCs w:val="1"/>
          <w:i w:val="1"/>
          <w:iCs w:val="1"/>
          <w:color w:val="auto"/>
        </w:rPr>
        <w:t>- Winnebago Industries - Chairman &amp; CEO</w:t>
      </w:r>
    </w:p>
    <w:p>
      <w:pPr>
        <w:spacing w:after="0" w:line="299" w:lineRule="exact"/>
        <w:rPr>
          <w:sz w:val="20"/>
          <w:szCs w:val="20"/>
          <w:color w:val="auto"/>
        </w:rPr>
      </w:pPr>
    </w:p>
    <w:p>
      <w:pPr>
        <w:jc w:val="both"/>
        <w:spacing w:after="0" w:line="332" w:lineRule="auto"/>
        <w:rPr>
          <w:sz w:val="20"/>
          <w:szCs w:val="20"/>
          <w:color w:val="auto"/>
        </w:rPr>
      </w:pPr>
      <w:r>
        <w:rPr>
          <w:rFonts w:ascii="Arial" w:cs="Arial" w:eastAsia="Arial" w:hAnsi="Arial"/>
          <w:sz w:val="16"/>
          <w:szCs w:val="16"/>
          <w:color w:val="auto"/>
        </w:rPr>
        <w:t>I think it would compare more to our 500 series than a typical Class C. And I think we've told the marketplace over the years C are definitely less than A, but the 500 series carries a little better margin than a typical, which is our View and Navion, carries a little typically better margin than a typical Class 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136525</wp:posOffset>
            </wp:positionV>
            <wp:extent cx="724662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Craig Kennison </w:t>
      </w:r>
      <w:r>
        <w:rPr>
          <w:rFonts w:ascii="Arial" w:cs="Arial" w:eastAsia="Arial" w:hAnsi="Arial"/>
          <w:sz w:val="18"/>
          <w:szCs w:val="18"/>
          <w:b w:val="1"/>
          <w:bCs w:val="1"/>
          <w:i w:val="1"/>
          <w:iCs w:val="1"/>
          <w:color w:val="auto"/>
        </w:rPr>
        <w:t>- Robert W. Baird - Analyst</w:t>
      </w:r>
    </w:p>
    <w:p>
      <w:pPr>
        <w:spacing w:after="0" w:line="299"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That's all very helpful. Thank you. And then if you look at the normal seasonality of dealer inventory it seems to grow from Q1 to Q2 by about 400 units, give or take. Is that a fair way to look at this year, or are there any nuances we should track?</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304"/>
        </w:trPr>
        <w:tc>
          <w:tcPr>
            <w:tcW w:w="3160" w:type="dxa"/>
            <w:vAlign w:val="bottom"/>
            <w:tcBorders>
              <w:top w:val="single" w:sz="8" w:color="003399"/>
              <w:bottom w:val="single" w:sz="8" w:color="003399"/>
            </w:tcBorders>
            <w:shd w:val="clear" w:color="auto" w:fill="003399"/>
          </w:tcPr>
          <w:p>
            <w:pPr>
              <w:ind w:left="740"/>
              <w:spacing w:after="0"/>
              <w:rPr>
                <w:sz w:val="20"/>
                <w:szCs w:val="20"/>
                <w:color w:val="auto"/>
              </w:rPr>
            </w:pPr>
            <w:r>
              <w:rPr>
                <w:rFonts w:ascii="Arial" w:cs="Arial" w:eastAsia="Arial" w:hAnsi="Arial"/>
                <w:sz w:val="18"/>
                <w:szCs w:val="18"/>
                <w:b w:val="1"/>
                <w:bCs w:val="1"/>
                <w:color w:val="FFFFFF"/>
              </w:rPr>
              <w:t>Thomson StreetEvents</w:t>
            </w:r>
          </w:p>
        </w:tc>
        <w:tc>
          <w:tcPr>
            <w:tcW w:w="2780" w:type="dxa"/>
            <w:vAlign w:val="bottom"/>
            <w:tcBorders>
              <w:top w:val="single" w:sz="8" w:color="003399"/>
              <w:right w:val="single" w:sz="8" w:color="003399"/>
            </w:tcBorders>
          </w:tcPr>
          <w:p>
            <w:pPr>
              <w:ind w:left="780"/>
              <w:spacing w:after="0"/>
              <w:rPr>
                <w:sz w:val="20"/>
                <w:szCs w:val="20"/>
                <w:color w:val="auto"/>
              </w:rPr>
            </w:pPr>
            <w:r>
              <w:rPr>
                <w:rFonts w:ascii="Arial" w:cs="Arial" w:eastAsia="Arial" w:hAnsi="Arial"/>
                <w:sz w:val="14"/>
                <w:szCs w:val="14"/>
                <w:color w:val="003399"/>
              </w:rPr>
              <w:t>www.streetevents.com</w:t>
            </w:r>
          </w:p>
        </w:tc>
        <w:tc>
          <w:tcPr>
            <w:tcW w:w="2180" w:type="dxa"/>
            <w:vAlign w:val="bottom"/>
            <w:tcBorders>
              <w:top w:val="single" w:sz="8" w:color="003399"/>
              <w:right w:val="single" w:sz="8" w:color="003399"/>
            </w:tcBorders>
          </w:tcPr>
          <w:p>
            <w:pPr>
              <w:spacing w:after="0"/>
              <w:rPr>
                <w:sz w:val="24"/>
                <w:szCs w:val="24"/>
                <w:color w:val="auto"/>
              </w:rPr>
            </w:pPr>
          </w:p>
        </w:tc>
        <w:tc>
          <w:tcPr>
            <w:tcW w:w="2580" w:type="dxa"/>
            <w:vAlign w:val="bottom"/>
            <w:tcBorders>
              <w:top w:val="single" w:sz="8" w:color="003399"/>
              <w:right w:val="single" w:sz="8" w:color="003399"/>
            </w:tcBorders>
          </w:tcPr>
          <w:p>
            <w:pPr>
              <w:ind w:left="980"/>
              <w:spacing w:after="0"/>
              <w:rPr>
                <w:sz w:val="20"/>
                <w:szCs w:val="20"/>
                <w:color w:val="auto"/>
              </w:rPr>
            </w:pPr>
            <w:r>
              <w:rPr>
                <w:rFonts w:ascii="Arial" w:cs="Arial" w:eastAsia="Arial" w:hAnsi="Arial"/>
                <w:sz w:val="14"/>
                <w:szCs w:val="14"/>
                <w:color w:val="003399"/>
              </w:rPr>
              <w:t>Contact Us</w:t>
            </w:r>
          </w:p>
        </w:tc>
        <w:tc>
          <w:tcPr>
            <w:tcW w:w="720" w:type="dxa"/>
            <w:vAlign w:val="bottom"/>
            <w:tcBorders>
              <w:top w:val="single" w:sz="8" w:color="003399"/>
              <w:bottom w:val="single" w:sz="8" w:color="6B9915"/>
              <w:right w:val="single" w:sz="8" w:color="003399"/>
            </w:tcBorders>
            <w:shd w:val="clear" w:color="auto" w:fill="6B9915"/>
          </w:tcPr>
          <w:p>
            <w:pPr>
              <w:jc w:val="right"/>
              <w:ind w:right="192"/>
              <w:spacing w:after="0"/>
              <w:rPr>
                <w:sz w:val="20"/>
                <w:szCs w:val="20"/>
                <w:color w:val="auto"/>
              </w:rPr>
            </w:pPr>
            <w:r>
              <w:rPr>
                <w:rFonts w:ascii="Arial" w:cs="Arial" w:eastAsia="Arial" w:hAnsi="Arial"/>
                <w:sz w:val="18"/>
                <w:szCs w:val="18"/>
                <w:color w:val="FFFFFF"/>
              </w:rPr>
              <w:t>10</w:t>
            </w:r>
          </w:p>
        </w:tc>
      </w:tr>
      <w:tr>
        <w:trPr>
          <w:trHeight w:val="20"/>
        </w:trPr>
        <w:tc>
          <w:tcPr>
            <w:tcW w:w="3160" w:type="dxa"/>
            <w:vAlign w:val="bottom"/>
            <w:shd w:val="clear" w:color="auto" w:fill="003399"/>
          </w:tcPr>
          <w:p>
            <w:pPr>
              <w:spacing w:after="0" w:line="20" w:lineRule="exact"/>
              <w:rPr>
                <w:sz w:val="1"/>
                <w:szCs w:val="1"/>
                <w:color w:val="auto"/>
              </w:rPr>
            </w:pPr>
          </w:p>
        </w:tc>
        <w:tc>
          <w:tcPr>
            <w:tcW w:w="2780" w:type="dxa"/>
            <w:vAlign w:val="bottom"/>
            <w:tcBorders>
              <w:right w:val="single" w:sz="8" w:color="003399"/>
            </w:tcBorders>
            <w:shd w:val="clear" w:color="auto" w:fill="003399"/>
          </w:tcPr>
          <w:p>
            <w:pPr>
              <w:spacing w:after="0" w:line="20" w:lineRule="exact"/>
              <w:rPr>
                <w:sz w:val="1"/>
                <w:szCs w:val="1"/>
                <w:color w:val="auto"/>
              </w:rPr>
            </w:pPr>
          </w:p>
        </w:tc>
        <w:tc>
          <w:tcPr>
            <w:tcW w:w="2180" w:type="dxa"/>
            <w:vAlign w:val="bottom"/>
            <w:tcBorders>
              <w:right w:val="single" w:sz="8" w:color="003399"/>
            </w:tcBorders>
            <w:shd w:val="clear" w:color="auto" w:fill="003399"/>
          </w:tcPr>
          <w:p>
            <w:pPr>
              <w:spacing w:after="0" w:line="20" w:lineRule="exact"/>
              <w:rPr>
                <w:sz w:val="1"/>
                <w:szCs w:val="1"/>
                <w:color w:val="auto"/>
              </w:rPr>
            </w:pPr>
          </w:p>
        </w:tc>
        <w:tc>
          <w:tcPr>
            <w:tcW w:w="2580" w:type="dxa"/>
            <w:vAlign w:val="bottom"/>
            <w:tcBorders>
              <w:right w:val="single" w:sz="8" w:color="003399"/>
            </w:tcBorders>
            <w:shd w:val="clear" w:color="auto" w:fill="003399"/>
          </w:tcPr>
          <w:p>
            <w:pPr>
              <w:spacing w:after="0" w:line="20" w:lineRule="exact"/>
              <w:rPr>
                <w:sz w:val="1"/>
                <w:szCs w:val="1"/>
                <w:color w:val="auto"/>
              </w:rPr>
            </w:pPr>
          </w:p>
        </w:tc>
        <w:tc>
          <w:tcPr>
            <w:tcW w:w="720" w:type="dxa"/>
            <w:vAlign w:val="bottom"/>
            <w:tcBorders>
              <w:right w:val="single" w:sz="8" w:color="003399"/>
            </w:tcBorders>
            <w:shd w:val="clear" w:color="auto" w:fill="003399"/>
          </w:tcPr>
          <w:p>
            <w:pPr>
              <w:spacing w:after="0" w:line="20" w:lineRule="exact"/>
              <w:rPr>
                <w:sz w:val="1"/>
                <w:szCs w:val="1"/>
                <w:color w:val="auto"/>
              </w:rPr>
            </w:pPr>
          </w:p>
        </w:tc>
      </w:tr>
    </w:tbl>
    <w:p>
      <w:pPr>
        <w:spacing w:after="0" w:line="30" w:lineRule="exact"/>
        <w:rPr>
          <w:sz w:val="20"/>
          <w:szCs w:val="20"/>
          <w:color w:val="auto"/>
        </w:rPr>
      </w:pPr>
    </w:p>
    <w:p>
      <w:pPr>
        <w:spacing w:after="0"/>
        <w:rPr>
          <w:sz w:val="20"/>
          <w:szCs w:val="20"/>
          <w:color w:val="auto"/>
        </w:rPr>
      </w:pPr>
      <w:r>
        <w:rPr>
          <w:rFonts w:ascii="Arial" w:cs="Arial" w:eastAsia="Arial" w:hAnsi="Arial"/>
          <w:sz w:val="12"/>
          <w:szCs w:val="12"/>
          <w:color w:val="auto"/>
        </w:rPr>
        <w:t>© 2007 Thomson Financial. Republished with permission. No part of this publication may be reproduced or transmitted in any form or by any means without the prior written consent of Thomson Financial.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328930</wp:posOffset>
            </wp:positionV>
            <wp:extent cx="7250430" cy="298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9640"/>
        <w:spacing w:after="0"/>
        <w:rPr>
          <w:sz w:val="20"/>
          <w:szCs w:val="20"/>
          <w:color w:val="auto"/>
        </w:rPr>
      </w:pPr>
      <w:r>
        <w:rPr>
          <w:rFonts w:ascii="Arial" w:cs="Arial" w:eastAsia="Arial" w:hAnsi="Arial"/>
          <w:sz w:val="18"/>
          <w:szCs w:val="18"/>
          <w:b w:val="1"/>
          <w:bCs w:val="1"/>
          <w:color w:val="003399"/>
        </w:rPr>
        <w:t>FINAL TRANSCRIPT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22288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46620" cy="222885"/>
                    </a:xfrm>
                    <a:prstGeom prst="rect">
                      <a:avLst/>
                    </a:prstGeom>
                    <a:noFill/>
                  </pic:spPr>
                </pic:pic>
              </a:graphicData>
            </a:graphic>
          </wp:anchor>
        </w:drawing>
      </w:r>
    </w:p>
    <w:p>
      <w:pPr>
        <w:spacing w:after="0" w:line="4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003399"/>
        </w:rPr>
        <w:t>Dec. 20. 2007 / 10:00AM ET, WGO - Q1 2008 Winnebago Earnings Conference Call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375285</wp:posOffset>
            </wp:positionV>
            <wp:extent cx="724662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Bob Olson </w:t>
      </w:r>
      <w:r>
        <w:rPr>
          <w:rFonts w:ascii="Arial" w:cs="Arial" w:eastAsia="Arial" w:hAnsi="Arial"/>
          <w:sz w:val="18"/>
          <w:szCs w:val="18"/>
          <w:b w:val="1"/>
          <w:bCs w:val="1"/>
          <w:i w:val="1"/>
          <w:iCs w:val="1"/>
          <w:color w:val="auto"/>
        </w:rPr>
        <w:t>- Winnebago Industries - President</w:t>
      </w:r>
    </w:p>
    <w:p>
      <w:pPr>
        <w:spacing w:after="0" w:line="31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Craig, this is Bob. I think in a normal year your assumption is correct. This isn't a normal year. I don't know. I look at all the indicators out there, and I think the dealers are going to be very conservative yet. I know there was an article out by RV Business Today that talked about some of the comments that the dealers showing. I think just about every one of them talked about being more responsible shoppers, and kind of like their retail customers are. And I personally think that you're going to see the possibility that you could see the dealer inventory staying flat going into a more robust spring. I just think they are ultraconservative right now from the standpoint of wanting to stock extra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173355</wp:posOffset>
            </wp:positionV>
            <wp:extent cx="724662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Craig Kennison </w:t>
      </w:r>
      <w:r>
        <w:rPr>
          <w:rFonts w:ascii="Arial" w:cs="Arial" w:eastAsia="Arial" w:hAnsi="Arial"/>
          <w:sz w:val="18"/>
          <w:szCs w:val="18"/>
          <w:b w:val="1"/>
          <w:bCs w:val="1"/>
          <w:i w:val="1"/>
          <w:iCs w:val="1"/>
          <w:color w:val="auto"/>
        </w:rPr>
        <w:t>- Robert W. Baird - Analyst</w:t>
      </w:r>
    </w:p>
    <w:p>
      <w:pPr>
        <w:spacing w:after="0" w:line="312" w:lineRule="exact"/>
        <w:rPr>
          <w:sz w:val="20"/>
          <w:szCs w:val="20"/>
          <w:color w:val="auto"/>
        </w:rPr>
      </w:pPr>
    </w:p>
    <w:p>
      <w:pPr>
        <w:spacing w:after="0"/>
        <w:rPr>
          <w:sz w:val="20"/>
          <w:szCs w:val="20"/>
          <w:color w:val="auto"/>
        </w:rPr>
      </w:pPr>
      <w:r>
        <w:rPr>
          <w:rFonts w:ascii="Arial" w:cs="Arial" w:eastAsia="Arial" w:hAnsi="Arial"/>
          <w:sz w:val="16"/>
          <w:szCs w:val="16"/>
          <w:color w:val="auto"/>
        </w:rPr>
        <w:t>And then that final question, just going after that backlog question again, the backlog was up 5% in units. Would it have been down absent the Louisville orders?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Bruce Hertzke </w:t>
      </w:r>
      <w:r>
        <w:rPr>
          <w:rFonts w:ascii="Arial" w:cs="Arial" w:eastAsia="Arial" w:hAnsi="Arial"/>
          <w:sz w:val="18"/>
          <w:szCs w:val="18"/>
          <w:b w:val="1"/>
          <w:bCs w:val="1"/>
          <w:i w:val="1"/>
          <w:iCs w:val="1"/>
          <w:color w:val="auto"/>
        </w:rPr>
        <w:t>- Winnebago Industries - Chairman &amp; CEO</w:t>
      </w:r>
    </w:p>
    <w:p>
      <w:pPr>
        <w:spacing w:after="0" w:line="312" w:lineRule="exact"/>
        <w:rPr>
          <w:sz w:val="20"/>
          <w:szCs w:val="20"/>
          <w:color w:val="auto"/>
        </w:rPr>
      </w:pPr>
    </w:p>
    <w:p>
      <w:pPr>
        <w:spacing w:after="0"/>
        <w:rPr>
          <w:sz w:val="20"/>
          <w:szCs w:val="20"/>
          <w:color w:val="auto"/>
        </w:rPr>
      </w:pPr>
      <w:r>
        <w:rPr>
          <w:rFonts w:ascii="Arial" w:cs="Arial" w:eastAsia="Arial" w:hAnsi="Arial"/>
          <w:sz w:val="18"/>
          <w:szCs w:val="18"/>
          <w:color w:val="auto"/>
        </w:rPr>
        <w:t>What was that question again, Craig?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191135</wp:posOffset>
            </wp:positionV>
            <wp:extent cx="724662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Craig Kennison </w:t>
      </w:r>
      <w:r>
        <w:rPr>
          <w:rFonts w:ascii="Arial" w:cs="Arial" w:eastAsia="Arial" w:hAnsi="Arial"/>
          <w:sz w:val="18"/>
          <w:szCs w:val="18"/>
          <w:b w:val="1"/>
          <w:bCs w:val="1"/>
          <w:i w:val="1"/>
          <w:iCs w:val="1"/>
          <w:color w:val="auto"/>
        </w:rPr>
        <w:t>- Robert W. Baird - Analyst</w:t>
      </w:r>
    </w:p>
    <w:p>
      <w:pPr>
        <w:spacing w:after="0" w:line="312" w:lineRule="exact"/>
        <w:rPr>
          <w:sz w:val="20"/>
          <w:szCs w:val="20"/>
          <w:color w:val="auto"/>
        </w:rPr>
      </w:pPr>
    </w:p>
    <w:p>
      <w:pPr>
        <w:spacing w:after="0"/>
        <w:rPr>
          <w:sz w:val="20"/>
          <w:szCs w:val="20"/>
          <w:color w:val="auto"/>
        </w:rPr>
      </w:pPr>
      <w:r>
        <w:rPr>
          <w:rFonts w:ascii="Arial" w:cs="Arial" w:eastAsia="Arial" w:hAnsi="Arial"/>
          <w:sz w:val="18"/>
          <w:szCs w:val="18"/>
          <w:color w:val="auto"/>
        </w:rPr>
        <w:t>We calculate the backlog being up 5% in units to 1833 units. Would it have been down percentagewise if you didn't have the Louisville orders?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191135</wp:posOffset>
            </wp:positionV>
            <wp:extent cx="724662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Bruce Hertzke </w:t>
      </w:r>
      <w:r>
        <w:rPr>
          <w:rFonts w:ascii="Arial" w:cs="Arial" w:eastAsia="Arial" w:hAnsi="Arial"/>
          <w:sz w:val="18"/>
          <w:szCs w:val="18"/>
          <w:b w:val="1"/>
          <w:bCs w:val="1"/>
          <w:i w:val="1"/>
          <w:iCs w:val="1"/>
          <w:color w:val="auto"/>
        </w:rPr>
        <w:t>- Winnebago Industries - Chairman &amp; CEO</w:t>
      </w:r>
    </w:p>
    <w:p>
      <w:pPr>
        <w:spacing w:after="0" w:line="312"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I think it could have been down some because like I said before, anytime we introduce a new model naturally we get some orders in, and some of the new model orders were in there.</w:t>
      </w:r>
    </w:p>
    <w:p>
      <w:pPr>
        <w:sectPr>
          <w:pgSz w:w="11900" w:h="16838" w:orient="portrait"/>
          <w:cols w:equalWidth="0" w:num="1">
            <w:col w:w="11420"/>
          </w:cols>
          <w:pgMar w:left="240" w:top="131" w:right="239" w:bottom="41"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46620" cy="8890"/>
                    </a:xfrm>
                    <a:prstGeom prst="rect">
                      <a:avLst/>
                    </a:prstGeom>
                    <a:noFill/>
                  </pic:spPr>
                </pic:pic>
              </a:graphicData>
            </a:graphic>
          </wp:anchor>
        </w:drawing>
        <w:t xml:space="preserve">Craig Kennison </w:t>
      </w:r>
      <w:r>
        <w:rPr>
          <w:rFonts w:ascii="Arial" w:cs="Arial" w:eastAsia="Arial" w:hAnsi="Arial"/>
          <w:sz w:val="18"/>
          <w:szCs w:val="18"/>
          <w:b w:val="1"/>
          <w:bCs w:val="1"/>
          <w:i w:val="1"/>
          <w:iCs w:val="1"/>
          <w:color w:val="auto"/>
        </w:rPr>
        <w:t>- Robert W. Baird - Analyst</w:t>
      </w:r>
    </w:p>
    <w:p>
      <w:pPr>
        <w:spacing w:after="0" w:line="312" w:lineRule="exact"/>
        <w:rPr>
          <w:sz w:val="20"/>
          <w:szCs w:val="20"/>
          <w:color w:val="auto"/>
        </w:rPr>
      </w:pPr>
    </w:p>
    <w:p>
      <w:pPr>
        <w:spacing w:after="0"/>
        <w:rPr>
          <w:sz w:val="20"/>
          <w:szCs w:val="20"/>
          <w:color w:val="auto"/>
        </w:rPr>
      </w:pPr>
      <w:r>
        <w:rPr>
          <w:rFonts w:ascii="Arial" w:cs="Arial" w:eastAsia="Arial" w:hAnsi="Arial"/>
          <w:sz w:val="18"/>
          <w:szCs w:val="18"/>
          <w:color w:val="auto"/>
        </w:rPr>
        <w:t>Perfect. Thank you very much.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191135</wp:posOffset>
            </wp:positionV>
            <wp:extent cx="724662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Operator</w:t>
      </w:r>
    </w:p>
    <w:p>
      <w:pPr>
        <w:spacing w:after="0" w:line="312" w:lineRule="exact"/>
        <w:rPr>
          <w:sz w:val="20"/>
          <w:szCs w:val="20"/>
          <w:color w:val="auto"/>
        </w:rPr>
      </w:pPr>
    </w:p>
    <w:p>
      <w:pPr>
        <w:spacing w:after="0"/>
        <w:rPr>
          <w:sz w:val="20"/>
          <w:szCs w:val="20"/>
          <w:color w:val="auto"/>
        </w:rPr>
      </w:pPr>
      <w:r>
        <w:rPr>
          <w:rFonts w:ascii="Arial" w:cs="Arial" w:eastAsia="Arial" w:hAnsi="Arial"/>
          <w:sz w:val="18"/>
          <w:szCs w:val="18"/>
          <w:color w:val="auto"/>
        </w:rPr>
        <w:t>David Wells, Avondale Partners.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191135</wp:posOffset>
            </wp:positionV>
            <wp:extent cx="724662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David Wells </w:t>
      </w:r>
      <w:r>
        <w:rPr>
          <w:rFonts w:ascii="Arial" w:cs="Arial" w:eastAsia="Arial" w:hAnsi="Arial"/>
          <w:sz w:val="18"/>
          <w:szCs w:val="18"/>
          <w:b w:val="1"/>
          <w:bCs w:val="1"/>
          <w:i w:val="1"/>
          <w:iCs w:val="1"/>
          <w:color w:val="auto"/>
        </w:rPr>
        <w:t>- Avondale Partners - Analyst</w:t>
      </w:r>
    </w:p>
    <w:p>
      <w:pPr>
        <w:spacing w:after="0" w:line="312" w:lineRule="exact"/>
        <w:rPr>
          <w:sz w:val="20"/>
          <w:szCs w:val="20"/>
          <w:color w:val="auto"/>
        </w:rPr>
      </w:pPr>
    </w:p>
    <w:p>
      <w:pPr>
        <w:spacing w:after="0"/>
        <w:rPr>
          <w:sz w:val="20"/>
          <w:szCs w:val="20"/>
          <w:color w:val="auto"/>
        </w:rPr>
      </w:pPr>
      <w:r>
        <w:rPr>
          <w:rFonts w:ascii="Arial" w:cs="Arial" w:eastAsia="Arial" w:hAnsi="Arial"/>
          <w:sz w:val="16"/>
          <w:szCs w:val="16"/>
          <w:color w:val="auto"/>
        </w:rPr>
        <w:t>Good morning, everyone. Just a couple of quick questions. First off, did the timing shift for the dealer day's event impact the backlog comparisons at 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Sarah Nielsen </w:t>
      </w:r>
      <w:r>
        <w:rPr>
          <w:rFonts w:ascii="Arial" w:cs="Arial" w:eastAsia="Arial" w:hAnsi="Arial"/>
          <w:sz w:val="18"/>
          <w:szCs w:val="18"/>
          <w:b w:val="1"/>
          <w:bCs w:val="1"/>
          <w:i w:val="1"/>
          <w:iCs w:val="1"/>
          <w:color w:val="auto"/>
        </w:rPr>
        <w:t>- Winnebago Industries - VP &amp; CFO</w:t>
      </w:r>
    </w:p>
    <w:p>
      <w:pPr>
        <w:spacing w:after="0" w:line="31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dealer day's event was this past May. The Louisville event did have an impact because it crossed quarters in relation to paying for the actual event because we were there in the end of our first quarter. And you have an uncomparable backlog metric because last year that event happened in our second quarter, and there were no orders in the backlog associated with the Louisville event.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724662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David Wells </w:t>
      </w:r>
      <w:r>
        <w:rPr>
          <w:rFonts w:ascii="Arial" w:cs="Arial" w:eastAsia="Arial" w:hAnsi="Arial"/>
          <w:sz w:val="18"/>
          <w:szCs w:val="18"/>
          <w:b w:val="1"/>
          <w:bCs w:val="1"/>
          <w:i w:val="1"/>
          <w:iCs w:val="1"/>
          <w:color w:val="auto"/>
        </w:rPr>
        <w:t>- Avondale Partners - Analyst</w:t>
      </w:r>
    </w:p>
    <w:p>
      <w:pPr>
        <w:spacing w:after="0" w:line="31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Okay, great. Thanks. And then just as the orders from Louisville are trickling in, perhaps you could give us some color on kind of what those are trending like versus last year. Are you seeing similar order rates to last year or perhaps are things improving or getting worse?</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304"/>
        </w:trPr>
        <w:tc>
          <w:tcPr>
            <w:tcW w:w="3160" w:type="dxa"/>
            <w:vAlign w:val="bottom"/>
            <w:tcBorders>
              <w:top w:val="single" w:sz="8" w:color="003399"/>
              <w:bottom w:val="single" w:sz="8" w:color="003399"/>
            </w:tcBorders>
            <w:shd w:val="clear" w:color="auto" w:fill="003399"/>
          </w:tcPr>
          <w:p>
            <w:pPr>
              <w:ind w:left="740"/>
              <w:spacing w:after="0"/>
              <w:rPr>
                <w:sz w:val="20"/>
                <w:szCs w:val="20"/>
                <w:color w:val="auto"/>
              </w:rPr>
            </w:pPr>
            <w:r>
              <w:rPr>
                <w:rFonts w:ascii="Arial" w:cs="Arial" w:eastAsia="Arial" w:hAnsi="Arial"/>
                <w:sz w:val="18"/>
                <w:szCs w:val="18"/>
                <w:b w:val="1"/>
                <w:bCs w:val="1"/>
                <w:color w:val="FFFFFF"/>
              </w:rPr>
              <w:t>Thomson StreetEvents</w:t>
            </w:r>
          </w:p>
        </w:tc>
        <w:tc>
          <w:tcPr>
            <w:tcW w:w="2780" w:type="dxa"/>
            <w:vAlign w:val="bottom"/>
            <w:tcBorders>
              <w:top w:val="single" w:sz="8" w:color="003399"/>
              <w:right w:val="single" w:sz="8" w:color="003399"/>
            </w:tcBorders>
          </w:tcPr>
          <w:p>
            <w:pPr>
              <w:ind w:left="780"/>
              <w:spacing w:after="0"/>
              <w:rPr>
                <w:sz w:val="20"/>
                <w:szCs w:val="20"/>
                <w:color w:val="auto"/>
              </w:rPr>
            </w:pPr>
            <w:r>
              <w:rPr>
                <w:rFonts w:ascii="Arial" w:cs="Arial" w:eastAsia="Arial" w:hAnsi="Arial"/>
                <w:sz w:val="14"/>
                <w:szCs w:val="14"/>
                <w:color w:val="003399"/>
              </w:rPr>
              <w:t>www.streetevents.com</w:t>
            </w:r>
          </w:p>
        </w:tc>
        <w:tc>
          <w:tcPr>
            <w:tcW w:w="2180" w:type="dxa"/>
            <w:vAlign w:val="bottom"/>
            <w:tcBorders>
              <w:top w:val="single" w:sz="8" w:color="003399"/>
              <w:right w:val="single" w:sz="8" w:color="003399"/>
            </w:tcBorders>
          </w:tcPr>
          <w:p>
            <w:pPr>
              <w:spacing w:after="0"/>
              <w:rPr>
                <w:sz w:val="24"/>
                <w:szCs w:val="24"/>
                <w:color w:val="auto"/>
              </w:rPr>
            </w:pPr>
          </w:p>
        </w:tc>
        <w:tc>
          <w:tcPr>
            <w:tcW w:w="2580" w:type="dxa"/>
            <w:vAlign w:val="bottom"/>
            <w:tcBorders>
              <w:top w:val="single" w:sz="8" w:color="003399"/>
              <w:right w:val="single" w:sz="8" w:color="003399"/>
            </w:tcBorders>
          </w:tcPr>
          <w:p>
            <w:pPr>
              <w:ind w:left="980"/>
              <w:spacing w:after="0"/>
              <w:rPr>
                <w:sz w:val="20"/>
                <w:szCs w:val="20"/>
                <w:color w:val="auto"/>
              </w:rPr>
            </w:pPr>
            <w:r>
              <w:rPr>
                <w:rFonts w:ascii="Arial" w:cs="Arial" w:eastAsia="Arial" w:hAnsi="Arial"/>
                <w:sz w:val="14"/>
                <w:szCs w:val="14"/>
                <w:color w:val="003399"/>
              </w:rPr>
              <w:t>Contact Us</w:t>
            </w:r>
          </w:p>
        </w:tc>
        <w:tc>
          <w:tcPr>
            <w:tcW w:w="720" w:type="dxa"/>
            <w:vAlign w:val="bottom"/>
            <w:tcBorders>
              <w:top w:val="single" w:sz="8" w:color="003399"/>
              <w:bottom w:val="single" w:sz="8" w:color="6B9915"/>
              <w:right w:val="single" w:sz="8" w:color="003399"/>
            </w:tcBorders>
            <w:shd w:val="clear" w:color="auto" w:fill="6B9915"/>
          </w:tcPr>
          <w:p>
            <w:pPr>
              <w:jc w:val="right"/>
              <w:ind w:right="192"/>
              <w:spacing w:after="0"/>
              <w:rPr>
                <w:sz w:val="20"/>
                <w:szCs w:val="20"/>
                <w:color w:val="auto"/>
              </w:rPr>
            </w:pPr>
            <w:r>
              <w:rPr>
                <w:rFonts w:ascii="Arial" w:cs="Arial" w:eastAsia="Arial" w:hAnsi="Arial"/>
                <w:sz w:val="18"/>
                <w:szCs w:val="18"/>
                <w:color w:val="FFFFFF"/>
              </w:rPr>
              <w:t>11</w:t>
            </w:r>
          </w:p>
        </w:tc>
      </w:tr>
      <w:tr>
        <w:trPr>
          <w:trHeight w:val="20"/>
        </w:trPr>
        <w:tc>
          <w:tcPr>
            <w:tcW w:w="3160" w:type="dxa"/>
            <w:vAlign w:val="bottom"/>
            <w:shd w:val="clear" w:color="auto" w:fill="003399"/>
          </w:tcPr>
          <w:p>
            <w:pPr>
              <w:spacing w:after="0" w:line="20" w:lineRule="exact"/>
              <w:rPr>
                <w:sz w:val="1"/>
                <w:szCs w:val="1"/>
                <w:color w:val="auto"/>
              </w:rPr>
            </w:pPr>
          </w:p>
        </w:tc>
        <w:tc>
          <w:tcPr>
            <w:tcW w:w="2780" w:type="dxa"/>
            <w:vAlign w:val="bottom"/>
            <w:tcBorders>
              <w:right w:val="single" w:sz="8" w:color="003399"/>
            </w:tcBorders>
            <w:shd w:val="clear" w:color="auto" w:fill="003399"/>
          </w:tcPr>
          <w:p>
            <w:pPr>
              <w:spacing w:after="0" w:line="20" w:lineRule="exact"/>
              <w:rPr>
                <w:sz w:val="1"/>
                <w:szCs w:val="1"/>
                <w:color w:val="auto"/>
              </w:rPr>
            </w:pPr>
          </w:p>
        </w:tc>
        <w:tc>
          <w:tcPr>
            <w:tcW w:w="2180" w:type="dxa"/>
            <w:vAlign w:val="bottom"/>
            <w:tcBorders>
              <w:right w:val="single" w:sz="8" w:color="003399"/>
            </w:tcBorders>
            <w:shd w:val="clear" w:color="auto" w:fill="003399"/>
          </w:tcPr>
          <w:p>
            <w:pPr>
              <w:spacing w:after="0" w:line="20" w:lineRule="exact"/>
              <w:rPr>
                <w:sz w:val="1"/>
                <w:szCs w:val="1"/>
                <w:color w:val="auto"/>
              </w:rPr>
            </w:pPr>
          </w:p>
        </w:tc>
        <w:tc>
          <w:tcPr>
            <w:tcW w:w="2580" w:type="dxa"/>
            <w:vAlign w:val="bottom"/>
            <w:tcBorders>
              <w:right w:val="single" w:sz="8" w:color="003399"/>
            </w:tcBorders>
            <w:shd w:val="clear" w:color="auto" w:fill="003399"/>
          </w:tcPr>
          <w:p>
            <w:pPr>
              <w:spacing w:after="0" w:line="20" w:lineRule="exact"/>
              <w:rPr>
                <w:sz w:val="1"/>
                <w:szCs w:val="1"/>
                <w:color w:val="auto"/>
              </w:rPr>
            </w:pPr>
          </w:p>
        </w:tc>
        <w:tc>
          <w:tcPr>
            <w:tcW w:w="720" w:type="dxa"/>
            <w:vAlign w:val="bottom"/>
            <w:tcBorders>
              <w:right w:val="single" w:sz="8" w:color="003399"/>
            </w:tcBorders>
            <w:shd w:val="clear" w:color="auto" w:fill="003399"/>
          </w:tcPr>
          <w:p>
            <w:pPr>
              <w:spacing w:after="0" w:line="20" w:lineRule="exact"/>
              <w:rPr>
                <w:sz w:val="1"/>
                <w:szCs w:val="1"/>
                <w:color w:val="auto"/>
              </w:rPr>
            </w:pPr>
          </w:p>
        </w:tc>
      </w:tr>
    </w:tbl>
    <w:p>
      <w:pPr>
        <w:spacing w:after="0" w:line="16" w:lineRule="exact"/>
        <w:rPr>
          <w:sz w:val="20"/>
          <w:szCs w:val="20"/>
          <w:color w:val="auto"/>
        </w:rPr>
      </w:pPr>
    </w:p>
    <w:p>
      <w:pPr>
        <w:spacing w:after="0"/>
        <w:rPr>
          <w:sz w:val="20"/>
          <w:szCs w:val="20"/>
          <w:color w:val="auto"/>
        </w:rPr>
      </w:pPr>
      <w:r>
        <w:rPr>
          <w:rFonts w:ascii="Arial" w:cs="Arial" w:eastAsia="Arial" w:hAnsi="Arial"/>
          <w:sz w:val="12"/>
          <w:szCs w:val="12"/>
          <w:color w:val="auto"/>
        </w:rPr>
        <w:t>© 2007 Thomson Financial. Republished with permission. No part of this publication may be reproduced or transmitted in any form or by any means without the prior written consent of Thomson Financial.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328930</wp:posOffset>
            </wp:positionV>
            <wp:extent cx="7250430" cy="298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003399"/>
        </w:rPr>
        <w:t>FINAL TRANSCRIPT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22288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46620" cy="222885"/>
                    </a:xfrm>
                    <a:prstGeom prst="rect">
                      <a:avLst/>
                    </a:prstGeom>
                    <a:noFill/>
                  </pic:spPr>
                </pic:pic>
              </a:graphicData>
            </a:graphic>
          </wp:anchor>
        </w:drawing>
      </w:r>
    </w:p>
    <w:p>
      <w:pPr>
        <w:spacing w:after="0" w:line="4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003399"/>
        </w:rPr>
        <w:t>Dec. 20. 2007 / 10:00AM ET, WGO - Q1 2008 Winnebago Earnings Conference Call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383540</wp:posOffset>
            </wp:positionV>
            <wp:extent cx="724662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Bob Olson </w:t>
      </w:r>
      <w:r>
        <w:rPr>
          <w:rFonts w:ascii="Arial" w:cs="Arial" w:eastAsia="Arial" w:hAnsi="Arial"/>
          <w:sz w:val="18"/>
          <w:szCs w:val="18"/>
          <w:b w:val="1"/>
          <w:bCs w:val="1"/>
          <w:i w:val="1"/>
          <w:iCs w:val="1"/>
          <w:color w:val="auto"/>
        </w:rPr>
        <w:t>- Winnebago Industries - President</w:t>
      </w:r>
    </w:p>
    <w:p>
      <w:pPr>
        <w:spacing w:after="0" w:line="29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 would say right now that they are not as good as last year, but they are not terrible either. I think overall we had a fairly decent show. And when you take the fact in there that we got a new productline that we aren't even taking orders for yet or wouldn't be part of that Louisville, I think we've got a possibility of being relatively flat.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24662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David Wells </w:t>
      </w:r>
      <w:r>
        <w:rPr>
          <w:rFonts w:ascii="Arial" w:cs="Arial" w:eastAsia="Arial" w:hAnsi="Arial"/>
          <w:sz w:val="18"/>
          <w:szCs w:val="18"/>
          <w:b w:val="1"/>
          <w:bCs w:val="1"/>
          <w:i w:val="1"/>
          <w:iCs w:val="1"/>
          <w:color w:val="auto"/>
        </w:rPr>
        <w:t>- Avondale Partners - Analyst</w:t>
      </w: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color w:val="auto"/>
        </w:rPr>
        <w:t>Thank you very much.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200025</wp:posOffset>
            </wp:positionV>
            <wp:extent cx="724662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Operator</w:t>
      </w: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color w:val="auto"/>
        </w:rPr>
        <w:t>[Paul Burton], RBC Capital Markets.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200025</wp:posOffset>
            </wp:positionV>
            <wp:extent cx="724662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Paul Burton </w:t>
      </w:r>
      <w:r>
        <w:rPr>
          <w:rFonts w:ascii="Arial" w:cs="Arial" w:eastAsia="Arial" w:hAnsi="Arial"/>
          <w:sz w:val="18"/>
          <w:szCs w:val="18"/>
          <w:b w:val="1"/>
          <w:bCs w:val="1"/>
          <w:i w:val="1"/>
          <w:iCs w:val="1"/>
          <w:color w:val="auto"/>
        </w:rPr>
        <w:t>- RBC Capital Markets - Analyst</w:t>
      </w:r>
    </w:p>
    <w:p>
      <w:pPr>
        <w:spacing w:after="0" w:line="299"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Just wondered if you guys could give us a little color on financing that is going on out there, what you're hearing from dealers, from the banks, on the customer side.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174625</wp:posOffset>
            </wp:positionV>
            <wp:extent cx="724662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Sarah Nielsen </w:t>
      </w:r>
      <w:r>
        <w:rPr>
          <w:rFonts w:ascii="Arial" w:cs="Arial" w:eastAsia="Arial" w:hAnsi="Arial"/>
          <w:sz w:val="18"/>
          <w:szCs w:val="18"/>
          <w:b w:val="1"/>
          <w:bCs w:val="1"/>
          <w:i w:val="1"/>
          <w:iCs w:val="1"/>
          <w:color w:val="auto"/>
        </w:rPr>
        <w:t>- Winnebago Industries - VP &amp; CFO</w:t>
      </w:r>
    </w:p>
    <w:p>
      <w:pPr>
        <w:spacing w:after="0" w:line="29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relation to the whole credit market and what is going on, I mean the marketplace we definitely had, continue discussions with the lenders in this space to understand what is happening since our company doesn't participate in any direct financing. On the consumer side RV loans have historically enjoyed a very, very low delinquency rate, under 1%. They have indicated there has been a slight uptick in the delinquencies but we still are at under 1%. And it is much more favorable than a typical consumer loan. I think there is tightening on the side of the credit availability, but that doesn't necessarily reach the motorhome consumer because our typical customer is 55 years old, very, very strong in relation to their FICO score and their creditworthiness. But I think there is some tightening going on and a little bit of an uptick on the delinquencies.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182880</wp:posOffset>
            </wp:positionV>
            <wp:extent cx="724662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Paul Burton </w:t>
      </w:r>
      <w:r>
        <w:rPr>
          <w:rFonts w:ascii="Arial" w:cs="Arial" w:eastAsia="Arial" w:hAnsi="Arial"/>
          <w:sz w:val="18"/>
          <w:szCs w:val="18"/>
          <w:b w:val="1"/>
          <w:bCs w:val="1"/>
          <w:i w:val="1"/>
          <w:iCs w:val="1"/>
          <w:color w:val="auto"/>
        </w:rPr>
        <w:t>- RBC Capital Markets - Analyst</w:t>
      </w: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color w:val="auto"/>
        </w:rPr>
        <w:t>Okay, thanks very much.</w:t>
      </w:r>
    </w:p>
    <w:p>
      <w:pPr>
        <w:sectPr>
          <w:pgSz w:w="11900" w:h="16838" w:orient="portrait"/>
          <w:cols w:equalWidth="0" w:num="1">
            <w:col w:w="11420"/>
          </w:cols>
          <w:pgMar w:left="240" w:top="166" w:right="239" w:bottom="121"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46620" cy="8890"/>
                    </a:xfrm>
                    <a:prstGeom prst="rect">
                      <a:avLst/>
                    </a:prstGeom>
                    <a:noFill/>
                  </pic:spPr>
                </pic:pic>
              </a:graphicData>
            </a:graphic>
          </wp:anchor>
        </w:drawing>
        <w:t>Operator</w:t>
      </w:r>
    </w:p>
    <w:p>
      <w:pPr>
        <w:spacing w:after="0" w:line="312" w:lineRule="exact"/>
        <w:rPr>
          <w:sz w:val="20"/>
          <w:szCs w:val="20"/>
          <w:color w:val="auto"/>
        </w:rPr>
      </w:pPr>
    </w:p>
    <w:p>
      <w:pPr>
        <w:spacing w:after="0"/>
        <w:rPr>
          <w:sz w:val="20"/>
          <w:szCs w:val="20"/>
          <w:color w:val="auto"/>
        </w:rPr>
      </w:pPr>
      <w:r>
        <w:rPr>
          <w:rFonts w:ascii="Arial" w:cs="Arial" w:eastAsia="Arial" w:hAnsi="Arial"/>
          <w:sz w:val="18"/>
          <w:szCs w:val="18"/>
          <w:color w:val="auto"/>
        </w:rPr>
        <w:t>Barry Vogel, Barry Vogel and Associates.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191135</wp:posOffset>
            </wp:positionV>
            <wp:extent cx="724662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Barry Vogel </w:t>
      </w:r>
      <w:r>
        <w:rPr>
          <w:rFonts w:ascii="Arial" w:cs="Arial" w:eastAsia="Arial" w:hAnsi="Arial"/>
          <w:sz w:val="18"/>
          <w:szCs w:val="18"/>
          <w:b w:val="1"/>
          <w:bCs w:val="1"/>
          <w:i w:val="1"/>
          <w:iCs w:val="1"/>
          <w:color w:val="auto"/>
        </w:rPr>
        <w:t>- Barry Vogel &amp; Associates - Analyst</w:t>
      </w:r>
    </w:p>
    <w:p>
      <w:pPr>
        <w:spacing w:after="0" w:line="31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Good morning, ladies and gentlemen. First I have a question for Sarah. Can you give me an inventory number that you as CFO would feel comfortable with at the end of the third quarter in relationship to overall economic conditions?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166370</wp:posOffset>
            </wp:positionV>
            <wp:extent cx="724662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Sarah Nielsen </w:t>
      </w:r>
      <w:r>
        <w:rPr>
          <w:rFonts w:ascii="Arial" w:cs="Arial" w:eastAsia="Arial" w:hAnsi="Arial"/>
          <w:sz w:val="18"/>
          <w:szCs w:val="18"/>
          <w:b w:val="1"/>
          <w:bCs w:val="1"/>
          <w:i w:val="1"/>
          <w:iCs w:val="1"/>
          <w:color w:val="auto"/>
        </w:rPr>
        <w:t>- Winnebago Industries - VP &amp; CFO</w:t>
      </w:r>
    </w:p>
    <w:p>
      <w:pPr>
        <w:spacing w:after="0" w:line="312"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As I mentioned earlier in the call, it is going to take into our third quarter to work down on these additional chassis units that we do have on hand. But we think that $100 million range is a comfortable level and by the end of the third quarter we think that is possible. And $90 to $100 million would be ideal even to be lower potentially by the end of the fiscal year, but we don't see that that will happen by the end of our second quarter.</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304"/>
        </w:trPr>
        <w:tc>
          <w:tcPr>
            <w:tcW w:w="3160" w:type="dxa"/>
            <w:vAlign w:val="bottom"/>
            <w:tcBorders>
              <w:top w:val="single" w:sz="8" w:color="003399"/>
              <w:bottom w:val="single" w:sz="8" w:color="003399"/>
            </w:tcBorders>
            <w:shd w:val="clear" w:color="auto" w:fill="003399"/>
          </w:tcPr>
          <w:p>
            <w:pPr>
              <w:ind w:left="740"/>
              <w:spacing w:after="0"/>
              <w:rPr>
                <w:sz w:val="20"/>
                <w:szCs w:val="20"/>
                <w:color w:val="auto"/>
              </w:rPr>
            </w:pPr>
            <w:r>
              <w:rPr>
                <w:rFonts w:ascii="Arial" w:cs="Arial" w:eastAsia="Arial" w:hAnsi="Arial"/>
                <w:sz w:val="18"/>
                <w:szCs w:val="18"/>
                <w:b w:val="1"/>
                <w:bCs w:val="1"/>
                <w:color w:val="FFFFFF"/>
              </w:rPr>
              <w:t>Thomson StreetEvents</w:t>
            </w:r>
          </w:p>
        </w:tc>
        <w:tc>
          <w:tcPr>
            <w:tcW w:w="2780" w:type="dxa"/>
            <w:vAlign w:val="bottom"/>
            <w:tcBorders>
              <w:top w:val="single" w:sz="8" w:color="003399"/>
              <w:right w:val="single" w:sz="8" w:color="003399"/>
            </w:tcBorders>
          </w:tcPr>
          <w:p>
            <w:pPr>
              <w:ind w:left="780"/>
              <w:spacing w:after="0"/>
              <w:rPr>
                <w:sz w:val="20"/>
                <w:szCs w:val="20"/>
                <w:color w:val="auto"/>
              </w:rPr>
            </w:pPr>
            <w:r>
              <w:rPr>
                <w:rFonts w:ascii="Arial" w:cs="Arial" w:eastAsia="Arial" w:hAnsi="Arial"/>
                <w:sz w:val="14"/>
                <w:szCs w:val="14"/>
                <w:color w:val="003399"/>
              </w:rPr>
              <w:t>www.streetevents.com</w:t>
            </w:r>
          </w:p>
        </w:tc>
        <w:tc>
          <w:tcPr>
            <w:tcW w:w="2180" w:type="dxa"/>
            <w:vAlign w:val="bottom"/>
            <w:tcBorders>
              <w:top w:val="single" w:sz="8" w:color="003399"/>
              <w:right w:val="single" w:sz="8" w:color="003399"/>
            </w:tcBorders>
          </w:tcPr>
          <w:p>
            <w:pPr>
              <w:spacing w:after="0"/>
              <w:rPr>
                <w:sz w:val="24"/>
                <w:szCs w:val="24"/>
                <w:color w:val="auto"/>
              </w:rPr>
            </w:pPr>
          </w:p>
        </w:tc>
        <w:tc>
          <w:tcPr>
            <w:tcW w:w="2580" w:type="dxa"/>
            <w:vAlign w:val="bottom"/>
            <w:tcBorders>
              <w:top w:val="single" w:sz="8" w:color="003399"/>
              <w:right w:val="single" w:sz="8" w:color="003399"/>
            </w:tcBorders>
          </w:tcPr>
          <w:p>
            <w:pPr>
              <w:ind w:left="980"/>
              <w:spacing w:after="0"/>
              <w:rPr>
                <w:sz w:val="20"/>
                <w:szCs w:val="20"/>
                <w:color w:val="auto"/>
              </w:rPr>
            </w:pPr>
            <w:r>
              <w:rPr>
                <w:rFonts w:ascii="Arial" w:cs="Arial" w:eastAsia="Arial" w:hAnsi="Arial"/>
                <w:sz w:val="14"/>
                <w:szCs w:val="14"/>
                <w:color w:val="003399"/>
              </w:rPr>
              <w:t>Contact Us</w:t>
            </w:r>
          </w:p>
        </w:tc>
        <w:tc>
          <w:tcPr>
            <w:tcW w:w="720" w:type="dxa"/>
            <w:vAlign w:val="bottom"/>
            <w:tcBorders>
              <w:top w:val="single" w:sz="8" w:color="003399"/>
              <w:bottom w:val="single" w:sz="8" w:color="6B9915"/>
              <w:right w:val="single" w:sz="8" w:color="003399"/>
            </w:tcBorders>
            <w:shd w:val="clear" w:color="auto" w:fill="6B9915"/>
          </w:tcPr>
          <w:p>
            <w:pPr>
              <w:jc w:val="right"/>
              <w:ind w:right="192"/>
              <w:spacing w:after="0"/>
              <w:rPr>
                <w:sz w:val="20"/>
                <w:szCs w:val="20"/>
                <w:color w:val="auto"/>
              </w:rPr>
            </w:pPr>
            <w:r>
              <w:rPr>
                <w:rFonts w:ascii="Arial" w:cs="Arial" w:eastAsia="Arial" w:hAnsi="Arial"/>
                <w:sz w:val="18"/>
                <w:szCs w:val="18"/>
                <w:color w:val="FFFFFF"/>
              </w:rPr>
              <w:t>12</w:t>
            </w:r>
          </w:p>
        </w:tc>
      </w:tr>
      <w:tr>
        <w:trPr>
          <w:trHeight w:val="20"/>
        </w:trPr>
        <w:tc>
          <w:tcPr>
            <w:tcW w:w="3160" w:type="dxa"/>
            <w:vAlign w:val="bottom"/>
            <w:shd w:val="clear" w:color="auto" w:fill="003399"/>
          </w:tcPr>
          <w:p>
            <w:pPr>
              <w:spacing w:after="0" w:line="20" w:lineRule="exact"/>
              <w:rPr>
                <w:sz w:val="1"/>
                <w:szCs w:val="1"/>
                <w:color w:val="auto"/>
              </w:rPr>
            </w:pPr>
          </w:p>
        </w:tc>
        <w:tc>
          <w:tcPr>
            <w:tcW w:w="2780" w:type="dxa"/>
            <w:vAlign w:val="bottom"/>
            <w:tcBorders>
              <w:right w:val="single" w:sz="8" w:color="003399"/>
            </w:tcBorders>
            <w:shd w:val="clear" w:color="auto" w:fill="003399"/>
          </w:tcPr>
          <w:p>
            <w:pPr>
              <w:spacing w:after="0" w:line="20" w:lineRule="exact"/>
              <w:rPr>
                <w:sz w:val="1"/>
                <w:szCs w:val="1"/>
                <w:color w:val="auto"/>
              </w:rPr>
            </w:pPr>
          </w:p>
        </w:tc>
        <w:tc>
          <w:tcPr>
            <w:tcW w:w="2180" w:type="dxa"/>
            <w:vAlign w:val="bottom"/>
            <w:tcBorders>
              <w:right w:val="single" w:sz="8" w:color="003399"/>
            </w:tcBorders>
            <w:shd w:val="clear" w:color="auto" w:fill="003399"/>
          </w:tcPr>
          <w:p>
            <w:pPr>
              <w:spacing w:after="0" w:line="20" w:lineRule="exact"/>
              <w:rPr>
                <w:sz w:val="1"/>
                <w:szCs w:val="1"/>
                <w:color w:val="auto"/>
              </w:rPr>
            </w:pPr>
          </w:p>
        </w:tc>
        <w:tc>
          <w:tcPr>
            <w:tcW w:w="2580" w:type="dxa"/>
            <w:vAlign w:val="bottom"/>
            <w:tcBorders>
              <w:right w:val="single" w:sz="8" w:color="003399"/>
            </w:tcBorders>
            <w:shd w:val="clear" w:color="auto" w:fill="003399"/>
          </w:tcPr>
          <w:p>
            <w:pPr>
              <w:spacing w:after="0" w:line="20" w:lineRule="exact"/>
              <w:rPr>
                <w:sz w:val="1"/>
                <w:szCs w:val="1"/>
                <w:color w:val="auto"/>
              </w:rPr>
            </w:pPr>
          </w:p>
        </w:tc>
        <w:tc>
          <w:tcPr>
            <w:tcW w:w="720" w:type="dxa"/>
            <w:vAlign w:val="bottom"/>
            <w:tcBorders>
              <w:right w:val="single" w:sz="8" w:color="003399"/>
            </w:tcBorders>
            <w:shd w:val="clear" w:color="auto" w:fill="003399"/>
          </w:tcPr>
          <w:p>
            <w:pPr>
              <w:spacing w:after="0" w:line="20" w:lineRule="exact"/>
              <w:rPr>
                <w:sz w:val="1"/>
                <w:szCs w:val="1"/>
                <w:color w:val="auto"/>
              </w:rPr>
            </w:pPr>
          </w:p>
        </w:tc>
      </w:tr>
    </w:tbl>
    <w:p>
      <w:pPr>
        <w:spacing w:after="0" w:line="16" w:lineRule="exact"/>
        <w:rPr>
          <w:sz w:val="20"/>
          <w:szCs w:val="20"/>
          <w:color w:val="auto"/>
        </w:rPr>
      </w:pPr>
    </w:p>
    <w:p>
      <w:pPr>
        <w:spacing w:after="0"/>
        <w:rPr>
          <w:sz w:val="20"/>
          <w:szCs w:val="20"/>
          <w:color w:val="auto"/>
        </w:rPr>
      </w:pPr>
      <w:r>
        <w:rPr>
          <w:rFonts w:ascii="Arial" w:cs="Arial" w:eastAsia="Arial" w:hAnsi="Arial"/>
          <w:sz w:val="12"/>
          <w:szCs w:val="12"/>
          <w:color w:val="auto"/>
        </w:rPr>
        <w:t>© 2007 Thomson Financial. Republished with permission. No part of this publication may be reproduced or transmitted in any form or by any means without the prior written consent of Thomson Financial.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328930</wp:posOffset>
            </wp:positionV>
            <wp:extent cx="7250430" cy="298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003399"/>
        </w:rPr>
        <w:t>FINAL TRANSCRIPT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22288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46620" cy="222885"/>
                    </a:xfrm>
                    <a:prstGeom prst="rect">
                      <a:avLst/>
                    </a:prstGeom>
                    <a:noFill/>
                  </pic:spPr>
                </pic:pic>
              </a:graphicData>
            </a:graphic>
          </wp:anchor>
        </w:drawing>
      </w:r>
    </w:p>
    <w:p>
      <w:pPr>
        <w:spacing w:after="0" w:line="4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003399"/>
        </w:rPr>
        <w:t>Dec. 20. 2007 / 10:00AM ET, WGO - Q1 2008 Winnebago Earnings Conference Call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383540</wp:posOffset>
            </wp:positionV>
            <wp:extent cx="724662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Barry Vogel </w:t>
      </w:r>
      <w:r>
        <w:rPr>
          <w:rFonts w:ascii="Arial" w:cs="Arial" w:eastAsia="Arial" w:hAnsi="Arial"/>
          <w:sz w:val="18"/>
          <w:szCs w:val="18"/>
          <w:b w:val="1"/>
          <w:bCs w:val="1"/>
          <w:i w:val="1"/>
          <w:iCs w:val="1"/>
          <w:color w:val="auto"/>
        </w:rPr>
        <w:t>- Barry Vogel &amp; Associates - Analyst</w:t>
      </w:r>
    </w:p>
    <w:p>
      <w:pPr>
        <w:spacing w:after="0" w:line="299"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So at the end of your fiscal year if overall conditions on the seasonally adjusted basis stay the same you would love to have about a $95 million inventory at the end of the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174625</wp:posOffset>
            </wp:positionV>
            <wp:extent cx="724662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Sarah Nielsen </w:t>
      </w:r>
      <w:r>
        <w:rPr>
          <w:rFonts w:ascii="Arial" w:cs="Arial" w:eastAsia="Arial" w:hAnsi="Arial"/>
          <w:sz w:val="18"/>
          <w:szCs w:val="18"/>
          <w:b w:val="1"/>
          <w:bCs w:val="1"/>
          <w:i w:val="1"/>
          <w:iCs w:val="1"/>
          <w:color w:val="auto"/>
        </w:rPr>
        <w:t>- Winnebago Industries - VP &amp; CFO</w:t>
      </w: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color w:val="auto"/>
        </w:rPr>
        <w:t>Yes, that is very much in line with what we would like to see happen.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200025</wp:posOffset>
            </wp:positionV>
            <wp:extent cx="724662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Barry Vogel </w:t>
      </w:r>
      <w:r>
        <w:rPr>
          <w:rFonts w:ascii="Arial" w:cs="Arial" w:eastAsia="Arial" w:hAnsi="Arial"/>
          <w:sz w:val="18"/>
          <w:szCs w:val="18"/>
          <w:b w:val="1"/>
          <w:bCs w:val="1"/>
          <w:i w:val="1"/>
          <w:iCs w:val="1"/>
          <w:color w:val="auto"/>
        </w:rPr>
        <w:t>- Barry Vogel &amp; Associates - Analyst</w:t>
      </w:r>
    </w:p>
    <w:p>
      <w:pPr>
        <w:spacing w:after="0" w:line="299"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Okay, and Bruce, I have a couple of questions for you about product innovation. We all know that consumer sentiment does get affected by not only prospective economic conditions but also by fuel costs. And $100 a barrel or $90 a barrel fuel oil and possibility of higher prices although we don't know that that is going to exactly happen, is not a healthy thing for selling motorhomes. Can you give us some details about prospective product development in terms of going against that trend to help you with sales like lightweight materials, etc.? That's my first question.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162560</wp:posOffset>
            </wp:positionV>
            <wp:extent cx="724662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Bruce Hertzke </w:t>
      </w:r>
      <w:r>
        <w:rPr>
          <w:rFonts w:ascii="Arial" w:cs="Arial" w:eastAsia="Arial" w:hAnsi="Arial"/>
          <w:sz w:val="18"/>
          <w:szCs w:val="18"/>
          <w:b w:val="1"/>
          <w:bCs w:val="1"/>
          <w:i w:val="1"/>
          <w:iCs w:val="1"/>
          <w:color w:val="auto"/>
        </w:rPr>
        <w:t>- Winnebago Industries - Chairman &amp; CEO</w:t>
      </w:r>
    </w:p>
    <w:p>
      <w:pPr>
        <w:spacing w:after="0" w:line="299"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First of all, we definitely agree with all the statements that you made earlier about oil. We believe that we will trend somewhat towards the European market. They have been paying $5 to $8 dollars for gas over there for a long time, and they have actually had a very robust RV industry for the last 2, 3, 4 years, especially in the motor caravans as they call them over there. We believe that we will definitely continue to need to develop like we did with the View and Navion more fuel efficient products and maybe a little bit smaller, not always what the American people want, but that is what we kind of see for trends in probably the automobiles and in the RV's. And that is why we came out with the iQ also which is another version of a low-profile Class C motorhome.</w:t>
      </w:r>
    </w:p>
    <w:p>
      <w:pPr>
        <w:spacing w:after="0" w:line="17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And then our new introduction with the ERA Class B motorhome, which is on that Sprinter chassis, that is actually rated by Dodge Sprinter at 22 miles per gallon. And so we continue to think down the road that these type of products will become more and more popular and Winnebago Industries is definitely going to have to have those type of products to compete in the marketplace, and to try to get some additional market share and different growth opportunities even in this tough market.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182245</wp:posOffset>
            </wp:positionV>
            <wp:extent cx="724662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Bob Olson </w:t>
      </w:r>
      <w:r>
        <w:rPr>
          <w:rFonts w:ascii="Arial" w:cs="Arial" w:eastAsia="Arial" w:hAnsi="Arial"/>
          <w:sz w:val="18"/>
          <w:szCs w:val="18"/>
          <w:b w:val="1"/>
          <w:bCs w:val="1"/>
          <w:i w:val="1"/>
          <w:iCs w:val="1"/>
          <w:color w:val="auto"/>
        </w:rPr>
        <w:t>- Winnebago Industries - President</w:t>
      </w:r>
    </w:p>
    <w:p>
      <w:pPr>
        <w:spacing w:after="0" w:line="299"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I guess I just want to expound on that a little bit because you mentioned something about looking for different materials that were light weight of nature. We've been doing that for several years now. We walk a really fine line from a standpoint of cost versus weight. Weight has always been important to us but you are right with gas prices the way they are, if you can get something that is a little bit lighter that might improve your fuel economy that is going to be a plus for anybody in this industry. But it appears that anything that is lighter of nature costs more, and so we have to weigh the benefits of having a lighter weight, more fuel efficient product out there versus the costs that the customer is willing to pay. But that is an ongoing process that we've been doing for several years now.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164465</wp:posOffset>
            </wp:positionV>
            <wp:extent cx="724662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Barry Vogel </w:t>
      </w:r>
      <w:r>
        <w:rPr>
          <w:rFonts w:ascii="Arial" w:cs="Arial" w:eastAsia="Arial" w:hAnsi="Arial"/>
          <w:sz w:val="18"/>
          <w:szCs w:val="18"/>
          <w:b w:val="1"/>
          <w:bCs w:val="1"/>
          <w:i w:val="1"/>
          <w:iCs w:val="1"/>
          <w:color w:val="auto"/>
        </w:rPr>
        <w:t>- Barry Vogel &amp; Associates - Analyst</w:t>
      </w:r>
    </w:p>
    <w:p>
      <w:pPr>
        <w:spacing w:after="0" w:line="29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You think for the Louisville show, are you at a position where you could come out with something reasonably significant in the Class A area because I understand B's and C's, but you don't make as much money for B and C in terms of absolute dollars as you do obviously in an A. So I would be concerned about the A's more than the C's and the B's.</w:t>
      </w:r>
    </w:p>
    <w:p>
      <w:pPr>
        <w:sectPr>
          <w:pgSz w:w="11900" w:h="16838" w:orient="portrait"/>
          <w:cols w:equalWidth="0" w:num="1">
            <w:col w:w="11420"/>
          </w:cols>
          <w:pgMar w:left="240" w:top="166" w:right="239" w:bottom="0" w:gutter="0" w:footer="0" w:header="0"/>
        </w:sectPr>
      </w:pPr>
    </w:p>
    <w:bookmarkStart w:id="17" w:name="page18"/>
    <w:bookmarkEnd w:id="17"/>
    <w:p>
      <w:pPr>
        <w:spacing w:after="0" w:line="6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 xml:space="preserve">Bruce Hertzke </w:t>
      </w:r>
      <w:r>
        <w:rPr>
          <w:rFonts w:ascii="Arial" w:cs="Arial" w:eastAsia="Arial" w:hAnsi="Arial"/>
          <w:sz w:val="18"/>
          <w:szCs w:val="18"/>
          <w:b w:val="1"/>
          <w:bCs w:val="1"/>
          <w:i w:val="1"/>
          <w:iCs w:val="1"/>
          <w:color w:val="auto"/>
        </w:rPr>
        <w:t>- Winnebago Industries - Chairman &amp; CEO</w:t>
      </w:r>
    </w:p>
    <w:p>
      <w:pPr>
        <w:spacing w:after="0" w:line="31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All I can tell you, is that naturally we are interested in all the productlines, but we have nothing to announce today. So it is definitely going to -- it is definitely things that we've talked about. And I would like to hope that you think Winnebago Industries is definitely working on different projects of that, because we, I can tell you we've been looking at different stuff like that for way over a year already.</w:t>
      </w:r>
    </w:p>
    <w:p>
      <w:pPr>
        <w:spacing w:after="0" w:line="331" w:lineRule="exact"/>
        <w:rPr>
          <w:sz w:val="20"/>
          <w:szCs w:val="20"/>
          <w:color w:val="auto"/>
        </w:rPr>
      </w:pPr>
    </w:p>
    <w:tbl>
      <w:tblPr>
        <w:tblLayout w:type="fixed"/>
        <w:tblInd w:w="0" w:type="dxa"/>
        <w:tblCellMar>
          <w:top w:w="0" w:type="dxa"/>
          <w:left w:w="0" w:type="dxa"/>
          <w:bottom w:w="0" w:type="dxa"/>
          <w:right w:w="0" w:type="dxa"/>
        </w:tblCellMar>
      </w:tblPr>
      <w:tr>
        <w:trPr>
          <w:trHeight w:val="304"/>
        </w:trPr>
        <w:tc>
          <w:tcPr>
            <w:tcW w:w="3160" w:type="dxa"/>
            <w:vAlign w:val="bottom"/>
            <w:tcBorders>
              <w:top w:val="single" w:sz="8" w:color="003399"/>
              <w:bottom w:val="single" w:sz="8" w:color="003399"/>
            </w:tcBorders>
            <w:shd w:val="clear" w:color="auto" w:fill="003399"/>
          </w:tcPr>
          <w:p>
            <w:pPr>
              <w:ind w:left="740"/>
              <w:spacing w:after="0"/>
              <w:rPr>
                <w:sz w:val="20"/>
                <w:szCs w:val="20"/>
                <w:color w:val="auto"/>
              </w:rPr>
            </w:pPr>
            <w:r>
              <w:rPr>
                <w:rFonts w:ascii="Arial" w:cs="Arial" w:eastAsia="Arial" w:hAnsi="Arial"/>
                <w:sz w:val="18"/>
                <w:szCs w:val="18"/>
                <w:b w:val="1"/>
                <w:bCs w:val="1"/>
                <w:color w:val="FFFFFF"/>
              </w:rPr>
              <w:t>Thomson StreetEvents</w:t>
            </w:r>
          </w:p>
        </w:tc>
        <w:tc>
          <w:tcPr>
            <w:tcW w:w="2780" w:type="dxa"/>
            <w:vAlign w:val="bottom"/>
            <w:tcBorders>
              <w:top w:val="single" w:sz="8" w:color="003399"/>
              <w:right w:val="single" w:sz="8" w:color="003399"/>
            </w:tcBorders>
          </w:tcPr>
          <w:p>
            <w:pPr>
              <w:ind w:left="780"/>
              <w:spacing w:after="0"/>
              <w:rPr>
                <w:sz w:val="20"/>
                <w:szCs w:val="20"/>
                <w:color w:val="auto"/>
              </w:rPr>
            </w:pPr>
            <w:r>
              <w:rPr>
                <w:rFonts w:ascii="Arial" w:cs="Arial" w:eastAsia="Arial" w:hAnsi="Arial"/>
                <w:sz w:val="14"/>
                <w:szCs w:val="14"/>
                <w:color w:val="003399"/>
              </w:rPr>
              <w:t>www.streetevents.com</w:t>
            </w:r>
          </w:p>
        </w:tc>
        <w:tc>
          <w:tcPr>
            <w:tcW w:w="2180" w:type="dxa"/>
            <w:vAlign w:val="bottom"/>
            <w:tcBorders>
              <w:top w:val="single" w:sz="8" w:color="003399"/>
              <w:right w:val="single" w:sz="8" w:color="003399"/>
            </w:tcBorders>
          </w:tcPr>
          <w:p>
            <w:pPr>
              <w:spacing w:after="0"/>
              <w:rPr>
                <w:sz w:val="24"/>
                <w:szCs w:val="24"/>
                <w:color w:val="auto"/>
              </w:rPr>
            </w:pPr>
          </w:p>
        </w:tc>
        <w:tc>
          <w:tcPr>
            <w:tcW w:w="2580" w:type="dxa"/>
            <w:vAlign w:val="bottom"/>
            <w:tcBorders>
              <w:top w:val="single" w:sz="8" w:color="003399"/>
              <w:right w:val="single" w:sz="8" w:color="003399"/>
            </w:tcBorders>
          </w:tcPr>
          <w:p>
            <w:pPr>
              <w:ind w:left="980"/>
              <w:spacing w:after="0"/>
              <w:rPr>
                <w:sz w:val="20"/>
                <w:szCs w:val="20"/>
                <w:color w:val="auto"/>
              </w:rPr>
            </w:pPr>
            <w:r>
              <w:rPr>
                <w:rFonts w:ascii="Arial" w:cs="Arial" w:eastAsia="Arial" w:hAnsi="Arial"/>
                <w:sz w:val="14"/>
                <w:szCs w:val="14"/>
                <w:color w:val="003399"/>
              </w:rPr>
              <w:t>Contact Us</w:t>
            </w:r>
          </w:p>
        </w:tc>
        <w:tc>
          <w:tcPr>
            <w:tcW w:w="720" w:type="dxa"/>
            <w:vAlign w:val="bottom"/>
            <w:tcBorders>
              <w:top w:val="single" w:sz="8" w:color="003399"/>
              <w:bottom w:val="single" w:sz="8" w:color="6B9915"/>
              <w:right w:val="single" w:sz="8" w:color="003399"/>
            </w:tcBorders>
            <w:shd w:val="clear" w:color="auto" w:fill="6B9915"/>
          </w:tcPr>
          <w:p>
            <w:pPr>
              <w:jc w:val="right"/>
              <w:ind w:right="192"/>
              <w:spacing w:after="0"/>
              <w:rPr>
                <w:sz w:val="20"/>
                <w:szCs w:val="20"/>
                <w:color w:val="auto"/>
              </w:rPr>
            </w:pPr>
            <w:r>
              <w:rPr>
                <w:rFonts w:ascii="Arial" w:cs="Arial" w:eastAsia="Arial" w:hAnsi="Arial"/>
                <w:sz w:val="18"/>
                <w:szCs w:val="18"/>
                <w:color w:val="FFFFFF"/>
              </w:rPr>
              <w:t>13</w:t>
            </w:r>
          </w:p>
        </w:tc>
      </w:tr>
      <w:tr>
        <w:trPr>
          <w:trHeight w:val="20"/>
        </w:trPr>
        <w:tc>
          <w:tcPr>
            <w:tcW w:w="3160" w:type="dxa"/>
            <w:vAlign w:val="bottom"/>
            <w:shd w:val="clear" w:color="auto" w:fill="003399"/>
          </w:tcPr>
          <w:p>
            <w:pPr>
              <w:spacing w:after="0" w:line="20" w:lineRule="exact"/>
              <w:rPr>
                <w:sz w:val="1"/>
                <w:szCs w:val="1"/>
                <w:color w:val="auto"/>
              </w:rPr>
            </w:pPr>
          </w:p>
        </w:tc>
        <w:tc>
          <w:tcPr>
            <w:tcW w:w="2780" w:type="dxa"/>
            <w:vAlign w:val="bottom"/>
            <w:tcBorders>
              <w:right w:val="single" w:sz="8" w:color="003399"/>
            </w:tcBorders>
            <w:shd w:val="clear" w:color="auto" w:fill="003399"/>
          </w:tcPr>
          <w:p>
            <w:pPr>
              <w:spacing w:after="0" w:line="20" w:lineRule="exact"/>
              <w:rPr>
                <w:sz w:val="1"/>
                <w:szCs w:val="1"/>
                <w:color w:val="auto"/>
              </w:rPr>
            </w:pPr>
          </w:p>
        </w:tc>
        <w:tc>
          <w:tcPr>
            <w:tcW w:w="2180" w:type="dxa"/>
            <w:vAlign w:val="bottom"/>
            <w:tcBorders>
              <w:right w:val="single" w:sz="8" w:color="003399"/>
            </w:tcBorders>
            <w:shd w:val="clear" w:color="auto" w:fill="003399"/>
          </w:tcPr>
          <w:p>
            <w:pPr>
              <w:spacing w:after="0" w:line="20" w:lineRule="exact"/>
              <w:rPr>
                <w:sz w:val="1"/>
                <w:szCs w:val="1"/>
                <w:color w:val="auto"/>
              </w:rPr>
            </w:pPr>
          </w:p>
        </w:tc>
        <w:tc>
          <w:tcPr>
            <w:tcW w:w="2580" w:type="dxa"/>
            <w:vAlign w:val="bottom"/>
            <w:tcBorders>
              <w:right w:val="single" w:sz="8" w:color="003399"/>
            </w:tcBorders>
            <w:shd w:val="clear" w:color="auto" w:fill="003399"/>
          </w:tcPr>
          <w:p>
            <w:pPr>
              <w:spacing w:after="0" w:line="20" w:lineRule="exact"/>
              <w:rPr>
                <w:sz w:val="1"/>
                <w:szCs w:val="1"/>
                <w:color w:val="auto"/>
              </w:rPr>
            </w:pPr>
          </w:p>
        </w:tc>
        <w:tc>
          <w:tcPr>
            <w:tcW w:w="720" w:type="dxa"/>
            <w:vAlign w:val="bottom"/>
            <w:tcBorders>
              <w:right w:val="single" w:sz="8" w:color="003399"/>
            </w:tcBorders>
            <w:shd w:val="clear" w:color="auto" w:fill="003399"/>
          </w:tcPr>
          <w:p>
            <w:pPr>
              <w:spacing w:after="0" w:line="20" w:lineRule="exact"/>
              <w:rPr>
                <w:sz w:val="1"/>
                <w:szCs w:val="1"/>
                <w:color w:val="auto"/>
              </w:rPr>
            </w:pPr>
          </w:p>
        </w:tc>
      </w:tr>
    </w:tbl>
    <w:p>
      <w:pPr>
        <w:spacing w:after="0" w:line="16" w:lineRule="exact"/>
        <w:rPr>
          <w:sz w:val="20"/>
          <w:szCs w:val="20"/>
          <w:color w:val="auto"/>
        </w:rPr>
      </w:pPr>
    </w:p>
    <w:p>
      <w:pPr>
        <w:spacing w:after="0"/>
        <w:rPr>
          <w:sz w:val="20"/>
          <w:szCs w:val="20"/>
          <w:color w:val="auto"/>
        </w:rPr>
      </w:pPr>
      <w:r>
        <w:rPr>
          <w:rFonts w:ascii="Arial" w:cs="Arial" w:eastAsia="Arial" w:hAnsi="Arial"/>
          <w:sz w:val="12"/>
          <w:szCs w:val="12"/>
          <w:color w:val="auto"/>
        </w:rPr>
        <w:t>© 2007 Thomson Financial. Republished with permission. No part of this publication may be reproduced or transmitted in any form or by any means without the prior written consent of Thomson Financial.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328930</wp:posOffset>
            </wp:positionV>
            <wp:extent cx="7250430" cy="298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003399"/>
        </w:rPr>
        <w:t>FINAL TRANSCRIPT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22288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46620" cy="222885"/>
                    </a:xfrm>
                    <a:prstGeom prst="rect">
                      <a:avLst/>
                    </a:prstGeom>
                    <a:noFill/>
                  </pic:spPr>
                </pic:pic>
              </a:graphicData>
            </a:graphic>
          </wp:anchor>
        </w:drawing>
      </w:r>
    </w:p>
    <w:p>
      <w:pPr>
        <w:spacing w:after="0" w:line="4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003399"/>
        </w:rPr>
        <w:t>Dec. 20. 2007 / 10:00AM ET, WGO - Q1 2008 Winnebago Earnings Conference Call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383540</wp:posOffset>
            </wp:positionV>
            <wp:extent cx="724662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Barry Vogel </w:t>
      </w:r>
      <w:r>
        <w:rPr>
          <w:rFonts w:ascii="Arial" w:cs="Arial" w:eastAsia="Arial" w:hAnsi="Arial"/>
          <w:sz w:val="18"/>
          <w:szCs w:val="18"/>
          <w:b w:val="1"/>
          <w:bCs w:val="1"/>
          <w:i w:val="1"/>
          <w:iCs w:val="1"/>
          <w:color w:val="auto"/>
        </w:rPr>
        <w:t>- Barry Vogel &amp; Associates - Analyst</w:t>
      </w: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color w:val="auto"/>
        </w:rPr>
        <w:t>Okay, now one other question. I didn't see -- and I think I mentioned to you at the show I didn't see a ramp product on your Class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200025</wp:posOffset>
            </wp:positionV>
            <wp:extent cx="724662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Bruce Hertzke </w:t>
      </w:r>
      <w:r>
        <w:rPr>
          <w:rFonts w:ascii="Arial" w:cs="Arial" w:eastAsia="Arial" w:hAnsi="Arial"/>
          <w:sz w:val="18"/>
          <w:szCs w:val="18"/>
          <w:b w:val="1"/>
          <w:bCs w:val="1"/>
          <w:i w:val="1"/>
          <w:iCs w:val="1"/>
          <w:color w:val="auto"/>
        </w:rPr>
        <w:t>- Winnebago Industries - Chairman &amp; CEO</w:t>
      </w: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color w:val="auto"/>
        </w:rPr>
        <w:t>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200025</wp:posOffset>
            </wp:positionV>
            <wp:extent cx="724662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Barry Vogel </w:t>
      </w:r>
      <w:r>
        <w:rPr>
          <w:rFonts w:ascii="Arial" w:cs="Arial" w:eastAsia="Arial" w:hAnsi="Arial"/>
          <w:sz w:val="18"/>
          <w:szCs w:val="18"/>
          <w:b w:val="1"/>
          <w:bCs w:val="1"/>
          <w:i w:val="1"/>
          <w:iCs w:val="1"/>
          <w:color w:val="auto"/>
        </w:rPr>
        <w:t>- Barry Vogel &amp; Associates - Analyst</w:t>
      </w:r>
    </w:p>
    <w:p>
      <w:pPr>
        <w:spacing w:after="0" w:line="299"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And I know that last year three companies, to the best of my knowledge, had a ramp, and varying degrees of success obviously. Can you tell us why you didn't have a ramp, and you think it is a strong possibility you may have a ramp next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174625</wp:posOffset>
            </wp:positionV>
            <wp:extent cx="724662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Bruce Hertzke </w:t>
      </w:r>
      <w:r>
        <w:rPr>
          <w:rFonts w:ascii="Arial" w:cs="Arial" w:eastAsia="Arial" w:hAnsi="Arial"/>
          <w:sz w:val="18"/>
          <w:szCs w:val="18"/>
          <w:b w:val="1"/>
          <w:bCs w:val="1"/>
          <w:i w:val="1"/>
          <w:iCs w:val="1"/>
          <w:color w:val="auto"/>
        </w:rPr>
        <w:t>- Winnebago Industries - Chairman &amp; CEO</w:t>
      </w:r>
    </w:p>
    <w:p>
      <w:pPr>
        <w:spacing w:after="0" w:line="29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All is I can tell you, is Winnebago has 91 different models for 2008. And one of the biggest objectives that we get from some of our dealers is that we have 12 different major brands, and they say that they really can't carry them all. And so we always try to just analyze what are the very best profit opportunity and market share opportunities that we can do with products and bring it to the marketplace. And we just review whether it be a ramp, motorhome or whether it be a full wall slide or whether it be a View or Navion type product or any other products that we look at, I can tell you that it is all things that we review all the time to try to identify what is the next best area for Winnebago Industries to get into.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181610</wp:posOffset>
            </wp:positionV>
            <wp:extent cx="724662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Barry Vogel </w:t>
      </w:r>
      <w:r>
        <w:rPr>
          <w:rFonts w:ascii="Arial" w:cs="Arial" w:eastAsia="Arial" w:hAnsi="Arial"/>
          <w:sz w:val="18"/>
          <w:szCs w:val="18"/>
          <w:b w:val="1"/>
          <w:bCs w:val="1"/>
          <w:i w:val="1"/>
          <w:iCs w:val="1"/>
          <w:color w:val="auto"/>
        </w:rPr>
        <w:t>- Barry Vogel &amp; Associates - Analyst</w:t>
      </w: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color w:val="auto"/>
        </w:rPr>
        <w:t>Thank you very much. Keep up the good work.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200025</wp:posOffset>
            </wp:positionV>
            <wp:extent cx="724662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Operator</w:t>
      </w: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color w:val="auto"/>
        </w:rPr>
        <w:t>[Gil Alexandre, Darphil Associates]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200025</wp:posOffset>
            </wp:positionV>
            <wp:extent cx="724662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Gil Alexandre </w:t>
      </w:r>
      <w:r>
        <w:rPr>
          <w:rFonts w:ascii="Arial" w:cs="Arial" w:eastAsia="Arial" w:hAnsi="Arial"/>
          <w:sz w:val="18"/>
          <w:szCs w:val="18"/>
          <w:b w:val="1"/>
          <w:bCs w:val="1"/>
          <w:i w:val="1"/>
          <w:iCs w:val="1"/>
          <w:color w:val="auto"/>
        </w:rPr>
        <w:t>- Darphil Associates - Analyst</w:t>
      </w:r>
    </w:p>
    <w:p>
      <w:pPr>
        <w:spacing w:after="0" w:line="299"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Good morning. I know this a hard year for you, but if you look at '09 and 2010 and what type of unit sales could there be? And are unit sales, if you want to take it for '07, '08, are they trending below what normal demand should be or there is no such number as that?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174625</wp:posOffset>
            </wp:positionV>
            <wp:extent cx="724662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Bruce Hertzke </w:t>
      </w:r>
      <w:r>
        <w:rPr>
          <w:rFonts w:ascii="Arial" w:cs="Arial" w:eastAsia="Arial" w:hAnsi="Arial"/>
          <w:sz w:val="18"/>
          <w:szCs w:val="18"/>
          <w:b w:val="1"/>
          <w:bCs w:val="1"/>
          <w:i w:val="1"/>
          <w:iCs w:val="1"/>
          <w:color w:val="auto"/>
        </w:rPr>
        <w:t>- Winnebago Industries - Chairman &amp; CEO</w:t>
      </w:r>
    </w:p>
    <w:p>
      <w:pPr>
        <w:spacing w:after="0" w:line="29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All I can tell you is I have been on the RVIA board for over twelve years, and we as an industry try to follow these numbers all the time. I don't know what to tell you is a typical year. I've been in the industry for over three decades. And I have seen some very, very tough downturns; I have seen some slight downturns, I have seen some downturns that only lasted a months, and I have seen some downturns that have lasted three years. Which one we are in I wish I could honestly tell you.</w:t>
      </w:r>
    </w:p>
    <w:p>
      <w:pPr>
        <w:spacing w:after="0" w:line="19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 will tell you that in '09 and 2010 we do hire Dr. Richard Curtin to analyze our industry and that the long-term prospects are still very, very favorable for our industry. And that exactly when it turns and it goes back to that I wish I could tell you. But we definitely have a lot of confidence in the industry, and we believe that when the economy gets better and the consumer confidence gets higher and people get back to more of a typical spending mode, we think the RV industry will definitely come back.</w:t>
      </w:r>
    </w:p>
    <w:p>
      <w:pPr>
        <w:spacing w:after="0" w:line="19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And if you look at the last 25 years in the quarter of a century in this industry each time it has come back, 2004 was the largest year ever that our industry had in the last quarter of a century. I think it has the potential to come back just like Richard Curtin. He is actually forecasting that it could continue to grow once it starts coming back. So I guess that is my perspective also.</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304"/>
        </w:trPr>
        <w:tc>
          <w:tcPr>
            <w:tcW w:w="3160" w:type="dxa"/>
            <w:vAlign w:val="bottom"/>
            <w:tcBorders>
              <w:top w:val="single" w:sz="8" w:color="003399"/>
              <w:bottom w:val="single" w:sz="8" w:color="003399"/>
            </w:tcBorders>
            <w:shd w:val="clear" w:color="auto" w:fill="003399"/>
          </w:tcPr>
          <w:p>
            <w:pPr>
              <w:ind w:left="740"/>
              <w:spacing w:after="0"/>
              <w:rPr>
                <w:sz w:val="20"/>
                <w:szCs w:val="20"/>
                <w:color w:val="auto"/>
              </w:rPr>
            </w:pPr>
            <w:r>
              <w:rPr>
                <w:rFonts w:ascii="Arial" w:cs="Arial" w:eastAsia="Arial" w:hAnsi="Arial"/>
                <w:sz w:val="18"/>
                <w:szCs w:val="18"/>
                <w:b w:val="1"/>
                <w:bCs w:val="1"/>
                <w:color w:val="FFFFFF"/>
              </w:rPr>
              <w:t>Thomson StreetEvents</w:t>
            </w:r>
          </w:p>
        </w:tc>
        <w:tc>
          <w:tcPr>
            <w:tcW w:w="2780" w:type="dxa"/>
            <w:vAlign w:val="bottom"/>
            <w:tcBorders>
              <w:top w:val="single" w:sz="8" w:color="003399"/>
              <w:right w:val="single" w:sz="8" w:color="003399"/>
            </w:tcBorders>
          </w:tcPr>
          <w:p>
            <w:pPr>
              <w:ind w:left="780"/>
              <w:spacing w:after="0"/>
              <w:rPr>
                <w:sz w:val="20"/>
                <w:szCs w:val="20"/>
                <w:color w:val="auto"/>
              </w:rPr>
            </w:pPr>
            <w:r>
              <w:rPr>
                <w:rFonts w:ascii="Arial" w:cs="Arial" w:eastAsia="Arial" w:hAnsi="Arial"/>
                <w:sz w:val="14"/>
                <w:szCs w:val="14"/>
                <w:color w:val="003399"/>
              </w:rPr>
              <w:t>www.streetevents.com</w:t>
            </w:r>
          </w:p>
        </w:tc>
        <w:tc>
          <w:tcPr>
            <w:tcW w:w="2180" w:type="dxa"/>
            <w:vAlign w:val="bottom"/>
            <w:tcBorders>
              <w:top w:val="single" w:sz="8" w:color="003399"/>
              <w:right w:val="single" w:sz="8" w:color="003399"/>
            </w:tcBorders>
          </w:tcPr>
          <w:p>
            <w:pPr>
              <w:spacing w:after="0"/>
              <w:rPr>
                <w:sz w:val="24"/>
                <w:szCs w:val="24"/>
                <w:color w:val="auto"/>
              </w:rPr>
            </w:pPr>
          </w:p>
        </w:tc>
        <w:tc>
          <w:tcPr>
            <w:tcW w:w="2580" w:type="dxa"/>
            <w:vAlign w:val="bottom"/>
            <w:tcBorders>
              <w:top w:val="single" w:sz="8" w:color="003399"/>
              <w:right w:val="single" w:sz="8" w:color="003399"/>
            </w:tcBorders>
          </w:tcPr>
          <w:p>
            <w:pPr>
              <w:ind w:left="980"/>
              <w:spacing w:after="0"/>
              <w:rPr>
                <w:sz w:val="20"/>
                <w:szCs w:val="20"/>
                <w:color w:val="auto"/>
              </w:rPr>
            </w:pPr>
            <w:r>
              <w:rPr>
                <w:rFonts w:ascii="Arial" w:cs="Arial" w:eastAsia="Arial" w:hAnsi="Arial"/>
                <w:sz w:val="14"/>
                <w:szCs w:val="14"/>
                <w:color w:val="003399"/>
              </w:rPr>
              <w:t>Contact Us</w:t>
            </w:r>
          </w:p>
        </w:tc>
        <w:tc>
          <w:tcPr>
            <w:tcW w:w="720" w:type="dxa"/>
            <w:vAlign w:val="bottom"/>
            <w:tcBorders>
              <w:top w:val="single" w:sz="8" w:color="003399"/>
              <w:bottom w:val="single" w:sz="8" w:color="6B9915"/>
              <w:right w:val="single" w:sz="8" w:color="003399"/>
            </w:tcBorders>
            <w:shd w:val="clear" w:color="auto" w:fill="6B9915"/>
          </w:tcPr>
          <w:p>
            <w:pPr>
              <w:jc w:val="right"/>
              <w:ind w:right="192"/>
              <w:spacing w:after="0"/>
              <w:rPr>
                <w:sz w:val="20"/>
                <w:szCs w:val="20"/>
                <w:color w:val="auto"/>
              </w:rPr>
            </w:pPr>
            <w:r>
              <w:rPr>
                <w:rFonts w:ascii="Arial" w:cs="Arial" w:eastAsia="Arial" w:hAnsi="Arial"/>
                <w:sz w:val="18"/>
                <w:szCs w:val="18"/>
                <w:color w:val="FFFFFF"/>
              </w:rPr>
              <w:t>14</w:t>
            </w:r>
          </w:p>
        </w:tc>
      </w:tr>
      <w:tr>
        <w:trPr>
          <w:trHeight w:val="20"/>
        </w:trPr>
        <w:tc>
          <w:tcPr>
            <w:tcW w:w="3160" w:type="dxa"/>
            <w:vAlign w:val="bottom"/>
            <w:shd w:val="clear" w:color="auto" w:fill="003399"/>
          </w:tcPr>
          <w:p>
            <w:pPr>
              <w:spacing w:after="0" w:line="20" w:lineRule="exact"/>
              <w:rPr>
                <w:sz w:val="1"/>
                <w:szCs w:val="1"/>
                <w:color w:val="auto"/>
              </w:rPr>
            </w:pPr>
          </w:p>
        </w:tc>
        <w:tc>
          <w:tcPr>
            <w:tcW w:w="2780" w:type="dxa"/>
            <w:vAlign w:val="bottom"/>
            <w:tcBorders>
              <w:right w:val="single" w:sz="8" w:color="003399"/>
            </w:tcBorders>
            <w:shd w:val="clear" w:color="auto" w:fill="003399"/>
          </w:tcPr>
          <w:p>
            <w:pPr>
              <w:spacing w:after="0" w:line="20" w:lineRule="exact"/>
              <w:rPr>
                <w:sz w:val="1"/>
                <w:szCs w:val="1"/>
                <w:color w:val="auto"/>
              </w:rPr>
            </w:pPr>
          </w:p>
        </w:tc>
        <w:tc>
          <w:tcPr>
            <w:tcW w:w="2180" w:type="dxa"/>
            <w:vAlign w:val="bottom"/>
            <w:tcBorders>
              <w:right w:val="single" w:sz="8" w:color="003399"/>
            </w:tcBorders>
            <w:shd w:val="clear" w:color="auto" w:fill="003399"/>
          </w:tcPr>
          <w:p>
            <w:pPr>
              <w:spacing w:after="0" w:line="20" w:lineRule="exact"/>
              <w:rPr>
                <w:sz w:val="1"/>
                <w:szCs w:val="1"/>
                <w:color w:val="auto"/>
              </w:rPr>
            </w:pPr>
          </w:p>
        </w:tc>
        <w:tc>
          <w:tcPr>
            <w:tcW w:w="2580" w:type="dxa"/>
            <w:vAlign w:val="bottom"/>
            <w:tcBorders>
              <w:right w:val="single" w:sz="8" w:color="003399"/>
            </w:tcBorders>
            <w:shd w:val="clear" w:color="auto" w:fill="003399"/>
          </w:tcPr>
          <w:p>
            <w:pPr>
              <w:spacing w:after="0" w:line="20" w:lineRule="exact"/>
              <w:rPr>
                <w:sz w:val="1"/>
                <w:szCs w:val="1"/>
                <w:color w:val="auto"/>
              </w:rPr>
            </w:pPr>
          </w:p>
        </w:tc>
        <w:tc>
          <w:tcPr>
            <w:tcW w:w="720" w:type="dxa"/>
            <w:vAlign w:val="bottom"/>
            <w:tcBorders>
              <w:right w:val="single" w:sz="8" w:color="003399"/>
            </w:tcBorders>
            <w:shd w:val="clear" w:color="auto" w:fill="003399"/>
          </w:tcPr>
          <w:p>
            <w:pPr>
              <w:spacing w:after="0" w:line="20" w:lineRule="exact"/>
              <w:rPr>
                <w:sz w:val="1"/>
                <w:szCs w:val="1"/>
                <w:color w:val="auto"/>
              </w:rPr>
            </w:pPr>
          </w:p>
        </w:tc>
      </w:tr>
    </w:tbl>
    <w:p>
      <w:pPr>
        <w:sectPr>
          <w:pgSz w:w="11900" w:h="16900" w:orient="portrait"/>
          <w:cols w:equalWidth="0" w:num="1">
            <w:col w:w="11420"/>
          </w:cols>
          <w:pgMar w:left="240" w:top="166" w:right="239" w:bottom="0" w:gutter="0" w:footer="0" w:header="0"/>
        </w:sectPr>
      </w:pPr>
    </w:p>
    <w:bookmarkStart w:id="18" w:name="page19"/>
    <w:bookmarkEnd w:id="18"/>
    <w:p>
      <w:pPr>
        <w:spacing w:after="0"/>
        <w:rPr>
          <w:sz w:val="20"/>
          <w:szCs w:val="20"/>
          <w:color w:val="auto"/>
        </w:rPr>
      </w:pPr>
      <w:r>
        <w:rPr>
          <w:rFonts w:ascii="Arial" w:cs="Arial" w:eastAsia="Arial" w:hAnsi="Arial"/>
          <w:sz w:val="12"/>
          <w:szCs w:val="12"/>
          <w:color w:val="auto"/>
        </w:rPr>
        <w:t>© 2007 Thomson Financial. Republished with permission. No part of this publication may be reproduced or transmitted in any form or by any means without the prior written consent of Thomson Financial.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328930</wp:posOffset>
            </wp:positionV>
            <wp:extent cx="7250430" cy="298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003399"/>
        </w:rPr>
        <w:t>FINAL TRANSCRIPT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22288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46620" cy="222885"/>
                    </a:xfrm>
                    <a:prstGeom prst="rect">
                      <a:avLst/>
                    </a:prstGeom>
                    <a:noFill/>
                  </pic:spPr>
                </pic:pic>
              </a:graphicData>
            </a:graphic>
          </wp:anchor>
        </w:drawing>
      </w:r>
    </w:p>
    <w:p>
      <w:pPr>
        <w:spacing w:after="0" w:line="4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003399"/>
        </w:rPr>
        <w:t>Dec. 20. 2007 / 10:00AM ET, WGO - Q1 2008 Winnebago Earnings Conference Call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375285</wp:posOffset>
            </wp:positionV>
            <wp:extent cx="724662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Gil Alexandre </w:t>
      </w:r>
      <w:r>
        <w:rPr>
          <w:rFonts w:ascii="Arial" w:cs="Arial" w:eastAsia="Arial" w:hAnsi="Arial"/>
          <w:sz w:val="18"/>
          <w:szCs w:val="18"/>
          <w:b w:val="1"/>
          <w:bCs w:val="1"/>
          <w:i w:val="1"/>
          <w:iCs w:val="1"/>
          <w:color w:val="auto"/>
        </w:rPr>
        <w:t>- Darphil Associates - Analyst</w:t>
      </w: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color w:val="auto"/>
        </w:rPr>
        <w:t>Thank you. Can you give us an idea of your market shares in Class A and Class C for '06 and '07?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191135</wp:posOffset>
            </wp:positionV>
            <wp:extent cx="724662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Bob Olson </w:t>
      </w:r>
      <w:r>
        <w:rPr>
          <w:rFonts w:ascii="Arial" w:cs="Arial" w:eastAsia="Arial" w:hAnsi="Arial"/>
          <w:sz w:val="18"/>
          <w:szCs w:val="18"/>
          <w:b w:val="1"/>
          <w:bCs w:val="1"/>
          <w:i w:val="1"/>
          <w:iCs w:val="1"/>
          <w:color w:val="auto"/>
        </w:rPr>
        <w:t>- Winnebago Industries - President</w:t>
      </w:r>
    </w:p>
    <w:p>
      <w:pPr>
        <w:spacing w:after="0" w:line="31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 think if you looked at last year we were at 20.6 on gas A bodies, and this year we are at 22%. Diesel we were at 10.1. This year we are at 9.2. And the C bodies last year were 25.6. And this year we are 24.3. There are some issues around that. We picked up some in our gas, and we think that is a lot to do with our introduction of our Vista and Sunstar, which is an entry-level gas A body product. We've also redesigned our Sightseer and Sunova, and that has been really well received. And now that we are putting full body paint on it, it is even being more received.</w:t>
      </w:r>
    </w:p>
    <w:p>
      <w:pPr>
        <w:spacing w:after="0" w:line="197"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Then we've got a floor plan in our Voyage and Sunrise which is a full wall slide that the dealers have really been excited about. So we think those three product classes have really stimulated our gas A product. From a diesel perspective we have lost some and I know we've been on the road several times over the course of the year. And one of the strategies that we have is, we think we can grow in our diesel product. And so far we have not been able to get that done, but trust me, we continue to work very diligently on that. And we think that we are going to still have an opportunity to do that.</w:t>
      </w:r>
    </w:p>
    <w:p>
      <w:pPr>
        <w:spacing w:after="0" w:line="167" w:lineRule="exact"/>
        <w:rPr>
          <w:sz w:val="20"/>
          <w:szCs w:val="20"/>
          <w:color w:val="auto"/>
        </w:rPr>
      </w:pPr>
    </w:p>
    <w:p>
      <w:pPr>
        <w:jc w:val="both"/>
        <w:spacing w:after="0" w:line="332" w:lineRule="auto"/>
        <w:rPr>
          <w:sz w:val="20"/>
          <w:szCs w:val="20"/>
          <w:color w:val="auto"/>
        </w:rPr>
      </w:pPr>
      <w:r>
        <w:rPr>
          <w:rFonts w:ascii="Arial" w:cs="Arial" w:eastAsia="Arial" w:hAnsi="Arial"/>
          <w:sz w:val="16"/>
          <w:szCs w:val="16"/>
          <w:color w:val="auto"/>
        </w:rPr>
        <w:t>From the C body we are down slightly, and as I mentioned before part of that is due to the fact that we had some pretty tough comps last year. The View and Navion has been strong for us for the last two or three years. And we feel pretty good about the fact that we are just down a little bit in that category.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136525</wp:posOffset>
            </wp:positionV>
            <wp:extent cx="724662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Gil Alexandre </w:t>
      </w:r>
      <w:r>
        <w:rPr>
          <w:rFonts w:ascii="Arial" w:cs="Arial" w:eastAsia="Arial" w:hAnsi="Arial"/>
          <w:sz w:val="18"/>
          <w:szCs w:val="18"/>
          <w:b w:val="1"/>
          <w:bCs w:val="1"/>
          <w:i w:val="1"/>
          <w:iCs w:val="1"/>
          <w:color w:val="auto"/>
        </w:rPr>
        <w:t>- Darphil Associates - Analyst</w:t>
      </w:r>
    </w:p>
    <w:p>
      <w:pPr>
        <w:spacing w:after="0" w:line="312" w:lineRule="exact"/>
        <w:rPr>
          <w:sz w:val="20"/>
          <w:szCs w:val="20"/>
          <w:color w:val="auto"/>
        </w:rPr>
      </w:pPr>
    </w:p>
    <w:p>
      <w:pPr>
        <w:spacing w:after="0"/>
        <w:rPr>
          <w:sz w:val="20"/>
          <w:szCs w:val="20"/>
          <w:color w:val="auto"/>
        </w:rPr>
      </w:pPr>
      <w:r>
        <w:rPr>
          <w:rFonts w:ascii="Arial" w:cs="Arial" w:eastAsia="Arial" w:hAnsi="Arial"/>
          <w:sz w:val="16"/>
          <w:szCs w:val="16"/>
          <w:color w:val="auto"/>
        </w:rPr>
        <w:t>And my last question, could you let me know what your CapEx are for fiscal '08 and your depreciation, and what could your CapEx be like in '09?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Sarah Nielsen </w:t>
      </w:r>
      <w:r>
        <w:rPr>
          <w:rFonts w:ascii="Arial" w:cs="Arial" w:eastAsia="Arial" w:hAnsi="Arial"/>
          <w:sz w:val="18"/>
          <w:szCs w:val="18"/>
          <w:b w:val="1"/>
          <w:bCs w:val="1"/>
          <w:i w:val="1"/>
          <w:iCs w:val="1"/>
          <w:color w:val="auto"/>
        </w:rPr>
        <w:t>- Winnebago Industries - VP &amp; CFO</w:t>
      </w:r>
    </w:p>
    <w:p>
      <w:pPr>
        <w:spacing w:after="0" w:line="312"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We plan in 2008 to spend in the 5 to $6 million range. With the environment that we've been in for the last three years now we've really cut back from a capital expenditure standpoint because we have the infrastructure we need at the current level of production. Our depreciation in a typical year is a little over $10 million and that is what we see for 2008. If we turn around and see growth prospectively, our capital expenditures have more than in the range of our depreciation on an annual basis. And so prior to 2006 we had spent on that annual basis in that 10 to $12 million range.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24662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Gil Alexandre </w:t>
      </w:r>
      <w:r>
        <w:rPr>
          <w:rFonts w:ascii="Arial" w:cs="Arial" w:eastAsia="Arial" w:hAnsi="Arial"/>
          <w:sz w:val="18"/>
          <w:szCs w:val="18"/>
          <w:b w:val="1"/>
          <w:bCs w:val="1"/>
          <w:i w:val="1"/>
          <w:iCs w:val="1"/>
          <w:color w:val="auto"/>
        </w:rPr>
        <w:t>- Darphil Associates - Analyst</w:t>
      </w:r>
    </w:p>
    <w:p>
      <w:pPr>
        <w:spacing w:after="0" w:line="312" w:lineRule="exact"/>
        <w:rPr>
          <w:sz w:val="20"/>
          <w:szCs w:val="20"/>
          <w:color w:val="auto"/>
        </w:rPr>
      </w:pPr>
    </w:p>
    <w:p>
      <w:pPr>
        <w:spacing w:after="0"/>
        <w:rPr>
          <w:sz w:val="20"/>
          <w:szCs w:val="20"/>
          <w:color w:val="auto"/>
        </w:rPr>
      </w:pPr>
      <w:r>
        <w:rPr>
          <w:rFonts w:ascii="Arial" w:cs="Arial" w:eastAsia="Arial" w:hAnsi="Arial"/>
          <w:sz w:val="18"/>
          <w:szCs w:val="18"/>
          <w:color w:val="auto"/>
        </w:rPr>
        <w:t>Thank you very much, and good luck.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191135</wp:posOffset>
            </wp:positionV>
            <wp:extent cx="724662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Operator</w:t>
      </w:r>
    </w:p>
    <w:p>
      <w:pPr>
        <w:spacing w:after="0" w:line="312" w:lineRule="exact"/>
        <w:rPr>
          <w:sz w:val="20"/>
          <w:szCs w:val="20"/>
          <w:color w:val="auto"/>
        </w:rPr>
      </w:pPr>
    </w:p>
    <w:p>
      <w:pPr>
        <w:spacing w:after="0"/>
        <w:rPr>
          <w:sz w:val="20"/>
          <w:szCs w:val="20"/>
          <w:color w:val="auto"/>
        </w:rPr>
      </w:pPr>
      <w:r>
        <w:rPr>
          <w:rFonts w:ascii="Arial" w:cs="Arial" w:eastAsia="Arial" w:hAnsi="Arial"/>
          <w:sz w:val="18"/>
          <w:szCs w:val="18"/>
          <w:color w:val="auto"/>
        </w:rPr>
        <w:t>This concludes the question-and-answer session. I would now like to turn the call back to management for closing remarks.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191135</wp:posOffset>
            </wp:positionV>
            <wp:extent cx="724662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Bruce Hertzke </w:t>
      </w:r>
      <w:r>
        <w:rPr>
          <w:rFonts w:ascii="Arial" w:cs="Arial" w:eastAsia="Arial" w:hAnsi="Arial"/>
          <w:sz w:val="18"/>
          <w:szCs w:val="18"/>
          <w:b w:val="1"/>
          <w:bCs w:val="1"/>
          <w:i w:val="1"/>
          <w:iCs w:val="1"/>
          <w:color w:val="auto"/>
        </w:rPr>
        <w:t>- Winnebago Industries - Chairman &amp; CEO</w:t>
      </w:r>
    </w:p>
    <w:p>
      <w:pPr>
        <w:spacing w:after="0" w:line="31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Thank you. Once again, we would like to thank everyone for joining Winnebago Industries today for our conference call. We look forward to talking to you again in March when we will report our second quarter fiscal 2008 results. The Winnebago team would like to wish all of you a happy holiday season and have a safe holiday period. Thank you.</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304"/>
        </w:trPr>
        <w:tc>
          <w:tcPr>
            <w:tcW w:w="3160" w:type="dxa"/>
            <w:vAlign w:val="bottom"/>
            <w:tcBorders>
              <w:top w:val="single" w:sz="8" w:color="003399"/>
              <w:bottom w:val="single" w:sz="8" w:color="003399"/>
            </w:tcBorders>
            <w:shd w:val="clear" w:color="auto" w:fill="003399"/>
          </w:tcPr>
          <w:p>
            <w:pPr>
              <w:ind w:left="740"/>
              <w:spacing w:after="0"/>
              <w:rPr>
                <w:sz w:val="20"/>
                <w:szCs w:val="20"/>
                <w:color w:val="auto"/>
              </w:rPr>
            </w:pPr>
            <w:r>
              <w:rPr>
                <w:rFonts w:ascii="Arial" w:cs="Arial" w:eastAsia="Arial" w:hAnsi="Arial"/>
                <w:sz w:val="18"/>
                <w:szCs w:val="18"/>
                <w:b w:val="1"/>
                <w:bCs w:val="1"/>
                <w:color w:val="FFFFFF"/>
              </w:rPr>
              <w:t>Thomson StreetEvents</w:t>
            </w:r>
          </w:p>
        </w:tc>
        <w:tc>
          <w:tcPr>
            <w:tcW w:w="2780" w:type="dxa"/>
            <w:vAlign w:val="bottom"/>
            <w:tcBorders>
              <w:top w:val="single" w:sz="8" w:color="003399"/>
              <w:right w:val="single" w:sz="8" w:color="003399"/>
            </w:tcBorders>
          </w:tcPr>
          <w:p>
            <w:pPr>
              <w:ind w:left="780"/>
              <w:spacing w:after="0"/>
              <w:rPr>
                <w:sz w:val="20"/>
                <w:szCs w:val="20"/>
                <w:color w:val="auto"/>
              </w:rPr>
            </w:pPr>
            <w:r>
              <w:rPr>
                <w:rFonts w:ascii="Arial" w:cs="Arial" w:eastAsia="Arial" w:hAnsi="Arial"/>
                <w:sz w:val="14"/>
                <w:szCs w:val="14"/>
                <w:color w:val="003399"/>
              </w:rPr>
              <w:t>www.streetevents.com</w:t>
            </w:r>
          </w:p>
        </w:tc>
        <w:tc>
          <w:tcPr>
            <w:tcW w:w="2180" w:type="dxa"/>
            <w:vAlign w:val="bottom"/>
            <w:tcBorders>
              <w:top w:val="single" w:sz="8" w:color="003399"/>
              <w:right w:val="single" w:sz="8" w:color="003399"/>
            </w:tcBorders>
          </w:tcPr>
          <w:p>
            <w:pPr>
              <w:spacing w:after="0"/>
              <w:rPr>
                <w:sz w:val="24"/>
                <w:szCs w:val="24"/>
                <w:color w:val="auto"/>
              </w:rPr>
            </w:pPr>
          </w:p>
        </w:tc>
        <w:tc>
          <w:tcPr>
            <w:tcW w:w="2580" w:type="dxa"/>
            <w:vAlign w:val="bottom"/>
            <w:tcBorders>
              <w:top w:val="single" w:sz="8" w:color="003399"/>
              <w:right w:val="single" w:sz="8" w:color="003399"/>
            </w:tcBorders>
          </w:tcPr>
          <w:p>
            <w:pPr>
              <w:ind w:left="980"/>
              <w:spacing w:after="0"/>
              <w:rPr>
                <w:sz w:val="20"/>
                <w:szCs w:val="20"/>
                <w:color w:val="auto"/>
              </w:rPr>
            </w:pPr>
            <w:r>
              <w:rPr>
                <w:rFonts w:ascii="Arial" w:cs="Arial" w:eastAsia="Arial" w:hAnsi="Arial"/>
                <w:sz w:val="14"/>
                <w:szCs w:val="14"/>
                <w:color w:val="003399"/>
              </w:rPr>
              <w:t>Contact Us</w:t>
            </w:r>
          </w:p>
        </w:tc>
        <w:tc>
          <w:tcPr>
            <w:tcW w:w="720" w:type="dxa"/>
            <w:vAlign w:val="bottom"/>
            <w:tcBorders>
              <w:top w:val="single" w:sz="8" w:color="003399"/>
              <w:bottom w:val="single" w:sz="8" w:color="6B9915"/>
              <w:right w:val="single" w:sz="8" w:color="003399"/>
            </w:tcBorders>
            <w:shd w:val="clear" w:color="auto" w:fill="6B9915"/>
          </w:tcPr>
          <w:p>
            <w:pPr>
              <w:jc w:val="right"/>
              <w:ind w:right="192"/>
              <w:spacing w:after="0"/>
              <w:rPr>
                <w:sz w:val="20"/>
                <w:szCs w:val="20"/>
                <w:color w:val="auto"/>
              </w:rPr>
            </w:pPr>
            <w:r>
              <w:rPr>
                <w:rFonts w:ascii="Arial" w:cs="Arial" w:eastAsia="Arial" w:hAnsi="Arial"/>
                <w:sz w:val="18"/>
                <w:szCs w:val="18"/>
                <w:color w:val="FFFFFF"/>
              </w:rPr>
              <w:t>15</w:t>
            </w:r>
          </w:p>
        </w:tc>
      </w:tr>
      <w:tr>
        <w:trPr>
          <w:trHeight w:val="20"/>
        </w:trPr>
        <w:tc>
          <w:tcPr>
            <w:tcW w:w="3160" w:type="dxa"/>
            <w:vAlign w:val="bottom"/>
            <w:shd w:val="clear" w:color="auto" w:fill="003399"/>
          </w:tcPr>
          <w:p>
            <w:pPr>
              <w:spacing w:after="0" w:line="20" w:lineRule="exact"/>
              <w:rPr>
                <w:sz w:val="1"/>
                <w:szCs w:val="1"/>
                <w:color w:val="auto"/>
              </w:rPr>
            </w:pPr>
          </w:p>
        </w:tc>
        <w:tc>
          <w:tcPr>
            <w:tcW w:w="2780" w:type="dxa"/>
            <w:vAlign w:val="bottom"/>
            <w:tcBorders>
              <w:right w:val="single" w:sz="8" w:color="003399"/>
            </w:tcBorders>
            <w:shd w:val="clear" w:color="auto" w:fill="003399"/>
          </w:tcPr>
          <w:p>
            <w:pPr>
              <w:spacing w:after="0" w:line="20" w:lineRule="exact"/>
              <w:rPr>
                <w:sz w:val="1"/>
                <w:szCs w:val="1"/>
                <w:color w:val="auto"/>
              </w:rPr>
            </w:pPr>
          </w:p>
        </w:tc>
        <w:tc>
          <w:tcPr>
            <w:tcW w:w="2180" w:type="dxa"/>
            <w:vAlign w:val="bottom"/>
            <w:tcBorders>
              <w:right w:val="single" w:sz="8" w:color="003399"/>
            </w:tcBorders>
            <w:shd w:val="clear" w:color="auto" w:fill="003399"/>
          </w:tcPr>
          <w:p>
            <w:pPr>
              <w:spacing w:after="0" w:line="20" w:lineRule="exact"/>
              <w:rPr>
                <w:sz w:val="1"/>
                <w:szCs w:val="1"/>
                <w:color w:val="auto"/>
              </w:rPr>
            </w:pPr>
          </w:p>
        </w:tc>
        <w:tc>
          <w:tcPr>
            <w:tcW w:w="2580" w:type="dxa"/>
            <w:vAlign w:val="bottom"/>
            <w:tcBorders>
              <w:right w:val="single" w:sz="8" w:color="003399"/>
            </w:tcBorders>
            <w:shd w:val="clear" w:color="auto" w:fill="003399"/>
          </w:tcPr>
          <w:p>
            <w:pPr>
              <w:spacing w:after="0" w:line="20" w:lineRule="exact"/>
              <w:rPr>
                <w:sz w:val="1"/>
                <w:szCs w:val="1"/>
                <w:color w:val="auto"/>
              </w:rPr>
            </w:pPr>
          </w:p>
        </w:tc>
        <w:tc>
          <w:tcPr>
            <w:tcW w:w="720" w:type="dxa"/>
            <w:vAlign w:val="bottom"/>
            <w:tcBorders>
              <w:right w:val="single" w:sz="8" w:color="003399"/>
            </w:tcBorders>
            <w:shd w:val="clear" w:color="auto" w:fill="003399"/>
          </w:tcPr>
          <w:p>
            <w:pPr>
              <w:spacing w:after="0" w:line="20" w:lineRule="exact"/>
              <w:rPr>
                <w:sz w:val="1"/>
                <w:szCs w:val="1"/>
                <w:color w:val="auto"/>
              </w:rPr>
            </w:pPr>
          </w:p>
        </w:tc>
      </w:tr>
    </w:tbl>
    <w:p>
      <w:pPr>
        <w:spacing w:after="0" w:line="16" w:lineRule="exact"/>
        <w:rPr>
          <w:sz w:val="20"/>
          <w:szCs w:val="20"/>
          <w:color w:val="auto"/>
        </w:rPr>
      </w:pPr>
    </w:p>
    <w:p>
      <w:pPr>
        <w:spacing w:after="0"/>
        <w:rPr>
          <w:sz w:val="20"/>
          <w:szCs w:val="20"/>
          <w:color w:val="auto"/>
        </w:rPr>
      </w:pPr>
      <w:r>
        <w:rPr>
          <w:rFonts w:ascii="Arial" w:cs="Arial" w:eastAsia="Arial" w:hAnsi="Arial"/>
          <w:sz w:val="12"/>
          <w:szCs w:val="12"/>
          <w:color w:val="auto"/>
        </w:rPr>
        <w:t>© 2007 Thomson Financial. Republished with permission. No part of this publication may be reproduced or transmitted in any form or by any means without the prior written consent of Thomson Financial.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328930</wp:posOffset>
            </wp:positionV>
            <wp:extent cx="7250430" cy="298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003399"/>
        </w:rPr>
        <w:t>FINAL TRANSCRIPT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22288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46620" cy="222885"/>
                    </a:xfrm>
                    <a:prstGeom prst="rect">
                      <a:avLst/>
                    </a:prstGeom>
                    <a:noFill/>
                  </pic:spPr>
                </pic:pic>
              </a:graphicData>
            </a:graphic>
          </wp:anchor>
        </w:drawing>
      </w:r>
    </w:p>
    <w:p>
      <w:pPr>
        <w:spacing w:after="0" w:line="4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003399"/>
        </w:rPr>
        <w:t>Dec. 20. 2007 / 10:00AM ET, WGO - Q1 2008 Winnebago Earnings Conference Call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383540</wp:posOffset>
            </wp:positionV>
            <wp:extent cx="724662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Operator</w:t>
      </w: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color w:val="auto"/>
        </w:rPr>
        <w:t>Thank you for your participation in today's conference. This concludes the presentation, and you may now disconnect.</w:t>
      </w:r>
    </w:p>
    <w:p>
      <w:pPr>
        <w:sectPr>
          <w:pgSz w:w="11900" w:h="16838" w:orient="portrait"/>
          <w:cols w:equalWidth="0" w:num="1">
            <w:col w:w="11420"/>
          </w:cols>
          <w:pgMar w:left="240" w:top="169" w:right="239" w:bottom="40" w:gutter="0" w:footer="0" w:header="0"/>
        </w:sectPr>
      </w:pPr>
    </w:p>
    <w:bookmarkStart w:id="19" w:name="page20"/>
    <w:bookmarkEnd w:id="19"/>
    <w:p>
      <w:pPr>
        <w:ind w:left="120"/>
        <w:spacing w:after="0"/>
        <w:rPr>
          <w:sz w:val="20"/>
          <w:szCs w:val="20"/>
          <w:color w:val="auto"/>
        </w:rPr>
      </w:pPr>
      <w:r>
        <w:rPr>
          <w:rFonts w:ascii="Arial" w:cs="Arial" w:eastAsia="Arial" w:hAnsi="Arial"/>
          <w:sz w:val="18"/>
          <w:szCs w:val="18"/>
          <w:b w:val="1"/>
          <w:bCs w:val="1"/>
          <w:color w:val="6B9915"/>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175831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46620" cy="1758315"/>
                    </a:xfrm>
                    <a:prstGeom prst="rect">
                      <a:avLst/>
                    </a:prstGeom>
                    <a:noFill/>
                  </pic:spPr>
                </pic:pic>
              </a:graphicData>
            </a:graphic>
          </wp:anchor>
        </w:drawing>
        <w:t>DISCLAIMER</w:t>
      </w:r>
    </w:p>
    <w:p>
      <w:pPr>
        <w:spacing w:after="0" w:line="67" w:lineRule="exact"/>
        <w:rPr>
          <w:sz w:val="20"/>
          <w:szCs w:val="20"/>
          <w:color w:val="auto"/>
        </w:rPr>
      </w:pPr>
    </w:p>
    <w:p>
      <w:pPr>
        <w:ind w:left="120"/>
        <w:spacing w:after="0"/>
        <w:rPr>
          <w:sz w:val="20"/>
          <w:szCs w:val="20"/>
          <w:color w:val="auto"/>
        </w:rPr>
      </w:pPr>
      <w:r>
        <w:rPr>
          <w:rFonts w:ascii="Arial" w:cs="Arial" w:eastAsia="Arial" w:hAnsi="Arial"/>
          <w:sz w:val="14"/>
          <w:szCs w:val="14"/>
          <w:color w:val="808080"/>
        </w:rPr>
        <w:t>Thomson Financial reserves the right to make changes to documents, content, or other information on this web site without obligation to notify any person of such changes.</w:t>
      </w:r>
    </w:p>
    <w:p>
      <w:pPr>
        <w:spacing w:after="0" w:line="136" w:lineRule="exact"/>
        <w:rPr>
          <w:sz w:val="20"/>
          <w:szCs w:val="20"/>
          <w:color w:val="auto"/>
        </w:rPr>
      </w:pPr>
    </w:p>
    <w:p>
      <w:pPr>
        <w:jc w:val="both"/>
        <w:ind w:left="120" w:right="120"/>
        <w:spacing w:after="0" w:line="278" w:lineRule="auto"/>
        <w:rPr>
          <w:sz w:val="20"/>
          <w:szCs w:val="20"/>
          <w:color w:val="auto"/>
        </w:rPr>
      </w:pPr>
      <w:r>
        <w:rPr>
          <w:rFonts w:ascii="Arial" w:cs="Arial" w:eastAsia="Arial" w:hAnsi="Arial"/>
          <w:sz w:val="12"/>
          <w:szCs w:val="12"/>
          <w:color w:val="808080"/>
        </w:rPr>
        <w:t>In the conference calls upon which Event Transcripts are based, companies may make projections or other forward-looking statements regarding a variety of items. Such forward-looking statements are based upon current expectations and involve risks and uncertainties. Actual results may differ materially from those stated in any forward-looking statement based on a number of important factors and risks, which are more specifically identified in the companies' most recent SEC filings. Although the companies mayindicate and believe that the assumptions underlying the forward-looking statements are reasonable, any of the assumptions could prove inaccurate or incorrect and, therefore, there can be no assurance that the results contemplated in the forward-looking statements will be realized.</w:t>
      </w:r>
    </w:p>
    <w:p>
      <w:pPr>
        <w:spacing w:after="0" w:line="103" w:lineRule="exact"/>
        <w:rPr>
          <w:sz w:val="20"/>
          <w:szCs w:val="20"/>
          <w:color w:val="auto"/>
        </w:rPr>
      </w:pPr>
    </w:p>
    <w:p>
      <w:pPr>
        <w:jc w:val="both"/>
        <w:ind w:left="120" w:right="120"/>
        <w:spacing w:after="0" w:line="273" w:lineRule="auto"/>
        <w:rPr>
          <w:sz w:val="20"/>
          <w:szCs w:val="20"/>
          <w:color w:val="auto"/>
        </w:rPr>
      </w:pPr>
      <w:r>
        <w:rPr>
          <w:rFonts w:ascii="Arial" w:cs="Arial" w:eastAsia="Arial" w:hAnsi="Arial"/>
          <w:sz w:val="12"/>
          <w:szCs w:val="12"/>
          <w:color w:val="808080"/>
        </w:rPr>
        <w:t>THE INFORMATION CONTAINED IN EVENT TRANSCRIPTS IS A TEXTUAL REPRESENTATION OF THE APPLICABLE COMPANY'S CONFERENCE CALL AND WHILE EFFORTS ARE MADE TO PROVIDE AN ACCURATE TRANSCRIPTION, THERE MAY BE MATERIAL ERRORS, OMISSIONS, OR INACCURACIES IN THE REPORTING OF THE SUBSTANCE OF THE CONFERENCE CALLS. IN NO WAY DOES THOMSON FINANCIAL OR THE APPLICABLE COMPANY OR THE APPLICABLE COMPANY ASSUME ANY RESPONSIBILITY FOR ANY INVESTMENT OR OTHER DECISIONS MADE BASED UPON THE INFORMATION PROVIDED ON THIS WEB SITE OR IN ANY EVENT TRANSCRIPT. USERS ARE ADVISED TO REVIEW THE APPLICABLE COMPANY'S CONFERENCE CALL ITSELF AND THE APPLICABLE COMPANY'S SEC FILINGS BEFORE MAKING ANY INVESTMENT OR OTHER DECISIONS.</w:t>
      </w:r>
    </w:p>
    <w:p>
      <w:pPr>
        <w:spacing w:after="0" w:line="107" w:lineRule="exact"/>
        <w:rPr>
          <w:sz w:val="20"/>
          <w:szCs w:val="20"/>
          <w:color w:val="auto"/>
        </w:rPr>
      </w:pPr>
    </w:p>
    <w:p>
      <w:pPr>
        <w:ind w:left="120"/>
        <w:spacing w:after="0"/>
        <w:rPr>
          <w:sz w:val="20"/>
          <w:szCs w:val="20"/>
          <w:color w:val="auto"/>
        </w:rPr>
      </w:pPr>
      <w:r>
        <w:rPr>
          <w:rFonts w:ascii="Arial" w:cs="Arial" w:eastAsia="Arial" w:hAnsi="Arial"/>
          <w:sz w:val="14"/>
          <w:szCs w:val="14"/>
          <w:color w:val="808080"/>
        </w:rPr>
        <w:t>© 2005, Thomson StreetEvents All Rights Reserved.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304"/>
        </w:trPr>
        <w:tc>
          <w:tcPr>
            <w:tcW w:w="3160" w:type="dxa"/>
            <w:vAlign w:val="bottom"/>
            <w:tcBorders>
              <w:top w:val="single" w:sz="8" w:color="003399"/>
              <w:bottom w:val="single" w:sz="8" w:color="003399"/>
            </w:tcBorders>
            <w:shd w:val="clear" w:color="auto" w:fill="003399"/>
          </w:tcPr>
          <w:p>
            <w:pPr>
              <w:ind w:left="740"/>
              <w:spacing w:after="0"/>
              <w:rPr>
                <w:sz w:val="20"/>
                <w:szCs w:val="20"/>
                <w:color w:val="auto"/>
              </w:rPr>
            </w:pPr>
            <w:r>
              <w:rPr>
                <w:rFonts w:ascii="Arial" w:cs="Arial" w:eastAsia="Arial" w:hAnsi="Arial"/>
                <w:sz w:val="18"/>
                <w:szCs w:val="18"/>
                <w:b w:val="1"/>
                <w:bCs w:val="1"/>
                <w:color w:val="FFFFFF"/>
              </w:rPr>
              <w:t>Thomson StreetEvents</w:t>
            </w:r>
          </w:p>
        </w:tc>
        <w:tc>
          <w:tcPr>
            <w:tcW w:w="2780" w:type="dxa"/>
            <w:vAlign w:val="bottom"/>
            <w:tcBorders>
              <w:top w:val="single" w:sz="8" w:color="003399"/>
              <w:right w:val="single" w:sz="8" w:color="003399"/>
            </w:tcBorders>
          </w:tcPr>
          <w:p>
            <w:pPr>
              <w:ind w:left="780"/>
              <w:spacing w:after="0"/>
              <w:rPr>
                <w:sz w:val="20"/>
                <w:szCs w:val="20"/>
                <w:color w:val="auto"/>
              </w:rPr>
            </w:pPr>
            <w:r>
              <w:rPr>
                <w:rFonts w:ascii="Arial" w:cs="Arial" w:eastAsia="Arial" w:hAnsi="Arial"/>
                <w:sz w:val="14"/>
                <w:szCs w:val="14"/>
                <w:color w:val="003399"/>
              </w:rPr>
              <w:t>www.streetevents.com</w:t>
            </w:r>
          </w:p>
        </w:tc>
        <w:tc>
          <w:tcPr>
            <w:tcW w:w="2180" w:type="dxa"/>
            <w:vAlign w:val="bottom"/>
            <w:tcBorders>
              <w:top w:val="single" w:sz="8" w:color="003399"/>
              <w:right w:val="single" w:sz="8" w:color="003399"/>
            </w:tcBorders>
          </w:tcPr>
          <w:p>
            <w:pPr>
              <w:spacing w:after="0"/>
              <w:rPr>
                <w:sz w:val="24"/>
                <w:szCs w:val="24"/>
                <w:color w:val="auto"/>
              </w:rPr>
            </w:pPr>
          </w:p>
        </w:tc>
        <w:tc>
          <w:tcPr>
            <w:tcW w:w="2580" w:type="dxa"/>
            <w:vAlign w:val="bottom"/>
            <w:tcBorders>
              <w:top w:val="single" w:sz="8" w:color="003399"/>
              <w:right w:val="single" w:sz="8" w:color="003399"/>
            </w:tcBorders>
          </w:tcPr>
          <w:p>
            <w:pPr>
              <w:ind w:left="980"/>
              <w:spacing w:after="0"/>
              <w:rPr>
                <w:sz w:val="20"/>
                <w:szCs w:val="20"/>
                <w:color w:val="auto"/>
              </w:rPr>
            </w:pPr>
            <w:r>
              <w:rPr>
                <w:rFonts w:ascii="Arial" w:cs="Arial" w:eastAsia="Arial" w:hAnsi="Arial"/>
                <w:sz w:val="14"/>
                <w:szCs w:val="14"/>
                <w:color w:val="003399"/>
              </w:rPr>
              <w:t>Contact Us</w:t>
            </w:r>
          </w:p>
        </w:tc>
        <w:tc>
          <w:tcPr>
            <w:tcW w:w="720" w:type="dxa"/>
            <w:vAlign w:val="bottom"/>
            <w:tcBorders>
              <w:top w:val="single" w:sz="8" w:color="003399"/>
              <w:bottom w:val="single" w:sz="8" w:color="6B9915"/>
              <w:right w:val="single" w:sz="8" w:color="003399"/>
            </w:tcBorders>
            <w:shd w:val="clear" w:color="auto" w:fill="6B9915"/>
          </w:tcPr>
          <w:p>
            <w:pPr>
              <w:jc w:val="right"/>
              <w:ind w:right="192"/>
              <w:spacing w:after="0"/>
              <w:rPr>
                <w:sz w:val="20"/>
                <w:szCs w:val="20"/>
                <w:color w:val="auto"/>
              </w:rPr>
            </w:pPr>
            <w:r>
              <w:rPr>
                <w:rFonts w:ascii="Arial" w:cs="Arial" w:eastAsia="Arial" w:hAnsi="Arial"/>
                <w:sz w:val="18"/>
                <w:szCs w:val="18"/>
                <w:color w:val="FFFFFF"/>
              </w:rPr>
              <w:t>16</w:t>
            </w:r>
          </w:p>
        </w:tc>
      </w:tr>
      <w:tr>
        <w:trPr>
          <w:trHeight w:val="20"/>
        </w:trPr>
        <w:tc>
          <w:tcPr>
            <w:tcW w:w="3160" w:type="dxa"/>
            <w:vAlign w:val="bottom"/>
            <w:shd w:val="clear" w:color="auto" w:fill="003399"/>
          </w:tcPr>
          <w:p>
            <w:pPr>
              <w:spacing w:after="0" w:line="20" w:lineRule="exact"/>
              <w:rPr>
                <w:sz w:val="1"/>
                <w:szCs w:val="1"/>
                <w:color w:val="auto"/>
              </w:rPr>
            </w:pPr>
          </w:p>
        </w:tc>
        <w:tc>
          <w:tcPr>
            <w:tcW w:w="2780" w:type="dxa"/>
            <w:vAlign w:val="bottom"/>
            <w:tcBorders>
              <w:right w:val="single" w:sz="8" w:color="003399"/>
            </w:tcBorders>
            <w:shd w:val="clear" w:color="auto" w:fill="003399"/>
          </w:tcPr>
          <w:p>
            <w:pPr>
              <w:spacing w:after="0" w:line="20" w:lineRule="exact"/>
              <w:rPr>
                <w:sz w:val="1"/>
                <w:szCs w:val="1"/>
                <w:color w:val="auto"/>
              </w:rPr>
            </w:pPr>
          </w:p>
        </w:tc>
        <w:tc>
          <w:tcPr>
            <w:tcW w:w="2180" w:type="dxa"/>
            <w:vAlign w:val="bottom"/>
            <w:tcBorders>
              <w:right w:val="single" w:sz="8" w:color="003399"/>
            </w:tcBorders>
            <w:shd w:val="clear" w:color="auto" w:fill="003399"/>
          </w:tcPr>
          <w:p>
            <w:pPr>
              <w:spacing w:after="0" w:line="20" w:lineRule="exact"/>
              <w:rPr>
                <w:sz w:val="1"/>
                <w:szCs w:val="1"/>
                <w:color w:val="auto"/>
              </w:rPr>
            </w:pPr>
          </w:p>
        </w:tc>
        <w:tc>
          <w:tcPr>
            <w:tcW w:w="2580" w:type="dxa"/>
            <w:vAlign w:val="bottom"/>
            <w:tcBorders>
              <w:right w:val="single" w:sz="8" w:color="003399"/>
            </w:tcBorders>
            <w:shd w:val="clear" w:color="auto" w:fill="003399"/>
          </w:tcPr>
          <w:p>
            <w:pPr>
              <w:spacing w:after="0" w:line="20" w:lineRule="exact"/>
              <w:rPr>
                <w:sz w:val="1"/>
                <w:szCs w:val="1"/>
                <w:color w:val="auto"/>
              </w:rPr>
            </w:pPr>
          </w:p>
        </w:tc>
        <w:tc>
          <w:tcPr>
            <w:tcW w:w="720" w:type="dxa"/>
            <w:vAlign w:val="bottom"/>
            <w:tcBorders>
              <w:right w:val="single" w:sz="8" w:color="003399"/>
            </w:tcBorders>
            <w:shd w:val="clear" w:color="auto" w:fill="003399"/>
          </w:tcPr>
          <w:p>
            <w:pPr>
              <w:spacing w:after="0" w:line="20" w:lineRule="exact"/>
              <w:rPr>
                <w:sz w:val="1"/>
                <w:szCs w:val="1"/>
                <w:color w:val="auto"/>
              </w:rPr>
            </w:pPr>
          </w:p>
        </w:tc>
      </w:tr>
    </w:tbl>
    <w:p>
      <w:pPr>
        <w:spacing w:after="0" w:line="30" w:lineRule="exact"/>
        <w:rPr>
          <w:sz w:val="20"/>
          <w:szCs w:val="20"/>
          <w:color w:val="auto"/>
        </w:rPr>
      </w:pPr>
    </w:p>
    <w:p>
      <w:pPr>
        <w:spacing w:after="0"/>
        <w:rPr>
          <w:sz w:val="20"/>
          <w:szCs w:val="20"/>
          <w:color w:val="auto"/>
        </w:rPr>
      </w:pPr>
      <w:r>
        <w:rPr>
          <w:rFonts w:ascii="Arial" w:cs="Arial" w:eastAsia="Arial" w:hAnsi="Arial"/>
          <w:sz w:val="12"/>
          <w:szCs w:val="12"/>
          <w:color w:val="auto"/>
        </w:rPr>
        <w:t>© 2007 Thomson Financial. Republished with permission. No part of this publication may be reproduced or transmitted in any form or by any means without the prior written consent of Thomson Financial.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328930</wp:posOffset>
            </wp:positionV>
            <wp:extent cx="7250430" cy="298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sectPr>
      <w:pgSz w:w="11900" w:h="16838" w:orient="portrait"/>
      <w:cols w:equalWidth="0" w:num="1">
        <w:col w:w="11420"/>
      </w:cols>
      <w:pgMar w:left="240" w:top="382"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o"/>
      <w:numFmt w:val="bullet"/>
      <w:start w:val="1"/>
    </w:lvl>
  </w:abstractNum>
  <w:abstractNum w:abstractNumId="1">
    <w:nsid w:val="66334873"/>
    <w:multiLevelType w:val="hybridMultilevel"/>
    <w:lvl w:ilvl="0">
      <w:lvlJc w:val="left"/>
      <w:lvlText w:val="*"/>
      <w:numFmt w:val="bullet"/>
      <w:start w:val="1"/>
    </w:lvl>
    <w:lvl w:ilvl="1">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2019-12-11T20:45:06Z</dcterms:created>
  <dcterms:modified xsi:type="dcterms:W3CDTF">2019-12-11T20:45:06Z</dcterms:modified>
</cp:coreProperties>
</file>