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ny20052074x2_defa14a.htm"/>
      <w:bookmarkStart w:id="1" w:name="ksny20052074x2_defa14a"/>
      <w:bookmarkStart w:id="2" w:name="ny20052074x2_defa14a.htm"/>
      <w:bookmarkStart w:id="3" w:name="ksny20052074x2_defa14a"/>
      <w:bookmarkEnd w:id="2"/>
      <w:bookmarkEnd w:id="3"/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UNITED STATES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SECURITIES AND EXCHANGE COMMISSION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Washington, D.C. 20549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SCHEDULE 14A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Proxy Statement Pursuant to Section 14(a) of the Securities Exchange Act of 1934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zf0e99c992a454fd690fc1a292930bf81"/>
      <w:bookmarkStart w:id="5" w:name="zf0e99c992a454fd690fc1a292930bf81"/>
      <w:bookmarkEnd w:id="5"/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4641850" cy="3527425"/>
                <wp:effectExtent l="0" t="0" r="0" b="0"/>
                <wp:wrapSquare wrapText="right"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850" cy="35274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731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275"/>
                              <w:gridCol w:w="140"/>
                              <w:gridCol w:w="140"/>
                              <w:gridCol w:w="6755"/>
                            </w:tblGrid>
                            <w:tr>
                              <w:trPr/>
                              <w:tc>
                                <w:tcPr>
                                  <w:tcW w:w="7310" w:type="dxa"/>
                                  <w:gridSpan w:val="4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310" w:type="dxa"/>
                                  <w:gridSpan w:val="4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ind w:left="0" w:right="0" w:hanging="0"/>
                                    <w:jc w:val="left"/>
                                    <w:rPr>
                                      <w:rFonts w:ascii="Times New Roman;Times;serif" w:hAnsi="Times New Roman;Times;serif"/>
                                      <w:color w:val="14202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;Times;serif" w:hAnsi="Times New Roman;Times;serif"/>
                                      <w:color w:val="14202A"/>
                                      <w:sz w:val="20"/>
                                    </w:rPr>
                                    <w:t>Filed by the Registrant ☒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310" w:type="dxa"/>
                                  <w:gridSpan w:val="4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80" w:after="283"/>
                                    <w:ind w:left="0" w:right="0" w:hanging="0"/>
                                    <w:jc w:val="left"/>
                                    <w:rPr>
                                      <w:rFonts w:ascii="Times New Roman;Times;serif" w:hAnsi="Times New Roman;Times;serif"/>
                                      <w:color w:val="14202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;Times;serif" w:hAnsi="Times New Roman;Times;serif"/>
                                      <w:color w:val="14202A"/>
                                      <w:sz w:val="20"/>
                                    </w:rPr>
                                    <w:t>Filed by party other than the Registrant  ☐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310" w:type="dxa"/>
                                  <w:gridSpan w:val="4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80" w:after="283"/>
                                    <w:ind w:left="0" w:right="0" w:hanging="0"/>
                                    <w:jc w:val="left"/>
                                    <w:rPr>
                                      <w:rFonts w:ascii="Times New Roman;Times;serif" w:hAnsi="Times New Roman;Times;serif"/>
                                      <w:color w:val="14202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;Times;serif" w:hAnsi="Times New Roman;Times;serif"/>
                                      <w:color w:val="14202A"/>
                                      <w:sz w:val="20"/>
                                    </w:rPr>
                                    <w:t>Check the appropriate box: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80" w:after="283"/>
                                    <w:ind w:left="0" w:right="0" w:hanging="0"/>
                                    <w:jc w:val="left"/>
                                    <w:rPr>
                                      <w:color w:val="14202A"/>
                                    </w:rPr>
                                  </w:pPr>
                                  <w:r>
                                    <w:rPr>
                                      <w:color w:val="14202A"/>
                                    </w:rPr>
                                    <w:t> ☐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675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ind w:left="0" w:right="0" w:hanging="0"/>
                                    <w:jc w:val="left"/>
                                    <w:rPr>
                                      <w:rFonts w:ascii="Times New Roman;Times;serif" w:hAnsi="Times New Roman;Times;serif"/>
                                      <w:color w:val="14202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;Times;serif" w:hAnsi="Times New Roman;Times;serif"/>
                                      <w:color w:val="14202A"/>
                                      <w:sz w:val="20"/>
                                    </w:rPr>
                                    <w:t>Preliminary Proxy Statement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80" w:after="283"/>
                                    <w:ind w:left="0" w:right="0" w:hanging="0"/>
                                    <w:jc w:val="left"/>
                                    <w:rPr>
                                      <w:color w:val="14202A"/>
                                    </w:rPr>
                                  </w:pPr>
                                  <w:r>
                                    <w:rPr>
                                      <w:color w:val="14202A"/>
                                    </w:rPr>
                                    <w:t> ☐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675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ind w:left="0" w:right="0" w:hanging="0"/>
                                    <w:jc w:val="left"/>
                                    <w:rPr>
                                      <w:rFonts w:ascii="Times New Roman;Times;serif" w:hAnsi="Times New Roman;Times;serif"/>
                                      <w:b/>
                                      <w:color w:val="14202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;Times;serif" w:hAnsi="Times New Roman;Times;serif"/>
                                      <w:b/>
                                      <w:color w:val="14202A"/>
                                      <w:sz w:val="20"/>
                                    </w:rPr>
                                    <w:t>Confidential, For Use of the Commission Only (as permitted by Rule 14a-6(e)(2))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80" w:after="283"/>
                                    <w:ind w:left="0" w:right="0" w:hanging="0"/>
                                    <w:jc w:val="left"/>
                                    <w:rPr>
                                      <w:color w:val="14202A"/>
                                    </w:rPr>
                                  </w:pPr>
                                  <w:r>
                                    <w:rPr>
                                      <w:color w:val="14202A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675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ind w:left="0" w:right="0" w:hanging="0"/>
                                    <w:jc w:val="left"/>
                                    <w:rPr>
                                      <w:rFonts w:ascii="Times New Roman;Times;serif" w:hAnsi="Times New Roman;Times;serif"/>
                                      <w:color w:val="14202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;Times;serif" w:hAnsi="Times New Roman;Times;serif"/>
                                      <w:color w:val="14202A"/>
                                      <w:sz w:val="20"/>
                                    </w:rPr>
                                    <w:t>Definitive Proxy Statement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80" w:after="283"/>
                                    <w:ind w:left="0" w:right="0" w:hanging="0"/>
                                    <w:jc w:val="left"/>
                                    <w:rPr>
                                      <w:color w:val="14202A"/>
                                    </w:rPr>
                                  </w:pPr>
                                  <w:r>
                                    <w:rPr>
                                      <w:color w:val="14202A"/>
                                    </w:rPr>
                                    <w:t>☒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675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ind w:left="0" w:right="0" w:hanging="0"/>
                                    <w:jc w:val="left"/>
                                    <w:rPr>
                                      <w:rFonts w:ascii="Times New Roman;Times;serif" w:hAnsi="Times New Roman;Times;serif"/>
                                      <w:color w:val="14202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;Times;serif" w:hAnsi="Times New Roman;Times;serif"/>
                                      <w:color w:val="14202A"/>
                                      <w:sz w:val="20"/>
                                    </w:rPr>
                                    <w:t>Definitive Additional Materials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80" w:after="283"/>
                                    <w:ind w:left="0" w:right="0" w:hanging="0"/>
                                    <w:jc w:val="left"/>
                                    <w:rPr>
                                      <w:color w:val="14202A"/>
                                    </w:rPr>
                                  </w:pPr>
                                  <w:r>
                                    <w:rPr>
                                      <w:color w:val="14202A"/>
                                    </w:rPr>
                                    <w:t> ☐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675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ind w:left="0" w:right="0" w:hanging="0"/>
                                    <w:jc w:val="left"/>
                                    <w:rPr>
                                      <w:rFonts w:ascii="Times New Roman;Times;serif" w:hAnsi="Times New Roman;Times;serif"/>
                                      <w:color w:val="14202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;Times;serif" w:hAnsi="Times New Roman;Times;serif"/>
                                      <w:color w:val="14202A"/>
                                      <w:sz w:val="20"/>
                                    </w:rPr>
                                    <w:t>Soliciting Material under § 240.14a-12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675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5.5pt;height:277.7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tbl>
                      <w:tblPr>
                        <w:tblW w:w="7310" w:type="dxa"/>
                        <w:jc w:val="left"/>
                        <w:tblInd w:w="0" w:type="dxa"/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275"/>
                        <w:gridCol w:w="140"/>
                        <w:gridCol w:w="140"/>
                        <w:gridCol w:w="6755"/>
                      </w:tblGrid>
                      <w:tr>
                        <w:trPr/>
                        <w:tc>
                          <w:tcPr>
                            <w:tcW w:w="7310" w:type="dxa"/>
                            <w:gridSpan w:val="4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310" w:type="dxa"/>
                            <w:gridSpan w:val="4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ind w:left="0" w:right="0" w:hanging="0"/>
                              <w:jc w:val="left"/>
                              <w:rPr>
                                <w:rFonts w:ascii="Times New Roman;Times;serif" w:hAnsi="Times New Roman;Times;serif"/>
                                <w:color w:val="14202A"/>
                                <w:sz w:val="20"/>
                              </w:rPr>
                            </w:pPr>
                            <w:r>
                              <w:rPr>
                                <w:rFonts w:ascii="Times New Roman;Times;serif" w:hAnsi="Times New Roman;Times;serif"/>
                                <w:color w:val="14202A"/>
                                <w:sz w:val="20"/>
                              </w:rPr>
                              <w:t>Filed by the Registrant ☒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310" w:type="dxa"/>
                            <w:gridSpan w:val="4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80" w:after="283"/>
                              <w:ind w:left="0" w:right="0" w:hanging="0"/>
                              <w:jc w:val="left"/>
                              <w:rPr>
                                <w:rFonts w:ascii="Times New Roman;Times;serif" w:hAnsi="Times New Roman;Times;serif"/>
                                <w:color w:val="14202A"/>
                                <w:sz w:val="20"/>
                              </w:rPr>
                            </w:pPr>
                            <w:r>
                              <w:rPr>
                                <w:rFonts w:ascii="Times New Roman;Times;serif" w:hAnsi="Times New Roman;Times;serif"/>
                                <w:color w:val="14202A"/>
                                <w:sz w:val="20"/>
                              </w:rPr>
                              <w:t>Filed by party other than the Registrant  ☐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310" w:type="dxa"/>
                            <w:gridSpan w:val="4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80" w:after="283"/>
                              <w:ind w:left="0" w:right="0" w:hanging="0"/>
                              <w:jc w:val="left"/>
                              <w:rPr>
                                <w:rFonts w:ascii="Times New Roman;Times;serif" w:hAnsi="Times New Roman;Times;serif"/>
                                <w:color w:val="14202A"/>
                                <w:sz w:val="20"/>
                              </w:rPr>
                            </w:pPr>
                            <w:r>
                              <w:rPr>
                                <w:rFonts w:ascii="Times New Roman;Times;serif" w:hAnsi="Times New Roman;Times;serif"/>
                                <w:color w:val="14202A"/>
                                <w:sz w:val="20"/>
                              </w:rPr>
                              <w:t>Check the appropriate box: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80" w:after="283"/>
                              <w:ind w:left="0" w:right="0" w:hanging="0"/>
                              <w:jc w:val="left"/>
                              <w:rPr>
                                <w:color w:val="14202A"/>
                              </w:rPr>
                            </w:pPr>
                            <w:r>
                              <w:rPr>
                                <w:color w:val="14202A"/>
                              </w:rPr>
                              <w:t> ☐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675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ind w:left="0" w:right="0" w:hanging="0"/>
                              <w:jc w:val="left"/>
                              <w:rPr>
                                <w:rFonts w:ascii="Times New Roman;Times;serif" w:hAnsi="Times New Roman;Times;serif"/>
                                <w:color w:val="14202A"/>
                                <w:sz w:val="20"/>
                              </w:rPr>
                            </w:pPr>
                            <w:r>
                              <w:rPr>
                                <w:rFonts w:ascii="Times New Roman;Times;serif" w:hAnsi="Times New Roman;Times;serif"/>
                                <w:color w:val="14202A"/>
                                <w:sz w:val="20"/>
                              </w:rPr>
                              <w:t>Preliminary Proxy Statement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80" w:after="283"/>
                              <w:ind w:left="0" w:right="0" w:hanging="0"/>
                              <w:jc w:val="left"/>
                              <w:rPr>
                                <w:color w:val="14202A"/>
                              </w:rPr>
                            </w:pPr>
                            <w:r>
                              <w:rPr>
                                <w:color w:val="14202A"/>
                              </w:rPr>
                              <w:t> ☐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675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ind w:left="0" w:right="0" w:hanging="0"/>
                              <w:jc w:val="left"/>
                              <w:rPr>
                                <w:rFonts w:ascii="Times New Roman;Times;serif" w:hAnsi="Times New Roman;Times;serif"/>
                                <w:b/>
                                <w:color w:val="14202A"/>
                                <w:sz w:val="20"/>
                              </w:rPr>
                            </w:pPr>
                            <w:r>
                              <w:rPr>
                                <w:rFonts w:ascii="Times New Roman;Times;serif" w:hAnsi="Times New Roman;Times;serif"/>
                                <w:b/>
                                <w:color w:val="14202A"/>
                                <w:sz w:val="20"/>
                              </w:rPr>
                              <w:t>Confidential, For Use of the Commission Only (as permitted by Rule 14a-6(e)(2))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80" w:after="283"/>
                              <w:ind w:left="0" w:right="0" w:hanging="0"/>
                              <w:jc w:val="left"/>
                              <w:rPr>
                                <w:color w:val="14202A"/>
                              </w:rPr>
                            </w:pPr>
                            <w:r>
                              <w:rPr>
                                <w:color w:val="14202A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675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ind w:left="0" w:right="0" w:hanging="0"/>
                              <w:jc w:val="left"/>
                              <w:rPr>
                                <w:rFonts w:ascii="Times New Roman;Times;serif" w:hAnsi="Times New Roman;Times;serif"/>
                                <w:color w:val="14202A"/>
                                <w:sz w:val="20"/>
                              </w:rPr>
                            </w:pPr>
                            <w:r>
                              <w:rPr>
                                <w:rFonts w:ascii="Times New Roman;Times;serif" w:hAnsi="Times New Roman;Times;serif"/>
                                <w:color w:val="14202A"/>
                                <w:sz w:val="20"/>
                              </w:rPr>
                              <w:t>Definitive Proxy Statement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80" w:after="283"/>
                              <w:ind w:left="0" w:right="0" w:hanging="0"/>
                              <w:jc w:val="left"/>
                              <w:rPr>
                                <w:color w:val="14202A"/>
                              </w:rPr>
                            </w:pPr>
                            <w:r>
                              <w:rPr>
                                <w:color w:val="14202A"/>
                              </w:rPr>
                              <w:t>☒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675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ind w:left="0" w:right="0" w:hanging="0"/>
                              <w:jc w:val="left"/>
                              <w:rPr>
                                <w:rFonts w:ascii="Times New Roman;Times;serif" w:hAnsi="Times New Roman;Times;serif"/>
                                <w:color w:val="14202A"/>
                                <w:sz w:val="20"/>
                              </w:rPr>
                            </w:pPr>
                            <w:r>
                              <w:rPr>
                                <w:rFonts w:ascii="Times New Roman;Times;serif" w:hAnsi="Times New Roman;Times;serif"/>
                                <w:color w:val="14202A"/>
                                <w:sz w:val="20"/>
                              </w:rPr>
                              <w:t>Definitive Additional Materials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80" w:after="283"/>
                              <w:ind w:left="0" w:right="0" w:hanging="0"/>
                              <w:jc w:val="left"/>
                              <w:rPr>
                                <w:color w:val="14202A"/>
                              </w:rPr>
                            </w:pPr>
                            <w:r>
                              <w:rPr>
                                <w:color w:val="14202A"/>
                              </w:rPr>
                              <w:t> ☐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675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ind w:left="0" w:right="0" w:hanging="0"/>
                              <w:jc w:val="left"/>
                              <w:rPr>
                                <w:rFonts w:ascii="Times New Roman;Times;serif" w:hAnsi="Times New Roman;Times;serif"/>
                                <w:color w:val="14202A"/>
                                <w:sz w:val="20"/>
                              </w:rPr>
                            </w:pPr>
                            <w:r>
                              <w:rPr>
                                <w:rFonts w:ascii="Times New Roman;Times;serif" w:hAnsi="Times New Roman;Times;serif"/>
                                <w:color w:val="14202A"/>
                                <w:sz w:val="20"/>
                              </w:rPr>
                              <w:t>Soliciting Material under § 240.14a-12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675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</w:tr>
                    </w:tbl>
                  </w:txbxContent>
                </v:textbox>
                <w10:wrap type="square" side="right"/>
              </v:rect>
            </w:pict>
          </mc:Fallback>
        </mc:AlternateContent>
      </w:r>
    </w:p>
    <w:tbl>
      <w:tblPr>
        <w:tblW w:w="5840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40"/>
      </w:tblGrid>
      <w:tr>
        <w:trPr/>
        <w:tc>
          <w:tcPr>
            <w:tcW w:w="584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584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color w:val="14202A"/>
              </w:rPr>
            </w:pPr>
            <w:r>
              <w:rPr>
                <w:color w:val="14202A"/>
              </w:rPr>
              <w:drawing>
                <wp:inline distT="0" distB="0" distL="0" distR="0">
                  <wp:extent cx="2857500" cy="676275"/>
                  <wp:effectExtent l="0" t="0" r="0" b="0"/>
                  <wp:docPr id="2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Contents"/>
              <w:bidi w:val="0"/>
              <w:spacing w:before="0" w:after="283"/>
              <w:ind w:left="200" w:right="0" w:hanging="0"/>
              <w:jc w:val="left"/>
              <w:rPr>
                <w:color w:val="14202A"/>
              </w:rPr>
            </w:pPr>
            <w:r>
              <w:rPr>
                <w:color w:val="14202A"/>
              </w:rPr>
              <w:t> </w:t>
            </w:r>
          </w:p>
        </w:tc>
      </w:tr>
      <w:tr>
        <w:trPr/>
        <w:tc>
          <w:tcPr>
            <w:tcW w:w="584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14202A"/>
              </w:rPr>
            </w:pPr>
            <w:r>
              <w:rPr>
                <w:color w:val="14202A"/>
              </w:rPr>
              <w:t> </w:t>
            </w:r>
          </w:p>
        </w:tc>
      </w:tr>
      <w:tr>
        <w:trPr/>
        <w:tc>
          <w:tcPr>
            <w:tcW w:w="5840" w:type="dxa"/>
            <w:tcBorders>
              <w:bottom w:val="single" w:sz="8" w:space="0" w:color="000000"/>
            </w:tcBorders>
            <w:shd w:fill="FFFFFF" w:val="clear"/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b/>
                <w:color w:val="14202A"/>
                <w:sz w:val="36"/>
              </w:rPr>
            </w:pPr>
            <w:r>
              <w:rPr>
                <w:rFonts w:ascii="Times New Roman;Times;serif" w:hAnsi="Times New Roman;Times;serif"/>
                <w:b/>
                <w:color w:val="14202A"/>
                <w:sz w:val="36"/>
              </w:rPr>
              <w:t>WINNEBAGO INDUSTRIES, INC.</w:t>
            </w:r>
          </w:p>
        </w:tc>
      </w:tr>
      <w:tr>
        <w:trPr/>
        <w:tc>
          <w:tcPr>
            <w:tcW w:w="584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color w:val="14202A"/>
                <w:sz w:val="20"/>
              </w:rPr>
            </w:pPr>
            <w:r>
              <w:rPr>
                <w:rFonts w:ascii="Times New Roman;Times;serif" w:hAnsi="Times New Roman;Times;serif"/>
                <w:color w:val="14202A"/>
                <w:sz w:val="20"/>
              </w:rPr>
              <w:t>(Name of Registrant as Specified in its Charter)</w:t>
            </w:r>
          </w:p>
        </w:tc>
      </w:tr>
      <w:tr>
        <w:trPr/>
        <w:tc>
          <w:tcPr>
            <w:tcW w:w="5840" w:type="dxa"/>
            <w:tcBorders>
              <w:bottom w:val="single" w:sz="8" w:space="0" w:color="000000"/>
            </w:tcBorders>
            <w:shd w:fill="FFFFFF" w:val="clear"/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14202A"/>
              </w:rPr>
            </w:pPr>
            <w:r>
              <w:rPr>
                <w:color w:val="14202A"/>
              </w:rPr>
              <w:t> </w:t>
            </w:r>
          </w:p>
        </w:tc>
      </w:tr>
      <w:tr>
        <w:trPr/>
        <w:tc>
          <w:tcPr>
            <w:tcW w:w="584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color w:val="14202A"/>
                <w:sz w:val="20"/>
              </w:rPr>
            </w:pPr>
            <w:r>
              <w:rPr>
                <w:rFonts w:ascii="Times New Roman;Times;serif" w:hAnsi="Times New Roman;Times;serif"/>
                <w:color w:val="14202A"/>
                <w:sz w:val="20"/>
              </w:rPr>
              <w:t>(Name of Person(s) Filing Proxy Statement, if Other than the Registrant)</w:t>
            </w:r>
          </w:p>
        </w:tc>
      </w:tr>
      <w:tr>
        <w:trPr/>
        <w:tc>
          <w:tcPr>
            <w:tcW w:w="584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898900" cy="1718945"/>
                <wp:effectExtent l="0" t="0" r="0" b="0"/>
                <wp:wrapSquare wrapText="right"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8900" cy="17189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614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275"/>
                              <w:gridCol w:w="140"/>
                              <w:gridCol w:w="140"/>
                              <w:gridCol w:w="5585"/>
                            </w:tblGrid>
                            <w:tr>
                              <w:trPr/>
                              <w:tc>
                                <w:tcPr>
                                  <w:tcW w:w="6140" w:type="dxa"/>
                                  <w:gridSpan w:val="4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40" w:type="dxa"/>
                                  <w:gridSpan w:val="4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ind w:left="0" w:right="0" w:hanging="0"/>
                                    <w:jc w:val="left"/>
                                    <w:rPr>
                                      <w:rFonts w:ascii="Times New Roman;Times;serif" w:hAnsi="Times New Roman;Times;serif"/>
                                      <w:color w:val="14202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;Times;serif" w:hAnsi="Times New Roman;Times;serif"/>
                                      <w:color w:val="14202A"/>
                                      <w:sz w:val="20"/>
                                    </w:rPr>
                                    <w:t>Payment of Filing Fee (Check all boxes that apply):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80" w:after="283"/>
                                    <w:ind w:left="0" w:right="0" w:hanging="0"/>
                                    <w:jc w:val="left"/>
                                    <w:rPr>
                                      <w:color w:val="14202A"/>
                                    </w:rPr>
                                  </w:pPr>
                                  <w:r>
                                    <w:rPr>
                                      <w:color w:val="14202A"/>
                                    </w:rPr>
                                    <w:t>☒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55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ind w:left="0" w:right="0" w:hanging="0"/>
                                    <w:jc w:val="left"/>
                                    <w:rPr>
                                      <w:rFonts w:ascii="Times New Roman;Times;serif" w:hAnsi="Times New Roman;Times;serif"/>
                                      <w:color w:val="14202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;Times;serif" w:hAnsi="Times New Roman;Times;serif"/>
                                      <w:color w:val="14202A"/>
                                      <w:sz w:val="20"/>
                                    </w:rPr>
                                    <w:t>No fee required.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80" w:after="283"/>
                                    <w:ind w:left="0" w:right="0" w:hanging="0"/>
                                    <w:jc w:val="left"/>
                                    <w:rPr>
                                      <w:color w:val="14202A"/>
                                    </w:rPr>
                                  </w:pPr>
                                  <w:r>
                                    <w:rPr>
                                      <w:color w:val="14202A"/>
                                    </w:rPr>
                                    <w:t> ☐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55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ind w:left="0" w:right="0" w:hanging="0"/>
                                    <w:jc w:val="left"/>
                                    <w:rPr>
                                      <w:rFonts w:ascii="Times New Roman;Times;serif" w:hAnsi="Times New Roman;Times;serif"/>
                                      <w:color w:val="14202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;Times;serif" w:hAnsi="Times New Roman;Times;serif"/>
                                      <w:color w:val="14202A"/>
                                      <w:sz w:val="20"/>
                                    </w:rPr>
                                    <w:t>Fee previously paid with preliminary materials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80" w:after="283"/>
                                    <w:ind w:left="0" w:right="0" w:hanging="0"/>
                                    <w:jc w:val="left"/>
                                    <w:rPr>
                                      <w:color w:val="14202A"/>
                                    </w:rPr>
                                  </w:pPr>
                                  <w:r>
                                    <w:rPr>
                                      <w:color w:val="14202A"/>
                                    </w:rPr>
                                    <w:t> ☐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55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ind w:left="0" w:right="0" w:hanging="0"/>
                                    <w:jc w:val="left"/>
                                    <w:rPr>
                                      <w:rFonts w:ascii="Times New Roman;Times;serif" w:hAnsi="Times New Roman;Times;serif"/>
                                      <w:color w:val="14202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;Times;serif" w:hAnsi="Times New Roman;Times;serif"/>
                                      <w:color w:val="14202A"/>
                                      <w:sz w:val="20"/>
                                    </w:rPr>
                                    <w:t>Fee computed on table per Exchange Act Rules 14a-6(i)(1) and 0-11.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7pt;height:135.3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tbl>
                      <w:tblPr>
                        <w:tblW w:w="6140" w:type="dxa"/>
                        <w:jc w:val="left"/>
                        <w:tblInd w:w="0" w:type="dxa"/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275"/>
                        <w:gridCol w:w="140"/>
                        <w:gridCol w:w="140"/>
                        <w:gridCol w:w="5585"/>
                      </w:tblGrid>
                      <w:tr>
                        <w:trPr/>
                        <w:tc>
                          <w:tcPr>
                            <w:tcW w:w="6140" w:type="dxa"/>
                            <w:gridSpan w:val="4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40" w:type="dxa"/>
                            <w:gridSpan w:val="4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ind w:left="0" w:right="0" w:hanging="0"/>
                              <w:jc w:val="left"/>
                              <w:rPr>
                                <w:rFonts w:ascii="Times New Roman;Times;serif" w:hAnsi="Times New Roman;Times;serif"/>
                                <w:color w:val="14202A"/>
                                <w:sz w:val="20"/>
                              </w:rPr>
                            </w:pPr>
                            <w:r>
                              <w:rPr>
                                <w:rFonts w:ascii="Times New Roman;Times;serif" w:hAnsi="Times New Roman;Times;serif"/>
                                <w:color w:val="14202A"/>
                                <w:sz w:val="20"/>
                              </w:rPr>
                              <w:t>Payment of Filing Fee (Check all boxes that apply):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80" w:after="283"/>
                              <w:ind w:left="0" w:right="0" w:hanging="0"/>
                              <w:jc w:val="left"/>
                              <w:rPr>
                                <w:color w:val="14202A"/>
                              </w:rPr>
                            </w:pPr>
                            <w:r>
                              <w:rPr>
                                <w:color w:val="14202A"/>
                              </w:rPr>
                              <w:t>☒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55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ind w:left="0" w:right="0" w:hanging="0"/>
                              <w:jc w:val="left"/>
                              <w:rPr>
                                <w:rFonts w:ascii="Times New Roman;Times;serif" w:hAnsi="Times New Roman;Times;serif"/>
                                <w:color w:val="14202A"/>
                                <w:sz w:val="20"/>
                              </w:rPr>
                            </w:pPr>
                            <w:r>
                              <w:rPr>
                                <w:rFonts w:ascii="Times New Roman;Times;serif" w:hAnsi="Times New Roman;Times;serif"/>
                                <w:color w:val="14202A"/>
                                <w:sz w:val="20"/>
                              </w:rPr>
                              <w:t>No fee required.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80" w:after="283"/>
                              <w:ind w:left="0" w:right="0" w:hanging="0"/>
                              <w:jc w:val="left"/>
                              <w:rPr>
                                <w:color w:val="14202A"/>
                              </w:rPr>
                            </w:pPr>
                            <w:r>
                              <w:rPr>
                                <w:color w:val="14202A"/>
                              </w:rPr>
                              <w:t> ☐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55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ind w:left="0" w:right="0" w:hanging="0"/>
                              <w:jc w:val="left"/>
                              <w:rPr>
                                <w:rFonts w:ascii="Times New Roman;Times;serif" w:hAnsi="Times New Roman;Times;serif"/>
                                <w:color w:val="14202A"/>
                                <w:sz w:val="20"/>
                              </w:rPr>
                            </w:pPr>
                            <w:r>
                              <w:rPr>
                                <w:rFonts w:ascii="Times New Roman;Times;serif" w:hAnsi="Times New Roman;Times;serif"/>
                                <w:color w:val="14202A"/>
                                <w:sz w:val="20"/>
                              </w:rPr>
                              <w:t>Fee previously paid with preliminary materials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80" w:after="283"/>
                              <w:ind w:left="0" w:right="0" w:hanging="0"/>
                              <w:jc w:val="left"/>
                              <w:rPr>
                                <w:color w:val="14202A"/>
                              </w:rPr>
                            </w:pPr>
                            <w:r>
                              <w:rPr>
                                <w:color w:val="14202A"/>
                              </w:rPr>
                              <w:t> ☐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55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ind w:left="0" w:right="0" w:hanging="0"/>
                              <w:jc w:val="left"/>
                              <w:rPr>
                                <w:rFonts w:ascii="Times New Roman;Times;serif" w:hAnsi="Times New Roman;Times;serif"/>
                                <w:color w:val="14202A"/>
                                <w:sz w:val="20"/>
                              </w:rPr>
                            </w:pPr>
                            <w:r>
                              <w:rPr>
                                <w:rFonts w:ascii="Times New Roman;Times;serif" w:hAnsi="Times New Roman;Times;serif"/>
                                <w:color w:val="14202A"/>
                                <w:sz w:val="20"/>
                              </w:rPr>
                              <w:t>Fee computed on table per Exchange Act Rules 14a-6(i)(1) and 0-11.</w:t>
                            </w:r>
                          </w:p>
                        </w:tc>
                      </w:tr>
                    </w:tbl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bidi w:val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858000" cy="88677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858000" cy="8867775"/>
            <wp:effectExtent l="0" t="0" r="0" b="0"/>
            <wp:docPr id="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center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126</Words>
  <Characters>690</Characters>
  <CharactersWithSpaces>822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