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663575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163195</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2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102235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9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15" w:lineRule="exact"/>
        <w:rPr>
          <w:sz w:val="24"/>
          <w:szCs w:val="24"/>
          <w:color w:val="auto"/>
        </w:rPr>
      </w:pPr>
    </w:p>
    <w:p>
      <w:pPr>
        <w:jc w:val="center"/>
        <w:ind w:right="-139"/>
        <w:spacing w:after="0"/>
        <w:tabs>
          <w:tab w:leader="none" w:pos="180" w:val="left"/>
        </w:tabs>
        <w:rPr>
          <w:sz w:val="20"/>
          <w:szCs w:val="20"/>
          <w:color w:val="auto"/>
        </w:rPr>
      </w:pPr>
      <w:r>
        <w:rPr>
          <w:rFonts w:ascii="Times New Roman" w:cs="Times New Roman" w:eastAsia="Times New Roman" w:hAnsi="Times New Roman"/>
          <w:sz w:val="22"/>
          <w:szCs w:val="22"/>
          <w:color w:val="auto"/>
        </w:rPr>
        <w:t>Date of report (Date of earliest event reported)</w:t>
      </w:r>
      <w:r>
        <w:rPr>
          <w:sz w:val="20"/>
          <w:szCs w:val="20"/>
          <w:color w:val="auto"/>
        </w:rPr>
        <w:tab/>
      </w:r>
      <w:r>
        <w:rPr>
          <w:rFonts w:ascii="Times New Roman" w:cs="Times New Roman" w:eastAsia="Times New Roman" w:hAnsi="Times New Roman"/>
          <w:sz w:val="21"/>
          <w:szCs w:val="21"/>
          <w:color w:val="auto"/>
        </w:rPr>
        <w:t>March 13,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172085</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color w:val="auto"/>
        </w:rPr>
        <w:t>Winnebago Industries, Inc.</w:t>
      </w:r>
    </w:p>
    <w:p>
      <w:pPr>
        <w:spacing w:after="0" w:line="5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1" w:lineRule="exact"/>
        <w:rPr>
          <w:sz w:val="24"/>
          <w:szCs w:val="24"/>
          <w:color w:val="auto"/>
        </w:rPr>
      </w:pPr>
    </w:p>
    <w:tbl>
      <w:tblPr>
        <w:tblLayout w:type="fixed"/>
        <w:tblInd w:w="1060" w:type="dxa"/>
        <w:tblCellMar>
          <w:top w:w="0" w:type="dxa"/>
          <w:left w:w="0" w:type="dxa"/>
          <w:bottom w:w="0" w:type="dxa"/>
          <w:right w:w="0" w:type="dxa"/>
        </w:tblCellMar>
      </w:tblPr>
      <w:tr>
        <w:trPr>
          <w:trHeight w:val="260"/>
        </w:trPr>
        <w:tc>
          <w:tcPr>
            <w:tcW w:w="3300" w:type="dxa"/>
            <w:vAlign w:val="bottom"/>
          </w:tcPr>
          <w:p>
            <w:pPr>
              <w:jc w:val="center"/>
              <w:ind w:right="322"/>
              <w:spacing w:after="0"/>
              <w:rPr>
                <w:sz w:val="20"/>
                <w:szCs w:val="20"/>
                <w:color w:val="auto"/>
              </w:rPr>
            </w:pPr>
            <w:r>
              <w:rPr>
                <w:rFonts w:ascii="Times New Roman" w:cs="Times New Roman" w:eastAsia="Times New Roman" w:hAnsi="Times New Roman"/>
                <w:sz w:val="22"/>
                <w:szCs w:val="22"/>
                <w:b w:val="1"/>
                <w:bCs w:val="1"/>
                <w:color w:val="auto"/>
                <w:w w:val="94"/>
              </w:rPr>
              <w:t>Iowa</w:t>
            </w:r>
          </w:p>
        </w:tc>
        <w:tc>
          <w:tcPr>
            <w:tcW w:w="2960" w:type="dxa"/>
            <w:vAlign w:val="bottom"/>
          </w:tcPr>
          <w:p>
            <w:pPr>
              <w:jc w:val="right"/>
              <w:ind w:right="1002"/>
              <w:spacing w:after="0"/>
              <w:rPr>
                <w:sz w:val="20"/>
                <w:szCs w:val="20"/>
                <w:color w:val="auto"/>
              </w:rPr>
            </w:pPr>
            <w:r>
              <w:rPr>
                <w:rFonts w:ascii="Times New Roman" w:cs="Times New Roman" w:eastAsia="Times New Roman" w:hAnsi="Times New Roman"/>
                <w:sz w:val="22"/>
                <w:szCs w:val="22"/>
                <w:b w:val="1"/>
                <w:bCs w:val="1"/>
                <w:color w:val="auto"/>
              </w:rPr>
              <w:t>001-06403</w:t>
            </w:r>
          </w:p>
        </w:tc>
        <w:tc>
          <w:tcPr>
            <w:tcW w:w="2300" w:type="dxa"/>
            <w:vAlign w:val="bottom"/>
          </w:tcPr>
          <w:p>
            <w:pPr>
              <w:jc w:val="right"/>
              <w:ind w:right="22"/>
              <w:spacing w:after="0"/>
              <w:rPr>
                <w:sz w:val="20"/>
                <w:szCs w:val="20"/>
                <w:color w:val="auto"/>
              </w:rPr>
            </w:pPr>
            <w:r>
              <w:rPr>
                <w:rFonts w:ascii="Times New Roman" w:cs="Times New Roman" w:eastAsia="Times New Roman" w:hAnsi="Times New Roman"/>
                <w:sz w:val="22"/>
                <w:szCs w:val="22"/>
                <w:b w:val="1"/>
                <w:bCs w:val="1"/>
                <w:color w:val="auto"/>
              </w:rPr>
              <w:t>42-0802678</w:t>
            </w:r>
          </w:p>
        </w:tc>
      </w:tr>
      <w:tr>
        <w:trPr>
          <w:trHeight w:val="216"/>
        </w:trPr>
        <w:tc>
          <w:tcPr>
            <w:tcW w:w="3300" w:type="dxa"/>
            <w:vAlign w:val="bottom"/>
          </w:tcPr>
          <w:p>
            <w:pPr>
              <w:jc w:val="center"/>
              <w:ind w:right="322"/>
              <w:spacing w:after="0"/>
              <w:rPr>
                <w:sz w:val="20"/>
                <w:szCs w:val="20"/>
                <w:color w:val="auto"/>
              </w:rPr>
            </w:pPr>
            <w:r>
              <w:rPr>
                <w:rFonts w:ascii="Times New Roman" w:cs="Times New Roman" w:eastAsia="Times New Roman" w:hAnsi="Times New Roman"/>
                <w:sz w:val="18"/>
                <w:szCs w:val="18"/>
                <w:color w:val="auto"/>
                <w:w w:val="98"/>
              </w:rPr>
              <w:t>(State or Other Jurisdiction</w:t>
            </w:r>
          </w:p>
        </w:tc>
        <w:tc>
          <w:tcPr>
            <w:tcW w:w="2960" w:type="dxa"/>
            <w:vAlign w:val="bottom"/>
          </w:tcPr>
          <w:p>
            <w:pPr>
              <w:jc w:val="center"/>
              <w:ind w:right="82"/>
              <w:spacing w:after="0"/>
              <w:rPr>
                <w:sz w:val="20"/>
                <w:szCs w:val="20"/>
                <w:color w:val="auto"/>
              </w:rPr>
            </w:pPr>
            <w:r>
              <w:rPr>
                <w:rFonts w:ascii="Times New Roman" w:cs="Times New Roman" w:eastAsia="Times New Roman" w:hAnsi="Times New Roman"/>
                <w:sz w:val="18"/>
                <w:szCs w:val="18"/>
                <w:color w:val="auto"/>
                <w:w w:val="97"/>
              </w:rPr>
              <w:t>(Commission File Number)</w:t>
            </w:r>
          </w:p>
        </w:tc>
        <w:tc>
          <w:tcPr>
            <w:tcW w:w="2300" w:type="dxa"/>
            <w:vAlign w:val="bottom"/>
          </w:tcPr>
          <w:p>
            <w:pPr>
              <w:jc w:val="center"/>
              <w:ind w:left="902"/>
              <w:spacing w:after="0"/>
              <w:rPr>
                <w:sz w:val="20"/>
                <w:szCs w:val="20"/>
                <w:color w:val="auto"/>
              </w:rPr>
            </w:pPr>
            <w:r>
              <w:rPr>
                <w:rFonts w:ascii="Times New Roman" w:cs="Times New Roman" w:eastAsia="Times New Roman" w:hAnsi="Times New Roman"/>
                <w:sz w:val="18"/>
                <w:szCs w:val="18"/>
                <w:color w:val="auto"/>
                <w:w w:val="96"/>
              </w:rPr>
              <w:t>(IRS Employer</w:t>
            </w:r>
          </w:p>
        </w:tc>
      </w:tr>
      <w:tr>
        <w:trPr>
          <w:trHeight w:val="228"/>
        </w:trPr>
        <w:tc>
          <w:tcPr>
            <w:tcW w:w="3300" w:type="dxa"/>
            <w:vAlign w:val="bottom"/>
          </w:tcPr>
          <w:p>
            <w:pPr>
              <w:jc w:val="center"/>
              <w:ind w:right="322"/>
              <w:spacing w:after="0"/>
              <w:rPr>
                <w:sz w:val="20"/>
                <w:szCs w:val="20"/>
                <w:color w:val="auto"/>
              </w:rPr>
            </w:pPr>
            <w:r>
              <w:rPr>
                <w:rFonts w:ascii="Times New Roman" w:cs="Times New Roman" w:eastAsia="Times New Roman" w:hAnsi="Times New Roman"/>
                <w:sz w:val="18"/>
                <w:szCs w:val="18"/>
                <w:color w:val="auto"/>
                <w:w w:val="97"/>
              </w:rPr>
              <w:t>of Incorporation)</w:t>
            </w:r>
          </w:p>
        </w:tc>
        <w:tc>
          <w:tcPr>
            <w:tcW w:w="2960" w:type="dxa"/>
            <w:vAlign w:val="bottom"/>
          </w:tcPr>
          <w:p>
            <w:pPr>
              <w:spacing w:after="0"/>
              <w:rPr>
                <w:sz w:val="19"/>
                <w:szCs w:val="19"/>
                <w:color w:val="auto"/>
              </w:rPr>
            </w:pPr>
          </w:p>
        </w:tc>
        <w:tc>
          <w:tcPr>
            <w:tcW w:w="2300" w:type="dxa"/>
            <w:vAlign w:val="bottom"/>
          </w:tcPr>
          <w:p>
            <w:pPr>
              <w:jc w:val="center"/>
              <w:ind w:left="902"/>
              <w:spacing w:after="0"/>
              <w:rPr>
                <w:sz w:val="20"/>
                <w:szCs w:val="20"/>
                <w:color w:val="auto"/>
              </w:rPr>
            </w:pPr>
            <w:r>
              <w:rPr>
                <w:rFonts w:ascii="Times New Roman" w:cs="Times New Roman" w:eastAsia="Times New Roman" w:hAnsi="Times New Roman"/>
                <w:sz w:val="18"/>
                <w:szCs w:val="18"/>
                <w:color w:val="auto"/>
                <w:w w:val="96"/>
              </w:rPr>
              <w:t>Identification No.)</w:t>
            </w:r>
          </w:p>
        </w:tc>
      </w:tr>
      <w:tr>
        <w:trPr>
          <w:trHeight w:val="447"/>
        </w:trPr>
        <w:tc>
          <w:tcPr>
            <w:tcW w:w="3300" w:type="dxa"/>
            <w:vAlign w:val="bottom"/>
          </w:tcPr>
          <w:p>
            <w:pPr>
              <w:jc w:val="center"/>
              <w:ind w:right="322"/>
              <w:spacing w:after="0"/>
              <w:rPr>
                <w:sz w:val="20"/>
                <w:szCs w:val="20"/>
                <w:color w:val="auto"/>
              </w:rPr>
            </w:pPr>
            <w:r>
              <w:rPr>
                <w:rFonts w:ascii="Times New Roman" w:cs="Times New Roman" w:eastAsia="Times New Roman" w:hAnsi="Times New Roman"/>
                <w:sz w:val="22"/>
                <w:szCs w:val="22"/>
                <w:b w:val="1"/>
                <w:bCs w:val="1"/>
                <w:color w:val="auto"/>
                <w:w w:val="97"/>
              </w:rPr>
              <w:t>P.O. Box 152, Forest City, Iowa</w:t>
            </w:r>
          </w:p>
        </w:tc>
        <w:tc>
          <w:tcPr>
            <w:tcW w:w="2960" w:type="dxa"/>
            <w:vAlign w:val="bottom"/>
          </w:tcPr>
          <w:p>
            <w:pPr>
              <w:spacing w:after="0"/>
              <w:rPr>
                <w:sz w:val="24"/>
                <w:szCs w:val="24"/>
                <w:color w:val="auto"/>
              </w:rPr>
            </w:pPr>
          </w:p>
        </w:tc>
        <w:tc>
          <w:tcPr>
            <w:tcW w:w="2300" w:type="dxa"/>
            <w:vAlign w:val="bottom"/>
          </w:tcPr>
          <w:p>
            <w:pPr>
              <w:jc w:val="right"/>
              <w:ind w:right="282"/>
              <w:spacing w:after="0"/>
              <w:rPr>
                <w:sz w:val="20"/>
                <w:szCs w:val="20"/>
                <w:color w:val="auto"/>
              </w:rPr>
            </w:pPr>
            <w:r>
              <w:rPr>
                <w:rFonts w:ascii="Times New Roman" w:cs="Times New Roman" w:eastAsia="Times New Roman" w:hAnsi="Times New Roman"/>
                <w:sz w:val="22"/>
                <w:szCs w:val="22"/>
                <w:b w:val="1"/>
                <w:bCs w:val="1"/>
                <w:color w:val="auto"/>
              </w:rPr>
              <w:t>50436</w:t>
            </w:r>
          </w:p>
        </w:tc>
      </w:tr>
      <w:tr>
        <w:trPr>
          <w:trHeight w:val="228"/>
        </w:trPr>
        <w:tc>
          <w:tcPr>
            <w:tcW w:w="3300" w:type="dxa"/>
            <w:vAlign w:val="bottom"/>
          </w:tcPr>
          <w:p>
            <w:pPr>
              <w:jc w:val="center"/>
              <w:ind w:right="32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2960" w:type="dxa"/>
            <w:vAlign w:val="bottom"/>
          </w:tcPr>
          <w:p>
            <w:pPr>
              <w:spacing w:after="0"/>
              <w:rPr>
                <w:sz w:val="19"/>
                <w:szCs w:val="19"/>
                <w:color w:val="auto"/>
              </w:rPr>
            </w:pPr>
          </w:p>
        </w:tc>
        <w:tc>
          <w:tcPr>
            <w:tcW w:w="2300" w:type="dxa"/>
            <w:vAlign w:val="bottom"/>
          </w:tcPr>
          <w:p>
            <w:pPr>
              <w:jc w:val="center"/>
              <w:ind w:left="902"/>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06"/>
        </w:trPr>
        <w:tc>
          <w:tcPr>
            <w:tcW w:w="6260" w:type="dxa"/>
            <w:vAlign w:val="bottom"/>
            <w:gridSpan w:val="2"/>
          </w:tcPr>
          <w:p>
            <w:pPr>
              <w:ind w:left="1720"/>
              <w:spacing w:after="0"/>
              <w:rPr>
                <w:sz w:val="20"/>
                <w:szCs w:val="20"/>
                <w:color w:val="auto"/>
              </w:rPr>
            </w:pPr>
            <w:r>
              <w:rPr>
                <w:rFonts w:ascii="Times New Roman" w:cs="Times New Roman" w:eastAsia="Times New Roman" w:hAnsi="Times New Roman"/>
                <w:sz w:val="22"/>
                <w:szCs w:val="22"/>
                <w:color w:val="auto"/>
                <w:w w:val="99"/>
              </w:rPr>
              <w:t>Registrant’s telephone number, including area code</w:t>
            </w:r>
          </w:p>
        </w:tc>
        <w:tc>
          <w:tcPr>
            <w:tcW w:w="2300" w:type="dxa"/>
            <w:vAlign w:val="bottom"/>
          </w:tcPr>
          <w:p>
            <w:pPr>
              <w:jc w:val="right"/>
              <w:ind w:right="862"/>
              <w:spacing w:after="0"/>
              <w:rPr>
                <w:sz w:val="20"/>
                <w:szCs w:val="20"/>
                <w:color w:val="auto"/>
              </w:rPr>
            </w:pPr>
            <w:r>
              <w:rPr>
                <w:rFonts w:ascii="Times New Roman" w:cs="Times New Roman" w:eastAsia="Times New Roman" w:hAnsi="Times New Roman"/>
                <w:sz w:val="22"/>
                <w:szCs w:val="22"/>
                <w:color w:val="auto"/>
              </w:rPr>
              <w:t>641-585-3535</w:t>
            </w:r>
          </w:p>
        </w:tc>
      </w:tr>
    </w:tbl>
    <w:p>
      <w:pPr>
        <w:spacing w:after="0" w:line="365"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w:t>
      </w:r>
    </w:p>
    <w:p>
      <w:pPr>
        <w:spacing w:after="0" w:line="2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167640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58" w:lineRule="exact"/>
        <w:rPr>
          <w:sz w:val="24"/>
          <w:szCs w:val="24"/>
          <w:color w:val="auto"/>
        </w:rPr>
      </w:pPr>
    </w:p>
    <w:p>
      <w:pPr>
        <w:ind w:left="320" w:hanging="312"/>
        <w:spacing w:after="0"/>
        <w:tabs>
          <w:tab w:leader="none" w:pos="3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communications pursuant to Rule 425 under the Securities Act (17 CFR 230.425)</w:t>
      </w:r>
    </w:p>
    <w:p>
      <w:pPr>
        <w:spacing w:after="0" w:line="206"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Soliciting material pursuant to Rule 14a-12 under the Exchange Act (17 CFR 240.14a-12)</w:t>
      </w:r>
    </w:p>
    <w:p>
      <w:pPr>
        <w:spacing w:after="0" w:line="206"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Pre-commencement communications pursuant to Rule 14d-2(b) under the Exchange Act (17 CFR 240.14d-2(b))</w:t>
      </w:r>
    </w:p>
    <w:p>
      <w:pPr>
        <w:spacing w:after="0" w:line="206"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643890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7.01 Regulation FD Disclosure.</w:t>
      </w:r>
    </w:p>
    <w:p>
      <w:pPr>
        <w:spacing w:after="0" w:line="15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Winnebago Industries, Inc. (Winnebago Industries) is filing herewith a press release issued on March 13, 2008, as Exhibit 99.1 which is included herein. The press release was issued to report that on March 20, 2008, Winnebago Industries anticipates announcing its financial results for the second quarter of fiscal 2008 ended March 1, 2008. In connection with the announcement, Winnebago Industries will host a conference call on March 20, 2008 at 9:00 a.m. Central time. Details regarding the conference call are contained in the press release included herein.</w:t>
      </w:r>
    </w:p>
    <w:p>
      <w:pPr>
        <w:spacing w:after="0" w:line="121" w:lineRule="exact"/>
        <w:rPr>
          <w:sz w:val="24"/>
          <w:szCs w:val="24"/>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160" w:lineRule="exact"/>
        <w:rPr>
          <w:sz w:val="24"/>
          <w:szCs w:val="24"/>
          <w:color w:val="auto"/>
        </w:rPr>
      </w:pPr>
    </w:p>
    <w:p>
      <w:pPr>
        <w:ind w:left="900" w:hanging="446"/>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56"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3" w:lineRule="exact"/>
        <w:rPr>
          <w:sz w:val="24"/>
          <w:szCs w:val="24"/>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Number</w:t>
        <w:tab/>
        <w:t>Description</w:t>
      </w:r>
    </w:p>
    <w:p>
      <w:pPr>
        <w:spacing w:after="0" w:line="240" w:lineRule="exact"/>
        <w:rPr>
          <w:sz w:val="24"/>
          <w:szCs w:val="24"/>
          <w:color w:val="auto"/>
        </w:rPr>
      </w:pPr>
    </w:p>
    <w:p>
      <w:pPr>
        <w:ind w:left="980"/>
        <w:spacing w:after="0"/>
        <w:tabs>
          <w:tab w:leader="none" w:pos="16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Press release of Winnebago Industries, Inc. dated March 13, 2008.</w:t>
      </w:r>
    </w:p>
    <w:p>
      <w:pPr>
        <w:spacing w:after="0" w:line="35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SIGNATURES</w:t>
      </w:r>
    </w:p>
    <w:p>
      <w:pPr>
        <w:sectPr>
          <w:pgSz w:w="11900" w:h="16838" w:orient="portrait"/>
          <w:cols w:equalWidth="0" w:num="1">
            <w:col w:w="11280"/>
          </w:cols>
          <w:pgMar w:left="240" w:top="1268" w:right="379" w:bottom="0" w:gutter="0" w:footer="0" w:header="0"/>
        </w:sectPr>
      </w:pPr>
    </w:p>
    <w:p>
      <w:pPr>
        <w:spacing w:after="0" w:line="156" w:lineRule="exact"/>
        <w:rPr>
          <w:sz w:val="24"/>
          <w:szCs w:val="24"/>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280"/>
          </w:cols>
          <w:pgMar w:left="240" w:top="1268" w:right="3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3"/>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13, 2008</w:t>
            </w:r>
          </w:p>
        </w:tc>
        <w:tc>
          <w:tcPr>
            <w:tcW w:w="6500" w:type="dxa"/>
            <w:vAlign w:val="bottom"/>
            <w:gridSpan w:val="3"/>
          </w:tcPr>
          <w:p>
            <w:pPr>
              <w:ind w:left="1600"/>
              <w:spacing w:after="0"/>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13"/>
                <w:szCs w:val="13"/>
                <w:color w:val="auto"/>
              </w:rPr>
              <w:t>INNEBAGO</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3"/>
                <w:szCs w:val="13"/>
                <w:color w:val="auto"/>
              </w:rPr>
              <w:t>NDUSTRIES,</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3"/>
                <w:szCs w:val="13"/>
                <w:color w:val="auto"/>
              </w:rPr>
              <w:t>NC.</w:t>
            </w:r>
          </w:p>
        </w:tc>
      </w:tr>
      <w:tr>
        <w:trPr>
          <w:trHeight w:val="407"/>
        </w:trPr>
        <w:tc>
          <w:tcPr>
            <w:tcW w:w="3220" w:type="dxa"/>
            <w:vAlign w:val="bottom"/>
          </w:tcPr>
          <w:p>
            <w:pPr>
              <w:spacing w:after="0"/>
              <w:rPr>
                <w:sz w:val="24"/>
                <w:szCs w:val="24"/>
                <w:color w:val="auto"/>
              </w:rPr>
            </w:pPr>
          </w:p>
        </w:tc>
        <w:tc>
          <w:tcPr>
            <w:tcW w:w="21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4"/>
                <w:szCs w:val="24"/>
                <w:color w:val="auto"/>
              </w:rPr>
            </w:pP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Bruce D. Hertzke</w:t>
            </w:r>
          </w:p>
        </w:tc>
      </w:tr>
      <w:tr>
        <w:trPr>
          <w:trHeight w:val="248"/>
        </w:trPr>
        <w:tc>
          <w:tcPr>
            <w:tcW w:w="3220" w:type="dxa"/>
            <w:vAlign w:val="bottom"/>
          </w:tcPr>
          <w:p>
            <w:pPr>
              <w:spacing w:after="0"/>
              <w:rPr>
                <w:sz w:val="21"/>
                <w:szCs w:val="21"/>
                <w:color w:val="auto"/>
              </w:rPr>
            </w:pPr>
          </w:p>
        </w:tc>
        <w:tc>
          <w:tcPr>
            <w:tcW w:w="21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Name:</w:t>
            </w:r>
          </w:p>
        </w:tc>
        <w:tc>
          <w:tcPr>
            <w:tcW w:w="4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Bruce D. Hertzke</w:t>
            </w:r>
          </w:p>
        </w:tc>
      </w:tr>
      <w:tr>
        <w:trPr>
          <w:trHeight w:val="230"/>
        </w:trPr>
        <w:tc>
          <w:tcPr>
            <w:tcW w:w="3220" w:type="dxa"/>
            <w:vAlign w:val="bottom"/>
          </w:tcPr>
          <w:p>
            <w:pPr>
              <w:spacing w:after="0"/>
              <w:rPr>
                <w:sz w:val="19"/>
                <w:szCs w:val="19"/>
                <w:color w:val="auto"/>
              </w:rPr>
            </w:pPr>
          </w:p>
        </w:tc>
        <w:tc>
          <w:tcPr>
            <w:tcW w:w="21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Title:</w:t>
            </w:r>
          </w:p>
        </w:tc>
        <w:tc>
          <w:tcPr>
            <w:tcW w:w="80" w:type="dxa"/>
            <w:vAlign w:val="bottom"/>
          </w:tcPr>
          <w:p>
            <w:pPr>
              <w:spacing w:after="0"/>
              <w:rPr>
                <w:sz w:val="19"/>
                <w:szCs w:val="19"/>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37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7"/>
          <w:szCs w:val="17"/>
          <w:b w:val="1"/>
          <w:bCs w:val="1"/>
          <w:color w:val="auto"/>
        </w:rPr>
        <w:t>XHIBIT</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7"/>
          <w:szCs w:val="17"/>
          <w:b w:val="1"/>
          <w:bCs w:val="1"/>
          <w:color w:val="auto"/>
        </w:rPr>
        <w:t>NDEX</w:t>
      </w:r>
    </w:p>
    <w:p>
      <w:pPr>
        <w:spacing w:after="0" w:line="2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3" w:lineRule="exact"/>
        <w:rPr>
          <w:sz w:val="20"/>
          <w:szCs w:val="20"/>
          <w:color w:val="auto"/>
        </w:rPr>
      </w:pPr>
    </w:p>
    <w:p>
      <w:pPr>
        <w:ind w:left="84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Number</w:t>
        <w:tab/>
        <w:t>Description</w:t>
      </w:r>
    </w:p>
    <w:p>
      <w:pPr>
        <w:spacing w:after="0" w:line="240" w:lineRule="exact"/>
        <w:rPr>
          <w:sz w:val="20"/>
          <w:szCs w:val="20"/>
          <w:color w:val="auto"/>
        </w:rPr>
      </w:pPr>
    </w:p>
    <w:p>
      <w:pPr>
        <w:ind w:left="980"/>
        <w:spacing w:after="0"/>
        <w:tabs>
          <w:tab w:leader="none" w:pos="16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Press release of Winnebago Industries, Inc. dated March 13,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853440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8"/>
          <w:szCs w:val="18"/>
          <w:color w:val="auto"/>
        </w:rPr>
        <w:t>For further information:</w:t>
      </w:r>
      <w:r>
        <w:rPr>
          <w:sz w:val="20"/>
          <w:szCs w:val="20"/>
          <w:color w:val="auto"/>
        </w:rPr>
        <w:tab/>
      </w:r>
      <w:r>
        <w:rPr>
          <w:rFonts w:ascii="Times New Roman" w:cs="Times New Roman" w:eastAsia="Times New Roman" w:hAnsi="Times New Roman"/>
          <w:sz w:val="16"/>
          <w:szCs w:val="16"/>
          <w:color w:val="auto"/>
        </w:rPr>
        <w:t>Sheila Davis, PR/IR Manager - 641-585-6803</w:t>
      </w:r>
    </w:p>
    <w:p>
      <w:pPr>
        <w:spacing w:after="0" w:line="208" w:lineRule="exact"/>
        <w:rPr>
          <w:sz w:val="20"/>
          <w:szCs w:val="20"/>
          <w:color w:val="auto"/>
        </w:rPr>
      </w:pPr>
    </w:p>
    <w:p>
      <w:pPr>
        <w:jc w:val="center"/>
        <w:ind w:left="260" w:right="1900"/>
        <w:spacing w:after="0" w:line="246" w:lineRule="auto"/>
        <w:rPr>
          <w:sz w:val="20"/>
          <w:szCs w:val="20"/>
          <w:color w:val="auto"/>
        </w:rPr>
      </w:pPr>
      <w:r>
        <w:rPr>
          <w:rFonts w:ascii="Times New Roman" w:cs="Times New Roman" w:eastAsia="Times New Roman" w:hAnsi="Times New Roman"/>
          <w:sz w:val="22"/>
          <w:szCs w:val="22"/>
          <w:b w:val="1"/>
          <w:bCs w:val="1"/>
          <w:color w:val="auto"/>
        </w:rPr>
        <w:t>WINNEBAGO INDUSTRIES ANNOUNCES SECOND QUARTER FISCAL 2008 FINANCIAL RESULTS CONFERENCE CALL TO BE HELD ON MARCH 20, 2008</w:t>
      </w:r>
    </w:p>
    <w:p>
      <w:pPr>
        <w:spacing w:after="0" w:line="18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FOREST CITY, IOWA, March 13, 2008 – Winnebago Industries, Inc. (NYSE: WGO), a leading United States motor home manufacturer, will host a conference call on Thursday, March 20, 2008 at 9 a.m. Central Time (CT) to discuss the financial results for its second quarter of fiscal 2008 ended March 1, 2008. The Company will release its financial results on March 20, 2008 at 6:00 a.m. CT.</w:t>
      </w:r>
    </w:p>
    <w:p>
      <w:pPr>
        <w:spacing w:after="0" w:line="186"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 xml:space="preserve">Winnebago Industries’ conference call may be heard live via the Company’s website, </w:t>
      </w:r>
      <w:r>
        <w:rPr>
          <w:rFonts w:ascii="Times New Roman" w:cs="Times New Roman" w:eastAsia="Times New Roman" w:hAnsi="Times New Roman"/>
          <w:sz w:val="18"/>
          <w:szCs w:val="18"/>
          <w:u w:val="single" w:color="auto"/>
          <w:color w:val="auto"/>
        </w:rPr>
        <w:t>http://www.winnebagoind.com/investor.html</w:t>
      </w:r>
      <w:r>
        <w:rPr>
          <w:rFonts w:ascii="Times New Roman" w:cs="Times New Roman" w:eastAsia="Times New Roman" w:hAnsi="Times New Roman"/>
          <w:sz w:val="18"/>
          <w:szCs w:val="18"/>
          <w:color w:val="auto"/>
        </w:rPr>
        <w:t xml:space="preserve">. The event will be archived and available for replay for the next 90 days. To access the replay, click on </w:t>
      </w:r>
      <w:r>
        <w:rPr>
          <w:rFonts w:ascii="Times New Roman" w:cs="Times New Roman" w:eastAsia="Times New Roman" w:hAnsi="Times New Roman"/>
          <w:sz w:val="18"/>
          <w:szCs w:val="18"/>
          <w:u w:val="single" w:color="auto"/>
          <w:color w:val="auto"/>
        </w:rPr>
        <w:t>http://www.winnebagoind.com/investor.html</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Minimum requirements to listen to the Web cast: either Windows Media Player or RealPlayer and at least a 28.8 Kbps connection to the Internet. The Windows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Media Player software is downloadable free at: </w:t>
      </w:r>
      <w:r>
        <w:rPr>
          <w:rFonts w:ascii="Times New Roman" w:cs="Times New Roman" w:eastAsia="Times New Roman" w:hAnsi="Times New Roman"/>
          <w:sz w:val="16"/>
          <w:szCs w:val="16"/>
          <w:u w:val="single" w:color="auto"/>
          <w:color w:val="auto"/>
        </w:rPr>
        <w:t>www.microsoft.com/windows/windowsmedia/download/default.asp</w:t>
      </w:r>
      <w:r>
        <w:rPr>
          <w:rFonts w:ascii="Times New Roman" w:cs="Times New Roman" w:eastAsia="Times New Roman" w:hAnsi="Times New Roman"/>
          <w:sz w:val="16"/>
          <w:szCs w:val="16"/>
          <w:color w:val="auto"/>
        </w:rPr>
        <w:t>, and the RealPlayer software is downloadable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free at: </w:t>
      </w:r>
      <w:r>
        <w:rPr>
          <w:rFonts w:ascii="Times New Roman" w:cs="Times New Roman" w:eastAsia="Times New Roman" w:hAnsi="Times New Roman"/>
          <w:sz w:val="18"/>
          <w:szCs w:val="18"/>
          <w:u w:val="single" w:color="auto"/>
          <w:color w:val="auto"/>
        </w:rPr>
        <w:t>www.real.com/products/player/index.html</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Winnebago Industries</w:t>
      </w:r>
    </w:p>
    <w:p>
      <w:pPr>
        <w:spacing w:after="0" w:line="2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Winnebago Industries, Inc. is a leading United States manufacturer of motor homes, self-contained recreation vehicles used primarily in leisure travel and outdoor recreation activities. The Company builds quality motor homes under the Winnebago, Itasca and ERA brand names with state-of-the-art computer-aided design and manufacturing systems on automotive-styled assembly lines. The Company’s common stock is listed on the New York and Chicago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Times New Roman" w:cs="Times New Roman" w:eastAsia="Times New Roman" w:hAnsi="Times New Roman"/>
          <w:sz w:val="18"/>
          <w:szCs w:val="18"/>
          <w:u w:val="single" w:color="auto"/>
          <w:color w:val="auto"/>
        </w:rPr>
        <w:t>http://www.winnebagoind.com/investor.html</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681990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2019-12-11T13:58:57Z</dcterms:created>
  <dcterms:modified xsi:type="dcterms:W3CDTF">2019-12-11T13:58:57Z</dcterms:modified>
</cp:coreProperties>
</file>