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QUARTERLY REPORT PURSUANT TO SECTION 13 OR 15(d) OF THE SECURITIES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EXCHANGE ACT OF 1934</w:t>
      </w:r>
    </w:p>
    <w:p>
      <w:pPr>
        <w:spacing w:after="0" w:line="201"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November 27, 1999</w:t>
      </w:r>
    </w:p>
    <w:p>
      <w:pPr>
        <w:spacing w:after="0" w:line="4"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860"/>
        <w:spacing w:after="0" w:line="238" w:lineRule="auto"/>
        <w:rPr>
          <w:sz w:val="20"/>
          <w:szCs w:val="20"/>
          <w:color w:val="auto"/>
        </w:rPr>
      </w:pPr>
      <w:r>
        <w:rPr>
          <w:rFonts w:ascii="Courier New" w:cs="Courier New" w:eastAsia="Courier New" w:hAnsi="Courier New"/>
          <w:sz w:val="18"/>
          <w:szCs w:val="18"/>
          <w:color w:val="auto"/>
        </w:rPr>
        <w:t>TRANSITION REPORT PURSUANT TO SECTION 13 OR 15(d) OF THE SECURITIES</w:t>
      </w:r>
    </w:p>
    <w:p>
      <w:pPr>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EXCHANGE ACT OF 1934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_______________________ to ______________________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1-6403</w:t>
      </w:r>
    </w:p>
    <w:p>
      <w:pPr>
        <w:ind w:left="242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649" w:right="1440" w:bottom="260"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42-0803978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600" w:space="720"/>
            <w:col w:w="3819"/>
          </w:cols>
          <w:pgMar w:left="320" w:top="649" w:right="1440" w:bottom="260" w:gutter="0" w:footer="0" w:header="0"/>
          <w:type w:val="continuous"/>
        </w:sectPr>
      </w:pPr>
    </w:p>
    <w:p>
      <w:pPr>
        <w:spacing w:after="0" w:line="7" w:lineRule="exact"/>
        <w:rPr>
          <w:sz w:val="24"/>
          <w:szCs w:val="24"/>
          <w:color w:val="auto"/>
        </w:rPr>
      </w:pPr>
    </w:p>
    <w:p>
      <w:pPr>
        <w:ind w:right="1700"/>
        <w:spacing w:after="0" w:line="290" w:lineRule="auto"/>
        <w:rPr>
          <w:sz w:val="20"/>
          <w:szCs w:val="20"/>
          <w:color w:val="auto"/>
        </w:rPr>
      </w:pPr>
      <w:r>
        <w:rPr>
          <w:rFonts w:ascii="Courier New" w:cs="Courier New" w:eastAsia="Courier New" w:hAnsi="Courier New"/>
          <w:sz w:val="16"/>
          <w:szCs w:val="16"/>
          <w:color w:val="auto"/>
        </w:rPr>
        <w:t>P. O. Box 152, Forest City, Iowa (Address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920" w:space="720"/>
            <w:col w:w="3499"/>
          </w:cols>
          <w:pgMar w:left="320" w:top="649" w:right="1440" w:bottom="26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Registrant's telephone number, including area code: (515) 582-3535</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8" w:lineRule="exact"/>
        <w:rPr>
          <w:sz w:val="24"/>
          <w:szCs w:val="24"/>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There were 21,803,321 shares of $.50 par value common stock outstanding on January 5,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REPORT ON FORM 10-Q</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right"/>
        <w:ind w:right="239"/>
        <w:spacing w:after="0"/>
        <w:rPr>
          <w:sz w:val="20"/>
          <w:szCs w:val="20"/>
          <w:color w:val="auto"/>
        </w:rPr>
      </w:pPr>
      <w:r>
        <w:rPr>
          <w:rFonts w:ascii="Courier New" w:cs="Courier New" w:eastAsia="Courier New" w:hAnsi="Courier New"/>
          <w:sz w:val="18"/>
          <w:szCs w:val="18"/>
          <w:color w:val="auto"/>
        </w:rPr>
        <w:t>Page Number</w:t>
      </w:r>
    </w:p>
    <w:p>
      <w:pPr>
        <w:spacing w:after="0" w:line="4" w:lineRule="exact"/>
        <w:rPr>
          <w:sz w:val="24"/>
          <w:szCs w:val="24"/>
          <w:color w:val="auto"/>
        </w:rPr>
      </w:pPr>
    </w:p>
    <w:p>
      <w:pPr>
        <w:ind w:left="8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FINANCIAL INFORMATION:</w:t>
            </w:r>
          </w:p>
        </w:tc>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w w:val="98"/>
              </w:rPr>
              <w:t>Consolidated Balance Sheets (Interim</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period information unaudited)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&amp; 2</w:t>
            </w:r>
          </w:p>
        </w:tc>
      </w:tr>
      <w:tr>
        <w:trPr>
          <w:trHeight w:val="405"/>
        </w:trPr>
        <w:tc>
          <w:tcPr>
            <w:tcW w:w="100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w w:val="98"/>
              </w:rPr>
              <w:t>Unaudited Consolidated Statements of</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Income</w:t>
            </w:r>
          </w:p>
        </w:tc>
        <w:tc>
          <w:tcPr>
            <w:tcW w:w="4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00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w w:val="98"/>
              </w:rPr>
              <w:t>Unaudited Consolidated Statements of</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Cash Flows</w:t>
            </w:r>
          </w:p>
        </w:tc>
        <w:tc>
          <w:tcPr>
            <w:tcW w:w="46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1000" w:type="dxa"/>
            <w:vAlign w:val="bottom"/>
          </w:tcPr>
          <w:p>
            <w:pPr>
              <w:spacing w:after="0"/>
              <w:rPr>
                <w:sz w:val="24"/>
                <w:szCs w:val="24"/>
                <w:color w:val="auto"/>
              </w:rPr>
            </w:pPr>
          </w:p>
        </w:tc>
        <w:tc>
          <w:tcPr>
            <w:tcW w:w="78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Unaudited Condensed 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&amp; 6</w:t>
            </w:r>
          </w:p>
        </w:tc>
      </w:tr>
      <w:tr>
        <w:trPr>
          <w:trHeight w:val="405"/>
        </w:trPr>
        <w:tc>
          <w:tcPr>
            <w:tcW w:w="1000" w:type="dxa"/>
            <w:vAlign w:val="bottom"/>
          </w:tcPr>
          <w:p>
            <w:pPr>
              <w:spacing w:after="0"/>
              <w:rPr>
                <w:sz w:val="24"/>
                <w:szCs w:val="24"/>
                <w:color w:val="auto"/>
              </w:rPr>
            </w:pP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w w:val="98"/>
              </w:rPr>
              <w:t>Management's Discussion and Analysis</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of Financial Condition and Results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- 9</w:t>
            </w:r>
          </w:p>
        </w:tc>
      </w:tr>
      <w:tr>
        <w:trPr>
          <w:trHeight w:val="203"/>
        </w:trPr>
        <w:tc>
          <w:tcPr>
            <w:tcW w:w="1000" w:type="dxa"/>
            <w:vAlign w:val="bottom"/>
          </w:tcPr>
          <w:p>
            <w:pPr>
              <w:spacing w:after="0"/>
              <w:rPr>
                <w:sz w:val="17"/>
                <w:szCs w:val="17"/>
                <w:color w:val="auto"/>
              </w:rPr>
            </w:pPr>
          </w:p>
        </w:tc>
        <w:tc>
          <w:tcPr>
            <w:tcW w:w="4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Operations</w:t>
            </w:r>
          </w:p>
        </w:tc>
        <w:tc>
          <w:tcPr>
            <w:tcW w:w="3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4000" w:type="dxa"/>
            <w:vAlign w:val="bottom"/>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38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- 12</w:t>
            </w:r>
          </w:p>
        </w:tc>
      </w:tr>
    </w:tbl>
    <w:p>
      <w:pPr>
        <w:sectPr>
          <w:pgSz w:w="11900" w:h="16838" w:orient="portrait"/>
          <w:cols w:equalWidth="0" w:num="1">
            <w:col w:w="10139"/>
          </w:cols>
          <w:pgMar w:left="320" w:top="649" w:right="1440" w:bottom="26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NOVEMBER 27,</w:t>
            </w:r>
          </w:p>
        </w:tc>
        <w:tc>
          <w:tcPr>
            <w:tcW w:w="2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AUGUST 28,</w:t>
            </w:r>
          </w:p>
        </w:tc>
      </w:tr>
      <w:tr>
        <w:trPr>
          <w:trHeight w:val="203"/>
        </w:trPr>
        <w:tc>
          <w:tcPr>
            <w:tcW w:w="58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ASSETS</w:t>
            </w:r>
          </w:p>
        </w:tc>
        <w:tc>
          <w:tcPr>
            <w:tcW w:w="26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2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40,213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48,160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($1,022 and $960, respectively)</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30,122</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33,342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($91 and $73, respectively)</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28,576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24,573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86,094</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87,031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4,286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6,982</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6,982</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26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196,273</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203,681</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41,946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41,136</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75,823</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73,839</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5,411</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5,345</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124,326</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121,470</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84,529</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83,099</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26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39,797</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38,371</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LONG-TERM NOTES RECEIVABLE,</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allowances for doubtful accounts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($257 and $262, respectively)</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774</w:t>
            </w:r>
          </w:p>
        </w:tc>
        <w:tc>
          <w:tcPr>
            <w:tcW w:w="2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787</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26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20,108</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19,749</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26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18,654</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18,654</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6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6,196</w:t>
            </w:r>
          </w:p>
        </w:tc>
        <w:tc>
          <w:tcPr>
            <w:tcW w:w="22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4,647</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281,802</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285,889</w:t>
            </w:r>
          </w:p>
        </w:tc>
      </w:tr>
      <w:tr>
        <w:trPr>
          <w:trHeight w:val="203"/>
        </w:trPr>
        <w:tc>
          <w:tcPr>
            <w:tcW w:w="580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139"/>
          </w:cols>
          <w:pgMar w:left="320" w:top="919" w:right="1440" w:bottom="1440" w:gutter="0" w:footer="0" w:header="0"/>
        </w:sectPr>
      </w:pPr>
    </w:p>
    <w:bookmarkStart w:id="2" w:name="page3"/>
    <w:bookmarkEnd w:id="2"/>
    <w:p>
      <w:pPr>
        <w:jc w:val="center"/>
        <w:ind w:right="159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59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NOVEMBER 27,</w:t>
            </w:r>
          </w:p>
        </w:tc>
        <w:tc>
          <w:tcPr>
            <w:tcW w:w="2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AUGUST 28,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2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23,608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38,604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16,533</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10,201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4,468</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3,962</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7,122</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6,407</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9,865</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13,204</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3,620</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2,629</w:t>
            </w:r>
          </w:p>
        </w:tc>
      </w:tr>
      <w:tr>
        <w:trPr>
          <w:trHeight w:val="203"/>
        </w:trPr>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4,967</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4,954</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26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70,183</w:t>
            </w:r>
          </w:p>
        </w:tc>
        <w:tc>
          <w:tcPr>
            <w:tcW w:w="2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79,961</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58,514</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56,544</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  issued 25,876,000 and 25,874,000</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12,938</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12,937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22,084</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21,907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163,855</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151,482</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198,877</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186,326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2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45,772</w:t>
            </w:r>
          </w:p>
        </w:tc>
        <w:tc>
          <w:tcPr>
            <w:tcW w:w="22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36,942</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26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153,105</w:t>
            </w:r>
          </w:p>
        </w:tc>
        <w:tc>
          <w:tcPr>
            <w:tcW w:w="22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149,384</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281,802</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285,889</w:t>
            </w:r>
          </w:p>
        </w:tc>
      </w:tr>
      <w:tr>
        <w:trPr>
          <w:trHeight w:val="203"/>
        </w:trPr>
        <w:tc>
          <w:tcPr>
            <w:tcW w:w="612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919" w:right="1440" w:bottom="1440" w:gutter="0" w:footer="0" w:header="0"/>
        </w:sectPr>
      </w:pPr>
    </w:p>
    <w:bookmarkStart w:id="3" w:name="page4"/>
    <w:bookmarkEnd w:id="3"/>
    <w:p>
      <w:pPr>
        <w:jc w:val="center"/>
        <w:ind w:right="1699"/>
        <w:spacing w:after="0" w:line="292"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INCOME ================================================================================</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THIRTEEN WEEKS ENDED</w:t>
            </w:r>
          </w:p>
        </w:tc>
      </w:tr>
      <w:tr>
        <w:trPr>
          <w:trHeight w:val="203"/>
        </w:trPr>
        <w:tc>
          <w:tcPr>
            <w:tcW w:w="5700" w:type="dxa"/>
            <w:vAlign w:val="bottom"/>
          </w:tcPr>
          <w:p>
            <w:pPr>
              <w:spacing w:after="0"/>
              <w:rPr>
                <w:sz w:val="17"/>
                <w:szCs w:val="17"/>
                <w:color w:val="auto"/>
              </w:rPr>
            </w:pP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27,</w:t>
            </w:r>
          </w:p>
        </w:tc>
        <w:tc>
          <w:tcPr>
            <w:tcW w:w="1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NOVEMBER 28,</w:t>
            </w:r>
          </w:p>
        </w:tc>
      </w:tr>
      <w:tr>
        <w:trPr>
          <w:trHeight w:val="203"/>
        </w:trPr>
        <w:tc>
          <w:tcPr>
            <w:tcW w:w="5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4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182,551</w:t>
            </w:r>
          </w:p>
        </w:tc>
        <w:tc>
          <w:tcPr>
            <w:tcW w:w="48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157,664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151,678</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132,788</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30,873</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24,876</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6,260</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5,102</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6,553</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5,694</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12,813</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10,796</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18,060</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14,080</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653</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581</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Pre-tax income</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18,713</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14,661</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4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6,332</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5,012</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12,381</w:t>
            </w:r>
          </w:p>
        </w:tc>
        <w:tc>
          <w:tcPr>
            <w:tcW w:w="48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9,649</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Earnings per common share (Note 7):</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(Note 7):</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22,114</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22,224</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22,531</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22,458</w:t>
            </w:r>
          </w:p>
        </w:tc>
      </w:tr>
      <w:tr>
        <w:trPr>
          <w:trHeight w:val="203"/>
        </w:trPr>
        <w:tc>
          <w:tcPr>
            <w:tcW w:w="5700" w:type="dxa"/>
            <w:vAlign w:val="bottom"/>
          </w:tcPr>
          <w:p>
            <w:pPr>
              <w:spacing w:after="0"/>
              <w:rPr>
                <w:sz w:val="17"/>
                <w:szCs w:val="17"/>
                <w:color w:val="auto"/>
              </w:rPr>
            </w:pPr>
          </w:p>
        </w:tc>
        <w:tc>
          <w:tcPr>
            <w:tcW w:w="1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925" w:right="1440" w:bottom="1440" w:gutter="0" w:footer="0" w:header="0"/>
        </w:sectPr>
      </w:pPr>
    </w:p>
    <w:bookmarkStart w:id="4" w:name="page5"/>
    <w:bookmarkEnd w:id="4"/>
    <w:p>
      <w:pPr>
        <w:jc w:val="center"/>
        <w:ind w:right="1900"/>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900"/>
        <w:spacing w:after="0" w:line="238" w:lineRule="auto"/>
        <w:rPr>
          <w:sz w:val="20"/>
          <w:szCs w:val="20"/>
          <w:color w:val="auto"/>
        </w:rPr>
      </w:pPr>
      <w:r>
        <w:rPr>
          <w:rFonts w:ascii="Courier New" w:cs="Courier New" w:eastAsia="Courier New" w:hAnsi="Courier New"/>
          <w:sz w:val="18"/>
          <w:szCs w:val="18"/>
          <w:color w:val="auto"/>
        </w:rPr>
        <w:t>UNAUDITED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480" w:type="dxa"/>
            <w:vAlign w:val="bottom"/>
          </w:tcPr>
          <w:p>
            <w:pPr>
              <w:spacing w:after="0"/>
              <w:rPr>
                <w:sz w:val="17"/>
                <w:szCs w:val="17"/>
                <w:color w:val="auto"/>
              </w:rPr>
            </w:pPr>
          </w:p>
        </w:tc>
        <w:tc>
          <w:tcPr>
            <w:tcW w:w="290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7060" w:type="dxa"/>
            <w:vAlign w:val="bottom"/>
          </w:tcPr>
          <w:p>
            <w:pPr>
              <w:spacing w:after="0"/>
              <w:rPr>
                <w:sz w:val="17"/>
                <w:szCs w:val="17"/>
                <w:color w:val="auto"/>
              </w:rPr>
            </w:pPr>
          </w:p>
        </w:tc>
        <w:tc>
          <w:tcPr>
            <w:tcW w:w="1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NOVEMBER 27,</w:t>
            </w: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NOVEMBER 28,</w:t>
            </w:r>
          </w:p>
        </w:tc>
      </w:tr>
      <w:tr>
        <w:trPr>
          <w:trHeight w:val="203"/>
        </w:trPr>
        <w:tc>
          <w:tcPr>
            <w:tcW w:w="7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46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12,381</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9,649</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provided by operating activities: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1,526</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1,353</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receivable and other assets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2,470</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(5,192)</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937</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accounts payable and accrued expenses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(16,110)</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(6,805)</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6,332</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3,874</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1,619</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9,236</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2,685</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investing activities: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(2,992)</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(1,969)</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(28,971)</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(25,432)</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24,953</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12,453</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(1,513)</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(8,523)</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(14,734)</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(9,280)</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(8,141)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627</w:t>
            </w:r>
          </w:p>
        </w:tc>
        <w:tc>
          <w:tcPr>
            <w:tcW w:w="46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financing activities and</w:t>
            </w: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(8,660)</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(7,870)</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(7,947)</w:t>
            </w:r>
          </w:p>
        </w:tc>
        <w:tc>
          <w:tcPr>
            <w:tcW w:w="4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(19,919)</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480" w:type="dxa"/>
            <w:vAlign w:val="bottom"/>
          </w:tcPr>
          <w:p>
            <w:pPr>
              <w:spacing w:after="0"/>
              <w:rPr>
                <w:sz w:val="24"/>
                <w:szCs w:val="24"/>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48,160</w:t>
            </w:r>
          </w:p>
        </w:tc>
        <w:tc>
          <w:tcPr>
            <w:tcW w:w="4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54,740</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40,213</w:t>
            </w:r>
          </w:p>
        </w:tc>
        <w:tc>
          <w:tcPr>
            <w:tcW w:w="4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34,821</w:t>
            </w:r>
          </w:p>
        </w:tc>
      </w:tr>
      <w:tr>
        <w:trPr>
          <w:trHeight w:val="203"/>
        </w:trPr>
        <w:tc>
          <w:tcPr>
            <w:tcW w:w="7060" w:type="dxa"/>
            <w:vAlign w:val="bottom"/>
          </w:tcPr>
          <w:p>
            <w:pPr>
              <w:spacing w:after="0"/>
              <w:rPr>
                <w:sz w:val="17"/>
                <w:szCs w:val="17"/>
                <w:color w:val="auto"/>
              </w:rPr>
            </w:pP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320" w:top="919" w:right="1139" w:bottom="1440" w:gutter="0" w:footer="0" w:header="0"/>
        </w:sectPr>
      </w:pPr>
    </w:p>
    <w:bookmarkStart w:id="5" w:name="page6"/>
    <w:bookmarkEnd w:id="5"/>
    <w:p>
      <w:pPr>
        <w:spacing w:after="0" w:line="78" w:lineRule="exact"/>
        <w:rPr>
          <w:sz w:val="20"/>
          <w:szCs w:val="20"/>
          <w:color w:val="auto"/>
        </w:rPr>
      </w:pPr>
    </w:p>
    <w:p>
      <w:pPr>
        <w:ind w:left="1992"/>
        <w:spacing w:after="0"/>
        <w:rPr>
          <w:sz w:val="20"/>
          <w:szCs w:val="20"/>
          <w:color w:val="auto"/>
        </w:rPr>
      </w:pPr>
      <w:r>
        <w:rPr>
          <w:rFonts w:ascii="Courier New" w:cs="Courier New" w:eastAsia="Courier New" w:hAnsi="Courier New"/>
          <w:sz w:val="18"/>
          <w:szCs w:val="18"/>
          <w:color w:val="auto"/>
        </w:rPr>
        <w:t>WINNEBAGO INDUSTRIES, INC. AND SUBSIDIARIES</w:t>
      </w:r>
    </w:p>
    <w:p>
      <w:pPr>
        <w:ind w:left="952"/>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532" w:right="1699" w:hanging="532"/>
        <w:spacing w:after="0" w:line="237"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November 27, 1999, the consolidated results of operations and the consolidated cash flows for the 13 weeks ended November 27, 1999 and November 28, 1998. The results of operations for the 13 weeks ended November 27, 1999, are not necessarily indicative of the results to be expected for the full year. The balance sheet data as of August 28, 1999 was derived from audited financial statements, but does not include all disclosures contained in the Company's Annual Report to Shareholders for the year ended August 28, 1999. These interim consolidated financial statements should be read in conjunction with the audited financial statements and notes thereto appearing in the Company's Annual Report to Shareholders for the year ended August 28, 1999.</w:t>
      </w:r>
    </w:p>
    <w:p>
      <w:pPr>
        <w:spacing w:after="0" w:line="218" w:lineRule="exact"/>
        <w:rPr>
          <w:rFonts w:ascii="Courier New" w:cs="Courier New" w:eastAsia="Courier New" w:hAnsi="Courier New"/>
          <w:sz w:val="18"/>
          <w:szCs w:val="18"/>
          <w:color w:val="auto"/>
        </w:rPr>
      </w:pPr>
    </w:p>
    <w:p>
      <w:pPr>
        <w:ind w:left="532" w:right="1699" w:hanging="532"/>
        <w:spacing w:after="0" w:line="236"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792"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9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November 27,</w:t>
            </w:r>
          </w:p>
        </w:tc>
        <w:tc>
          <w:tcPr>
            <w:tcW w:w="15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August 28,</w:t>
            </w:r>
          </w:p>
        </w:tc>
      </w:tr>
      <w:tr>
        <w:trPr>
          <w:trHeight w:val="203"/>
        </w:trPr>
        <w:tc>
          <w:tcPr>
            <w:tcW w:w="1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5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1940" w:type="dxa"/>
            <w:vAlign w:val="bottom"/>
          </w:tcPr>
          <w:p>
            <w:pPr>
              <w:spacing w:after="0"/>
              <w:rPr>
                <w:sz w:val="17"/>
                <w:szCs w:val="17"/>
                <w:color w:val="auto"/>
              </w:rPr>
            </w:pP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30,924</w:t>
            </w:r>
          </w:p>
        </w:tc>
        <w:tc>
          <w:tcPr>
            <w:tcW w:w="52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25,622</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22,959</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24,822</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50,937</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55,076</w:t>
            </w:r>
          </w:p>
        </w:tc>
      </w:tr>
      <w:tr>
        <w:trPr>
          <w:trHeight w:val="203"/>
        </w:trPr>
        <w:tc>
          <w:tcPr>
            <w:tcW w:w="194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104,820</w:t>
            </w:r>
          </w:p>
        </w:tc>
        <w:tc>
          <w:tcPr>
            <w:tcW w:w="52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105,520</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64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(18,726)</w:t>
            </w:r>
          </w:p>
        </w:tc>
        <w:tc>
          <w:tcPr>
            <w:tcW w:w="5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(18,489)</w:t>
            </w:r>
          </w:p>
        </w:tc>
      </w:tr>
      <w:tr>
        <w:trPr>
          <w:trHeight w:val="203"/>
        </w:trPr>
        <w:tc>
          <w:tcPr>
            <w:tcW w:w="194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86,094</w:t>
            </w:r>
          </w:p>
        </w:tc>
        <w:tc>
          <w:tcPr>
            <w:tcW w:w="5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87,031</w:t>
            </w:r>
          </w:p>
        </w:tc>
      </w:tr>
      <w:tr>
        <w:trPr>
          <w:trHeight w:val="203"/>
        </w:trPr>
        <w:tc>
          <w:tcPr>
            <w:tcW w:w="1940" w:type="dxa"/>
            <w:vAlign w:val="bottom"/>
          </w:tcPr>
          <w:p>
            <w:pPr>
              <w:spacing w:after="0"/>
              <w:rPr>
                <w:sz w:val="17"/>
                <w:szCs w:val="17"/>
                <w:color w:val="auto"/>
              </w:rPr>
            </w:pPr>
          </w:p>
        </w:tc>
        <w:tc>
          <w:tcPr>
            <w:tcW w:w="1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32" w:right="1699" w:hanging="532"/>
        <w:spacing w:after="0" w:line="238"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March 1992, the Company has had a financing and security agreement with Bank of America Specialty Group (formerly NationsBank Specialty Lending Unit).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November 27, 1999, the Company was in compliance with these financial covenants. There were no outstanding borrowings under the line of credit at November 27, 1999 or August 28, 1999.</w:t>
      </w:r>
    </w:p>
    <w:p>
      <w:pPr>
        <w:spacing w:after="0" w:line="207" w:lineRule="exact"/>
        <w:rPr>
          <w:rFonts w:ascii="Courier New" w:cs="Courier New" w:eastAsia="Courier New" w:hAnsi="Courier New"/>
          <w:sz w:val="18"/>
          <w:szCs w:val="18"/>
          <w:color w:val="auto"/>
        </w:rPr>
      </w:pPr>
    </w:p>
    <w:p>
      <w:pPr>
        <w:ind w:left="532" w:right="1919" w:hanging="532"/>
        <w:spacing w:after="0" w:line="270"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$187,318,000 and $168,552,000 under repurchase agreements with lending institutions as of November 27, 1999 and August 28, 1999, respectively. Included in these contingent liabilities as of November 27, 1999 and August 28, 1999 are approximately $12,183,000 and $7,480,000, respectively, of certain dealer receivables subject to recourse agreements with Bank of America Specialty Group (formerly NationsBank Specialty Lending Unit) and Conseco Finance Servicing Group (formerly Green Tree Financial).</w:t>
      </w:r>
    </w:p>
    <w:p>
      <w:pPr>
        <w:spacing w:after="0" w:line="388" w:lineRule="exact"/>
        <w:rPr>
          <w:rFonts w:ascii="Courier New" w:cs="Courier New" w:eastAsia="Courier New" w:hAnsi="Courier New"/>
          <w:sz w:val="16"/>
          <w:szCs w:val="16"/>
          <w:color w:val="auto"/>
        </w:rPr>
      </w:pPr>
    </w:p>
    <w:p>
      <w:pPr>
        <w:ind w:left="532" w:right="1699" w:hanging="532"/>
        <w:spacing w:after="0" w:line="235"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periods indicated, the Company paid cash for the following (dollars in thousands):</w:t>
      </w:r>
    </w:p>
    <w:p>
      <w:pPr>
        <w:sectPr>
          <w:pgSz w:w="11900" w:h="16917" w:orient="portrait"/>
          <w:cols w:equalWidth="0" w:num="1">
            <w:col w:w="10131"/>
          </w:cols>
          <w:pgMar w:left="328" w:top="91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92"/>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THIRTEEN WEEKS ENDED</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859"/>
        <w:spacing w:after="0"/>
        <w:tabs>
          <w:tab w:leader="none" w:pos="500" w:val="left"/>
        </w:tabs>
        <w:rPr>
          <w:sz w:val="20"/>
          <w:szCs w:val="20"/>
          <w:color w:val="auto"/>
        </w:rPr>
      </w:pPr>
      <w:r>
        <w:rPr>
          <w:rFonts w:ascii="Courier New" w:cs="Courier New" w:eastAsia="Courier New" w:hAnsi="Courier New"/>
          <w:sz w:val="18"/>
          <w:szCs w:val="18"/>
          <w:color w:val="auto"/>
        </w:rPr>
        <w:t>November 27,</w:t>
      </w:r>
      <w:r>
        <w:rPr>
          <w:sz w:val="20"/>
          <w:szCs w:val="20"/>
          <w:color w:val="auto"/>
        </w:rPr>
        <w:tab/>
      </w:r>
      <w:r>
        <w:rPr>
          <w:rFonts w:ascii="Courier New" w:cs="Courier New" w:eastAsia="Courier New" w:hAnsi="Courier New"/>
          <w:sz w:val="16"/>
          <w:szCs w:val="16"/>
          <w:color w:val="auto"/>
        </w:rPr>
        <w:t>November 28,</w:t>
      </w:r>
    </w:p>
    <w:p>
      <w:pPr>
        <w:jc w:val="center"/>
        <w:ind w:right="2439"/>
        <w:spacing w:after="0" w:line="238" w:lineRule="auto"/>
        <w:tabs>
          <w:tab w:leader="none" w:pos="1340" w:val="left"/>
        </w:tabs>
        <w:rPr>
          <w:sz w:val="20"/>
          <w:szCs w:val="20"/>
          <w:color w:val="auto"/>
        </w:rPr>
      </w:pPr>
      <w:r>
        <w:rPr>
          <w:rFonts w:ascii="Courier New" w:cs="Courier New" w:eastAsia="Courier New" w:hAnsi="Courier New"/>
          <w:sz w:val="18"/>
          <w:szCs w:val="18"/>
          <w:color w:val="auto"/>
        </w:rPr>
        <w:t>1999</w:t>
      </w:r>
      <w:r>
        <w:rPr>
          <w:sz w:val="20"/>
          <w:szCs w:val="20"/>
          <w:color w:val="auto"/>
        </w:rPr>
        <w:tab/>
      </w:r>
      <w:r>
        <w:rPr>
          <w:rFonts w:ascii="Courier New" w:cs="Courier New" w:eastAsia="Courier New" w:hAnsi="Courier New"/>
          <w:sz w:val="18"/>
          <w:szCs w:val="18"/>
          <w:color w:val="auto"/>
        </w:rPr>
        <w:t>1998</w:t>
      </w:r>
    </w:p>
    <w:p>
      <w:pPr>
        <w:jc w:val="center"/>
        <w:ind w:right="2859"/>
        <w:spacing w:after="0" w:line="238" w:lineRule="auto"/>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center"/>
        <w:ind w:right="2539"/>
        <w:spacing w:after="0"/>
        <w:tabs>
          <w:tab w:leader="none" w:pos="600" w:val="left"/>
          <w:tab w:leader="none" w:pos="920" w:val="left"/>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61</w:t>
      </w:r>
    </w:p>
    <w:p>
      <w:pPr>
        <w:sectPr>
          <w:pgSz w:w="11900" w:h="16917" w:orient="portrait"/>
          <w:cols w:equalWidth="0" w:num="2">
            <w:col w:w="3272" w:space="720"/>
            <w:col w:w="6139"/>
          </w:cols>
          <w:pgMar w:left="328" w:top="919" w:right="1440" w:bottom="0" w:gutter="0" w:footer="0" w:header="0"/>
          <w:type w:val="continuous"/>
        </w:sectPr>
      </w:pPr>
    </w:p>
    <w:bookmarkStart w:id="6" w:name="page7"/>
    <w:bookmarkEnd w:id="6"/>
    <w:p>
      <w:pPr>
        <w:ind w:left="580"/>
        <w:spacing w:after="0"/>
        <w:tabs>
          <w:tab w:leader="none" w:pos="4020" w:val="left"/>
          <w:tab w:leader="none" w:pos="5500" w:val="left"/>
        </w:tabs>
        <w:rPr>
          <w:sz w:val="20"/>
          <w:szCs w:val="20"/>
          <w:color w:val="auto"/>
        </w:rPr>
      </w:pPr>
      <w:r>
        <w:rPr>
          <w:rFonts w:ascii="Courier New" w:cs="Courier New" w:eastAsia="Courier New" w:hAnsi="Courier New"/>
          <w:sz w:val="18"/>
          <w:szCs w:val="18"/>
          <w:color w:val="auto"/>
        </w:rPr>
        <w:t>Income taxes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1,375</w:t>
      </w:r>
    </w:p>
    <w:p>
      <w:pPr>
        <w:sectPr>
          <w:pgSz w:w="11900" w:h="16838" w:orient="portrait"/>
          <w:cols w:equalWidth="0" w:num="1">
            <w:col w:w="9019"/>
          </w:cols>
          <w:pgMar w:left="14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36" w:right="1440" w:bottom="1440" w:gutter="0" w:footer="0" w:header="0"/>
          <w:type w:val="continuous"/>
        </w:sectPr>
      </w:pPr>
    </w:p>
    <w:bookmarkStart w:id="7" w:name="page8"/>
    <w:bookmarkEnd w:id="7"/>
    <w:p>
      <w:pPr>
        <w:ind w:left="540" w:right="181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17, 1999, the Board of Directors authorized the repurchase of outstanding shares of the Company's common stock for an aggregate purchase price of up to $15,000,000. As of November 27, 1999, 528,900 shares were repurchased for an aggregate consideration of $9,280,000 under this repurchase authorization.</w:t>
      </w:r>
    </w:p>
    <w:p>
      <w:pPr>
        <w:spacing w:after="0" w:line="208" w:lineRule="exact"/>
        <w:rPr>
          <w:rFonts w:ascii="Courier New" w:cs="Courier New" w:eastAsia="Courier New" w:hAnsi="Courier New"/>
          <w:sz w:val="18"/>
          <w:szCs w:val="18"/>
          <w:color w:val="auto"/>
        </w:rPr>
      </w:pPr>
    </w:p>
    <w:p>
      <w:pPr>
        <w:ind w:left="540" w:right="1819" w:hanging="532"/>
        <w:spacing w:after="0" w:line="290"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table reflects the calculation of basic and diluted earnings per share for the 13 weeks ended November 27, 1999 and November 28, 1998:</w:t>
      </w:r>
    </w:p>
    <w:p>
      <w:pPr>
        <w:spacing w:after="0" w:line="16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4320" w:type="dxa"/>
            <w:vAlign w:val="bottom"/>
          </w:tcPr>
          <w:p>
            <w:pPr>
              <w:spacing w:after="0"/>
              <w:rPr>
                <w:sz w:val="17"/>
                <w:szCs w:val="17"/>
                <w:color w:val="auto"/>
              </w:rPr>
            </w:pPr>
          </w:p>
        </w:tc>
        <w:tc>
          <w:tcPr>
            <w:tcW w:w="3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NOVEMBER 27,</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NOVEMBER 28,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520" w:type="dxa"/>
            <w:vAlign w:val="bottom"/>
          </w:tcPr>
          <w:p>
            <w:pPr>
              <w:spacing w:after="0"/>
              <w:rPr>
                <w:sz w:val="17"/>
                <w:szCs w:val="17"/>
                <w:color w:val="auto"/>
              </w:rPr>
            </w:pPr>
          </w:p>
        </w:tc>
        <w:tc>
          <w:tcPr>
            <w:tcW w:w="11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1999</w:t>
            </w:r>
          </w:p>
        </w:tc>
        <w:tc>
          <w:tcPr>
            <w:tcW w:w="4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12,381</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9,649</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5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22,114</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22,224</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EARNINGS PER SHARE - ASSUMING DILUTION:</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12,381</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9,649</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5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22,114</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22,224</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impact of options outstanding</w:t>
            </w:r>
          </w:p>
        </w:tc>
        <w:tc>
          <w:tcPr>
            <w:tcW w:w="5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&amp; potential</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5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22,531</w:t>
            </w: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22,458</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assuming dilution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3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1699" w:hanging="532"/>
        <w:spacing w:after="0" w:line="269"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defines its operations into two business segments: Recreational vehicles and other manufactured products and dealer financing. Recreation vehicles and other manufactured products includes all data relative to the manufacturing and selling of the Company's Class A, B and C motor home products as well as sales of component products for other manufacturers and recreation vehicle related parts and service revenue. Dealer financing includes floorplan and rental unit financing for a limited number of the Company's dealers. Management focuses on operating income as a 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38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13 weeks ended November 27, 1999 and November 28, 1998, the</w:t>
      </w:r>
    </w:p>
    <w:p>
      <w:pPr>
        <w:ind w:left="540"/>
        <w:spacing w:after="0" w:line="238" w:lineRule="auto"/>
        <w:rPr>
          <w:sz w:val="20"/>
          <w:szCs w:val="20"/>
          <w:color w:val="auto"/>
        </w:rPr>
      </w:pPr>
      <w:r>
        <w:rPr>
          <w:rFonts w:ascii="Courier New" w:cs="Courier New" w:eastAsia="Courier New" w:hAnsi="Courier New"/>
          <w:sz w:val="18"/>
          <w:szCs w:val="18"/>
          <w:color w:val="auto"/>
        </w:rPr>
        <w:t>Company's segment information is as follows: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RECREATION</w:t>
      </w:r>
    </w:p>
    <w:p>
      <w:pPr>
        <w:ind w:left="3280"/>
        <w:spacing w:after="0" w:line="238" w:lineRule="auto"/>
        <w:rPr>
          <w:sz w:val="20"/>
          <w:szCs w:val="20"/>
          <w:color w:val="auto"/>
        </w:rPr>
      </w:pPr>
      <w:r>
        <w:rPr>
          <w:rFonts w:ascii="Courier New" w:cs="Courier New" w:eastAsia="Courier New" w:hAnsi="Courier New"/>
          <w:sz w:val="18"/>
          <w:szCs w:val="18"/>
          <w:color w:val="auto"/>
        </w:rPr>
        <w:t>VEHICLES &amp; OTHER</w:t>
      </w:r>
    </w:p>
    <w:p>
      <w:pPr>
        <w:ind w:left="3480"/>
        <w:spacing w:after="0"/>
        <w:tabs>
          <w:tab w:leader="none" w:pos="5260" w:val="left"/>
          <w:tab w:leader="none" w:pos="6300" w:val="left"/>
        </w:tabs>
        <w:rPr>
          <w:sz w:val="20"/>
          <w:szCs w:val="20"/>
          <w:color w:val="auto"/>
        </w:rPr>
      </w:pPr>
      <w:r>
        <w:rPr>
          <w:rFonts w:ascii="Courier New" w:cs="Courier New" w:eastAsia="Courier New" w:hAnsi="Courier New"/>
          <w:sz w:val="18"/>
          <w:szCs w:val="18"/>
          <w:color w:val="auto"/>
        </w:rPr>
        <w:t>MANUFACTURED</w:t>
      </w:r>
      <w:r>
        <w:rPr>
          <w:sz w:val="20"/>
          <w:szCs w:val="20"/>
          <w:color w:val="auto"/>
        </w:rPr>
        <w:tab/>
      </w:r>
      <w:r>
        <w:rPr>
          <w:rFonts w:ascii="Courier New" w:cs="Courier New" w:eastAsia="Courier New" w:hAnsi="Courier New"/>
          <w:sz w:val="18"/>
          <w:szCs w:val="18"/>
          <w:color w:val="auto"/>
        </w:rPr>
        <w:t>DEALER</w:t>
      </w:r>
      <w:r>
        <w:rPr>
          <w:sz w:val="20"/>
          <w:szCs w:val="20"/>
          <w:color w:val="auto"/>
        </w:rPr>
        <w:tab/>
      </w:r>
      <w:r>
        <w:rPr>
          <w:rFonts w:ascii="Courier New" w:cs="Courier New" w:eastAsia="Courier New" w:hAnsi="Courier New"/>
          <w:sz w:val="16"/>
          <w:szCs w:val="16"/>
          <w:color w:val="auto"/>
        </w:rPr>
        <w:t>GENERAL</w:t>
      </w:r>
    </w:p>
    <w:p>
      <w:pPr>
        <w:spacing w:after="0"/>
        <w:tabs>
          <w:tab w:leader="none" w:pos="3680" w:val="left"/>
          <w:tab w:leader="none" w:pos="5040" w:val="left"/>
          <w:tab w:leader="none" w:pos="6200" w:val="left"/>
          <w:tab w:leader="none" w:pos="7560" w:val="left"/>
        </w:tabs>
        <w:rPr>
          <w:sz w:val="20"/>
          <w:szCs w:val="20"/>
          <w:color w:val="auto"/>
        </w:rPr>
      </w:pPr>
      <w:r>
        <w:rPr>
          <w:rFonts w:ascii="Courier New" w:cs="Courier New" w:eastAsia="Courier New" w:hAnsi="Courier New"/>
          <w:sz w:val="18"/>
          <w:szCs w:val="18"/>
          <w:color w:val="auto"/>
        </w:rPr>
        <w:t>(DOLLARS IN THOUSANDS)</w:t>
      </w:r>
      <w:r>
        <w:rPr>
          <w:sz w:val="20"/>
          <w:szCs w:val="20"/>
          <w:color w:val="auto"/>
        </w:rPr>
        <w:tab/>
      </w:r>
      <w:r>
        <w:rPr>
          <w:rFonts w:ascii="Courier New" w:cs="Courier New" w:eastAsia="Courier New" w:hAnsi="Courier New"/>
          <w:sz w:val="18"/>
          <w:szCs w:val="18"/>
          <w:color w:val="auto"/>
        </w:rPr>
        <w:t>PRODUCTS</w:t>
      </w:r>
      <w:r>
        <w:rPr>
          <w:sz w:val="20"/>
          <w:szCs w:val="20"/>
          <w:color w:val="auto"/>
        </w:rPr>
        <w:tab/>
      </w:r>
      <w:r>
        <w:rPr>
          <w:rFonts w:ascii="Courier New" w:cs="Courier New" w:eastAsia="Courier New" w:hAnsi="Courier New"/>
          <w:sz w:val="18"/>
          <w:szCs w:val="18"/>
          <w:color w:val="auto"/>
        </w:rPr>
        <w:t>FINANCING</w:t>
        <w:tab/>
        <w:t>CORPORATE</w:t>
      </w:r>
      <w:r>
        <w:rPr>
          <w:sz w:val="20"/>
          <w:szCs w:val="20"/>
          <w:color w:val="auto"/>
        </w:rPr>
        <w:tab/>
      </w:r>
      <w:r>
        <w:rPr>
          <w:rFonts w:ascii="Courier New" w:cs="Courier New" w:eastAsia="Courier New" w:hAnsi="Courier New"/>
          <w:sz w:val="18"/>
          <w:szCs w:val="18"/>
          <w:color w:val="auto"/>
        </w:rPr>
        <w:t>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13 WEEKS ENDED NOVEMBER 27, 1999</w:t>
            </w: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$181,681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$182,551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17,345</w:t>
            </w:r>
          </w:p>
        </w:tc>
        <w:tc>
          <w:tcPr>
            <w:tcW w:w="4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841</w:t>
            </w:r>
          </w:p>
        </w:tc>
        <w:tc>
          <w:tcPr>
            <w:tcW w:w="3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18,060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207,408</w:t>
            </w:r>
          </w:p>
        </w:tc>
        <w:tc>
          <w:tcPr>
            <w:tcW w:w="4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29,527</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44,867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281,802</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13 WEEKS ENDED NOVEMBER 28, 1998</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$157,083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$157,664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13,503</w:t>
            </w:r>
          </w:p>
        </w:tc>
        <w:tc>
          <w:tcPr>
            <w:tcW w:w="4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493</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14,080</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Identifiable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141,338</w:t>
            </w:r>
          </w:p>
        </w:tc>
        <w:tc>
          <w:tcPr>
            <w:tcW w:w="42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27,771</w:t>
            </w:r>
          </w:p>
        </w:tc>
        <w:tc>
          <w:tcPr>
            <w:tcW w:w="32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62,058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231,167</w:t>
            </w:r>
          </w:p>
        </w:tc>
      </w:tr>
      <w:tr>
        <w:trPr>
          <w:trHeight w:val="607"/>
        </w:trPr>
        <w:tc>
          <w:tcPr>
            <w:tcW w:w="354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139"/>
          </w:cols>
          <w:pgMar w:left="320" w:top="925" w:right="1440" w:bottom="0" w:gutter="0" w:footer="0" w:header="0"/>
        </w:sectPr>
      </w:pPr>
    </w:p>
    <w:bookmarkStart w:id="8" w:name="page9"/>
    <w:bookmarkEnd w:id="8"/>
    <w:p>
      <w:pPr>
        <w:jc w:val="center"/>
        <w:ind w:right="1579"/>
        <w:spacing w:after="0"/>
        <w:rPr>
          <w:sz w:val="20"/>
          <w:szCs w:val="20"/>
          <w:color w:val="auto"/>
        </w:rPr>
      </w:pPr>
      <w:r>
        <w:rPr>
          <w:rFonts w:ascii="Courier New" w:cs="Courier New" w:eastAsia="Courier New" w:hAnsi="Courier New"/>
          <w:sz w:val="18"/>
          <w:szCs w:val="18"/>
          <w:color w:val="auto"/>
        </w:rPr>
        <w:t>MANAGEMENT'S DISCUSSION AND ANALYSIS OF FINANCIAL CONDITION AND</w:t>
      </w:r>
    </w:p>
    <w:p>
      <w:pPr>
        <w:jc w:val="center"/>
        <w:ind w:right="181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Thirteen Weeks Ended November 27, 1999 Compared to Thirteen Weeks Ended November 28, 1998</w:t>
      </w:r>
    </w:p>
    <w:p>
      <w:pPr>
        <w:spacing w:after="0" w:line="208"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Net revenues for the 13 weeks ended November 27, 1999 were $182,551,000 an increase of $24,887,000, or 15.8 percent from the 13 week period ended November 28, 1998. Motor home shipments (Class A and C) were 2,625 units, an increase of 159 units, or 6.4 percent, during the first quarter of fiscal 2000 compared to the first quarter of fiscal 1999. The percentage increase in net revenues in the first quarter of fiscal 2000 was greater than the percentage increase in motor home shipments for that period as a result of the Company's shipment of a greater number of higher priced diesel-powered Class A vehicles during the first quarter of fiscal 2000. Favorable demographic trends and high consumer confidence levels have continued the upward momentum for the Company as well as the recreation vehicle market in general. At both November 27, 1999 and November 28, 1998, the Company's order backlog of Class A and Class C motor homes was approximately 2,700 orders.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Gross profit, as a percent of net revenues, was 16.9 percent for the 13 weeks ended November 27, 1999 compared to 15.8 percent for the 13 weeks ended November 28, 1998. The Company's gross profit percentage increased as a result of a favorable product mix change and higher volume of motor home production and shipments during the first quarter of fiscal 2000.</w:t>
      </w:r>
    </w:p>
    <w:p>
      <w:pPr>
        <w:spacing w:after="0" w:line="208" w:lineRule="exact"/>
        <w:rPr>
          <w:sz w:val="20"/>
          <w:szCs w:val="20"/>
          <w:color w:val="auto"/>
        </w:rPr>
      </w:pPr>
    </w:p>
    <w:p>
      <w:pPr>
        <w:ind w:right="1699"/>
        <w:spacing w:after="0" w:line="272" w:lineRule="auto"/>
        <w:rPr>
          <w:sz w:val="20"/>
          <w:szCs w:val="20"/>
          <w:color w:val="auto"/>
        </w:rPr>
      </w:pPr>
      <w:r>
        <w:rPr>
          <w:rFonts w:ascii="Courier New" w:cs="Courier New" w:eastAsia="Courier New" w:hAnsi="Courier New"/>
          <w:sz w:val="16"/>
          <w:szCs w:val="16"/>
          <w:color w:val="auto"/>
        </w:rPr>
        <w:t>Selling and delivery expenses were $6,260,000 or 3.4 percent of net revenues during the first quarter of fiscal 2000 compared to $5,102,000 or 3.2 percent of net revenues during the first quarter of fiscal 1999. The increase in dollars can be attributed primarily to increases in the Company's direct mailing program and brochure development. Also contributing to the change was an increase in the Company's promotional expense during the first quarter of fiscal 2000.</w:t>
      </w:r>
    </w:p>
    <w:p>
      <w:pPr>
        <w:spacing w:after="0" w:line="185"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General and administrative expenses were $6,553,000 or 3.6 percent of net revenues during the 13 weeks ended November 27, 1999 compared to $5,694,000 or 3.6 percent of net revenues during the 13 weeks ended November 28, 1998. The increase in dollars can be attributed primarily to increases in the Company's employee incentive programs and corporate donations during the 13 weeks ended November 27, 1999.</w:t>
      </w:r>
    </w:p>
    <w:p>
      <w:pPr>
        <w:spacing w:after="0" w:line="209"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Company had net financial income of $653,000 for the first quarter of fiscal 2000 compared to net financial income of $581,000 for the comparable quarter of fiscal 1999. During the 13 weeks ended November 27, 1999, the Company recorded $626,000 of net interest income and gains of $27,000 in foreign currency transactions. During the 13 weeks ended November 28, 1998, the Company recorded $651,000 of net interest income and losses of $70,000 in foreign currency transactions.</w:t>
      </w:r>
    </w:p>
    <w:p>
      <w:pPr>
        <w:spacing w:after="0" w:line="210"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For the first quarter of fiscal 2000, the Company had net income of $12,381,000, or $.55 per diluted share, compared to the first quarter of fiscal 1999's net income of $9,649,000, or $.43 per diluted share. Net income and earnings per diluted share increased by 28.3 percent and 27.9 percent, respectively, when comparing the first quarter of fiscal 2000 to the first quarter of fiscal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8"/>
          <w:szCs w:val="18"/>
          <w:color w:val="auto"/>
        </w:rPr>
        <w:t>The Company meets its working capital requirements, capital equipment requirements and cash requirements of subsidiaries with funds generated internally.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919" w:right="1440" w:bottom="1440" w:gutter="0" w:footer="0" w:header="0"/>
        </w:sectPr>
      </w:pPr>
    </w:p>
    <w:bookmarkStart w:id="9" w:name="page10"/>
    <w:bookmarkEnd w:id="9"/>
    <w:p>
      <w:pPr>
        <w:ind w:right="1699"/>
        <w:spacing w:after="0" w:line="237" w:lineRule="auto"/>
        <w:rPr>
          <w:sz w:val="20"/>
          <w:szCs w:val="20"/>
          <w:color w:val="auto"/>
        </w:rPr>
      </w:pPr>
      <w:r>
        <w:rPr>
          <w:rFonts w:ascii="Courier New" w:cs="Courier New" w:eastAsia="Courier New" w:hAnsi="Courier New"/>
          <w:sz w:val="18"/>
          <w:szCs w:val="18"/>
          <w:color w:val="auto"/>
        </w:rPr>
        <w:t>At November 27, 1999, working capital was $126,090,000, an increase of $2,370,000 from the amount at August 28, 1999. The Company's principal uses of cash during the 13 weeks ended November 27, 1999 were $28,971,000 of dealer receivable investments and $9,280,000 for the purchase of shares of the Company's Common Stock. The Company's principal sources of cash during the 13 weeks ended November 27, 1999 were income from operations and the collection of $24,953,000 in dealer receivables. The Company's sources and uses of cash during the 13 weeks ended November 27, 1999 are set forth in the unaudited consolidated statement of cash flows for that period.</w:t>
      </w:r>
    </w:p>
    <w:p>
      <w:pPr>
        <w:spacing w:after="0" w:line="213"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Principal known demands at November 27, 1999 on the Company's liquid assets for the remainder of fiscal 2000 include approximately $16,700,000 of capital expenditures and payments of cash dividends. On October 7, 1999, the Board of Directors declared a cash dividend of $.10 per common share payable January 10, 2000, to shareholders of record on December 10, 1999.</w:t>
      </w:r>
    </w:p>
    <w:p>
      <w:pPr>
        <w:spacing w:after="0" w:line="208"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Management currently expects its cash on hand, funds from operations and borrowings available under existing credit facilities to be sufficient to cover both short-term and long-term operating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CHANGES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Recognition of Derivative Instruments and Hedging Activities</w:t>
      </w:r>
    </w:p>
    <w:p>
      <w:pPr>
        <w:spacing w:after="0" w:line="207" w:lineRule="exact"/>
        <w:rPr>
          <w:sz w:val="20"/>
          <w:szCs w:val="20"/>
          <w:color w:val="auto"/>
        </w:rPr>
      </w:pPr>
    </w:p>
    <w:p>
      <w:pPr>
        <w:ind w:right="1699"/>
        <w:spacing w:after="0" w:line="268" w:lineRule="auto"/>
        <w:rPr>
          <w:sz w:val="20"/>
          <w:szCs w:val="20"/>
          <w:color w:val="auto"/>
        </w:rPr>
      </w:pPr>
      <w:r>
        <w:rPr>
          <w:rFonts w:ascii="Courier New" w:cs="Courier New" w:eastAsia="Courier New" w:hAnsi="Courier New"/>
          <w:sz w:val="16"/>
          <w:szCs w:val="16"/>
          <w:color w:val="auto"/>
        </w:rPr>
        <w:t>SFAS No. 133, "Accounting for Derivative Instruments and Hedging Activities" was issued in June 1998 and must be adopted by the Company no later than fiscal</w:t>
      </w:r>
    </w:p>
    <w:p>
      <w:pPr>
        <w:ind w:right="1699"/>
        <w:spacing w:after="0" w:line="237" w:lineRule="auto"/>
        <w:rPr>
          <w:sz w:val="20"/>
          <w:szCs w:val="20"/>
          <w:color w:val="auto"/>
        </w:rPr>
      </w:pPr>
      <w:r>
        <w:rPr>
          <w:rFonts w:ascii="Courier New" w:cs="Courier New" w:eastAsia="Courier New" w:hAnsi="Courier New"/>
          <w:sz w:val="18"/>
          <w:szCs w:val="18"/>
          <w:color w:val="auto"/>
        </w:rPr>
        <w:t>2001. This statement requires that an entity recognize all derivatives as either assets or liabilities in the balance sheet and measure these instruments at fair value. The Company has not completed the process of evaluating the effect of SFAS No. 133 on its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availability of chassis, slower than anticipated sales of new or existing products, a significant increase in interest rates, a general slow down in the economy, or new product introductions by competitors and other factors which may be disclosed throughout this Form 10-Q.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(Y2K) COMPLIANCE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term "year 2000 issue" is a general term used to describe the various problems that may result from the improper processing of dates and date-sensitive calculations by computers as the year 2000 is approached and reached. These problems generally arise from the fact that most computer hardware and software have historically used only two digits to identify the year in a date.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Y2K Background</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Company's overall goal is to be Y2K ready. "Y2K ready" means that critical systems, devices, applications or business relationships have been evaluated and are expected to be suitable for continued use into and beyond the Y2K, or contingency plans are in place. The Company started its Y2K project in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Y2K Project</w:t>
      </w:r>
    </w:p>
    <w:p>
      <w:pPr>
        <w:spacing w:after="0" w:line="207"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The Company's Y2K project is divided into four major steps: 1) Strategy for compliance; 2) Inventory and assessment; 3) Remediation; and 4) System testing.</w:t>
      </w:r>
    </w:p>
    <w:p>
      <w:pPr>
        <w:spacing w:after="0" w:line="3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39"/>
          </w:cols>
          <w:pgMar w:left="320" w:top="925" w:right="1440" w:bottom="975" w:gutter="0" w:footer="0" w:header="0"/>
        </w:sectPr>
      </w:pPr>
    </w:p>
    <w:bookmarkStart w:id="10" w:name="page11"/>
    <w:bookmarkEnd w:id="10"/>
    <w:p>
      <w:pPr>
        <w:ind w:left="1060" w:right="2659" w:hanging="526"/>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decided to make the corrections for compliance by programming rather than through file conversion.</w:t>
      </w:r>
    </w:p>
    <w:p>
      <w:pPr>
        <w:spacing w:after="0" w:line="208" w:lineRule="exact"/>
        <w:rPr>
          <w:rFonts w:ascii="Courier New" w:cs="Courier New" w:eastAsia="Courier New" w:hAnsi="Courier New"/>
          <w:sz w:val="18"/>
          <w:szCs w:val="18"/>
          <w:color w:val="auto"/>
        </w:rPr>
      </w:pPr>
    </w:p>
    <w:p>
      <w:pPr>
        <w:ind w:left="1060" w:right="2239" w:hanging="526"/>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its chosen method of correction, management determined that approximately 25 percent of its current Information Systems Department's available time would be required to complete the Y2K project by mid-year 1998.</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programs' corrections were completed in May 1998.</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System testing was completed in September, 1999.</w:t>
      </w:r>
    </w:p>
    <w:p>
      <w:pPr>
        <w:spacing w:after="0" w:line="207"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The Company's Plant Engineering and Maintenance Department was charged with the assessment and remediation of any Y2K problems in its plant production equipment and in any building infrastructure equipment. As of October 1999, plant production equipment was reviewed and updated for Y2K compliance. Building infrastructure equipment was reviewed and has been updated to Y2K compliance.</w:t>
      </w:r>
    </w:p>
    <w:p>
      <w:pPr>
        <w:spacing w:after="0" w:line="184"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The Company's Purchasing and Information Systems Departments have contacted all of the Company's major suppliers to determine their readiness for their compliance with the Y2K issue.</w:t>
      </w:r>
    </w:p>
    <w:p>
      <w:pPr>
        <w:spacing w:after="0" w:line="208" w:lineRule="exact"/>
        <w:rPr>
          <w:sz w:val="20"/>
          <w:szCs w:val="20"/>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The Company is not aware of any date sensitive chips in the component parts of its products that could cause a problem with its products in the field when the date January 1, 2000 is reached.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w:t>
      </w:r>
    </w:p>
    <w:p>
      <w:pPr>
        <w:spacing w:after="0" w:line="207"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The total cost associated with the modifications has not exceeded $300,000 and these costs have all been expensed.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failure to correct a material Y2K problem could result in an interruption in, or a failure of, certain normal business activities or operations. Such failures could materially and adversely affect the Company's operations. Due to the general uncertainty inherent in the Y2K problem, resulting in part from the uncertainty of the Y2K readiness of the Company's third-party suppliers and customers, the Company is unable to determine at this time whether the consequences of Y2K failures will have a material impact on the Company's operations. The Company believes that, with the completion of its Y2K project as scheduled, the possibility of significant interruptions of normal operations should be reduced.</w:t>
      </w:r>
    </w:p>
    <w:p>
      <w:pPr>
        <w:spacing w:after="0" w:line="214"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As of January 5, 2000, the Company's computer systems and manufacturing facilities have operated without any Y2K related problems and appear to be Y2K compliant. The Company is not aware that any of its major third-party suppliers have experienced significant Y2K compliance problems.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Contingency</w:t>
      </w:r>
    </w:p>
    <w:p>
      <w:pPr>
        <w:spacing w:after="0" w:line="207" w:lineRule="exact"/>
        <w:rPr>
          <w:sz w:val="20"/>
          <w:szCs w:val="20"/>
          <w:color w:val="auto"/>
        </w:rPr>
      </w:pPr>
    </w:p>
    <w:p>
      <w:pPr>
        <w:ind w:right="1699"/>
        <w:spacing w:after="0" w:line="236" w:lineRule="auto"/>
        <w:rPr>
          <w:sz w:val="20"/>
          <w:szCs w:val="20"/>
          <w:color w:val="auto"/>
        </w:rPr>
      </w:pPr>
      <w:r>
        <w:rPr>
          <w:rFonts w:ascii="Courier New" w:cs="Courier New" w:eastAsia="Courier New" w:hAnsi="Courier New"/>
          <w:sz w:val="18"/>
          <w:szCs w:val="18"/>
          <w:color w:val="auto"/>
        </w:rPr>
        <w:t>The Company believes it has addressed all Y2K issues. Should a significant problem occur, the Company will revert to standard manual procedures to continue operation until the problem is corrected.</w:t>
      </w:r>
    </w:p>
    <w:p>
      <w:pPr>
        <w:spacing w:after="0" w:line="208"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Readers are cautioned that forward-looking statements contained in the Y2K update should be read in conjunction with the Company's disclosures under the heading: "FORWARD LOOKING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As of November 27, 1999, the Company had an investment portfolio of fixed income securities, which are classified as cash and cash equivalents of $40.2 million. These securities, like all fixed income investments,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 in such an event.</w:t>
      </w:r>
    </w:p>
    <w:p>
      <w:pPr>
        <w:spacing w:after="0" w:line="210" w:lineRule="exact"/>
        <w:rPr>
          <w:sz w:val="20"/>
          <w:szCs w:val="20"/>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As of November 27, 1999, the Company had dealer financing receivables in the amount of $28.6 million. Interest rates charged on these receivables vary based on the prime rate and are adjusted monthly.</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139"/>
          </w:cols>
          <w:pgMar w:left="320" w:top="925" w:right="1440" w:bottom="165"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See Exhibit Index on page 12.</w:t>
      </w:r>
    </w:p>
    <w:p>
      <w:pPr>
        <w:spacing w:after="0" w:line="206" w:lineRule="exact"/>
        <w:rPr>
          <w:rFonts w:ascii="Courier New" w:cs="Courier New" w:eastAsia="Courier New" w:hAnsi="Courier New"/>
          <w:sz w:val="18"/>
          <w:szCs w:val="18"/>
          <w:color w:val="auto"/>
        </w:rPr>
      </w:pPr>
    </w:p>
    <w:p>
      <w:pPr>
        <w:ind w:left="1580" w:right="233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39"/>
          </w:cols>
          <w:pgMar w:left="320" w:top="919"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139"/>
          </w:cols>
          <w:pgMar w:left="32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January 5,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D. Hertzke</w:t>
      </w:r>
    </w:p>
    <w:p>
      <w:pPr>
        <w:spacing w:after="0" w:line="238" w:lineRule="auto"/>
        <w:rPr>
          <w:sz w:val="20"/>
          <w:szCs w:val="20"/>
          <w:color w:val="auto"/>
        </w:rPr>
      </w:pPr>
      <w:r>
        <w:rPr>
          <w:rFonts w:ascii="Courier New" w:cs="Courier New" w:eastAsia="Courier New" w:hAnsi="Courier New"/>
          <w:sz w:val="18"/>
          <w:szCs w:val="18"/>
          <w:color w:val="auto"/>
        </w:rPr>
        <w:t>Chairman of the Board, Chief Executive</w:t>
      </w:r>
    </w:p>
    <w:p>
      <w:pPr>
        <w:spacing w:after="0" w:line="238" w:lineRule="auto"/>
        <w:rPr>
          <w:sz w:val="20"/>
          <w:szCs w:val="20"/>
          <w:color w:val="auto"/>
        </w:rPr>
      </w:pPr>
      <w:r>
        <w:rPr>
          <w:rFonts w:ascii="Courier New" w:cs="Courier New" w:eastAsia="Courier New" w:hAnsi="Courier New"/>
          <w:sz w:val="18"/>
          <w:szCs w:val="18"/>
          <w:color w:val="auto"/>
        </w:rPr>
        <w:t>Officer, and President</w:t>
      </w:r>
    </w:p>
    <w:p>
      <w:pPr>
        <w:ind w:left="940"/>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420" w:space="220"/>
            <w:col w:w="2860" w:space="720"/>
            <w:col w:w="5919"/>
          </w:cols>
          <w:pgMar w:left="320" w:top="919"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January 5,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3">
            <w:col w:w="420" w:space="220"/>
            <w:col w:w="2860" w:space="720"/>
            <w:col w:w="5919"/>
          </w:cols>
          <w:pgMar w:left="320" w:top="919"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919" w:right="1440" w:bottom="1440" w:gutter="0" w:footer="0" w:header="0"/>
          <w:type w:val="continuous"/>
        </w:sectPr>
      </w:pPr>
    </w:p>
    <w:bookmarkStart w:id="13" w:name="page14"/>
    <w:bookmarkEnd w:id="13"/>
    <w:p>
      <w:pPr>
        <w:jc w:val="right"/>
        <w:ind w:right="517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139"/>
          </w:cols>
          <w:pgMar w:left="320" w:top="91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AUG-26-2000</w:t>
      </w:r>
    </w:p>
    <w:p>
      <w:pPr>
        <w:ind w:left="3160"/>
        <w:spacing w:after="0" w:line="238" w:lineRule="auto"/>
        <w:rPr>
          <w:sz w:val="20"/>
          <w:szCs w:val="20"/>
          <w:color w:val="auto"/>
        </w:rPr>
      </w:pPr>
      <w:r>
        <w:rPr>
          <w:rFonts w:ascii="Courier New" w:cs="Courier New" w:eastAsia="Courier New" w:hAnsi="Courier New"/>
          <w:sz w:val="18"/>
          <w:szCs w:val="18"/>
          <w:color w:val="auto"/>
        </w:rPr>
        <w:t>NOV-27-1999</w:t>
      </w:r>
    </w:p>
    <w:p>
      <w:pPr>
        <w:ind w:left="4320"/>
        <w:spacing w:after="0"/>
        <w:rPr>
          <w:sz w:val="20"/>
          <w:szCs w:val="20"/>
          <w:color w:val="auto"/>
        </w:rPr>
      </w:pPr>
      <w:r>
        <w:rPr>
          <w:rFonts w:ascii="Courier New" w:cs="Courier New" w:eastAsia="Courier New" w:hAnsi="Courier New"/>
          <w:sz w:val="18"/>
          <w:szCs w:val="18"/>
          <w:color w:val="auto"/>
        </w:rPr>
        <w:t>40,213</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59,811</w:t>
      </w:r>
    </w:p>
    <w:p>
      <w:pPr>
        <w:ind w:left="3780"/>
        <w:spacing w:after="0"/>
        <w:rPr>
          <w:sz w:val="20"/>
          <w:szCs w:val="20"/>
          <w:color w:val="auto"/>
        </w:rPr>
      </w:pPr>
      <w:r>
        <w:rPr>
          <w:rFonts w:ascii="Courier New" w:cs="Courier New" w:eastAsia="Courier New" w:hAnsi="Courier New"/>
          <w:sz w:val="18"/>
          <w:szCs w:val="18"/>
          <w:color w:val="auto"/>
        </w:rPr>
        <w:t>1,113</w:t>
      </w:r>
    </w:p>
    <w:p>
      <w:pPr>
        <w:ind w:left="3780"/>
        <w:spacing w:after="0" w:line="237" w:lineRule="auto"/>
        <w:rPr>
          <w:sz w:val="20"/>
          <w:szCs w:val="20"/>
          <w:color w:val="auto"/>
        </w:rPr>
      </w:pPr>
      <w:r>
        <w:rPr>
          <w:rFonts w:ascii="Courier New" w:cs="Courier New" w:eastAsia="Courier New" w:hAnsi="Courier New"/>
          <w:sz w:val="18"/>
          <w:szCs w:val="18"/>
          <w:color w:val="auto"/>
        </w:rPr>
        <w:t>86,094</w:t>
      </w:r>
    </w:p>
    <w:p>
      <w:pPr>
        <w:ind w:left="3160"/>
        <w:spacing w:after="0" w:line="238" w:lineRule="auto"/>
        <w:rPr>
          <w:sz w:val="20"/>
          <w:szCs w:val="20"/>
          <w:color w:val="auto"/>
        </w:rPr>
      </w:pPr>
      <w:r>
        <w:rPr>
          <w:rFonts w:ascii="Courier New" w:cs="Courier New" w:eastAsia="Courier New" w:hAnsi="Courier New"/>
          <w:sz w:val="18"/>
          <w:szCs w:val="18"/>
          <w:color w:val="auto"/>
        </w:rPr>
        <w:t>196,273</w:t>
      </w:r>
    </w:p>
    <w:p>
      <w:pPr>
        <w:ind w:left="4200"/>
        <w:spacing w:after="0"/>
        <w:rPr>
          <w:sz w:val="20"/>
          <w:szCs w:val="20"/>
          <w:color w:val="auto"/>
        </w:rPr>
      </w:pPr>
      <w:r>
        <w:rPr>
          <w:rFonts w:ascii="Courier New" w:cs="Courier New" w:eastAsia="Courier New" w:hAnsi="Courier New"/>
          <w:sz w:val="18"/>
          <w:szCs w:val="18"/>
          <w:color w:val="auto"/>
        </w:rPr>
        <w:t>124,326</w:t>
      </w:r>
    </w:p>
    <w:p>
      <w:pPr>
        <w:ind w:left="3460"/>
        <w:spacing w:after="0" w:line="237" w:lineRule="auto"/>
        <w:rPr>
          <w:sz w:val="20"/>
          <w:szCs w:val="20"/>
          <w:color w:val="auto"/>
        </w:rPr>
      </w:pPr>
      <w:r>
        <w:rPr>
          <w:rFonts w:ascii="Courier New" w:cs="Courier New" w:eastAsia="Courier New" w:hAnsi="Courier New"/>
          <w:sz w:val="18"/>
          <w:szCs w:val="18"/>
          <w:color w:val="auto"/>
        </w:rPr>
        <w:t>84,529</w:t>
      </w:r>
    </w:p>
    <w:p>
      <w:pPr>
        <w:ind w:left="3360"/>
        <w:spacing w:after="0" w:line="238" w:lineRule="auto"/>
        <w:rPr>
          <w:sz w:val="20"/>
          <w:szCs w:val="20"/>
          <w:color w:val="auto"/>
        </w:rPr>
      </w:pPr>
      <w:r>
        <w:rPr>
          <w:rFonts w:ascii="Courier New" w:cs="Courier New" w:eastAsia="Courier New" w:hAnsi="Courier New"/>
          <w:sz w:val="18"/>
          <w:szCs w:val="18"/>
          <w:color w:val="auto"/>
        </w:rPr>
        <w:t>281,802</w:t>
      </w:r>
    </w:p>
    <w:p>
      <w:pPr>
        <w:ind w:left="2740"/>
        <w:spacing w:after="0"/>
        <w:rPr>
          <w:sz w:val="20"/>
          <w:szCs w:val="20"/>
          <w:color w:val="auto"/>
        </w:rPr>
      </w:pPr>
      <w:r>
        <w:rPr>
          <w:rFonts w:ascii="Courier New" w:cs="Courier New" w:eastAsia="Courier New" w:hAnsi="Courier New"/>
          <w:sz w:val="18"/>
          <w:szCs w:val="18"/>
          <w:color w:val="auto"/>
        </w:rPr>
        <w:t>70,183</w:t>
      </w:r>
    </w:p>
    <w:p>
      <w:pPr>
        <w:jc w:val="center"/>
        <w:ind w:right="45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line="238"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100"/>
        <w:spacing w:after="0" w:line="237" w:lineRule="auto"/>
        <w:rPr>
          <w:sz w:val="20"/>
          <w:szCs w:val="20"/>
          <w:color w:val="auto"/>
        </w:rPr>
      </w:pPr>
      <w:r>
        <w:rPr>
          <w:rFonts w:ascii="Courier New" w:cs="Courier New" w:eastAsia="Courier New" w:hAnsi="Courier New"/>
          <w:sz w:val="18"/>
          <w:szCs w:val="18"/>
          <w:color w:val="auto"/>
        </w:rPr>
        <w:t>12,938</w:t>
      </w:r>
    </w:p>
    <w:p>
      <w:pPr>
        <w:ind w:left="3780"/>
        <w:spacing w:after="0" w:line="238" w:lineRule="auto"/>
        <w:rPr>
          <w:sz w:val="20"/>
          <w:szCs w:val="20"/>
          <w:color w:val="auto"/>
        </w:rPr>
      </w:pPr>
      <w:r>
        <w:rPr>
          <w:rFonts w:ascii="Courier New" w:cs="Courier New" w:eastAsia="Courier New" w:hAnsi="Courier New"/>
          <w:sz w:val="18"/>
          <w:szCs w:val="18"/>
          <w:color w:val="auto"/>
        </w:rPr>
        <w:t>140,167</w:t>
      </w:r>
    </w:p>
    <w:p>
      <w:pPr>
        <w:ind w:left="1880"/>
        <w:spacing w:after="0"/>
        <w:rPr>
          <w:sz w:val="20"/>
          <w:szCs w:val="20"/>
          <w:color w:val="auto"/>
        </w:rPr>
      </w:pPr>
      <w:r>
        <w:rPr>
          <w:rFonts w:ascii="Courier New" w:cs="Courier New" w:eastAsia="Courier New" w:hAnsi="Courier New"/>
          <w:sz w:val="18"/>
          <w:szCs w:val="18"/>
          <w:color w:val="auto"/>
        </w:rPr>
        <w:t>281,802</w:t>
      </w:r>
    </w:p>
    <w:p>
      <w:pPr>
        <w:ind w:left="4100"/>
        <w:spacing w:after="0" w:line="237" w:lineRule="auto"/>
        <w:rPr>
          <w:sz w:val="20"/>
          <w:szCs w:val="20"/>
          <w:color w:val="auto"/>
        </w:rPr>
      </w:pPr>
      <w:r>
        <w:rPr>
          <w:rFonts w:ascii="Courier New" w:cs="Courier New" w:eastAsia="Courier New" w:hAnsi="Courier New"/>
          <w:sz w:val="18"/>
          <w:szCs w:val="18"/>
          <w:color w:val="auto"/>
        </w:rPr>
        <w:t>182,551</w:t>
      </w:r>
    </w:p>
    <w:p>
      <w:pPr>
        <w:ind w:left="3160"/>
        <w:spacing w:after="0"/>
        <w:rPr>
          <w:sz w:val="20"/>
          <w:szCs w:val="20"/>
          <w:color w:val="auto"/>
        </w:rPr>
      </w:pPr>
      <w:r>
        <w:rPr>
          <w:rFonts w:ascii="Courier New" w:cs="Courier New" w:eastAsia="Courier New" w:hAnsi="Courier New"/>
          <w:sz w:val="18"/>
          <w:szCs w:val="18"/>
          <w:color w:val="auto"/>
        </w:rPr>
        <w:t>182,551</w:t>
      </w:r>
    </w:p>
    <w:p>
      <w:pPr>
        <w:jc w:val="right"/>
        <w:ind w:right="4979"/>
        <w:spacing w:after="0" w:line="237" w:lineRule="auto"/>
        <w:rPr>
          <w:sz w:val="20"/>
          <w:szCs w:val="20"/>
          <w:color w:val="auto"/>
        </w:rPr>
      </w:pPr>
      <w:r>
        <w:rPr>
          <w:rFonts w:ascii="Courier New" w:cs="Courier New" w:eastAsia="Courier New" w:hAnsi="Courier New"/>
          <w:sz w:val="18"/>
          <w:szCs w:val="18"/>
          <w:color w:val="auto"/>
        </w:rPr>
        <w:t>151,678</w:t>
      </w:r>
    </w:p>
    <w:p>
      <w:pPr>
        <w:ind w:left="3460"/>
        <w:spacing w:after="0" w:line="238" w:lineRule="auto"/>
        <w:rPr>
          <w:sz w:val="20"/>
          <w:szCs w:val="20"/>
          <w:color w:val="auto"/>
        </w:rPr>
      </w:pPr>
      <w:r>
        <w:rPr>
          <w:rFonts w:ascii="Courier New" w:cs="Courier New" w:eastAsia="Courier New" w:hAnsi="Courier New"/>
          <w:sz w:val="18"/>
          <w:szCs w:val="18"/>
          <w:color w:val="auto"/>
        </w:rPr>
        <w:t>151,678</w:t>
      </w:r>
    </w:p>
    <w:p>
      <w:pPr>
        <w:ind w:left="3260"/>
        <w:spacing w:after="0"/>
        <w:rPr>
          <w:sz w:val="20"/>
          <w:szCs w:val="20"/>
          <w:color w:val="auto"/>
        </w:rPr>
      </w:pPr>
      <w:r>
        <w:rPr>
          <w:rFonts w:ascii="Courier New" w:cs="Courier New" w:eastAsia="Courier New" w:hAnsi="Courier New"/>
          <w:sz w:val="18"/>
          <w:szCs w:val="18"/>
          <w:color w:val="auto"/>
        </w:rPr>
        <w:t>12,813</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line="238" w:lineRule="auto"/>
        <w:rPr>
          <w:sz w:val="20"/>
          <w:szCs w:val="20"/>
          <w:color w:val="auto"/>
        </w:rPr>
      </w:pPr>
      <w:r>
        <w:rPr>
          <w:rFonts w:ascii="Courier New" w:cs="Courier New" w:eastAsia="Courier New" w:hAnsi="Courier New"/>
          <w:sz w:val="18"/>
          <w:szCs w:val="18"/>
          <w:color w:val="auto"/>
        </w:rPr>
        <w:t>(653)</w:t>
      </w:r>
    </w:p>
    <w:p>
      <w:pPr>
        <w:ind w:left="3360"/>
        <w:spacing w:after="0"/>
        <w:rPr>
          <w:sz w:val="20"/>
          <w:szCs w:val="20"/>
          <w:color w:val="auto"/>
        </w:rPr>
      </w:pPr>
      <w:r>
        <w:rPr>
          <w:rFonts w:ascii="Courier New" w:cs="Courier New" w:eastAsia="Courier New" w:hAnsi="Courier New"/>
          <w:sz w:val="18"/>
          <w:szCs w:val="18"/>
          <w:color w:val="auto"/>
        </w:rPr>
        <w:t>18,713</w:t>
      </w:r>
    </w:p>
    <w:p>
      <w:pPr>
        <w:ind w:left="3780"/>
        <w:spacing w:after="0" w:line="237" w:lineRule="auto"/>
        <w:rPr>
          <w:sz w:val="20"/>
          <w:szCs w:val="20"/>
          <w:color w:val="auto"/>
        </w:rPr>
      </w:pPr>
      <w:r>
        <w:rPr>
          <w:rFonts w:ascii="Courier New" w:cs="Courier New" w:eastAsia="Courier New" w:hAnsi="Courier New"/>
          <w:sz w:val="18"/>
          <w:szCs w:val="18"/>
          <w:color w:val="auto"/>
        </w:rPr>
        <w:t>6,332</w:t>
      </w:r>
    </w:p>
    <w:p>
      <w:pPr>
        <w:ind w:left="2940"/>
        <w:spacing w:after="0" w:line="238" w:lineRule="auto"/>
        <w:rPr>
          <w:sz w:val="20"/>
          <w:szCs w:val="20"/>
          <w:color w:val="auto"/>
        </w:rPr>
      </w:pPr>
      <w:r>
        <w:rPr>
          <w:rFonts w:ascii="Courier New" w:cs="Courier New" w:eastAsia="Courier New" w:hAnsi="Courier New"/>
          <w:sz w:val="18"/>
          <w:szCs w:val="18"/>
          <w:color w:val="auto"/>
        </w:rPr>
        <w:t>12,381</w:t>
      </w:r>
    </w:p>
    <w:p>
      <w:pPr>
        <w:ind w:left="4000"/>
        <w:spacing w:after="0"/>
        <w:rPr>
          <w:sz w:val="20"/>
          <w:szCs w:val="20"/>
          <w:color w:val="auto"/>
        </w:rPr>
      </w:pPr>
      <w:r>
        <w:rPr>
          <w:rFonts w:ascii="Courier New" w:cs="Courier New" w:eastAsia="Courier New" w:hAnsi="Courier New"/>
          <w:sz w:val="18"/>
          <w:szCs w:val="18"/>
          <w:color w:val="auto"/>
        </w:rPr>
        <w:t>0</w:t>
      </w:r>
    </w:p>
    <w:p>
      <w:pPr>
        <w:ind w:left="388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line="238"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12,381</w:t>
      </w:r>
    </w:p>
    <w:p>
      <w:pPr>
        <w:ind w:left="4100"/>
        <w:spacing w:after="0" w:line="237" w:lineRule="auto"/>
        <w:rPr>
          <w:sz w:val="20"/>
          <w:szCs w:val="20"/>
          <w:color w:val="auto"/>
        </w:rPr>
      </w:pPr>
      <w:r>
        <w:rPr>
          <w:rFonts w:ascii="Courier New" w:cs="Courier New" w:eastAsia="Courier New" w:hAnsi="Courier New"/>
          <w:sz w:val="18"/>
          <w:szCs w:val="18"/>
          <w:color w:val="auto"/>
        </w:rPr>
        <w:t>.56</w:t>
      </w:r>
    </w:p>
    <w:p>
      <w:pPr>
        <w:ind w:left="3880"/>
        <w:spacing w:after="0" w:line="238" w:lineRule="auto"/>
        <w:rPr>
          <w:sz w:val="20"/>
          <w:szCs w:val="20"/>
          <w:color w:val="auto"/>
        </w:rPr>
      </w:pPr>
      <w:r>
        <w:rPr>
          <w:rFonts w:ascii="Courier New" w:cs="Courier New" w:eastAsia="Courier New" w:hAnsi="Courier New"/>
          <w:sz w:val="18"/>
          <w:szCs w:val="18"/>
          <w:color w:val="auto"/>
        </w:rPr>
        <w:t>.55</w:t>
      </w:r>
    </w:p>
    <w:sectPr>
      <w:pgSz w:w="11900" w:h="16838" w:orient="portrait"/>
      <w:cols w:equalWidth="0" w:num="1">
        <w:col w:w="10019"/>
      </w:cols>
      <w:pgMar w:left="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decimal"/>
      <w:start w:val="8"/>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2020-10-06T19:00:38Z</dcterms:created>
  <dcterms:modified xsi:type="dcterms:W3CDTF">2020-10-06T19:00:38Z</dcterms:modified>
</cp:coreProperties>
</file>