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Winnebago Industries, Inc. is filing herewith a press release issued on June 26, 2014, as Exhibit 99.1 which is incorporated by reference herein. The press release was issued to report earnings for the third quarter of Fiscal 2014 ended May 31, 2014.</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26,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June 26,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9"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2" w:name="page3"/>
    <w:bookmarkEnd w:id="2"/>
    <w:p>
      <w:pPr>
        <w:ind w:left="5400"/>
        <w:spacing w:after="0"/>
        <w:rPr>
          <w:sz w:val="20"/>
          <w:szCs w:val="20"/>
          <w:color w:val="auto"/>
        </w:rPr>
      </w:pPr>
      <w:r>
        <w:rPr>
          <w:rFonts w:ascii="Arial" w:cs="Arial" w:eastAsia="Arial" w:hAnsi="Arial"/>
          <w:sz w:val="54"/>
          <w:szCs w:val="54"/>
          <w:b w:val="1"/>
          <w:bCs w:val="1"/>
          <w:color w:val="auto"/>
        </w:rPr>
        <w:t>News Release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Announces Third Quarter Fiscal 2014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Strongest Quarterly Revenues Since 2005 Contributes to Operating Income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Growth of 52% and Earnings Per Share Growth of 56%</w:t>
      </w:r>
    </w:p>
    <w:p>
      <w:pPr>
        <w:spacing w:after="0" w:line="194"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FOREST CITY, IOWA, June 26, 2014 - Winnebago Industries, Inc. (NYSE:WGO), a leading United States (U.S.) recreation vehicle manufacturer, today reported financial results for the Company's third quarter fiscal period ended May 31, 2014.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Third-Quarter Fiscal 2014 Results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Revenues for the Fiscal 2014 third quarter were $247.7 million, an increase of 13.5%, versus $218.2 million for the Fiscal 2013 third quarter. Comparing the Fiscal 2014 third quarter to the same period of Fiscal 2013, operating income rose 52.1% to $15.6 million, net income grew 48.6% to $11.4 million, and diluted earnings per share increased 55.6% to $0.42 from $0.27.</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Year over year, third quarter earnings growth was driven by higher motorhome unit sales, gross margin improvement, operating expense leverage, and in part a significant improvement in towables operating income. Motorhome unit growth of 17.8% was partially offset by lower motorhome average selling prices (ASP) of 4.1% as a result of product mix, leading to motorhome revenue growth of 13.6%. Additionally, third-quarter towable unit deliveries grew 2.0% and towable ASP increased 11.5%, contributing to towable revenue growth of 11.9% compared to the same period of last year.</w:t>
      </w:r>
    </w:p>
    <w:p>
      <w:pPr>
        <w:spacing w:after="0" w:line="17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Gross profit as a percentage of revenues improved to 10.7% in the Fiscal 2014 third quarter compared to 9.7% in the same period of Fiscal 2013, an improvement of 100 basis points. The increase was primarily attributable to greater delivery volumes, favorable product mix and year-over-year price changes.</w:t>
      </w:r>
    </w:p>
    <w:p>
      <w:pPr>
        <w:spacing w:after="0" w:line="16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Fiscal 2014 third quarter operating expenses as a percentage of revenues were favorably leveraged given virtually flat year-over- year operating expenses, combined with higher revenues, to contribute 60 basis points to the improvement in operating income margin.</w:t>
      </w:r>
    </w:p>
    <w:p>
      <w:pPr>
        <w:spacing w:after="0" w:line="16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Based on internally reported retail information, the Company has shown a 60% increase in motorhome retail registrations in the third quarter of Fiscal 2014 compared to the same period last year, and a 34% year-over-year increase on a rolling 12-month basis.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Nine-Month Fiscal 2014 Results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Revenues for the 39 weeks of Fiscal 2014 were $699.2 million, an increase of 18.7%, from $588.9 million for the 40 weeks of Fiscal 2013. Comparing the first nine months of Fiscal 2014 to the same period of Fiscal 2013, operating income rose 57.0% to $45.6 million, net income grew 50.6% to $32.1 million, and diluted earnings per share increased 52.6% to $1.16 from $0.76.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 Comments</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Chairman, CEO and President Randy Potts commented, “Driven by strong demand for our products, we achieved the highest quarterly revenue figure since 2005, which led to substantial year-over-year profit growth in the third quarter. This was in spite of not including revenue of approximately $18 million related to certain rental units subject to repurchase option. During the quarter our team operated efficiently and effectively to successfully meet increased demand for our rental units all while maintaining deliveries with our other customers. We are very pleased with our retail growth during the quarter, which is driven by increased rental sales and increased retail consumer demand.</w:t>
      </w:r>
    </w:p>
    <w:p>
      <w:pPr>
        <w:spacing w:after="0" w:line="176"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"At our Dealer Days event this April, we introduced several new products and floorplans that were well received by our dealer partners. As evidenced by continued strength in our dealer and retail demand, we believe we will continue to capitalize on future growth opportunities."</w:t>
      </w:r>
    </w:p>
    <w:p>
      <w:pPr>
        <w:spacing w:after="0" w:line="19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Chief Financial Officer Sarah Nielsen added, “We generated nearly $40 million in operating cash flow during the third quarter driven by profitability and positive changes in working capital. With over $50 million in cash and no debt, our balance sheet is in a strong position."</w:t>
      </w:r>
    </w:p>
    <w:p>
      <w:pPr>
        <w:sectPr>
          <w:pgSz w:w="11900" w:h="16838" w:orient="portrait"/>
          <w:cols w:equalWidth="0" w:num="1">
            <w:col w:w="11400"/>
          </w:cols>
          <w:pgMar w:left="240" w:top="798"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to discuss third-quarter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availability of chassis and other key component parts, increases in interest rates, availability of credit, low consumer confidence, significant increase in repurchase obligations, inadequate liquidity or capital resources, availability and price of fuel, a slowdown in the economy, increased material and component costs, sales order cancellations, slower than anticipated sales of new or existing products, new product introductions by competitors, a breach of our information technology systems,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58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May 31, 2014</w:t>
            </w: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June 1,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247,747</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218,199</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221,266</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89.3%</w:t>
            </w: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197,002</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26,481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21,197</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6,005</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6,092</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10,892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10,949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15,589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10,248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7"/>
        </w:trPr>
        <w:tc>
          <w:tcPr>
            <w:tcW w:w="46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16,324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10,392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2,731</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4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11,385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7,661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4"/>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0.27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27,209</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27,987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27,319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28,087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6"/>
        </w:trPr>
        <w:tc>
          <w:tcPr>
            <w:tcW w:w="4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Nine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ind w:left="740"/>
              <w:spacing w:after="0"/>
              <w:rPr>
                <w:sz w:val="20"/>
                <w:szCs w:val="20"/>
                <w:color w:val="auto"/>
              </w:rPr>
            </w:pPr>
            <w:r>
              <w:rPr>
                <w:rFonts w:ascii="Arial" w:cs="Arial" w:eastAsia="Arial" w:hAnsi="Arial"/>
                <w:sz w:val="16"/>
                <w:szCs w:val="16"/>
                <w:b w:val="1"/>
                <w:bCs w:val="1"/>
                <w:color w:val="auto"/>
              </w:rPr>
              <w:t>May 31, 2014</w:t>
            </w: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June 1,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699,228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100.0 %</w:t>
            </w: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588,919</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623,940</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89.2 %</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529,784</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75,288</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10.8 %</w:t>
            </w:r>
          </w:p>
        </w:tc>
        <w:tc>
          <w:tcPr>
            <w:tcW w:w="40" w:type="dxa"/>
            <w:vAlign w:val="bottom"/>
            <w:tcBorders>
              <w:bottom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59,135</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13,709</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2.0 %</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13,649</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0"/>
        </w:trPr>
        <w:tc>
          <w:tcPr>
            <w:tcW w:w="4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16,577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2.4 %</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16,392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(Gain) loss on sale of real estate</w:t>
            </w:r>
          </w:p>
        </w:tc>
        <w:tc>
          <w:tcPr>
            <w:tcW w:w="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29,657</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4.2 %</w:t>
            </w:r>
          </w:p>
        </w:tc>
        <w:tc>
          <w:tcPr>
            <w:tcW w:w="4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30,069</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45,631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6.5 %</w:t>
            </w: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29,066</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752</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0.1 %</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739</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46,383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6.6 %</w:t>
            </w: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29,805</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14,259</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2.0 %</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8,468</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32,124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4.6 %</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27,552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28,128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27,666</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28,218</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nine months ended May 31, 2014 and June 1, 2013 contained 39 weeks and 40 weeks, respectively.</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50,490</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64,277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56,333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117,735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112,541</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Net investment in operating leases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16,479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7,121</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 and prepaid</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1,868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7,348</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7,742</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255,891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223,850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22,665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20,266</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300" w:type="dxa"/>
            <w:vAlign w:val="bottom"/>
          </w:tcPr>
          <w:p>
            <w:pPr>
              <w:spacing w:after="0"/>
              <w:rPr>
                <w:sz w:val="22"/>
                <w:szCs w:val="22"/>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2,108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24,793</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25,051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24,540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25,649</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11,217</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10,993</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340,334</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309,145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7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31,229</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28,142</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16,050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accrued expenses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46,118</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42,212</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93,397</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70,354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3,988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59,219</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64,074</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long-term liabilities</w:t>
            </w:r>
          </w:p>
        </w:tc>
        <w:tc>
          <w:tcPr>
            <w:tcW w:w="3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62,447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68,062</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184,490</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170,729</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340,334</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309,145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 xml:space="preserve">Nine Months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1,</w:t>
            </w:r>
          </w:p>
        </w:tc>
      </w:tr>
      <w:tr>
        <w:trPr>
          <w:trHeight w:val="228"/>
        </w:trPr>
        <w:tc>
          <w:tcPr>
            <w:tcW w:w="7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32,124</w:t>
            </w:r>
          </w:p>
        </w:tc>
        <w:tc>
          <w:tcPr>
            <w:tcW w:w="2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21,337</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2,962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3,190</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1,694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1,258</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(1,243)</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Gain on sale of property</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(712)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(34)</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(536)</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(651)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(853)</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(6,128)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(26,295)</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(26,349)</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(10,819)</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1,986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(234)</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8,851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9,895</w:t>
            </w:r>
          </w:p>
        </w:tc>
      </w:tr>
      <w:tr>
        <w:trPr>
          <w:trHeight w:val="273"/>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(3,080)</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(3,359)</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10,189</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(6,934)</w:t>
            </w:r>
          </w:p>
        </w:tc>
      </w:tr>
      <w:tr>
        <w:trPr>
          <w:trHeight w:val="284"/>
        </w:trPr>
        <w:tc>
          <w:tcPr>
            <w:tcW w:w="7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2,350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1,737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1,004</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(7,005)</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(3,322)</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2,403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637</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COLI borrowings</w:t>
            </w: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(1,123)</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692</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(1,638)</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r>
      <w:tr>
        <w:trPr>
          <w:trHeight w:val="284"/>
        </w:trPr>
        <w:tc>
          <w:tcPr>
            <w:tcW w:w="7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(24,324)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(11,123)</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(22,338)</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(11,217)</w:t>
            </w:r>
          </w:p>
        </w:tc>
      </w:tr>
      <w:tr>
        <w:trPr>
          <w:trHeight w:val="284"/>
        </w:trPr>
        <w:tc>
          <w:tcPr>
            <w:tcW w:w="7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(13,787)</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(20,261)</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64,277</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62,683</w:t>
            </w:r>
          </w:p>
        </w:tc>
      </w:tr>
      <w:tr>
        <w:trPr>
          <w:trHeight w:val="24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50,490</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42,422</w:t>
            </w: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7"/>
        </w:trPr>
        <w:tc>
          <w:tcPr>
            <w:tcW w:w="7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1"/>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11,814</w:t>
            </w:r>
          </w:p>
        </w:tc>
        <w:tc>
          <w:tcPr>
            <w:tcW w:w="2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9,946</w:t>
            </w:r>
          </w:p>
        </w:tc>
      </w:tr>
    </w:tbl>
    <w:p>
      <w:pPr>
        <w:spacing w:after="0" w:line="18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nine months ended May 31, 2014 and June 1, 2013 contained 39 weeks and 40 weeks, respectively.</w:t>
      </w:r>
    </w:p>
    <w:p>
      <w:pPr>
        <w:sectPr>
          <w:pgSz w:w="11900" w:h="16838" w:orient="portrait"/>
          <w:cols w:equalWidth="0" w:num="1">
            <w:col w:w="11420"/>
          </w:cols>
          <w:pgMar w:left="240" w:top="576" w:right="239" w:bottom="1440" w:gutter="0" w:footer="0" w:header="0"/>
          <w:type w:val="continuous"/>
        </w:sectPr>
      </w:pPr>
    </w:p>
    <w:bookmarkStart w:id="7" w:name="page8"/>
    <w:bookmarkEnd w:id="7"/>
    <w:tbl>
      <w:tblPr>
        <w:tblLayout w:type="fixed"/>
        <w:tblInd w:w="14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Winnebago Industries, Inc.</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3"/>
        </w:trPr>
        <w:tc>
          <w:tcPr>
            <w:tcW w:w="2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Deliveries</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83"/>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Change</w:t>
            </w:r>
          </w:p>
        </w:tc>
      </w:tr>
      <w:tr>
        <w:trPr>
          <w:trHeight w:val="198"/>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31,</w:t>
            </w: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ind w:right="5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4"/>
          </w:tcPr>
          <w:p>
            <w:pPr>
              <w:ind w:left="260"/>
              <w:spacing w:after="0"/>
              <w:rPr>
                <w:sz w:val="20"/>
                <w:szCs w:val="20"/>
                <w:color w:val="auto"/>
              </w:rPr>
            </w:pPr>
            <w:r>
              <w:rPr>
                <w:rFonts w:ascii="Arial" w:cs="Arial" w:eastAsia="Arial" w:hAnsi="Arial"/>
                <w:sz w:val="16"/>
                <w:szCs w:val="16"/>
                <w:b w:val="1"/>
                <w:bCs w:val="1"/>
                <w:color w:val="auto"/>
              </w:rPr>
              <w:t>Product</w:t>
            </w:r>
          </w:p>
        </w:tc>
        <w:tc>
          <w:tcPr>
            <w:tcW w:w="11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units)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1220" w:type="dxa"/>
            <w:vAlign w:val="bottom"/>
            <w:tcBorders>
              <w:bottom w:val="single" w:sz="8" w:color="auto"/>
            </w:tcBorders>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20" w:type="dxa"/>
            <w:vAlign w:val="bottom"/>
            <w:tcBorders>
              <w:bottom w:val="single" w:sz="8" w:color="CCEEFF"/>
            </w:tcBorders>
            <w:gridSpan w:val="2"/>
          </w:tcPr>
          <w:p>
            <w:pPr>
              <w:spacing w:after="0"/>
              <w:rPr>
                <w:sz w:val="20"/>
                <w:szCs w:val="20"/>
                <w:color w:val="auto"/>
              </w:rPr>
            </w:pPr>
          </w:p>
        </w:tc>
        <w:tc>
          <w:tcPr>
            <w:tcW w:w="14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gridSpan w:val="2"/>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Units</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786</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c>
          <w:tcPr>
            <w:tcW w:w="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656</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19.8 %</w:t>
            </w:r>
          </w:p>
        </w:tc>
      </w:tr>
      <w:tr>
        <w:trPr>
          <w:trHeight w:val="264"/>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Class A diesel</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280</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gridSpan w:val="2"/>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(13.3)%</w:t>
            </w:r>
          </w:p>
        </w:tc>
      </w:tr>
      <w:tr>
        <w:trPr>
          <w:trHeight w:val="257"/>
        </w:trPr>
        <w:tc>
          <w:tcPr>
            <w:tcW w:w="2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Total Class A</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1,066</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979</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8.9 %</w:t>
            </w:r>
          </w:p>
        </w:tc>
      </w:tr>
      <w:tr>
        <w:trPr>
          <w:trHeight w:val="26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Class B</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224</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22"/>
                <w:szCs w:val="22"/>
                <w:color w:val="auto"/>
              </w:rPr>
            </w:pPr>
          </w:p>
        </w:tc>
        <w:tc>
          <w:tcPr>
            <w:tcW w:w="1640" w:type="dxa"/>
            <w:vAlign w:val="bottom"/>
            <w:gridSpan w:val="3"/>
          </w:tcPr>
          <w:p>
            <w:pPr>
              <w:jc w:val="right"/>
              <w:ind w:right="119"/>
              <w:spacing w:after="0"/>
              <w:rPr>
                <w:sz w:val="20"/>
                <w:szCs w:val="20"/>
                <w:color w:val="auto"/>
              </w:rPr>
            </w:pPr>
            <w:r>
              <w:rPr>
                <w:rFonts w:ascii="Arial" w:cs="Arial" w:eastAsia="Arial" w:hAnsi="Arial"/>
                <w:sz w:val="16"/>
                <w:szCs w:val="16"/>
                <w:color w:val="auto"/>
              </w:rPr>
              <w:t>78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187.2 %</w:t>
            </w:r>
          </w:p>
        </w:tc>
      </w:tr>
      <w:tr>
        <w:trPr>
          <w:trHeight w:val="27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1,041</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44.7%</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921</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r>
      <w:tr>
        <w:trPr>
          <w:trHeight w:val="283"/>
        </w:trPr>
        <w:tc>
          <w:tcPr>
            <w:tcW w:w="2520" w:type="dxa"/>
            <w:vAlign w:val="bottom"/>
            <w:gridSpan w:val="2"/>
          </w:tcPr>
          <w:p>
            <w:pPr>
              <w:ind w:left="260"/>
              <w:spacing w:after="0"/>
              <w:rPr>
                <w:sz w:val="20"/>
                <w:szCs w:val="20"/>
                <w:color w:val="auto"/>
              </w:rPr>
            </w:pPr>
            <w:r>
              <w:rPr>
                <w:rFonts w:ascii="Arial" w:cs="Arial" w:eastAsia="Arial" w:hAnsi="Arial"/>
                <w:sz w:val="16"/>
                <w:szCs w:val="16"/>
                <w:color w:val="auto"/>
              </w:rPr>
              <w:t xml:space="preserve">Total motorhomes </w:t>
            </w:r>
            <w:r>
              <w:rPr>
                <w:rFonts w:ascii="Arial" w:cs="Arial" w:eastAsia="Arial" w:hAnsi="Arial"/>
                <w:sz w:val="21"/>
                <w:szCs w:val="21"/>
                <w:color w:val="auto"/>
                <w:vertAlign w:val="superscript"/>
              </w:rPr>
              <w:t>(2)</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2,331</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4"/>
                <w:szCs w:val="24"/>
                <w:color w:val="auto"/>
              </w:rPr>
            </w:pPr>
          </w:p>
        </w:tc>
        <w:tc>
          <w:tcPr>
            <w:tcW w:w="1640" w:type="dxa"/>
            <w:vAlign w:val="bottom"/>
            <w:gridSpan w:val="3"/>
          </w:tcPr>
          <w:p>
            <w:pPr>
              <w:jc w:val="right"/>
              <w:ind w:right="119"/>
              <w:spacing w:after="0"/>
              <w:rPr>
                <w:sz w:val="20"/>
                <w:szCs w:val="20"/>
                <w:color w:val="auto"/>
              </w:rPr>
            </w:pPr>
            <w:r>
              <w:rPr>
                <w:rFonts w:ascii="Arial" w:cs="Arial" w:eastAsia="Arial" w:hAnsi="Arial"/>
                <w:sz w:val="16"/>
                <w:szCs w:val="16"/>
                <w:color w:val="auto"/>
              </w:rPr>
              <w:t>1,978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17.8 %</w:t>
            </w:r>
          </w:p>
        </w:tc>
      </w:tr>
      <w:tr>
        <w:trPr>
          <w:trHeight w:val="143"/>
        </w:trPr>
        <w:tc>
          <w:tcPr>
            <w:tcW w:w="25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r>
      <w:tr>
        <w:trPr>
          <w:trHeight w:val="26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Travel trailer</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598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82.3%</w:t>
            </w:r>
          </w:p>
        </w:tc>
        <w:tc>
          <w:tcPr>
            <w:tcW w:w="20" w:type="dxa"/>
            <w:vAlign w:val="bottom"/>
          </w:tcPr>
          <w:p>
            <w:pPr>
              <w:spacing w:after="0"/>
              <w:rPr>
                <w:sz w:val="22"/>
                <w:szCs w:val="22"/>
                <w:color w:val="auto"/>
              </w:rPr>
            </w:pPr>
          </w:p>
        </w:tc>
        <w:tc>
          <w:tcPr>
            <w:tcW w:w="1640" w:type="dxa"/>
            <w:vAlign w:val="bottom"/>
            <w:gridSpan w:val="3"/>
          </w:tcPr>
          <w:p>
            <w:pPr>
              <w:jc w:val="right"/>
              <w:ind w:right="119"/>
              <w:spacing w:after="0"/>
              <w:rPr>
                <w:sz w:val="20"/>
                <w:szCs w:val="20"/>
                <w:color w:val="auto"/>
              </w:rPr>
            </w:pPr>
            <w:r>
              <w:rPr>
                <w:rFonts w:ascii="Arial" w:cs="Arial" w:eastAsia="Arial" w:hAnsi="Arial"/>
                <w:sz w:val="16"/>
                <w:szCs w:val="16"/>
                <w:color w:val="auto"/>
              </w:rPr>
              <w:t>587</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82.3%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1.9 %</w:t>
            </w:r>
          </w:p>
        </w:tc>
      </w:tr>
      <w:tr>
        <w:trPr>
          <w:trHeight w:val="27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wheel</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126</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w:t>
            </w: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2.4 %</w:t>
            </w:r>
          </w:p>
        </w:tc>
      </w:tr>
      <w:tr>
        <w:trPr>
          <w:trHeight w:val="240"/>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Total towables</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727</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2.0 %</w:t>
            </w: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78"/>
        </w:trPr>
        <w:tc>
          <w:tcPr>
            <w:tcW w:w="2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639"/>
              <w:spacing w:after="0"/>
              <w:rPr>
                <w:sz w:val="20"/>
                <w:szCs w:val="20"/>
                <w:color w:val="auto"/>
              </w:rPr>
            </w:pPr>
            <w:r>
              <w:rPr>
                <w:rFonts w:ascii="Arial" w:cs="Arial" w:eastAsia="Arial" w:hAnsi="Arial"/>
                <w:sz w:val="16"/>
                <w:szCs w:val="16"/>
                <w:b w:val="1"/>
                <w:bCs w:val="1"/>
                <w:color w:val="auto"/>
              </w:rPr>
              <w:t>Nine Months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 xml:space="preserve"> Ended</w:t>
            </w: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w w:val="98"/>
              </w:rPr>
              <w:t>Change</w:t>
            </w:r>
          </w:p>
        </w:tc>
      </w:tr>
      <w:tr>
        <w:trPr>
          <w:trHeight w:val="191"/>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31,</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4"/>
          </w:tcPr>
          <w:p>
            <w:pPr>
              <w:ind w:left="200"/>
              <w:spacing w:after="0"/>
              <w:rPr>
                <w:sz w:val="20"/>
                <w:szCs w:val="20"/>
                <w:color w:val="auto"/>
              </w:rPr>
            </w:pPr>
            <w:r>
              <w:rPr>
                <w:rFonts w:ascii="Arial" w:cs="Arial" w:eastAsia="Arial" w:hAnsi="Arial"/>
                <w:sz w:val="16"/>
                <w:szCs w:val="16"/>
                <w:b w:val="1"/>
                <w:bCs w:val="1"/>
                <w:color w:val="auto"/>
              </w:rPr>
              <w:t>Product</w:t>
            </w:r>
          </w:p>
        </w:tc>
        <w:tc>
          <w:tcPr>
            <w:tcW w:w="11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units)</w:t>
            </w: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rPr>
              <w:t>2013</w:t>
            </w:r>
          </w:p>
        </w:tc>
        <w:tc>
          <w:tcPr>
            <w:tcW w:w="120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32.6%</w:t>
            </w:r>
          </w:p>
        </w:tc>
        <w:tc>
          <w:tcPr>
            <w:tcW w:w="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1,779</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36.1%</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1,133</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17.7%</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989</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14.6 %</w:t>
            </w:r>
          </w:p>
        </w:tc>
      </w:tr>
      <w:tr>
        <w:trPr>
          <w:trHeight w:val="257"/>
        </w:trPr>
        <w:tc>
          <w:tcPr>
            <w:tcW w:w="2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Total Class A</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3,218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50.4%</w:t>
            </w:r>
          </w:p>
        </w:tc>
        <w:tc>
          <w:tcPr>
            <w:tcW w:w="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2,768</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16.3 %</w:t>
            </w:r>
          </w:p>
        </w:tc>
      </w:tr>
      <w:tr>
        <w:trPr>
          <w:trHeight w:val="26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Class B</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524</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2"/>
                <w:szCs w:val="22"/>
                <w:color w:val="auto"/>
              </w:rPr>
            </w:pPr>
          </w:p>
        </w:tc>
        <w:tc>
          <w:tcPr>
            <w:tcW w:w="1640" w:type="dxa"/>
            <w:vAlign w:val="bottom"/>
            <w:gridSpan w:val="3"/>
          </w:tcPr>
          <w:p>
            <w:pPr>
              <w:jc w:val="right"/>
              <w:ind w:right="159"/>
              <w:spacing w:after="0"/>
              <w:rPr>
                <w:sz w:val="20"/>
                <w:szCs w:val="20"/>
                <w:color w:val="auto"/>
              </w:rPr>
            </w:pPr>
            <w:r>
              <w:rPr>
                <w:rFonts w:ascii="Arial" w:cs="Arial" w:eastAsia="Arial" w:hAnsi="Arial"/>
                <w:sz w:val="16"/>
                <w:szCs w:val="16"/>
                <w:color w:val="auto"/>
              </w:rPr>
              <w:t>263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99.2 %</w:t>
            </w:r>
          </w:p>
        </w:tc>
      </w:tr>
      <w:tr>
        <w:trPr>
          <w:trHeight w:val="27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2,649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41.4%</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1,900</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38.5%</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39.4 %</w:t>
            </w:r>
          </w:p>
        </w:tc>
      </w:tr>
      <w:tr>
        <w:trPr>
          <w:trHeight w:val="283"/>
        </w:trPr>
        <w:tc>
          <w:tcPr>
            <w:tcW w:w="2520" w:type="dxa"/>
            <w:vAlign w:val="bottom"/>
            <w:gridSpan w:val="2"/>
          </w:tcPr>
          <w:p>
            <w:pPr>
              <w:ind w:left="260"/>
              <w:spacing w:after="0"/>
              <w:rPr>
                <w:sz w:val="20"/>
                <w:szCs w:val="20"/>
                <w:color w:val="auto"/>
              </w:rPr>
            </w:pPr>
            <w:r>
              <w:rPr>
                <w:rFonts w:ascii="Arial" w:cs="Arial" w:eastAsia="Arial" w:hAnsi="Arial"/>
                <w:sz w:val="16"/>
                <w:szCs w:val="16"/>
                <w:color w:val="auto"/>
              </w:rPr>
              <w:t xml:space="preserve">Total motor homes </w:t>
            </w:r>
            <w:r>
              <w:rPr>
                <w:rFonts w:ascii="Arial" w:cs="Arial" w:eastAsia="Arial" w:hAnsi="Arial"/>
                <w:sz w:val="21"/>
                <w:szCs w:val="21"/>
                <w:color w:val="auto"/>
                <w:vertAlign w:val="superscript"/>
              </w:rPr>
              <w:t>(2)</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6,391</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4"/>
                <w:szCs w:val="24"/>
                <w:color w:val="auto"/>
              </w:rPr>
            </w:pPr>
          </w:p>
        </w:tc>
        <w:tc>
          <w:tcPr>
            <w:tcW w:w="1640" w:type="dxa"/>
            <w:vAlign w:val="bottom"/>
            <w:gridSpan w:val="3"/>
          </w:tcPr>
          <w:p>
            <w:pPr>
              <w:jc w:val="right"/>
              <w:ind w:right="159"/>
              <w:spacing w:after="0"/>
              <w:rPr>
                <w:sz w:val="20"/>
                <w:szCs w:val="20"/>
                <w:color w:val="auto"/>
              </w:rPr>
            </w:pPr>
            <w:r>
              <w:rPr>
                <w:rFonts w:ascii="Arial" w:cs="Arial" w:eastAsia="Arial" w:hAnsi="Arial"/>
                <w:sz w:val="16"/>
                <w:szCs w:val="16"/>
                <w:color w:val="auto"/>
              </w:rPr>
              <w:t>4,931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1,460</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29.6 %</w:t>
            </w:r>
          </w:p>
        </w:tc>
      </w:tr>
      <w:tr>
        <w:trPr>
          <w:trHeight w:val="143"/>
        </w:trPr>
        <w:tc>
          <w:tcPr>
            <w:tcW w:w="25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r>
      <w:tr>
        <w:trPr>
          <w:trHeight w:val="26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Travel trailer</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1,468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82.2%</w:t>
            </w:r>
          </w:p>
        </w:tc>
        <w:tc>
          <w:tcPr>
            <w:tcW w:w="20" w:type="dxa"/>
            <w:vAlign w:val="bottom"/>
          </w:tcPr>
          <w:p>
            <w:pPr>
              <w:spacing w:after="0"/>
              <w:rPr>
                <w:sz w:val="22"/>
                <w:szCs w:val="22"/>
                <w:color w:val="auto"/>
              </w:rPr>
            </w:pPr>
          </w:p>
        </w:tc>
        <w:tc>
          <w:tcPr>
            <w:tcW w:w="1640" w:type="dxa"/>
            <w:vAlign w:val="bottom"/>
            <w:gridSpan w:val="3"/>
          </w:tcPr>
          <w:p>
            <w:pPr>
              <w:jc w:val="right"/>
              <w:ind w:right="159"/>
              <w:spacing w:after="0"/>
              <w:rPr>
                <w:sz w:val="20"/>
                <w:szCs w:val="20"/>
                <w:color w:val="auto"/>
              </w:rPr>
            </w:pPr>
            <w:r>
              <w:rPr>
                <w:rFonts w:ascii="Arial" w:cs="Arial" w:eastAsia="Arial" w:hAnsi="Arial"/>
                <w:sz w:val="16"/>
                <w:szCs w:val="16"/>
                <w:color w:val="auto"/>
              </w:rPr>
              <w:t>1,433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78.8%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2.4 %</w:t>
            </w:r>
          </w:p>
        </w:tc>
      </w:tr>
      <w:tr>
        <w:trPr>
          <w:trHeight w:val="27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385</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w:t>
            </w:r>
          </w:p>
        </w:tc>
      </w:tr>
      <w:tr>
        <w:trPr>
          <w:trHeight w:val="237"/>
        </w:trPr>
        <w:tc>
          <w:tcPr>
            <w:tcW w:w="2520" w:type="dxa"/>
            <w:vAlign w:val="bottom"/>
            <w:gridSpan w:val="2"/>
          </w:tcPr>
          <w:p>
            <w:pPr>
              <w:ind w:left="260"/>
              <w:spacing w:after="0"/>
              <w:rPr>
                <w:sz w:val="20"/>
                <w:szCs w:val="20"/>
                <w:color w:val="auto"/>
              </w:rPr>
            </w:pPr>
            <w:r>
              <w:rPr>
                <w:rFonts w:ascii="Arial" w:cs="Arial" w:eastAsia="Arial" w:hAnsi="Arial"/>
                <w:sz w:val="16"/>
                <w:szCs w:val="16"/>
                <w:color w:val="auto"/>
              </w:rPr>
              <w:t>Total towables</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1,786</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0"/>
                <w:szCs w:val="20"/>
                <w:color w:val="auto"/>
              </w:rPr>
            </w:pPr>
          </w:p>
        </w:tc>
        <w:tc>
          <w:tcPr>
            <w:tcW w:w="1640" w:type="dxa"/>
            <w:vAlign w:val="bottom"/>
            <w:gridSpan w:val="3"/>
          </w:tcPr>
          <w:p>
            <w:pPr>
              <w:jc w:val="right"/>
              <w:ind w:right="159"/>
              <w:spacing w:after="0"/>
              <w:rPr>
                <w:sz w:val="20"/>
                <w:szCs w:val="20"/>
                <w:color w:val="auto"/>
              </w:rPr>
            </w:pPr>
            <w:r>
              <w:rPr>
                <w:rFonts w:ascii="Arial" w:cs="Arial" w:eastAsia="Arial" w:hAnsi="Arial"/>
                <w:sz w:val="16"/>
                <w:szCs w:val="16"/>
                <w:color w:val="auto"/>
              </w:rPr>
              <w:t>1,818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3810</wp:posOffset>
            </wp:positionV>
            <wp:extent cx="54971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195" cy="26035"/>
                    </a:xfrm>
                    <a:prstGeom prst="rect">
                      <a:avLst/>
                    </a:prstGeom>
                    <a:noFill/>
                  </pic:spPr>
                </pic:pic>
              </a:graphicData>
            </a:graphic>
          </wp:anchor>
        </w:drawing>
      </w:r>
    </w:p>
    <w:p>
      <w:pPr>
        <w:ind w:left="180" w:hanging="172"/>
        <w:spacing w:after="0" w:line="235"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17" w:lineRule="exact"/>
        <w:rPr>
          <w:rFonts w:ascii="Arial" w:cs="Arial" w:eastAsia="Arial" w:hAnsi="Arial"/>
          <w:sz w:val="21"/>
          <w:szCs w:val="21"/>
          <w:color w:val="auto"/>
          <w:vertAlign w:val="superscript"/>
        </w:rPr>
      </w:pPr>
    </w:p>
    <w:p>
      <w:pPr>
        <w:ind w:left="260" w:right="300" w:hanging="252"/>
        <w:spacing w:after="0"/>
        <w:tabs>
          <w:tab w:leader="none" w:pos="179"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An additional 343 motorhomes were delivered in Fiscal 2014 but not included in wholesale deliveries as presented in the tables above as the units are subject to repurchase option.</w:t>
      </w:r>
    </w:p>
    <w:p>
      <w:pPr>
        <w:spacing w:after="0" w:line="142" w:lineRule="exact"/>
        <w:rPr>
          <w:rFonts w:ascii="Arial" w:cs="Arial" w:eastAsia="Arial" w:hAnsi="Arial"/>
          <w:sz w:val="19"/>
          <w:szCs w:val="19"/>
          <w:color w:val="auto"/>
          <w:vertAlign w:val="superscript"/>
        </w:rPr>
      </w:pPr>
    </w:p>
    <w:p>
      <w:pPr>
        <w:ind w:left="160" w:hanging="152"/>
        <w:spacing w:after="0" w:line="21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The nine months ended May 31, 2014 and June 1, 2013 contained 39 weeks and 40 weeks,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gridSpan w:val="4"/>
          </w:tcPr>
          <w:p>
            <w:pPr>
              <w:jc w:val="right"/>
              <w:ind w:right="1160"/>
              <w:spacing w:after="0"/>
              <w:rPr>
                <w:sz w:val="20"/>
                <w:szCs w:val="20"/>
                <w:color w:val="auto"/>
              </w:rPr>
            </w:pPr>
            <w:r>
              <w:rPr>
                <w:rFonts w:ascii="Arial" w:cs="Arial" w:eastAsia="Arial" w:hAnsi="Arial"/>
                <w:sz w:val="16"/>
                <w:szCs w:val="16"/>
                <w:b w:val="1"/>
                <w:bCs w:val="1"/>
                <w:color w:val="auto"/>
              </w:rPr>
              <w:t>May 31, 2014</w:t>
            </w:r>
          </w:p>
        </w:tc>
        <w:tc>
          <w:tcPr>
            <w:tcW w:w="2440" w:type="dxa"/>
            <w:vAlign w:val="bottom"/>
            <w:gridSpan w:val="3"/>
          </w:tcPr>
          <w:p>
            <w:pPr>
              <w:ind w:left="560"/>
              <w:spacing w:after="0"/>
              <w:rPr>
                <w:sz w:val="20"/>
                <w:szCs w:val="20"/>
                <w:color w:val="auto"/>
              </w:rPr>
            </w:pPr>
            <w:r>
              <w:rPr>
                <w:rFonts w:ascii="Arial" w:cs="Arial" w:eastAsia="Arial" w:hAnsi="Arial"/>
                <w:sz w:val="16"/>
                <w:szCs w:val="16"/>
                <w:b w:val="1"/>
                <w:bCs w:val="1"/>
                <w:color w:val="auto"/>
              </w:rPr>
              <w:t>June 1, 2013</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324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752</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1,397</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(645)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(46.2)%</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280</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499</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(219)</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(43.9)%</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1,032</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1,896</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66.6%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(864)</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(45.6)%</w:t>
            </w: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264</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149</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699"/>
              <w:spacing w:after="0"/>
              <w:rPr>
                <w:sz w:val="20"/>
                <w:szCs w:val="20"/>
                <w:color w:val="auto"/>
              </w:rPr>
            </w:pPr>
            <w:r>
              <w:rPr>
                <w:rFonts w:ascii="Arial" w:cs="Arial" w:eastAsia="Arial" w:hAnsi="Arial"/>
                <w:sz w:val="16"/>
                <w:szCs w:val="16"/>
                <w:color w:val="auto"/>
              </w:rPr>
              <w:t>115</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77.2 %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1,061</w:t>
            </w:r>
          </w:p>
        </w:tc>
        <w:tc>
          <w:tcPr>
            <w:tcW w:w="12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801</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260</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32.5 %</w:t>
            </w:r>
          </w:p>
        </w:tc>
      </w:tr>
      <w:tr>
        <w:trPr>
          <w:trHeight w:val="283"/>
        </w:trPr>
        <w:tc>
          <w:tcPr>
            <w:tcW w:w="32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2,357</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2,846</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(489)</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w:t>
            </w:r>
          </w:p>
        </w:tc>
      </w:tr>
      <w:tr>
        <w:trPr>
          <w:trHeight w:val="143"/>
        </w:trPr>
        <w:tc>
          <w:tcPr>
            <w:tcW w:w="3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224</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359</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(135)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(37.6)%</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w:t>
            </w:r>
          </w:p>
        </w:tc>
        <w:tc>
          <w:tcPr>
            <w:tcW w:w="12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r>
      <w:tr>
        <w:trPr>
          <w:trHeight w:val="283"/>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303</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443</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(140)</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w:t>
            </w:r>
          </w:p>
        </w:tc>
      </w:tr>
      <w:tr>
        <w:trPr>
          <w:trHeight w:val="143"/>
        </w:trPr>
        <w:tc>
          <w:tcPr>
            <w:tcW w:w="3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60"/>
        </w:trPr>
        <w:tc>
          <w:tcPr>
            <w:tcW w:w="464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219,676</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292,307</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(72,631)</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r>
      <w:tr>
        <w:trPr>
          <w:trHeight w:val="251"/>
        </w:trPr>
        <w:tc>
          <w:tcPr>
            <w:tcW w:w="3240" w:type="dxa"/>
            <w:vAlign w:val="bottom"/>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tcPr>
          <w:p>
            <w:pPr>
              <w:spacing w:after="0"/>
              <w:rPr>
                <w:sz w:val="21"/>
                <w:szCs w:val="21"/>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6,072</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9,562</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(3,490)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(36.5)%</w:t>
            </w:r>
          </w:p>
        </w:tc>
      </w:tr>
    </w:tbl>
    <w:p>
      <w:pPr>
        <w:ind w:left="200" w:hanging="192"/>
        <w:spacing w:after="0" w:line="199" w:lineRule="auto"/>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Percentages may not add due to rounding differences.</w:t>
      </w:r>
    </w:p>
    <w:p>
      <w:pPr>
        <w:spacing w:after="0" w:line="17" w:lineRule="exact"/>
        <w:rPr>
          <w:rFonts w:ascii="Arial" w:cs="Arial" w:eastAsia="Arial" w:hAnsi="Arial"/>
          <w:sz w:val="22"/>
          <w:szCs w:val="22"/>
          <w:color w:val="auto"/>
          <w:vertAlign w:val="superscript"/>
        </w:rPr>
      </w:pPr>
    </w:p>
    <w:p>
      <w:pPr>
        <w:ind w:left="200" w:right="100" w:hanging="192"/>
        <w:spacing w:after="0" w:line="209" w:lineRule="auto"/>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and, therefore, backlog may not necessarily be an accurate measure of future sales.</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31, 2014</w:t>
            </w:r>
          </w:p>
        </w:tc>
        <w:tc>
          <w:tcPr>
            <w:tcW w:w="15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1, 2013</w:t>
            </w:r>
          </w:p>
        </w:tc>
        <w:tc>
          <w:tcPr>
            <w:tcW w:w="940" w:type="dxa"/>
            <w:vAlign w:val="bottom"/>
          </w:tcPr>
          <w:p>
            <w:pPr>
              <w:ind w:left="520"/>
              <w:spacing w:after="0"/>
              <w:rPr>
                <w:sz w:val="20"/>
                <w:szCs w:val="20"/>
                <w:color w:val="auto"/>
              </w:rPr>
            </w:pPr>
            <w:r>
              <w:rPr>
                <w:rFonts w:ascii="Arial" w:cs="Arial" w:eastAsia="Arial" w:hAnsi="Arial"/>
                <w:sz w:val="16"/>
                <w:szCs w:val="16"/>
                <w:b w:val="1"/>
                <w:bCs w:val="1"/>
                <w:color w:val="auto"/>
                <w:w w:val="99"/>
              </w:rPr>
              <w:t>Units</w:t>
            </w:r>
          </w:p>
        </w:tc>
        <w:tc>
          <w:tcPr>
            <w:tcW w:w="1100" w:type="dxa"/>
            <w:vAlign w:val="bottom"/>
          </w:tcPr>
          <w:p>
            <w:pPr>
              <w:spacing w:after="0"/>
              <w:rPr>
                <w:sz w:val="22"/>
                <w:szCs w:val="22"/>
                <w:color w:val="auto"/>
              </w:rPr>
            </w:pPr>
          </w:p>
        </w:tc>
        <w:tc>
          <w:tcPr>
            <w:tcW w:w="10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r>
      <w:tr>
        <w:trPr>
          <w:trHeight w:val="257"/>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3,798</w:t>
            </w:r>
          </w:p>
        </w:tc>
        <w:tc>
          <w:tcPr>
            <w:tcW w:w="12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2,634</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99"/>
              </w:rPr>
              <w:t>1,164</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133</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8.1%</w:t>
            </w:r>
          </w:p>
        </w:tc>
      </w:tr>
    </w:tbl>
    <w:p>
      <w:pPr>
        <w:spacing w:after="0" w:line="1" w:lineRule="exact"/>
        <w:rPr>
          <w:sz w:val="20"/>
          <w:szCs w:val="20"/>
          <w:color w:val="auto"/>
        </w:rPr>
      </w:pPr>
    </w:p>
    <w:sectPr>
      <w:pgSz w:w="11900" w:h="16838" w:orient="portrait"/>
      <w:cols w:equalWidth="0" w:num="1">
        <w:col w:w="11420"/>
      </w:cols>
      <w:pgMar w:left="240" w:top="743" w:right="239" w:bottom="3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2019-12-05T15:39:38Z</dcterms:created>
  <dcterms:modified xsi:type="dcterms:W3CDTF">2019-12-05T15:39:38Z</dcterms:modified>
</cp:coreProperties>
</file>