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229235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42545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quarterly period ended May 28, 2011</w:t>
      </w:r>
    </w:p>
    <w:p>
      <w:pPr>
        <w:spacing w:after="0" w:line="79"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600" w:hanging="2985"/>
        <w:spacing w:after="0" w:line="510" w:lineRule="auto"/>
        <w:tabs>
          <w:tab w:leader="none" w:pos="501"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1920875"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875"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183" w:lineRule="exact"/>
        <w:rPr>
          <w:sz w:val="24"/>
          <w:szCs w:val="24"/>
          <w:color w:val="auto"/>
        </w:rPr>
      </w:pPr>
    </w:p>
    <w:tbl>
      <w:tblPr>
        <w:tblLayout w:type="fixed"/>
        <w:tblInd w:w="1020" w:type="dxa"/>
        <w:tblCellMar>
          <w:top w:w="0" w:type="dxa"/>
          <w:left w:w="0" w:type="dxa"/>
          <w:bottom w:w="0" w:type="dxa"/>
          <w:right w:w="0" w:type="dxa"/>
        </w:tblCellMar>
      </w:tblPr>
      <w:tr>
        <w:trPr>
          <w:trHeight w:val="246"/>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760" w:type="dxa"/>
            <w:vAlign w:val="bottom"/>
          </w:tcPr>
          <w:p>
            <w:pPr>
              <w:spacing w:after="0"/>
              <w:rPr>
                <w:sz w:val="21"/>
                <w:szCs w:val="21"/>
                <w:color w:val="auto"/>
              </w:rPr>
            </w:pPr>
          </w:p>
        </w:tc>
        <w:tc>
          <w:tcPr>
            <w:tcW w:w="4340" w:type="dxa"/>
            <w:vAlign w:val="bottom"/>
            <w:tcBorders>
              <w:bottom w:val="single" w:sz="8" w:color="auto"/>
            </w:tcBorders>
          </w:tcPr>
          <w:p>
            <w:pPr>
              <w:jc w:val="right"/>
              <w:ind w:right="1614"/>
              <w:spacing w:after="0"/>
              <w:rPr>
                <w:sz w:val="20"/>
                <w:szCs w:val="20"/>
                <w:color w:val="auto"/>
              </w:rPr>
            </w:pPr>
            <w:r>
              <w:rPr>
                <w:rFonts w:ascii="Arial" w:cs="Arial" w:eastAsia="Arial" w:hAnsi="Arial"/>
                <w:sz w:val="18"/>
                <w:szCs w:val="18"/>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54"/>
              <w:spacing w:after="0"/>
              <w:rPr>
                <w:sz w:val="20"/>
                <w:szCs w:val="20"/>
                <w:color w:val="auto"/>
              </w:rPr>
            </w:pPr>
            <w:r>
              <w:rPr>
                <w:rFonts w:ascii="Arial" w:cs="Arial" w:eastAsia="Arial" w:hAnsi="Arial"/>
                <w:sz w:val="18"/>
                <w:szCs w:val="18"/>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28575</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309"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June 30, 2011 was 29,126,956.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 w:name="page2"/>
    <w:bookmarkEnd w:id="1"/>
    <w:p>
      <w:pPr>
        <w:jc w:val="center"/>
        <w:ind w:right="-160"/>
        <w:spacing w:after="0"/>
        <w:rPr>
          <w:sz w:val="20"/>
          <w:szCs w:val="20"/>
          <w:color w:val="auto"/>
        </w:rPr>
      </w:pPr>
      <w:r>
        <w:rPr>
          <w:rFonts w:ascii="Arial" w:cs="Arial" w:eastAsia="Arial" w:hAnsi="Arial"/>
          <w:sz w:val="18"/>
          <w:szCs w:val="18"/>
          <w:b w:val="1"/>
          <w:bCs w:val="1"/>
          <w:color w:val="auto"/>
        </w:rPr>
        <w:t>WINNEBAGO INDUSTRIES, INC.</w:t>
      </w:r>
    </w:p>
    <w:p>
      <w:pPr>
        <w:spacing w:after="0" w:line="22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INDEX TO REPORT ON FORM 10-Q</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Page</w:t>
            </w:r>
          </w:p>
        </w:tc>
      </w:tr>
      <w:tr>
        <w:trPr>
          <w:trHeight w:val="372"/>
        </w:trPr>
        <w:tc>
          <w:tcPr>
            <w:tcW w:w="460" w:type="dxa"/>
            <w:vAlign w:val="bottom"/>
            <w:tcBorders>
              <w:bottom w:val="single" w:sz="8" w:color="0000FF"/>
            </w:tcBorders>
          </w:tcPr>
          <w:p>
            <w:pPr>
              <w:spacing w:after="0"/>
              <w:rPr>
                <w:rFonts w:ascii="Arial" w:cs="Arial" w:eastAsia="Arial" w:hAnsi="Arial"/>
                <w:sz w:val="18"/>
                <w:szCs w:val="18"/>
                <w:b w:val="1"/>
                <w:bCs w:val="1"/>
                <w:color w:val="0000FF"/>
                <w:w w:val="97"/>
              </w:rPr>
            </w:pPr>
            <w:hyperlink w:anchor="page2">
              <w:r>
                <w:rPr>
                  <w:rFonts w:ascii="Arial" w:cs="Arial" w:eastAsia="Arial" w:hAnsi="Arial"/>
                  <w:sz w:val="18"/>
                  <w:szCs w:val="18"/>
                  <w:b w:val="1"/>
                  <w:bCs w:val="1"/>
                  <w:color w:val="0000FF"/>
                  <w:w w:val="97"/>
                </w:rPr>
                <w:t>Part I</w:t>
              </w:r>
            </w:hyperlink>
          </w:p>
        </w:tc>
        <w:tc>
          <w:tcPr>
            <w:tcW w:w="480" w:type="dxa"/>
            <w:vAlign w:val="bottom"/>
            <w:gridSpan w:val="4"/>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400" w:type="dxa"/>
            <w:vAlign w:val="bottom"/>
            <w:gridSpan w:val="2"/>
          </w:tcPr>
          <w:p>
            <w:pPr>
              <w:spacing w:after="0"/>
              <w:rPr>
                <w:sz w:val="24"/>
                <w:szCs w:val="24"/>
                <w:color w:val="auto"/>
              </w:rPr>
            </w:pPr>
          </w:p>
        </w:tc>
        <w:tc>
          <w:tcPr>
            <w:tcW w:w="16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1</w:t>
              </w:r>
            </w:hyperlink>
          </w:p>
        </w:tc>
        <w:tc>
          <w:tcPr>
            <w:tcW w:w="100" w:type="dxa"/>
            <w:vAlign w:val="bottom"/>
          </w:tcPr>
          <w:p>
            <w:pPr>
              <w:spacing w:after="0"/>
              <w:rPr>
                <w:sz w:val="24"/>
                <w:szCs w:val="24"/>
                <w:color w:val="auto"/>
              </w:rPr>
            </w:pPr>
          </w:p>
        </w:tc>
      </w:tr>
      <w:tr>
        <w:trPr>
          <w:trHeight w:val="372"/>
        </w:trPr>
        <w:tc>
          <w:tcPr>
            <w:tcW w:w="940" w:type="dxa"/>
            <w:vAlign w:val="bottom"/>
            <w:gridSpan w:val="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Condensed Financial Statements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Consolidated Statements of Operations</w:t>
            </w:r>
          </w:p>
        </w:tc>
        <w:tc>
          <w:tcPr>
            <w:tcW w:w="400" w:type="dxa"/>
            <w:vAlign w:val="bottom"/>
            <w:gridSpan w:val="2"/>
          </w:tcPr>
          <w:p>
            <w:pPr>
              <w:spacing w:after="0"/>
              <w:rPr>
                <w:sz w:val="21"/>
                <w:szCs w:val="21"/>
                <w:color w:val="auto"/>
              </w:rPr>
            </w:pPr>
          </w:p>
        </w:tc>
        <w:tc>
          <w:tcPr>
            <w:tcW w:w="16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10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Consolidated Balance Sheets</w:t>
            </w:r>
          </w:p>
        </w:tc>
        <w:tc>
          <w:tcPr>
            <w:tcW w:w="400" w:type="dxa"/>
            <w:vAlign w:val="bottom"/>
            <w:gridSpan w:val="2"/>
          </w:tcPr>
          <w:p>
            <w:pPr>
              <w:spacing w:after="0"/>
              <w:rPr>
                <w:sz w:val="21"/>
                <w:szCs w:val="21"/>
                <w:color w:val="auto"/>
              </w:rPr>
            </w:pPr>
          </w:p>
        </w:tc>
        <w:tc>
          <w:tcPr>
            <w:tcW w:w="16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10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Consolidated Statements of Cash Flows</w:t>
            </w:r>
          </w:p>
        </w:tc>
        <w:tc>
          <w:tcPr>
            <w:tcW w:w="400" w:type="dxa"/>
            <w:vAlign w:val="bottom"/>
            <w:gridSpan w:val="2"/>
          </w:tcPr>
          <w:p>
            <w:pPr>
              <w:spacing w:after="0"/>
              <w:rPr>
                <w:sz w:val="21"/>
                <w:szCs w:val="21"/>
                <w:color w:val="auto"/>
              </w:rPr>
            </w:pPr>
          </w:p>
        </w:tc>
        <w:tc>
          <w:tcPr>
            <w:tcW w:w="16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c>
          <w:tcPr>
            <w:tcW w:w="10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Notes to Consolidated Financial Statements</w:t>
            </w:r>
          </w:p>
        </w:tc>
        <w:tc>
          <w:tcPr>
            <w:tcW w:w="400" w:type="dxa"/>
            <w:vAlign w:val="bottom"/>
            <w:gridSpan w:val="2"/>
          </w:tcPr>
          <w:p>
            <w:pPr>
              <w:spacing w:after="0"/>
              <w:rPr>
                <w:sz w:val="21"/>
                <w:szCs w:val="21"/>
                <w:color w:val="auto"/>
              </w:rPr>
            </w:pPr>
          </w:p>
        </w:tc>
        <w:tc>
          <w:tcPr>
            <w:tcW w:w="16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4</w:t>
              </w:r>
            </w:hyperlink>
          </w:p>
        </w:tc>
        <w:tc>
          <w:tcPr>
            <w:tcW w:w="100" w:type="dxa"/>
            <w:vAlign w:val="bottom"/>
          </w:tcPr>
          <w:p>
            <w:pPr>
              <w:spacing w:after="0"/>
              <w:rPr>
                <w:sz w:val="21"/>
                <w:szCs w:val="21"/>
                <w:color w:val="auto"/>
              </w:rPr>
            </w:pPr>
          </w:p>
        </w:tc>
      </w:tr>
      <w:tr>
        <w:trPr>
          <w:trHeight w:val="372"/>
        </w:trPr>
        <w:tc>
          <w:tcPr>
            <w:tcW w:w="940" w:type="dxa"/>
            <w:vAlign w:val="bottom"/>
            <w:gridSpan w:val="5"/>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Item 2</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13</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40" w:type="dxa"/>
            <w:vAlign w:val="bottom"/>
            <w:gridSpan w:val="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3</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of Market Risk</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24</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40" w:type="dxa"/>
            <w:vAlign w:val="bottom"/>
            <w:gridSpan w:val="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4</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24</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940" w:type="dxa"/>
            <w:vAlign w:val="bottom"/>
            <w:gridSpan w:val="5"/>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w:t>
              </w:r>
            </w:hyperlink>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OTHER INFORMATION</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25</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40" w:type="dxa"/>
            <w:vAlign w:val="bottom"/>
            <w:gridSpan w:val="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1</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25</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680" w:type="dxa"/>
            <w:vAlign w:val="bottom"/>
            <w:gridSpan w:val="4"/>
          </w:tcPr>
          <w:p>
            <w:pPr>
              <w:spacing w:after="0"/>
              <w:rPr>
                <w:rFonts w:ascii="Arial" w:cs="Arial" w:eastAsia="Arial" w:hAnsi="Arial"/>
                <w:sz w:val="18"/>
                <w:szCs w:val="18"/>
                <w:color w:val="0000FF"/>
                <w:w w:val="98"/>
              </w:rPr>
            </w:pPr>
            <w:hyperlink w:anchor="page27">
              <w:r>
                <w:rPr>
                  <w:rFonts w:ascii="Arial" w:cs="Arial" w:eastAsia="Arial" w:hAnsi="Arial"/>
                  <w:sz w:val="18"/>
                  <w:szCs w:val="18"/>
                  <w:color w:val="0000FF"/>
                  <w:w w:val="98"/>
                </w:rPr>
                <w:t>Item 1A.</w:t>
              </w:r>
            </w:hyperlink>
          </w:p>
        </w:tc>
        <w:tc>
          <w:tcPr>
            <w:tcW w:w="26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25</w:t>
              </w:r>
            </w:hyperlink>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68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w:t>
              </w:r>
            </w:hyperlink>
            <w:r>
              <w:rPr>
                <w:rFonts w:ascii="Arial" w:cs="Arial" w:eastAsia="Arial" w:hAnsi="Arial"/>
                <w:sz w:val="18"/>
                <w:szCs w:val="18"/>
                <w:color w:val="0000FF"/>
              </w:rPr>
              <w:t>.</w:t>
            </w:r>
          </w:p>
        </w:tc>
        <w:tc>
          <w:tcPr>
            <w:tcW w:w="26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Unregistered Sales of Equity Securities and Use of Funds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25</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60" w:type="dxa"/>
            <w:vAlign w:val="bottom"/>
            <w:gridSpan w:val="3"/>
          </w:tcPr>
          <w:p>
            <w:pPr>
              <w:spacing w:after="0"/>
              <w:rPr>
                <w:rFonts w:ascii="Arial" w:cs="Arial" w:eastAsia="Arial" w:hAnsi="Arial"/>
                <w:sz w:val="18"/>
                <w:szCs w:val="18"/>
                <w:color w:val="0000FF"/>
                <w:w w:val="98"/>
              </w:rPr>
            </w:pPr>
            <w:hyperlink w:anchor="page27">
              <w:r>
                <w:rPr>
                  <w:rFonts w:ascii="Arial" w:cs="Arial" w:eastAsia="Arial" w:hAnsi="Arial"/>
                  <w:sz w:val="18"/>
                  <w:szCs w:val="18"/>
                  <w:color w:val="0000FF"/>
                  <w:w w:val="98"/>
                </w:rPr>
                <w:t>Item 6.</w:t>
              </w:r>
            </w:hyperlink>
          </w:p>
        </w:tc>
        <w:tc>
          <w:tcPr>
            <w:tcW w:w="380" w:type="dxa"/>
            <w:vAlign w:val="bottom"/>
            <w:gridSpan w:val="2"/>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Exhibits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25</w:t>
              </w:r>
            </w:hyperlink>
          </w:p>
        </w:tc>
      </w:tr>
      <w:tr>
        <w:trPr>
          <w:trHeight w:val="20"/>
        </w:trPr>
        <w:tc>
          <w:tcPr>
            <w:tcW w:w="560" w:type="dxa"/>
            <w:vAlign w:val="bottom"/>
            <w:gridSpan w:val="3"/>
            <w:shd w:val="clear" w:color="auto" w:fill="0000FF"/>
          </w:tcPr>
          <w:p>
            <w:pPr>
              <w:spacing w:after="0" w:line="20" w:lineRule="exact"/>
              <w:rPr>
                <w:sz w:val="1"/>
                <w:szCs w:val="1"/>
                <w:color w:val="auto"/>
              </w:rPr>
            </w:pPr>
          </w:p>
        </w:tc>
        <w:tc>
          <w:tcPr>
            <w:tcW w:w="7820" w:type="dxa"/>
            <w:vAlign w:val="bottom"/>
            <w:gridSpan w:val="3"/>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8380" w:type="dxa"/>
            <w:vAlign w:val="bottom"/>
            <w:gridSpan w:val="6"/>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 xml:space="preserve">Signatures </w:t>
              </w:r>
            </w:hyperlink>
            <w:r>
              <w:rPr>
                <w:rFonts w:ascii="Arial" w:cs="Arial" w:eastAsia="Arial" w:hAnsi="Arial"/>
                <w:sz w:val="18"/>
                <w:szCs w:val="18"/>
                <w:color w:val="CCCCCC"/>
              </w:rPr>
              <w:t>.</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26</w:t>
              </w:r>
            </w:hyperlink>
          </w:p>
        </w:tc>
      </w:tr>
      <w:tr>
        <w:trPr>
          <w:trHeight w:val="20"/>
        </w:trPr>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9179"/>
          </w:cols>
          <w:pgMar w:left="1280" w:top="118"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1260" w:type="dxa"/>
            <w:vAlign w:val="bottom"/>
            <w:gridSpan w:val="2"/>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6"/>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Financial Statements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2"/>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Winnebago Industries, Inc.</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9"/>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Operations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9"/>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29,</w:t>
            </w: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7"/>
                <w:szCs w:val="17"/>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29,</w:t>
            </w:r>
          </w:p>
        </w:tc>
      </w:tr>
      <w:tr>
        <w:trPr>
          <w:trHeight w:val="246"/>
        </w:trPr>
        <w:tc>
          <w:tcPr>
            <w:tcW w:w="80" w:type="dxa"/>
            <w:vAlign w:val="bottom"/>
          </w:tcPr>
          <w:p>
            <w:pPr>
              <w:spacing w:after="0"/>
              <w:rPr>
                <w:sz w:val="21"/>
                <w:szCs w:val="21"/>
                <w:color w:val="auto"/>
              </w:rPr>
            </w:pPr>
          </w:p>
        </w:tc>
        <w:tc>
          <w:tcPr>
            <w:tcW w:w="5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thousands, except per share data)</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r>
      <w:tr>
        <w:trPr>
          <w:trHeight w:val="257"/>
        </w:trPr>
        <w:tc>
          <w:tcPr>
            <w:tcW w:w="80" w:type="dxa"/>
            <w:vAlign w:val="bottom"/>
          </w:tcPr>
          <w:p>
            <w:pPr>
              <w:spacing w:after="0"/>
              <w:rPr>
                <w:sz w:val="22"/>
                <w:szCs w:val="22"/>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135,568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134,813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365,872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326,359</w:t>
            </w:r>
          </w:p>
        </w:tc>
      </w:tr>
      <w:tr>
        <w:trPr>
          <w:trHeight w:val="264"/>
        </w:trPr>
        <w:tc>
          <w:tcPr>
            <w:tcW w:w="80" w:type="dxa"/>
            <w:vAlign w:val="bottom"/>
          </w:tcPr>
          <w:p>
            <w:pPr>
              <w:spacing w:after="0"/>
              <w:rPr>
                <w:sz w:val="22"/>
                <w:szCs w:val="22"/>
                <w:color w:val="auto"/>
              </w:rPr>
            </w:pPr>
          </w:p>
        </w:tc>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126,865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125,058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334,646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311,296</w:t>
            </w:r>
          </w:p>
        </w:tc>
      </w:tr>
      <w:tr>
        <w:trPr>
          <w:trHeight w:val="250"/>
        </w:trPr>
        <w:tc>
          <w:tcPr>
            <w:tcW w:w="80" w:type="dxa"/>
            <w:vAlign w:val="bottom"/>
          </w:tcPr>
          <w:p>
            <w:pPr>
              <w:spacing w:after="0"/>
              <w:rPr>
                <w:sz w:val="21"/>
                <w:szCs w:val="21"/>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8,703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9,755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31,226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15,063</w:t>
            </w:r>
          </w:p>
        </w:tc>
      </w:tr>
      <w:tr>
        <w:trPr>
          <w:trHeight w:val="284"/>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3"/>
        </w:trPr>
        <w:tc>
          <w:tcPr>
            <w:tcW w:w="80" w:type="dxa"/>
            <w:vAlign w:val="bottom"/>
          </w:tcPr>
          <w:p>
            <w:pPr>
              <w:spacing w:after="0"/>
              <w:rPr>
                <w:sz w:val="22"/>
                <w:szCs w:val="22"/>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Selling</w:t>
            </w:r>
          </w:p>
        </w:tc>
        <w:tc>
          <w:tcPr>
            <w:tcW w:w="24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10,129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9,438</w:t>
            </w:r>
          </w:p>
        </w:tc>
      </w:tr>
      <w:tr>
        <w:trPr>
          <w:trHeight w:val="277"/>
        </w:trPr>
        <w:tc>
          <w:tcPr>
            <w:tcW w:w="80" w:type="dxa"/>
            <w:vAlign w:val="bottom"/>
          </w:tcPr>
          <w:p>
            <w:pPr>
              <w:spacing w:after="0"/>
              <w:rPr>
                <w:sz w:val="24"/>
                <w:szCs w:val="24"/>
                <w:color w:val="auto"/>
              </w:rPr>
            </w:pPr>
          </w:p>
        </w:tc>
        <w:tc>
          <w:tcPr>
            <w:tcW w:w="5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11,623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10,056</w:t>
            </w:r>
          </w:p>
        </w:tc>
      </w:tr>
      <w:tr>
        <w:trPr>
          <w:trHeight w:val="264"/>
        </w:trPr>
        <w:tc>
          <w:tcPr>
            <w:tcW w:w="80" w:type="dxa"/>
            <w:vAlign w:val="bottom"/>
          </w:tcPr>
          <w:p>
            <w:pPr>
              <w:spacing w:after="0"/>
              <w:rPr>
                <w:sz w:val="22"/>
                <w:szCs w:val="22"/>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Assets held for sale impairment and (gain), net</w:t>
            </w:r>
          </w:p>
        </w:tc>
        <w:tc>
          <w:tcPr>
            <w:tcW w:w="24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80" w:type="dxa"/>
            <w:vAlign w:val="bottom"/>
          </w:tcPr>
          <w:p>
            <w:pPr>
              <w:spacing w:after="0"/>
              <w:rPr>
                <w:sz w:val="21"/>
                <w:szCs w:val="21"/>
                <w:color w:val="auto"/>
              </w:rPr>
            </w:pPr>
          </w:p>
        </w:tc>
        <w:tc>
          <w:tcPr>
            <w:tcW w:w="516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8,165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6,351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21,713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19,494</w:t>
            </w:r>
          </w:p>
        </w:tc>
      </w:tr>
      <w:tr>
        <w:trPr>
          <w:trHeight w:val="284"/>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(4,431)</w:t>
            </w:r>
          </w:p>
        </w:tc>
      </w:tr>
      <w:tr>
        <w:trPr>
          <w:trHeight w:val="264"/>
        </w:trPr>
        <w:tc>
          <w:tcPr>
            <w:tcW w:w="80" w:type="dxa"/>
            <w:vAlign w:val="bottom"/>
          </w:tcPr>
          <w:p>
            <w:pPr>
              <w:spacing w:after="0"/>
              <w:rPr>
                <w:sz w:val="22"/>
                <w:szCs w:val="22"/>
                <w:color w:val="auto"/>
              </w:rPr>
            </w:pPr>
          </w:p>
        </w:tc>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289</w:t>
            </w:r>
          </w:p>
        </w:tc>
      </w:tr>
      <w:tr>
        <w:trPr>
          <w:trHeight w:val="257"/>
        </w:trPr>
        <w:tc>
          <w:tcPr>
            <w:tcW w:w="80" w:type="dxa"/>
            <w:vAlign w:val="bottom"/>
          </w:tcPr>
          <w:p>
            <w:pPr>
              <w:spacing w:after="0"/>
              <w:rPr>
                <w:sz w:val="22"/>
                <w:szCs w:val="22"/>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(4,142)</w:t>
            </w:r>
          </w:p>
        </w:tc>
      </w:tr>
      <w:tr>
        <w:trPr>
          <w:trHeight w:val="284"/>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provision for taxes</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(9,496)</w:t>
            </w:r>
          </w:p>
        </w:tc>
      </w:tr>
      <w:tr>
        <w:trPr>
          <w:trHeight w:val="297"/>
        </w:trPr>
        <w:tc>
          <w:tcPr>
            <w:tcW w:w="80" w:type="dxa"/>
            <w:vAlign w:val="bottom"/>
          </w:tcPr>
          <w:p>
            <w:pPr>
              <w:spacing w:after="0"/>
              <w:rPr>
                <w:sz w:val="24"/>
                <w:szCs w:val="24"/>
                <w:color w:val="auto"/>
              </w:rPr>
            </w:pPr>
          </w:p>
        </w:tc>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5,992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8,296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5,354</w:t>
            </w:r>
          </w:p>
        </w:tc>
      </w:tr>
      <w:tr>
        <w:trPr>
          <w:trHeight w:val="264"/>
        </w:trPr>
        <w:tc>
          <w:tcPr>
            <w:tcW w:w="80" w:type="dxa"/>
            <w:vAlign w:val="bottom"/>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3"/>
        </w:trPr>
        <w:tc>
          <w:tcPr>
            <w:tcW w:w="80" w:type="dxa"/>
            <w:vAlign w:val="bottom"/>
          </w:tcPr>
          <w:p>
            <w:pPr>
              <w:spacing w:after="0"/>
              <w:rPr>
                <w:sz w:val="22"/>
                <w:szCs w:val="22"/>
                <w:color w:val="auto"/>
              </w:rPr>
            </w:pP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Income per common share:</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3"/>
        </w:trPr>
        <w:tc>
          <w:tcPr>
            <w:tcW w:w="80" w:type="dxa"/>
            <w:vAlign w:val="bottom"/>
          </w:tcPr>
          <w:p>
            <w:pPr>
              <w:spacing w:after="0"/>
              <w:rPr>
                <w:sz w:val="22"/>
                <w:szCs w:val="22"/>
                <w:color w:val="auto"/>
              </w:rPr>
            </w:pPr>
          </w:p>
        </w:tc>
        <w:tc>
          <w:tcPr>
            <w:tcW w:w="5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0.18</w:t>
            </w:r>
          </w:p>
        </w:tc>
      </w:tr>
      <w:tr>
        <w:trPr>
          <w:trHeight w:val="20"/>
        </w:trPr>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0.18</w:t>
            </w:r>
          </w:p>
        </w:tc>
      </w:tr>
      <w:tr>
        <w:trPr>
          <w:trHeight w:val="264"/>
        </w:trPr>
        <w:tc>
          <w:tcPr>
            <w:tcW w:w="80" w:type="dxa"/>
            <w:vAlign w:val="bottom"/>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3"/>
        </w:trPr>
        <w:tc>
          <w:tcPr>
            <w:tcW w:w="80" w:type="dxa"/>
            <w:vAlign w:val="bottom"/>
          </w:tcPr>
          <w:p>
            <w:pPr>
              <w:spacing w:after="0"/>
              <w:rPr>
                <w:sz w:val="22"/>
                <w:szCs w:val="22"/>
                <w:color w:val="auto"/>
              </w:rPr>
            </w:pP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80" w:type="dxa"/>
            <w:vAlign w:val="bottom"/>
          </w:tcPr>
          <w:p>
            <w:pPr>
              <w:spacing w:after="0"/>
              <w:rPr>
                <w:sz w:val="24"/>
                <w:szCs w:val="24"/>
                <w:color w:val="auto"/>
              </w:rPr>
            </w:pP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29,098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29,084</w:t>
            </w:r>
          </w:p>
        </w:tc>
      </w:tr>
      <w:tr>
        <w:trPr>
          <w:trHeight w:val="263"/>
        </w:trPr>
        <w:tc>
          <w:tcPr>
            <w:tcW w:w="80" w:type="dxa"/>
            <w:vAlign w:val="bottom"/>
          </w:tcPr>
          <w:p>
            <w:pPr>
              <w:spacing w:after="0"/>
              <w:rPr>
                <w:sz w:val="22"/>
                <w:szCs w:val="22"/>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29,152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29,107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29,135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29,097</w:t>
            </w:r>
          </w:p>
        </w:tc>
      </w:tr>
      <w:tr>
        <w:trPr>
          <w:trHeight w:val="290"/>
        </w:trPr>
        <w:tc>
          <w:tcPr>
            <w:tcW w:w="80" w:type="dxa"/>
            <w:vAlign w:val="bottom"/>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60"/>
          </w:cols>
          <w:pgMar w:left="240" w:top="118"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80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4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Winnebago Industries, Inc.</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9"/>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42"/>
        </w:trPr>
        <w:tc>
          <w:tcPr>
            <w:tcW w:w="12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28,</w:t>
            </w:r>
          </w:p>
        </w:tc>
        <w:tc>
          <w:tcPr>
            <w:tcW w:w="220" w:type="dxa"/>
            <w:vAlign w:val="bottom"/>
          </w:tcPr>
          <w:p>
            <w:pPr>
              <w:spacing w:after="0"/>
              <w:rPr>
                <w:sz w:val="24"/>
                <w:szCs w:val="24"/>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August 28,</w:t>
            </w:r>
          </w:p>
        </w:tc>
      </w:tr>
      <w:tr>
        <w:trPr>
          <w:trHeight w:val="246"/>
        </w:trPr>
        <w:tc>
          <w:tcPr>
            <w:tcW w:w="80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 thousands, except per share data)</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65,230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74,691</w:t>
            </w:r>
          </w:p>
        </w:tc>
      </w:tr>
      <w:tr>
        <w:trPr>
          <w:trHeight w:val="263"/>
        </w:trPr>
        <w:tc>
          <w:tcPr>
            <w:tcW w:w="8020" w:type="dxa"/>
            <w:vAlign w:val="bottom"/>
            <w:gridSpan w:val="2"/>
          </w:tcPr>
          <w:p>
            <w:pPr>
              <w:ind w:left="2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7"/>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Receivables, less allowance for doubtful accounts ($87 and $91, respectively)</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17,408</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18,798</w:t>
            </w:r>
          </w:p>
        </w:tc>
      </w:tr>
      <w:tr>
        <w:trPr>
          <w:trHeight w:val="263"/>
        </w:trPr>
        <w:tc>
          <w:tcPr>
            <w:tcW w:w="802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76,346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43,526</w:t>
            </w:r>
          </w:p>
        </w:tc>
      </w:tr>
      <w:tr>
        <w:trPr>
          <w:trHeight w:val="277"/>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4,298</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4,570</w:t>
            </w: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Income taxes receivable</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380</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132</w:t>
            </w: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163,912</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141,717</w:t>
            </w:r>
          </w:p>
        </w:tc>
      </w:tr>
      <w:tr>
        <w:trPr>
          <w:trHeight w:val="26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23,365</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25,677</w:t>
            </w:r>
          </w:p>
        </w:tc>
      </w:tr>
      <w:tr>
        <w:trPr>
          <w:trHeight w:val="277"/>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4,254</w:t>
            </w:r>
          </w:p>
        </w:tc>
      </w:tr>
      <w:tr>
        <w:trPr>
          <w:trHeight w:val="26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10,911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17,785</w:t>
            </w:r>
          </w:p>
        </w:tc>
      </w:tr>
      <w:tr>
        <w:trPr>
          <w:trHeight w:val="277"/>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Investment in life insurance</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23,249</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23,250</w:t>
            </w:r>
          </w:p>
        </w:tc>
      </w:tr>
      <w:tr>
        <w:trPr>
          <w:trHeight w:val="26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7"/>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64"/>
        </w:trPr>
        <w:tc>
          <w:tcPr>
            <w:tcW w:w="80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17,009</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14,674</w:t>
            </w:r>
          </w:p>
        </w:tc>
      </w:tr>
      <w:tr>
        <w:trPr>
          <w:trHeight w:val="257"/>
        </w:trPr>
        <w:tc>
          <w:tcPr>
            <w:tcW w:w="8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241,013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227,357</w:t>
            </w:r>
          </w:p>
        </w:tc>
      </w:tr>
      <w:tr>
        <w:trPr>
          <w:trHeight w:val="20"/>
        </w:trPr>
        <w:tc>
          <w:tcPr>
            <w:tcW w:w="12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22,563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19,725</w:t>
            </w:r>
          </w:p>
        </w:tc>
      </w:tr>
      <w:tr>
        <w:trPr>
          <w:trHeight w:val="263"/>
        </w:trPr>
        <w:tc>
          <w:tcPr>
            <w:tcW w:w="8020" w:type="dxa"/>
            <w:vAlign w:val="bottom"/>
            <w:gridSpan w:val="2"/>
          </w:tcPr>
          <w:p>
            <w:pPr>
              <w:ind w:left="2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99</w:t>
            </w:r>
          </w:p>
        </w:tc>
      </w:tr>
      <w:tr>
        <w:trPr>
          <w:trHeight w:val="277"/>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3"/>
        </w:trPr>
        <w:tc>
          <w:tcPr>
            <w:tcW w:w="8020" w:type="dxa"/>
            <w:vAlign w:val="bottom"/>
            <w:gridSpan w:val="2"/>
          </w:tcPr>
          <w:p>
            <w:pPr>
              <w:ind w:left="4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11,556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10,529</w:t>
            </w:r>
          </w:p>
        </w:tc>
      </w:tr>
      <w:tr>
        <w:trPr>
          <w:trHeight w:val="277"/>
        </w:trPr>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 warranties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7,967</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7,634</w:t>
            </w:r>
          </w:p>
        </w:tc>
      </w:tr>
      <w:tr>
        <w:trPr>
          <w:trHeight w:val="263"/>
        </w:trPr>
        <w:tc>
          <w:tcPr>
            <w:tcW w:w="8020" w:type="dxa"/>
            <w:vAlign w:val="bottom"/>
            <w:gridSpan w:val="2"/>
          </w:tcPr>
          <w:p>
            <w:pPr>
              <w:ind w:left="420"/>
              <w:spacing w:after="0"/>
              <w:rPr>
                <w:sz w:val="20"/>
                <w:szCs w:val="20"/>
                <w:color w:val="auto"/>
              </w:rPr>
            </w:pPr>
            <w:r>
              <w:rPr>
                <w:rFonts w:ascii="Arial" w:cs="Arial" w:eastAsia="Arial" w:hAnsi="Arial"/>
                <w:sz w:val="18"/>
                <w:szCs w:val="18"/>
                <w:color w:val="auto"/>
              </w:rPr>
              <w:t>Self-insurance</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4,129</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4,409</w:t>
            </w:r>
          </w:p>
        </w:tc>
      </w:tr>
      <w:tr>
        <w:trPr>
          <w:trHeight w:val="277"/>
        </w:trPr>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loss on repurchases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1,409</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1,362</w:t>
            </w:r>
          </w:p>
        </w:tc>
      </w:tr>
      <w:tr>
        <w:trPr>
          <w:trHeight w:val="263"/>
        </w:trPr>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Promotional</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1,921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1,817</w:t>
            </w:r>
          </w:p>
        </w:tc>
      </w:tr>
      <w:tr>
        <w:trPr>
          <w:trHeight w:val="270"/>
        </w:trPr>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4,862</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4,797</w:t>
            </w:r>
          </w:p>
        </w:tc>
      </w:tr>
      <w:tr>
        <w:trPr>
          <w:trHeight w:val="250"/>
        </w:trPr>
        <w:tc>
          <w:tcPr>
            <w:tcW w:w="80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54,473</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50,372</w:t>
            </w: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8020" w:type="dxa"/>
            <w:vAlign w:val="bottom"/>
            <w:gridSpan w:val="2"/>
          </w:tcPr>
          <w:p>
            <w:pPr>
              <w:ind w:left="280"/>
              <w:spacing w:after="0"/>
              <w:rPr>
                <w:sz w:val="20"/>
                <w:szCs w:val="20"/>
                <w:color w:val="auto"/>
              </w:rPr>
            </w:pPr>
            <w:r>
              <w:rPr>
                <w:rFonts w:ascii="Arial" w:cs="Arial" w:eastAsia="Arial" w:hAnsi="Arial"/>
                <w:sz w:val="18"/>
                <w:szCs w:val="18"/>
                <w:color w:val="auto"/>
              </w:rPr>
              <w:t>Unrecognized tax benefits</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5,511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5,877</w:t>
            </w:r>
          </w:p>
        </w:tc>
      </w:tr>
      <w:tr>
        <w:trPr>
          <w:trHeight w:val="27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Postretirement health care and deferred compensation benefits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75,937</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73,581</w:t>
            </w:r>
          </w:p>
        </w:tc>
      </w:tr>
      <w:tr>
        <w:trPr>
          <w:trHeight w:val="250"/>
        </w:trPr>
        <w:tc>
          <w:tcPr>
            <w:tcW w:w="80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81,448</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79,458</w:t>
            </w: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Contingent liabilities and commitments</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Capital stock common, par value $0.50; authorized 60,000 shares, issued 51,776 shares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25,888</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25,888</w:t>
            </w:r>
          </w:p>
        </w:tc>
      </w:tr>
      <w:tr>
        <w:trPr>
          <w:trHeight w:val="263"/>
        </w:trPr>
        <w:tc>
          <w:tcPr>
            <w:tcW w:w="802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30,047</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29,464</w:t>
            </w:r>
          </w:p>
        </w:tc>
      </w:tr>
      <w:tr>
        <w:trPr>
          <w:trHeight w:val="277"/>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428,971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420,675</w:t>
            </w:r>
          </w:p>
        </w:tc>
      </w:tr>
      <w:tr>
        <w:trPr>
          <w:trHeight w:val="263"/>
        </w:trPr>
        <w:tc>
          <w:tcPr>
            <w:tcW w:w="802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280" w:type="dxa"/>
            <w:vAlign w:val="bottom"/>
          </w:tcPr>
          <w:p>
            <w:pPr>
              <w:spacing w:after="0"/>
              <w:rPr>
                <w:sz w:val="22"/>
                <w:szCs w:val="22"/>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1,242</w:t>
            </w:r>
          </w:p>
        </w:tc>
      </w:tr>
      <w:tr>
        <w:trPr>
          <w:trHeight w:val="27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at cost (22,649 and 22,661 shares, respectively)</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(379,495)</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(379,742)</w:t>
            </w:r>
          </w:p>
        </w:tc>
      </w:tr>
      <w:tr>
        <w:trPr>
          <w:trHeight w:val="250"/>
        </w:trPr>
        <w:tc>
          <w:tcPr>
            <w:tcW w:w="80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105,092</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97,527</w:t>
            </w:r>
          </w:p>
        </w:tc>
      </w:tr>
      <w:tr>
        <w:trPr>
          <w:trHeight w:val="257"/>
        </w:trPr>
        <w:tc>
          <w:tcPr>
            <w:tcW w:w="8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241,013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227,357</w:t>
            </w:r>
          </w:p>
        </w:tc>
      </w:tr>
      <w:tr>
        <w:trPr>
          <w:trHeight w:val="20"/>
        </w:trPr>
        <w:tc>
          <w:tcPr>
            <w:tcW w:w="12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8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4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Winnebago Industries, Inc.</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9"/>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9"/>
        </w:trPr>
        <w:tc>
          <w:tcPr>
            <w:tcW w:w="1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12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29,</w:t>
            </w:r>
          </w:p>
        </w:tc>
      </w:tr>
      <w:tr>
        <w:trPr>
          <w:trHeight w:val="246"/>
        </w:trPr>
        <w:tc>
          <w:tcPr>
            <w:tcW w:w="78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7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8,296</w:t>
            </w:r>
          </w:p>
        </w:tc>
        <w:tc>
          <w:tcPr>
            <w:tcW w:w="2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5,354</w:t>
            </w:r>
          </w:p>
        </w:tc>
      </w:tr>
      <w:tr>
        <w:trPr>
          <w:trHeight w:val="277"/>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4,193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4,850</w:t>
            </w: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LIFO expense (income)</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w:t>
            </w: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32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1,001</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414</w:t>
            </w: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Deferred income taxes including valuation allowance</w:t>
            </w:r>
          </w:p>
        </w:tc>
        <w:tc>
          <w:tcPr>
            <w:tcW w:w="32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Postretirement benefit income and deferred compensation expense</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927</w:t>
            </w: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Provision (reduction) for doubtful accounts</w:t>
            </w:r>
          </w:p>
        </w:tc>
        <w:tc>
          <w:tcPr>
            <w:tcW w:w="32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(65)</w:t>
            </w: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Increase in cash surrender value of life insurance policies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(962)</w:t>
            </w: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(Gain) loss on the sale or disposal of property</w:t>
            </w:r>
          </w:p>
        </w:tc>
        <w:tc>
          <w:tcPr>
            <w:tcW w:w="32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14</w:t>
            </w: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Gain on life insurance</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(372)</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58</w:t>
            </w:r>
          </w:p>
        </w:tc>
      </w:tr>
      <w:tr>
        <w:trPr>
          <w:trHeight w:val="277"/>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Change in assets and liabilities: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(30,091)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7,750</w:t>
            </w: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Receivables and prepaid assets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2,609</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843</w:t>
            </w: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Income taxes and unrecognized tax benefits</w:t>
            </w:r>
          </w:p>
        </w:tc>
        <w:tc>
          <w:tcPr>
            <w:tcW w:w="32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13,736</w:t>
            </w: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1,523</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6,605</w:t>
            </w:r>
          </w:p>
        </w:tc>
      </w:tr>
      <w:tr>
        <w:trPr>
          <w:trHeight w:val="264"/>
        </w:trPr>
        <w:tc>
          <w:tcPr>
            <w:tcW w:w="7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Postretirement and deferred compensation benefits</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(2,792)</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(2,679)</w:t>
            </w:r>
          </w:p>
        </w:tc>
      </w:tr>
      <w:tr>
        <w:trPr>
          <w:trHeight w:val="25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(14,063)</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36,811</w:t>
            </w:r>
          </w:p>
        </w:tc>
      </w:tr>
      <w:tr>
        <w:trPr>
          <w:trHeight w:val="284"/>
        </w:trPr>
        <w:tc>
          <w:tcPr>
            <w:tcW w:w="1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Proceeds from the sale of investments at par</w:t>
            </w:r>
          </w:p>
        </w:tc>
        <w:tc>
          <w:tcPr>
            <w:tcW w:w="32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6,450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12,900</w:t>
            </w: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life insurance</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(1,590)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(1,467)</w:t>
            </w: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the sale of property</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4,009</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w:t>
            </w: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Cash paid for acquisition, net of cash acquired</w:t>
            </w:r>
          </w:p>
        </w:tc>
        <w:tc>
          <w:tcPr>
            <w:tcW w:w="32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(4,694)</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0"/>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127</w:t>
            </w:r>
          </w:p>
        </w:tc>
      </w:tr>
      <w:tr>
        <w:trPr>
          <w:trHeight w:val="250"/>
        </w:trPr>
        <w:tc>
          <w:tcPr>
            <w:tcW w:w="7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4,424</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11,618</w:t>
            </w:r>
          </w:p>
        </w:tc>
      </w:tr>
      <w:tr>
        <w:trPr>
          <w:trHeight w:val="284"/>
        </w:trPr>
        <w:tc>
          <w:tcPr>
            <w:tcW w:w="1260" w:type="dxa"/>
            <w:vAlign w:val="bottom"/>
            <w:shd w:val="clear" w:color="auto" w:fill="CCEEFF"/>
          </w:tcPr>
          <w:p>
            <w:pPr>
              <w:spacing w:after="0"/>
              <w:rPr>
                <w:sz w:val="24"/>
                <w:szCs w:val="24"/>
                <w:color w:val="auto"/>
              </w:rPr>
            </w:pPr>
          </w:p>
        </w:tc>
        <w:tc>
          <w:tcPr>
            <w:tcW w:w="6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Payments for purchases of common stock</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(249)</w:t>
            </w:r>
          </w:p>
        </w:tc>
      </w:tr>
      <w:tr>
        <w:trPr>
          <w:trHeight w:val="263"/>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Payments on ARS portfolio</w:t>
            </w:r>
          </w:p>
        </w:tc>
        <w:tc>
          <w:tcPr>
            <w:tcW w:w="320" w:type="dxa"/>
            <w:vAlign w:val="bottom"/>
          </w:tcPr>
          <w:p>
            <w:pPr>
              <w:spacing w:after="0"/>
              <w:rPr>
                <w:sz w:val="22"/>
                <w:szCs w:val="22"/>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(8,490)</w:t>
            </w:r>
          </w:p>
        </w:tc>
      </w:tr>
      <w:tr>
        <w:trPr>
          <w:trHeight w:val="277"/>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280</w:t>
            </w:r>
          </w:p>
        </w:tc>
      </w:tr>
      <w:tr>
        <w:trPr>
          <w:trHeight w:val="264"/>
        </w:trPr>
        <w:tc>
          <w:tcPr>
            <w:tcW w:w="7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(240)</w:t>
            </w:r>
          </w:p>
        </w:tc>
      </w:tr>
      <w:tr>
        <w:trPr>
          <w:trHeight w:val="25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(8,699)</w:t>
            </w:r>
          </w:p>
        </w:tc>
      </w:tr>
      <w:tr>
        <w:trPr>
          <w:trHeight w:val="284"/>
        </w:trPr>
        <w:tc>
          <w:tcPr>
            <w:tcW w:w="1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(9,461)</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39,730</w:t>
            </w:r>
          </w:p>
        </w:tc>
      </w:tr>
      <w:tr>
        <w:trPr>
          <w:trHeight w:val="264"/>
        </w:trPr>
        <w:tc>
          <w:tcPr>
            <w:tcW w:w="7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74,691</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36,566</w:t>
            </w:r>
          </w:p>
        </w:tc>
      </w:tr>
      <w:tr>
        <w:trPr>
          <w:trHeight w:val="257"/>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65,230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76,296</w:t>
            </w:r>
          </w:p>
        </w:tc>
      </w:tr>
      <w:tr>
        <w:trPr>
          <w:trHeight w:val="20"/>
        </w:trPr>
        <w:tc>
          <w:tcPr>
            <w:tcW w:w="12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6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Supplemental cash flow disclosure:</w:t>
            </w: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57"/>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Income taxes paid (refunded)</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1,638</w:t>
            </w:r>
          </w:p>
        </w:tc>
        <w:tc>
          <w:tcPr>
            <w:tcW w:w="2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(23,390)</w:t>
            </w:r>
          </w:p>
        </w:tc>
      </w:tr>
      <w:tr>
        <w:trPr>
          <w:trHeight w:val="20"/>
        </w:trPr>
        <w:tc>
          <w:tcPr>
            <w:tcW w:w="12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ectPr>
          <w:pgSz w:w="11900" w:h="16838" w:orient="portrait"/>
          <w:cols w:equalWidth="0" w:num="1">
            <w:col w:w="11420"/>
          </w:cols>
          <w:pgMar w:left="240" w:top="118"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"we," "our" and "us" are used interchangeably to refer to Winnebago Industries, Inc. and its subsidiaries, as appropriate to the context.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our opinion, the accompanying condensed unaudited consolidated financial statements contain all adjustments, consisting of normal recurring accruals, necessary to present fairly the consolidated financial position as of May 28, 2011 and the consolidated results of operations for the third quarters and first nine months of Fiscal 2011 and 2010, and consolidated cash flows for the first nine months of Fiscal 2011 and 2010. The consolidated statement of operations for the first nine months of Fiscal 2011 is not necessarily indicative of the results to be expected for the full year. The balance sheet data as of August 28, 2010 was derived from audited financial statements, but does not include all of the information and footnotes required by generally accepted accounting principles (GAAP) for complete financial statements. These interim consolidated financial statements should be read in conjunction with the audited financial statements and notes thereto appearing in our Annual Report to Shareholders for the year ended August 28,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Stock-based Compensation Plans</w:t>
      </w:r>
    </w:p>
    <w:p>
      <w:pPr>
        <w:spacing w:after="0" w:line="24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have a 2004 Incentive Compensation Plan approved by shareholders (as amended, the "Plan") in place which allows us to grant or issue stock awards and other compensation to key employees and to nonemployee directors. On March 23, 2011 we granted an aggregate of 151,000 shares of restricted stock to our key employees and nonemployee directors. The value of the restricted stock awards is determined using the intrinsic value method which, in this case, is based on the number of shares granted and the closing price of our common stock on the date of grant.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included in our statements of operations for the quarter and nine months ended May 28, 2011 was</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$877,000 and $1.0 million, respectively, and for the quarter and nine months ended May 29, 2010 was $123,000 and $414,000, respectively. Of the $1.0 million, $827,000 is related to the March 23, 2011 grants. The remainder is related to the amortization of previously granted restricted stock awards, as well as nonemployee director stock units issued in lieu of their fees. Compensation expense will be recognized over the requisite service period of the award or over a period ending with the employee's eligible retirement date, if earlier.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December 29, 2010, through a newly formed, wholly owned subsidiary, Winnebago of Indiana, LLC, we purchased substantially all of the assets of SunnyBrook RV, Inc. ("SunnyBrook"), a manufacturer of travel trailer and fifth wheel recreation vehicles. The aggregate consideration paid was $5.6 million in cash including the repayment of $3.3 million of SunnyBrook commercial and shareholder debt on the closing date. SunnyBrook operates as a wholly owned subsidiary referred to as Winnebago Industries Towables ("Towables") and will continue to manufacture products under the SunnyBrook brands. In addition, Towables plans to diversify the product line to include Winnebago brand trailer and fifth wheel products. The assets acquired include inventory, equipment and other tangible and intangible property and are being used in connection with the operation of manufacturing towable recreation vehicles. Also on December 29, 2010, we entered into a five year operating lease agreement for the SunnyBrook facilities. The operations of Towables are included in our consolidated operating results from the date of its acquisition.</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94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669"/>
        </w:trPr>
        <w:tc>
          <w:tcPr>
            <w:tcW w:w="9400" w:type="dxa"/>
            <w:vAlign w:val="bottom"/>
            <w:gridSpan w:val="2"/>
          </w:tcPr>
          <w:p>
            <w:pPr>
              <w:spacing w:after="0"/>
              <w:rPr>
                <w:sz w:val="20"/>
                <w:szCs w:val="20"/>
                <w:color w:val="auto"/>
              </w:rPr>
            </w:pPr>
            <w:r>
              <w:rPr>
                <w:rFonts w:ascii="Arial" w:cs="Arial" w:eastAsia="Arial" w:hAnsi="Arial"/>
                <w:sz w:val="18"/>
                <w:szCs w:val="18"/>
                <w:color w:val="auto"/>
              </w:rPr>
              <w:t>The following table summarizes the approximate fair value of the net assets acquired at the date of the closing:</w:t>
            </w: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8"/>
        </w:trPr>
        <w:tc>
          <w:tcPr>
            <w:tcW w:w="94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December 29, 2010</w:t>
            </w:r>
          </w:p>
        </w:tc>
      </w:tr>
      <w:tr>
        <w:trPr>
          <w:trHeight w:val="257"/>
        </w:trPr>
        <w:tc>
          <w:tcPr>
            <w:tcW w:w="9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5,773</w:t>
            </w:r>
          </w:p>
        </w:tc>
      </w:tr>
      <w:tr>
        <w:trPr>
          <w:trHeight w:val="250"/>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337</w:t>
            </w:r>
          </w:p>
        </w:tc>
      </w:tr>
      <w:tr>
        <w:trPr>
          <w:trHeight w:val="263"/>
        </w:trPr>
        <w:tc>
          <w:tcPr>
            <w:tcW w:w="9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1,228</w:t>
            </w:r>
          </w:p>
        </w:tc>
      </w:tr>
      <w:tr>
        <w:trPr>
          <w:trHeight w:val="250"/>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Dealer network</w:t>
            </w:r>
          </w:p>
        </w:tc>
        <w:tc>
          <w:tcPr>
            <w:tcW w:w="160" w:type="dxa"/>
            <w:vAlign w:val="bottom"/>
          </w:tcPr>
          <w:p>
            <w:pPr>
              <w:spacing w:after="0"/>
              <w:rPr>
                <w:sz w:val="21"/>
                <w:szCs w:val="21"/>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535</w:t>
            </w:r>
          </w:p>
        </w:tc>
      </w:tr>
      <w:tr>
        <w:trPr>
          <w:trHeight w:val="263"/>
        </w:trPr>
        <w:tc>
          <w:tcPr>
            <w:tcW w:w="9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196</w:t>
            </w:r>
          </w:p>
        </w:tc>
      </w:tr>
      <w:tr>
        <w:trPr>
          <w:trHeight w:val="250"/>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Non-compete agreement</w:t>
            </w:r>
          </w:p>
        </w:tc>
        <w:tc>
          <w:tcPr>
            <w:tcW w:w="160" w:type="dxa"/>
            <w:vAlign w:val="bottom"/>
          </w:tcPr>
          <w:p>
            <w:pPr>
              <w:spacing w:after="0"/>
              <w:rPr>
                <w:sz w:val="21"/>
                <w:szCs w:val="21"/>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40</w:t>
            </w:r>
          </w:p>
        </w:tc>
      </w:tr>
      <w:tr>
        <w:trPr>
          <w:trHeight w:val="257"/>
        </w:trPr>
        <w:tc>
          <w:tcPr>
            <w:tcW w:w="9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(2,513)</w:t>
            </w:r>
          </w:p>
        </w:tc>
      </w:tr>
      <w:tr>
        <w:trPr>
          <w:trHeight w:val="250"/>
        </w:trPr>
        <w:tc>
          <w:tcPr>
            <w:tcW w:w="9400" w:type="dxa"/>
            <w:vAlign w:val="bottom"/>
            <w:gridSpan w:val="2"/>
          </w:tcPr>
          <w:p>
            <w:pPr>
              <w:ind w:left="280"/>
              <w:spacing w:after="0"/>
              <w:rPr>
                <w:sz w:val="20"/>
                <w:szCs w:val="20"/>
                <w:color w:val="auto"/>
              </w:rPr>
            </w:pPr>
            <w:r>
              <w:rPr>
                <w:rFonts w:ascii="Arial" w:cs="Arial" w:eastAsia="Arial" w:hAnsi="Arial"/>
                <w:sz w:val="18"/>
                <w:szCs w:val="18"/>
                <w:color w:val="auto"/>
              </w:rPr>
              <w:t>Total fair value of net assets acquired</w:t>
            </w:r>
          </w:p>
        </w:tc>
        <w:tc>
          <w:tcPr>
            <w:tcW w:w="160" w:type="dxa"/>
            <w:vAlign w:val="bottom"/>
          </w:tcPr>
          <w:p>
            <w:pPr>
              <w:spacing w:after="0"/>
              <w:rPr>
                <w:sz w:val="21"/>
                <w:szCs w:val="21"/>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5,596</w:t>
            </w:r>
          </w:p>
        </w:tc>
      </w:tr>
      <w:tr>
        <w:trPr>
          <w:trHeight w:val="257"/>
        </w:trPr>
        <w:tc>
          <w:tcPr>
            <w:tcW w:w="9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cash acquired</w:t>
            </w:r>
          </w:p>
        </w:tc>
        <w:tc>
          <w:tcPr>
            <w:tcW w:w="16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(902)</w:t>
            </w:r>
          </w:p>
        </w:tc>
      </w:tr>
      <w:tr>
        <w:trPr>
          <w:trHeight w:val="257"/>
        </w:trPr>
        <w:tc>
          <w:tcPr>
            <w:tcW w:w="9400" w:type="dxa"/>
            <w:vAlign w:val="bottom"/>
            <w:gridSpan w:val="2"/>
          </w:tcPr>
          <w:p>
            <w:pPr>
              <w:ind w:left="280"/>
              <w:spacing w:after="0"/>
              <w:rPr>
                <w:sz w:val="20"/>
                <w:szCs w:val="20"/>
                <w:color w:val="auto"/>
              </w:rPr>
            </w:pPr>
            <w:r>
              <w:rPr>
                <w:rFonts w:ascii="Arial" w:cs="Arial" w:eastAsia="Arial" w:hAnsi="Arial"/>
                <w:sz w:val="18"/>
                <w:szCs w:val="18"/>
                <w:color w:val="auto"/>
              </w:rPr>
              <w:t>Total cash paid for acquisition less cash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4,694</w:t>
            </w:r>
          </w:p>
        </w:tc>
      </w:tr>
      <w:tr>
        <w:trPr>
          <w:trHeight w:val="20"/>
        </w:trPr>
        <w:tc>
          <w:tcPr>
            <w:tcW w:w="12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At December 29, 2010, the amortizable intangible assets had a weighted average useful life of 9.8 years. The dealer network was valued based on the Discounted Cash Flow Method and are being amortized on a straight line basis over 10 years. The trademarks were valued based on the Relief from Royalty Method and are being amortized on a straight line basis over 10 years. The non-compete agreement are being amortized on a straight line basis over 7 years. Goodwill is not subject to amortization. Pro forma financial information has not been presented due to its insignificance when compared to our total assets.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The Company accounts for fair value measurements in accordance with Accounting Standards Codification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w:t>
      </w:r>
      <w:r>
        <w:rPr>
          <w:rFonts w:ascii="Arial" w:cs="Arial" w:eastAsia="Arial" w:hAnsi="Arial"/>
          <w:sz w:val="18"/>
          <w:szCs w:val="18"/>
          <w:color w:val="auto"/>
        </w:rPr>
        <w:t>, which defines fair value, establishes a framework for measurement and expands disclosure about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0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sets forth, by level within the fair value hierarchy, our financial assets that were accounted for at fair value on a recurring basis at May 28, 2011 and August 28, 2010 according to the valuation techniques we used to determine their fair values: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20" w:type="dxa"/>
            <w:vAlign w:val="bottom"/>
            <w:gridSpan w:val="7"/>
          </w:tcPr>
          <w:p>
            <w:pPr>
              <w:jc w:val="center"/>
              <w:ind w:right="12"/>
              <w:spacing w:after="0"/>
              <w:rPr>
                <w:sz w:val="20"/>
                <w:szCs w:val="20"/>
                <w:color w:val="auto"/>
              </w:rPr>
            </w:pPr>
            <w:r>
              <w:rPr>
                <w:rFonts w:ascii="Arial" w:cs="Arial" w:eastAsia="Arial" w:hAnsi="Arial"/>
                <w:sz w:val="16"/>
                <w:szCs w:val="16"/>
                <w:b w:val="1"/>
                <w:bCs w:val="1"/>
                <w:color w:val="auto"/>
                <w:w w:val="91"/>
              </w:rPr>
              <w:t>Fair Value Measurements Using Inputs Considered As</w:t>
            </w:r>
          </w:p>
        </w:tc>
      </w:tr>
      <w:tr>
        <w:trPr>
          <w:trHeight w:val="33"/>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1"/>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6"/>
                <w:szCs w:val="16"/>
                <w:color w:val="auto"/>
              </w:rPr>
            </w:pPr>
          </w:p>
        </w:tc>
        <w:tc>
          <w:tcPr>
            <w:tcW w:w="1420" w:type="dxa"/>
            <w:vAlign w:val="bottom"/>
          </w:tcPr>
          <w:p>
            <w:pPr>
              <w:jc w:val="center"/>
              <w:ind w:right="212"/>
              <w:spacing w:after="0"/>
              <w:rPr>
                <w:sz w:val="20"/>
                <w:szCs w:val="20"/>
                <w:color w:val="auto"/>
              </w:rPr>
            </w:pPr>
            <w:r>
              <w:rPr>
                <w:rFonts w:ascii="Arial" w:cs="Arial" w:eastAsia="Arial" w:hAnsi="Arial"/>
                <w:sz w:val="16"/>
                <w:szCs w:val="16"/>
                <w:b w:val="1"/>
                <w:bCs w:val="1"/>
                <w:color w:val="auto"/>
              </w:rPr>
              <w:t>Level 3</w:t>
            </w:r>
          </w:p>
        </w:tc>
      </w:t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Quoted Prices in</w:t>
            </w: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Significant Other</w:t>
            </w:r>
          </w:p>
        </w:tc>
        <w:tc>
          <w:tcPr>
            <w:tcW w:w="300" w:type="dxa"/>
            <w:vAlign w:val="bottom"/>
          </w:tcPr>
          <w:p>
            <w:pPr>
              <w:spacing w:after="0"/>
              <w:rPr>
                <w:sz w:val="16"/>
                <w:szCs w:val="16"/>
                <w:color w:val="auto"/>
              </w:rPr>
            </w:pPr>
          </w:p>
        </w:tc>
        <w:tc>
          <w:tcPr>
            <w:tcW w:w="1420" w:type="dxa"/>
            <w:vAlign w:val="bottom"/>
          </w:tcPr>
          <w:p>
            <w:pPr>
              <w:jc w:val="center"/>
              <w:ind w:right="212"/>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 at</w:t>
            </w: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Active Markets for</w:t>
            </w: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Observable Inputs</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28, 2011</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Identical Assets</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3"/>
        </w:trPr>
        <w:tc>
          <w:tcPr>
            <w:tcW w:w="4240" w:type="dxa"/>
            <w:vAlign w:val="bottom"/>
          </w:tcPr>
          <w:p>
            <w:pPr>
              <w:ind w:left="80"/>
              <w:spacing w:after="0"/>
              <w:rPr>
                <w:sz w:val="20"/>
                <w:szCs w:val="20"/>
                <w:color w:val="auto"/>
              </w:rPr>
            </w:pPr>
            <w:r>
              <w:rPr>
                <w:rFonts w:ascii="Arial" w:cs="Arial" w:eastAsia="Arial" w:hAnsi="Arial"/>
                <w:sz w:val="18"/>
                <w:szCs w:val="18"/>
                <w:color w:val="auto"/>
              </w:rPr>
              <w:t>Student loan ARS with pending redemptions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4240" w:type="dxa"/>
            <w:vAlign w:val="bottom"/>
          </w:tcPr>
          <w:p>
            <w:pPr>
              <w:ind w:left="180"/>
              <w:spacing w:after="0"/>
              <w:rPr>
                <w:sz w:val="20"/>
                <w:szCs w:val="20"/>
                <w:color w:val="auto"/>
              </w:rPr>
            </w:pPr>
            <w:r>
              <w:rPr>
                <w:rFonts w:ascii="Arial" w:cs="Arial" w:eastAsia="Arial" w:hAnsi="Arial"/>
                <w:sz w:val="18"/>
                <w:szCs w:val="18"/>
                <w:color w:val="auto"/>
              </w:rPr>
              <w:t>Student loan ARS</w:t>
            </w:r>
          </w:p>
        </w:tc>
        <w:tc>
          <w:tcPr>
            <w:tcW w:w="2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10,911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10,911</w:t>
            </w:r>
          </w:p>
        </w:tc>
      </w:tr>
      <w:tr>
        <w:trPr>
          <w:trHeight w:val="27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that fund deferred compensation</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4240" w:type="dxa"/>
            <w:vAlign w:val="bottom"/>
          </w:tcPr>
          <w:p>
            <w:pPr>
              <w:ind w:left="180"/>
              <w:spacing w:after="0"/>
              <w:rPr>
                <w:sz w:val="20"/>
                <w:szCs w:val="20"/>
                <w:color w:val="auto"/>
              </w:rPr>
            </w:pPr>
            <w:r>
              <w:rPr>
                <w:rFonts w:ascii="Arial" w:cs="Arial" w:eastAsia="Arial" w:hAnsi="Arial"/>
                <w:sz w:val="18"/>
                <w:szCs w:val="18"/>
                <w:color w:val="auto"/>
              </w:rPr>
              <w:t>Domestic equity funds</w:t>
            </w:r>
          </w:p>
        </w:tc>
        <w:tc>
          <w:tcPr>
            <w:tcW w:w="2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10,581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10,581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424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24,094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12,933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10,911</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20"/>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ind w:right="113"/>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120" w:type="dxa"/>
            <w:vAlign w:val="bottom"/>
            <w:tcBorders>
              <w:bottom w:val="single" w:sz="8" w:color="auto"/>
            </w:tcBorders>
            <w:gridSpan w:val="7"/>
          </w:tcPr>
          <w:p>
            <w:pPr>
              <w:jc w:val="center"/>
              <w:ind w:right="13"/>
              <w:spacing w:after="0"/>
              <w:rPr>
                <w:sz w:val="20"/>
                <w:szCs w:val="20"/>
                <w:color w:val="auto"/>
              </w:rPr>
            </w:pPr>
            <w:r>
              <w:rPr>
                <w:rFonts w:ascii="Arial" w:cs="Arial" w:eastAsia="Arial" w:hAnsi="Arial"/>
                <w:sz w:val="14"/>
                <w:szCs w:val="14"/>
                <w:b w:val="1"/>
                <w:bCs w:val="1"/>
                <w:color w:val="auto"/>
              </w:rPr>
              <w:t>Fair Value Measurements Using Inputs Considered As</w:t>
            </w:r>
          </w:p>
        </w:tc>
      </w:tr>
      <w:tr>
        <w:trPr>
          <w:trHeight w:val="197"/>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Level 2</w:t>
            </w:r>
          </w:p>
        </w:tc>
        <w:tc>
          <w:tcPr>
            <w:tcW w:w="300" w:type="dxa"/>
            <w:vAlign w:val="bottom"/>
          </w:tcPr>
          <w:p>
            <w:pPr>
              <w:spacing w:after="0"/>
              <w:rPr>
                <w:sz w:val="17"/>
                <w:szCs w:val="17"/>
                <w:color w:val="auto"/>
              </w:rPr>
            </w:pPr>
          </w:p>
        </w:tc>
        <w:tc>
          <w:tcPr>
            <w:tcW w:w="1420" w:type="dxa"/>
            <w:vAlign w:val="bottom"/>
          </w:tcPr>
          <w:p>
            <w:pPr>
              <w:jc w:val="center"/>
              <w:ind w:right="213"/>
              <w:spacing w:after="0"/>
              <w:rPr>
                <w:sz w:val="20"/>
                <w:szCs w:val="20"/>
                <w:color w:val="auto"/>
              </w:rPr>
            </w:pPr>
            <w:r>
              <w:rPr>
                <w:rFonts w:ascii="Arial" w:cs="Arial" w:eastAsia="Arial" w:hAnsi="Arial"/>
                <w:sz w:val="16"/>
                <w:szCs w:val="16"/>
                <w:b w:val="1"/>
                <w:bCs w:val="1"/>
                <w:color w:val="auto"/>
              </w:rPr>
              <w:t>Level 3</w:t>
            </w:r>
          </w:p>
        </w:tc>
      </w:tr>
      <w:tr>
        <w:trPr>
          <w:trHeight w:val="189"/>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Quoted Prices in</w:t>
            </w: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Significant Other</w:t>
            </w:r>
          </w:p>
        </w:tc>
        <w:tc>
          <w:tcPr>
            <w:tcW w:w="300" w:type="dxa"/>
            <w:vAlign w:val="bottom"/>
          </w:tcPr>
          <w:p>
            <w:pPr>
              <w:spacing w:after="0"/>
              <w:rPr>
                <w:sz w:val="16"/>
                <w:szCs w:val="16"/>
                <w:color w:val="auto"/>
              </w:rPr>
            </w:pPr>
          </w:p>
        </w:tc>
        <w:tc>
          <w:tcPr>
            <w:tcW w:w="1420" w:type="dxa"/>
            <w:vAlign w:val="bottom"/>
          </w:tcPr>
          <w:p>
            <w:pPr>
              <w:jc w:val="center"/>
              <w:ind w:right="213"/>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 at</w:t>
            </w: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Active Markets for</w:t>
            </w: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Observable Inputs</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28"/>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August 28, 2010</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Identical Assets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70"/>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3"/>
        </w:trPr>
        <w:tc>
          <w:tcPr>
            <w:tcW w:w="4340" w:type="dxa"/>
            <w:vAlign w:val="bottom"/>
          </w:tcPr>
          <w:p>
            <w:pPr>
              <w:ind w:left="180"/>
              <w:spacing w:after="0"/>
              <w:rPr>
                <w:sz w:val="20"/>
                <w:szCs w:val="20"/>
                <w:color w:val="auto"/>
              </w:rPr>
            </w:pPr>
            <w:r>
              <w:rPr>
                <w:rFonts w:ascii="Arial" w:cs="Arial" w:eastAsia="Arial" w:hAnsi="Arial"/>
                <w:sz w:val="18"/>
                <w:szCs w:val="18"/>
                <w:color w:val="auto"/>
              </w:rPr>
              <w:t>Student loan ARS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17,785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17,785</w:t>
            </w:r>
          </w:p>
        </w:tc>
      </w:tr>
      <w:tr>
        <w:trPr>
          <w:trHeight w:val="27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that fund deferred compensation</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4340" w:type="dxa"/>
            <w:vAlign w:val="bottom"/>
          </w:tcPr>
          <w:p>
            <w:pPr>
              <w:ind w:left="180"/>
              <w:spacing w:after="0"/>
              <w:rPr>
                <w:sz w:val="20"/>
                <w:szCs w:val="20"/>
                <w:color w:val="auto"/>
              </w:rPr>
            </w:pPr>
            <w:r>
              <w:rPr>
                <w:rFonts w:ascii="Arial" w:cs="Arial" w:eastAsia="Arial" w:hAnsi="Arial"/>
                <w:sz w:val="18"/>
                <w:szCs w:val="18"/>
                <w:color w:val="auto"/>
              </w:rPr>
              <w:t>Domestic equity funds</w:t>
            </w:r>
          </w:p>
        </w:tc>
        <w:tc>
          <w:tcPr>
            <w:tcW w:w="180" w:type="dxa"/>
            <w:vAlign w:val="bottom"/>
          </w:tcPr>
          <w:p>
            <w:pPr>
              <w:spacing w:after="0"/>
              <w:rPr>
                <w:sz w:val="22"/>
                <w:szCs w:val="22"/>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8,735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8,735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Fixed income</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10,954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17,785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in the table above, that used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29,</w:t>
            </w: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7"/>
                <w:szCs w:val="17"/>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29,</w:t>
            </w:r>
          </w:p>
        </w:tc>
      </w:tr>
      <w:tr>
        <w:trPr>
          <w:trHeight w:val="24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28,748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17,785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33,294</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Transfer to Level 2</w:t>
            </w:r>
          </w:p>
        </w:tc>
        <w:tc>
          <w:tcPr>
            <w:tcW w:w="26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included in other comprehensive income</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r>
      <w:tr>
        <w:trPr>
          <w:trHeight w:val="264"/>
        </w:trPr>
        <w:tc>
          <w:tcPr>
            <w:tcW w:w="5260" w:type="dxa"/>
            <w:vAlign w:val="bottom"/>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(8,200)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(12,900)</w:t>
            </w:r>
          </w:p>
        </w:tc>
      </w:tr>
      <w:tr>
        <w:trPr>
          <w:trHeight w:val="257"/>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10,911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20,422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10,911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20,422</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and Long-Term Investments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short and long-term investments are comprised of auction rate securities (ARS). Our long-term ARS related investments (as described in Note 6) are classified as Level 3 as quoted prices were unavailable due to events described in Note 6. Due to limited market information, we utilized a discounted cash flow (DCF) model to derive an estimate of fair value at May 28, 2011.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All of our short-term ARS portfolio is classified as Level 2 as they are also in an inactive market, but inputs other than quoted prices were observable and used to value the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that Fund Deferred Compensation</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assets that fund deferred compensation are primarily marketable equity securities and are measured at fair value using quoted market prices and primarily consist of equity-based mutual funds. They are classified as Level 1 as they are traded in an active market for which closing stock prices are readily available. These securities fund the Executive Share Option Plan, a deferred compensation program, and are presented as other assets in the accompanying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that are measured at Fair Value on a Nonrecurring Basis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non-financial assets, which include goodwill, intangible assets and property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Using Level 2 inputs, we recorded an impairment of $605,000 for our idled fiberglass facility in Hampton, Iowa during the fiscal quarter ended May 28, 2011. The fair value was determined through sales of comparable facilities.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presents our non-financial assets that were measured at fair value on a nonrecurring basis during the period and the related recognized gains and losses for the period:</w:t>
      </w:r>
    </w:p>
    <w:p>
      <w:pPr>
        <w:spacing w:after="0" w:line="341" w:lineRule="exact"/>
        <w:rPr>
          <w:sz w:val="20"/>
          <w:szCs w:val="20"/>
          <w:color w:val="auto"/>
        </w:rPr>
      </w:pPr>
    </w:p>
    <w:p>
      <w:pPr>
        <w:jc w:val="center"/>
        <w:ind w:left="920"/>
        <w:spacing w:after="0"/>
        <w:rPr>
          <w:sz w:val="20"/>
          <w:szCs w:val="20"/>
          <w:color w:val="auto"/>
        </w:rPr>
      </w:pPr>
      <w:r>
        <w:rPr>
          <w:rFonts w:ascii="Arial" w:cs="Arial" w:eastAsia="Arial" w:hAnsi="Arial"/>
          <w:sz w:val="16"/>
          <w:szCs w:val="16"/>
          <w:b w:val="1"/>
          <w:bCs w:val="1"/>
          <w:color w:val="auto"/>
        </w:rPr>
        <w:t>Fair Value Measurements Using Inputs Considered</w:t>
      </w:r>
    </w:p>
    <w:p>
      <w:pPr>
        <w:spacing w:after="0" w:line="25" w:lineRule="exact"/>
        <w:rPr>
          <w:sz w:val="20"/>
          <w:szCs w:val="20"/>
          <w:color w:val="auto"/>
        </w:rPr>
      </w:pPr>
    </w:p>
    <w:p>
      <w:pPr>
        <w:jc w:val="center"/>
        <w:ind w:left="920"/>
        <w:spacing w:after="0"/>
        <w:rPr>
          <w:sz w:val="20"/>
          <w:szCs w:val="20"/>
          <w:color w:val="auto"/>
        </w:rPr>
      </w:pPr>
      <w:r>
        <w:rPr>
          <w:rFonts w:ascii="Arial" w:cs="Arial" w:eastAsia="Arial" w:hAnsi="Arial"/>
          <w:sz w:val="16"/>
          <w:szCs w:val="16"/>
          <w:b w:val="1"/>
          <w:bCs w:val="1"/>
          <w:color w:val="auto"/>
        </w:rPr>
        <w: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19050</wp:posOffset>
            </wp:positionV>
            <wp:extent cx="26327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337"/>
              <w:spacing w:after="0"/>
              <w:rPr>
                <w:sz w:val="20"/>
                <w:szCs w:val="20"/>
                <w:color w:val="auto"/>
              </w:rPr>
            </w:pPr>
            <w:r>
              <w:rPr>
                <w:rFonts w:ascii="Arial" w:cs="Arial" w:eastAsia="Arial" w:hAnsi="Arial"/>
                <w:sz w:val="16"/>
                <w:szCs w:val="16"/>
                <w:b w:val="1"/>
                <w:bCs w:val="1"/>
                <w:color w:val="auto"/>
              </w:rPr>
              <w:t>Level 1</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gridSpan w:val="2"/>
          </w:tcPr>
          <w:p>
            <w:pPr>
              <w:jc w:val="center"/>
              <w:ind w:right="77"/>
              <w:spacing w:after="0"/>
              <w:rPr>
                <w:sz w:val="20"/>
                <w:szCs w:val="20"/>
                <w:color w:val="auto"/>
              </w:rPr>
            </w:pPr>
            <w:r>
              <w:rPr>
                <w:rFonts w:ascii="Arial" w:cs="Arial" w:eastAsia="Arial" w:hAnsi="Arial"/>
                <w:sz w:val="16"/>
                <w:szCs w:val="16"/>
                <w:b w:val="1"/>
                <w:bCs w:val="1"/>
                <w:color w:val="auto"/>
              </w:rPr>
              <w:t>Quoted Prices</w:t>
            </w:r>
          </w:p>
        </w:tc>
        <w:tc>
          <w:tcPr>
            <w:tcW w:w="1100" w:type="dxa"/>
            <w:vAlign w:val="bottom"/>
          </w:tcPr>
          <w:p>
            <w:pPr>
              <w:jc w:val="center"/>
              <w:ind w:right="77"/>
              <w:spacing w:after="0"/>
              <w:rPr>
                <w:sz w:val="20"/>
                <w:szCs w:val="20"/>
                <w:color w:val="auto"/>
              </w:rPr>
            </w:pPr>
            <w:r>
              <w:rPr>
                <w:rFonts w:ascii="Arial" w:cs="Arial" w:eastAsia="Arial" w:hAnsi="Arial"/>
                <w:sz w:val="16"/>
                <w:szCs w:val="16"/>
                <w:b w:val="1"/>
                <w:bCs w:val="1"/>
                <w:color w:val="auto"/>
                <w:w w:val="99"/>
              </w:rPr>
              <w:t>Level 2</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337"/>
              <w:spacing w:after="0"/>
              <w:rPr>
                <w:sz w:val="20"/>
                <w:szCs w:val="20"/>
                <w:color w:val="auto"/>
              </w:rPr>
            </w:pPr>
            <w:r>
              <w:rPr>
                <w:rFonts w:ascii="Arial" w:cs="Arial" w:eastAsia="Arial" w:hAnsi="Arial"/>
                <w:sz w:val="16"/>
                <w:szCs w:val="16"/>
                <w:b w:val="1"/>
                <w:bCs w:val="1"/>
                <w:color w:val="auto"/>
              </w:rPr>
              <w:t>in Active</w:t>
            </w:r>
          </w:p>
        </w:tc>
        <w:tc>
          <w:tcPr>
            <w:tcW w:w="1100" w:type="dxa"/>
            <w:vAlign w:val="bottom"/>
          </w:tcPr>
          <w:p>
            <w:pPr>
              <w:jc w:val="center"/>
              <w:ind w:right="77"/>
              <w:spacing w:after="0"/>
              <w:rPr>
                <w:sz w:val="20"/>
                <w:szCs w:val="20"/>
                <w:color w:val="auto"/>
              </w:rPr>
            </w:pPr>
            <w:r>
              <w:rPr>
                <w:rFonts w:ascii="Arial" w:cs="Arial" w:eastAsia="Arial" w:hAnsi="Arial"/>
                <w:sz w:val="16"/>
                <w:szCs w:val="16"/>
                <w:b w:val="1"/>
                <w:bCs w:val="1"/>
                <w:color w:val="auto"/>
              </w:rPr>
              <w:t>Significant</w:t>
            </w:r>
          </w:p>
        </w:tc>
        <w:tc>
          <w:tcPr>
            <w:tcW w:w="26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3</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Total Losses for</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rPr>
              <w:t>Total Losses for</w:t>
            </w:r>
          </w:p>
        </w:tc>
      </w:tr>
      <w:tr>
        <w:trPr>
          <w:trHeight w:val="189"/>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Arial" w:cs="Arial" w:eastAsia="Arial" w:hAnsi="Arial"/>
                <w:sz w:val="16"/>
                <w:szCs w:val="16"/>
                <w:b w:val="1"/>
                <w:bCs w:val="1"/>
                <w:color w:val="auto"/>
              </w:rPr>
              <w:t>Net Carrying</w:t>
            </w:r>
          </w:p>
        </w:tc>
        <w:tc>
          <w:tcPr>
            <w:tcW w:w="240" w:type="dxa"/>
            <w:vAlign w:val="bottom"/>
          </w:tcPr>
          <w:p>
            <w:pPr>
              <w:spacing w:after="0"/>
              <w:rPr>
                <w:sz w:val="16"/>
                <w:szCs w:val="16"/>
                <w:color w:val="auto"/>
              </w:rPr>
            </w:pPr>
          </w:p>
        </w:tc>
        <w:tc>
          <w:tcPr>
            <w:tcW w:w="1340" w:type="dxa"/>
            <w:vAlign w:val="bottom"/>
          </w:tcPr>
          <w:p>
            <w:pPr>
              <w:jc w:val="center"/>
              <w:ind w:right="337"/>
              <w:spacing w:after="0"/>
              <w:rPr>
                <w:sz w:val="20"/>
                <w:szCs w:val="20"/>
                <w:color w:val="auto"/>
              </w:rPr>
            </w:pPr>
            <w:r>
              <w:rPr>
                <w:rFonts w:ascii="Arial" w:cs="Arial" w:eastAsia="Arial" w:hAnsi="Arial"/>
                <w:sz w:val="16"/>
                <w:szCs w:val="16"/>
                <w:b w:val="1"/>
                <w:bCs w:val="1"/>
                <w:color w:val="auto"/>
              </w:rPr>
              <w:t>Markets for</w:t>
            </w:r>
          </w:p>
        </w:tc>
        <w:tc>
          <w:tcPr>
            <w:tcW w:w="1100" w:type="dxa"/>
            <w:vAlign w:val="bottom"/>
          </w:tcPr>
          <w:p>
            <w:pPr>
              <w:jc w:val="center"/>
              <w:ind w:right="97"/>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Significant</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the Three Months</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the Nine Months</w:t>
            </w:r>
          </w:p>
        </w:tc>
      </w:tr>
      <w:tr>
        <w:trPr>
          <w:trHeight w:val="189"/>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Arial" w:cs="Arial" w:eastAsia="Arial" w:hAnsi="Arial"/>
                <w:sz w:val="16"/>
                <w:szCs w:val="16"/>
                <w:b w:val="1"/>
                <w:bCs w:val="1"/>
                <w:color w:val="auto"/>
              </w:rPr>
              <w:t>Value at</w:t>
            </w:r>
          </w:p>
        </w:tc>
        <w:tc>
          <w:tcPr>
            <w:tcW w:w="240" w:type="dxa"/>
            <w:vAlign w:val="bottom"/>
          </w:tcPr>
          <w:p>
            <w:pPr>
              <w:spacing w:after="0"/>
              <w:rPr>
                <w:sz w:val="16"/>
                <w:szCs w:val="16"/>
                <w:color w:val="auto"/>
              </w:rPr>
            </w:pPr>
          </w:p>
        </w:tc>
        <w:tc>
          <w:tcPr>
            <w:tcW w:w="1340" w:type="dxa"/>
            <w:vAlign w:val="bottom"/>
          </w:tcPr>
          <w:p>
            <w:pPr>
              <w:jc w:val="center"/>
              <w:ind w:right="337"/>
              <w:spacing w:after="0"/>
              <w:rPr>
                <w:sz w:val="20"/>
                <w:szCs w:val="20"/>
                <w:color w:val="auto"/>
              </w:rPr>
            </w:pPr>
            <w:r>
              <w:rPr>
                <w:rFonts w:ascii="Arial" w:cs="Arial" w:eastAsia="Arial" w:hAnsi="Arial"/>
                <w:sz w:val="16"/>
                <w:szCs w:val="16"/>
                <w:b w:val="1"/>
                <w:bCs w:val="1"/>
                <w:color w:val="auto"/>
                <w:w w:val="98"/>
              </w:rPr>
              <w:t>Identical</w:t>
            </w:r>
          </w:p>
        </w:tc>
        <w:tc>
          <w:tcPr>
            <w:tcW w:w="1100" w:type="dxa"/>
            <w:vAlign w:val="bottom"/>
          </w:tcPr>
          <w:p>
            <w:pPr>
              <w:jc w:val="center"/>
              <w:ind w:right="97"/>
              <w:spacing w:after="0"/>
              <w:rPr>
                <w:sz w:val="20"/>
                <w:szCs w:val="20"/>
                <w:color w:val="auto"/>
              </w:rPr>
            </w:pPr>
            <w:r>
              <w:rPr>
                <w:rFonts w:ascii="Arial" w:cs="Arial" w:eastAsia="Arial" w:hAnsi="Arial"/>
                <w:sz w:val="16"/>
                <w:szCs w:val="16"/>
                <w:b w:val="1"/>
                <w:bCs w:val="1"/>
                <w:color w:val="auto"/>
              </w:rPr>
              <w:t>Observable</w:t>
            </w:r>
          </w:p>
        </w:tc>
        <w:tc>
          <w:tcPr>
            <w:tcW w:w="26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Unobservable</w:t>
            </w:r>
          </w:p>
        </w:tc>
        <w:tc>
          <w:tcPr>
            <w:tcW w:w="140" w:type="dxa"/>
            <w:vAlign w:val="bottom"/>
          </w:tcPr>
          <w:p>
            <w:pPr>
              <w:spacing w:after="0"/>
              <w:rPr>
                <w:sz w:val="16"/>
                <w:szCs w:val="16"/>
                <w:color w:val="auto"/>
              </w:rPr>
            </w:pPr>
          </w:p>
        </w:tc>
        <w:tc>
          <w:tcPr>
            <w:tcW w:w="1340" w:type="dxa"/>
            <w:vAlign w:val="bottom"/>
          </w:tcPr>
          <w:p>
            <w:pPr>
              <w:jc w:val="center"/>
              <w:ind w:right="94"/>
              <w:spacing w:after="0"/>
              <w:rPr>
                <w:sz w:val="20"/>
                <w:szCs w:val="20"/>
                <w:color w:val="auto"/>
              </w:rPr>
            </w:pPr>
            <w:r>
              <w:rPr>
                <w:rFonts w:ascii="Arial" w:cs="Arial" w:eastAsia="Arial" w:hAnsi="Arial"/>
                <w:sz w:val="16"/>
                <w:szCs w:val="16"/>
                <w:b w:val="1"/>
                <w:bCs w:val="1"/>
                <w:color w:val="auto"/>
              </w:rPr>
              <w:t>Ended May 28,</w:t>
            </w:r>
          </w:p>
        </w:tc>
        <w:tc>
          <w:tcPr>
            <w:tcW w:w="200" w:type="dxa"/>
            <w:vAlign w:val="bottom"/>
          </w:tcPr>
          <w:p>
            <w:pPr>
              <w:spacing w:after="0"/>
              <w:rPr>
                <w:sz w:val="16"/>
                <w:szCs w:val="16"/>
                <w:color w:val="auto"/>
              </w:rPr>
            </w:pPr>
          </w:p>
        </w:tc>
        <w:tc>
          <w:tcPr>
            <w:tcW w:w="1300" w:type="dxa"/>
            <w:vAlign w:val="bottom"/>
          </w:tcPr>
          <w:p>
            <w:pPr>
              <w:jc w:val="center"/>
              <w:ind w:right="54"/>
              <w:spacing w:after="0"/>
              <w:rPr>
                <w:sz w:val="20"/>
                <w:szCs w:val="20"/>
                <w:color w:val="auto"/>
              </w:rPr>
            </w:pPr>
            <w:r>
              <w:rPr>
                <w:rFonts w:ascii="Arial" w:cs="Arial" w:eastAsia="Arial" w:hAnsi="Arial"/>
                <w:sz w:val="16"/>
                <w:szCs w:val="16"/>
                <w:b w:val="1"/>
                <w:bCs w:val="1"/>
                <w:color w:val="auto"/>
              </w:rPr>
              <w:t>Ended May 28,</w:t>
            </w:r>
          </w:p>
        </w:tc>
      </w:tr>
      <w:tr>
        <w:trPr>
          <w:trHeight w:val="228"/>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w:t>
            </w:r>
          </w:p>
        </w:tc>
        <w:tc>
          <w:tcPr>
            <w:tcW w:w="1460" w:type="dxa"/>
            <w:vAlign w:val="bottom"/>
            <w:tcBorders>
              <w:bottom w:val="single" w:sz="8" w:color="auto"/>
            </w:tcBorders>
            <w:gridSpan w:val="2"/>
          </w:tcPr>
          <w:p>
            <w:pPr>
              <w:jc w:val="center"/>
              <w:ind w:left="94"/>
              <w:spacing w:after="0"/>
              <w:rPr>
                <w:sz w:val="20"/>
                <w:szCs w:val="20"/>
                <w:color w:val="auto"/>
              </w:rPr>
            </w:pPr>
            <w:r>
              <w:rPr>
                <w:rFonts w:ascii="Arial" w:cs="Arial" w:eastAsia="Arial" w:hAnsi="Arial"/>
                <w:sz w:val="16"/>
                <w:szCs w:val="16"/>
                <w:b w:val="1"/>
                <w:bCs w:val="1"/>
                <w:color w:val="auto"/>
              </w:rPr>
              <w:t>May 28, 2011</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37"/>
              <w:spacing w:after="0"/>
              <w:rPr>
                <w:sz w:val="20"/>
                <w:szCs w:val="20"/>
                <w:color w:val="auto"/>
              </w:rPr>
            </w:pPr>
            <w:r>
              <w:rPr>
                <w:rFonts w:ascii="Arial" w:cs="Arial" w:eastAsia="Arial" w:hAnsi="Arial"/>
                <w:sz w:val="16"/>
                <w:szCs w:val="16"/>
                <w:b w:val="1"/>
                <w:bCs w:val="1"/>
                <w:color w:val="auto"/>
                <w:w w:val="99"/>
              </w:rPr>
              <w:t>Assets</w:t>
            </w: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9"/>
              </w:rPr>
              <w:t>Inputs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2011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rPr>
              <w:t>2011</w:t>
            </w:r>
          </w:p>
        </w:tc>
      </w:t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held for sale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(605)</w:t>
            </w: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rPr>
              <w:t>Total losses for nonrecurring</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7"/>
        </w:trPr>
        <w:tc>
          <w:tcPr>
            <w:tcW w:w="2540" w:type="dxa"/>
            <w:vAlign w:val="bottom"/>
          </w:tcPr>
          <w:p>
            <w:pPr>
              <w:ind w:left="40"/>
              <w:spacing w:after="0"/>
              <w:rPr>
                <w:sz w:val="20"/>
                <w:szCs w:val="20"/>
                <w:color w:val="auto"/>
              </w:rPr>
            </w:pPr>
            <w:r>
              <w:rPr>
                <w:rFonts w:ascii="Arial" w:cs="Arial" w:eastAsia="Arial" w:hAnsi="Arial"/>
                <w:sz w:val="18"/>
                <w:szCs w:val="18"/>
                <w:color w:val="auto"/>
              </w:rPr>
              <w:t>measurements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(605)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4"/>
              <w:spacing w:after="0"/>
              <w:rPr>
                <w:sz w:val="20"/>
                <w:szCs w:val="20"/>
                <w:color w:val="auto"/>
              </w:rPr>
            </w:pPr>
            <w:r>
              <w:rPr>
                <w:rFonts w:ascii="Arial" w:cs="Arial" w:eastAsia="Arial" w:hAnsi="Arial"/>
                <w:sz w:val="18"/>
                <w:szCs w:val="18"/>
                <w:color w:val="auto"/>
              </w:rPr>
              <w:t>(605)</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own investments in marketable securities that have been designated as "available for sale" in accordance with ASC 320, </w:t>
      </w:r>
      <w:r>
        <w:rPr>
          <w:rFonts w:ascii="Arial" w:cs="Arial" w:eastAsia="Arial" w:hAnsi="Arial"/>
          <w:sz w:val="18"/>
          <w:szCs w:val="18"/>
          <w:i w:val="1"/>
          <w:iCs w:val="1"/>
          <w:color w:val="auto"/>
        </w:rPr>
        <w:t>Investments-Debt</w:t>
      </w:r>
      <w:r>
        <w:rPr>
          <w:rFonts w:ascii="Arial" w:cs="Arial" w:eastAsia="Arial" w:hAnsi="Arial"/>
          <w:sz w:val="18"/>
          <w:szCs w:val="18"/>
          <w:color w:val="auto"/>
        </w:rPr>
        <w:t xml:space="preserve"> </w:t>
      </w:r>
      <w:r>
        <w:rPr>
          <w:rFonts w:ascii="Arial" w:cs="Arial" w:eastAsia="Arial" w:hAnsi="Arial"/>
          <w:sz w:val="18"/>
          <w:szCs w:val="18"/>
          <w:i w:val="1"/>
          <w:iCs w:val="1"/>
          <w:color w:val="auto"/>
        </w:rPr>
        <w:t>and Equity Securities</w:t>
      </w:r>
      <w:r>
        <w:rPr>
          <w:rFonts w:ascii="Arial" w:cs="Arial" w:eastAsia="Arial" w:hAnsi="Arial"/>
          <w:sz w:val="18"/>
          <w:szCs w:val="18"/>
          <w:color w:val="auto"/>
        </w:rPr>
        <w:t>. Available for sale securities are carried at fair value with the unrealized gains and losses recorded in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a component of stockholders' equity.</w:t>
      </w:r>
    </w:p>
    <w:p>
      <w:pPr>
        <w:spacing w:after="0" w:line="19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At May 28, 2011, we held $11.4 million (par value) of investments comprised of tax-exempt ARS, which are variable-rate debt securities and have a long-term maturity with the interest rate being reset through Dutch auctions that are typically held every 7, 28 or 35 days. Prior to February 2008, these securities traded at par and are callable at par at the option of the issuer. Interest is typically paid at the end of each auction period or semiannually. The ARS we hold are AAA/Aaa rated with most collateralized by student loans guaranteed by the U.S. Government under the Federal Family Education Loan Program.</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Since February 2008, most ARS auctions have failed and there is no assurance that future auctions will succeed and, as a result, our ability to liquidate our investment and fully recover the par value in the near term may be limited or nonexistent. We have no reason to believe that any of the underlying issuers of our ARS are presently at risk of payment default. We have continued to receive interest payments on the ARS in accordance with their terms. We believe we will ultimately be able to liquidate our ARS related investments without significant loss primarily due to the collateral securing our ARS. However, redemption could take until final maturity of the ARS (up to 30 years) to realize the par value of our investments. Due to the changes and uncertainty in the ARS market, we believe the recovery period for long-term ARS investments is likely to be longer than 12 months. On June 3, 2011 we received notice of a partial redemption on a particular ARS with payment received on June 6, 2011. As a result, of the total of $11.4 million of ARS investments, we have classified $11.2 million (par value) as long-term with the remaining amount of $250,000 is classified as short-term ARS investment as of May 28, 2011.</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May 28, 2011, there was insufficient observable ARS market information available to determine the fair value of our long-term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$239,000 related to our long-term ARS investments of $11.2 million (par value).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78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66"/>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Note 7: Inventories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2"/>
        </w:trPr>
        <w:tc>
          <w:tcPr>
            <w:tcW w:w="1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28,</w:t>
            </w:r>
          </w:p>
        </w:tc>
        <w:tc>
          <w:tcPr>
            <w:tcW w:w="240" w:type="dxa"/>
            <w:vAlign w:val="bottom"/>
          </w:tcPr>
          <w:p>
            <w:pPr>
              <w:spacing w:after="0"/>
              <w:rPr>
                <w:sz w:val="24"/>
                <w:szCs w:val="24"/>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August 28,</w:t>
            </w:r>
          </w:p>
        </w:tc>
      </w:tr>
      <w:tr>
        <w:trPr>
          <w:trHeight w:val="246"/>
        </w:trPr>
        <w:tc>
          <w:tcPr>
            <w:tcW w:w="78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57"/>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34,103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21,200</w:t>
            </w:r>
          </w:p>
        </w:tc>
      </w:tr>
      <w:tr>
        <w:trPr>
          <w:trHeight w:val="26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30,247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24,897</w:t>
            </w:r>
          </w:p>
        </w:tc>
      </w:tr>
      <w:tr>
        <w:trPr>
          <w:trHeight w:val="27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42,752</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26,992</w:t>
            </w:r>
          </w:p>
        </w:tc>
      </w:tr>
      <w:tr>
        <w:trPr>
          <w:trHeight w:val="250"/>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1"/>
                <w:szCs w:val="21"/>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107,102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73,089</w:t>
            </w:r>
          </w:p>
        </w:tc>
      </w:tr>
      <w:tr>
        <w:trPr>
          <w:trHeight w:val="27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LIFO reserve</w:t>
            </w: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(30,756)</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(29,563)</w:t>
            </w:r>
          </w:p>
        </w:tc>
      </w:tr>
      <w:tr>
        <w:trPr>
          <w:trHeight w:val="257"/>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76,346</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43,526</w:t>
            </w:r>
          </w:p>
        </w:tc>
      </w:tr>
      <w:tr>
        <w:trPr>
          <w:trHeight w:val="20"/>
        </w:trPr>
        <w:tc>
          <w:tcPr>
            <w:tcW w:w="12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Of the $107.1 million inventory at May 28, 2011, $101.3 million is valued on a last-in, first-out (LIFO) basis and the Towables inventory of $5.8 million is valued on a first-in, first-out (FIFO)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and Equipment and Assets Held for Sale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is stated at cost, net of accumulated depreciation and consists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28,</w:t>
            </w:r>
          </w:p>
        </w:tc>
        <w:tc>
          <w:tcPr>
            <w:tcW w:w="240" w:type="dxa"/>
            <w:vAlign w:val="bottom"/>
          </w:tcPr>
          <w:p>
            <w:pPr>
              <w:spacing w:after="0"/>
              <w:rPr>
                <w:sz w:val="17"/>
                <w:szCs w:val="17"/>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August 28,</w:t>
            </w:r>
          </w:p>
        </w:tc>
      </w:tr>
      <w:tr>
        <w:trPr>
          <w:trHeight w:val="246"/>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57"/>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772</w:t>
            </w:r>
          </w:p>
        </w:tc>
      </w:tr>
      <w:tr>
        <w:trPr>
          <w:trHeight w:val="263"/>
        </w:trPr>
        <w:tc>
          <w:tcPr>
            <w:tcW w:w="782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49,140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49,309</w:t>
            </w:r>
          </w:p>
        </w:tc>
      </w:tr>
      <w:tr>
        <w:trPr>
          <w:trHeight w:val="277"/>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90,130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89,304</w:t>
            </w:r>
          </w:p>
        </w:tc>
      </w:tr>
      <w:tr>
        <w:trPr>
          <w:trHeight w:val="264"/>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Transportation equipment</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8,847</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9,109</w:t>
            </w:r>
          </w:p>
        </w:tc>
      </w:tr>
      <w:tr>
        <w:trPr>
          <w:trHeight w:val="257"/>
        </w:trPr>
        <w:tc>
          <w:tcPr>
            <w:tcW w:w="78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148,884</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148,494</w:t>
            </w:r>
          </w:p>
        </w:tc>
      </w:tr>
      <w:tr>
        <w:trPr>
          <w:trHeight w:val="264"/>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(125,519)</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(122,817)</w:t>
            </w:r>
          </w:p>
        </w:tc>
      </w:tr>
      <w:tr>
        <w:trPr>
          <w:trHeight w:val="257"/>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23,365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25,677</w:t>
            </w: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During the first quarter of Fiscal 2011, an idled assembly facility in Charles City, Iowa (CCMF) classified as held for sale, was sold to CGS TIRES US, INC. The sale was finalized on November 1, 2010 and generated $4.0 million in gross proceeds, selling costs of $256,000 and a gain of $644,000.</w:t>
      </w: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Assets held for sale as of May 28, 2011 of $600,000 consisted of an idled fiberglass manufacturing facility in Hampton, Iowa. An impairment of $605,000 was recorded in the third quarter of Fiscal 2011 as a result of deteriorating real estate market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consist of the following:</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4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May 28, 2011</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August 28, 2010</w:t>
            </w:r>
          </w:p>
        </w:tc>
      </w:tr>
      <w:tr>
        <w:trPr>
          <w:trHeight w:val="207"/>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Arial" w:cs="Arial" w:eastAsia="Arial" w:hAnsi="Arial"/>
                <w:sz w:val="18"/>
                <w:szCs w:val="18"/>
                <w:b w:val="1"/>
                <w:bCs w:val="1"/>
                <w:color w:val="auto"/>
              </w:rPr>
              <w:t>Accumulated</w:t>
            </w:r>
          </w:p>
        </w:tc>
      </w:tr>
      <w:tr>
        <w:trPr>
          <w:trHeight w:val="24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Amortization</w:t>
            </w:r>
          </w:p>
        </w:tc>
      </w:tr>
      <w:tr>
        <w:trPr>
          <w:trHeight w:val="257"/>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Dealer network</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277"/>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6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Non-compete agreement</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0"/>
        </w:trPr>
        <w:tc>
          <w:tcPr>
            <w:tcW w:w="4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Goodwill and other intangible assets are the result of the acquisition of SunnyBrook during the second quarter of Fiscal 2011, as more fully described in Note 4. Goodwill is not subject to amortization. Amortizable intangible assets are amortized on a straight-line basis. The weighted average remaining amortization period at May 28, 2011 is 9.4 years.</w:t>
      </w:r>
    </w:p>
    <w:p>
      <w:pPr>
        <w:spacing w:after="0" w:line="20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Goodwill is reviewed for impairment annually or whenever events or circumstances indicate a potential impairment. Intangible assets are also subject to impairment tests whenever events or circumstances indicate that the asset's</w:t>
      </w:r>
    </w:p>
    <w:p>
      <w:pPr>
        <w:sectPr>
          <w:pgSz w:w="11900" w:h="16838" w:orient="portrait"/>
          <w:cols w:equalWidth="0" w:num="1">
            <w:col w:w="11420"/>
          </w:cols>
          <w:pgMar w:left="240" w:top="118"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18"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91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6"/>
        </w:trPr>
        <w:tc>
          <w:tcPr>
            <w:tcW w:w="9100" w:type="dxa"/>
            <w:vAlign w:val="bottom"/>
            <w:gridSpan w:val="2"/>
          </w:tcPr>
          <w:p>
            <w:pPr>
              <w:spacing w:after="0"/>
              <w:rPr>
                <w:sz w:val="20"/>
                <w:szCs w:val="20"/>
                <w:color w:val="auto"/>
              </w:rPr>
            </w:pPr>
            <w:r>
              <w:rPr>
                <w:rFonts w:ascii="Arial" w:cs="Arial" w:eastAsia="Arial" w:hAnsi="Arial"/>
                <w:sz w:val="18"/>
                <w:szCs w:val="18"/>
                <w:color w:val="auto"/>
              </w:rPr>
              <w:t>carrying value may exceed its estimated fair value, at which time an impairment would be recorded.</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Estimated amortization expense of intangible assets for the next five years is as follows:</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5"/>
        </w:trPr>
        <w:tc>
          <w:tcPr>
            <w:tcW w:w="9100" w:type="dxa"/>
            <w:vAlign w:val="bottom"/>
            <w:tcBorders>
              <w:bottom w:val="single" w:sz="8" w:color="auto"/>
            </w:tcBorders>
            <w:gridSpan w:val="2"/>
          </w:tcPr>
          <w:p>
            <w:pPr>
              <w:jc w:val="right"/>
              <w:ind w:right="782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r>
      <w:tr>
        <w:trPr>
          <w:trHeight w:val="257"/>
        </w:trPr>
        <w:tc>
          <w:tcPr>
            <w:tcW w:w="9100" w:type="dxa"/>
            <w:vAlign w:val="bottom"/>
            <w:gridSpan w:val="2"/>
            <w:shd w:val="clear" w:color="auto" w:fill="CCEEFF"/>
          </w:tcPr>
          <w:p>
            <w:pPr>
              <w:jc w:val="right"/>
              <w:ind w:right="7400"/>
              <w:spacing w:after="0"/>
              <w:rPr>
                <w:sz w:val="20"/>
                <w:szCs w:val="20"/>
                <w:color w:val="auto"/>
              </w:rPr>
            </w:pPr>
            <w:r>
              <w:rPr>
                <w:rFonts w:ascii="Arial" w:cs="Arial" w:eastAsia="Arial" w:hAnsi="Arial"/>
                <w:sz w:val="18"/>
                <w:szCs w:val="18"/>
                <w:color w:val="auto"/>
              </w:rPr>
              <w:t>Year Ended:   2011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63"/>
        </w:trPr>
        <w:tc>
          <w:tcPr>
            <w:tcW w:w="9100" w:type="dxa"/>
            <w:vAlign w:val="bottom"/>
            <w:gridSpan w:val="2"/>
          </w:tcPr>
          <w:p>
            <w:pPr>
              <w:jc w:val="right"/>
              <w:ind w:right="7400"/>
              <w:spacing w:after="0"/>
              <w:rPr>
                <w:sz w:val="20"/>
                <w:szCs w:val="20"/>
                <w:color w:val="auto"/>
              </w:rPr>
            </w:pPr>
            <w:r>
              <w:rPr>
                <w:rFonts w:ascii="Arial" w:cs="Arial" w:eastAsia="Arial" w:hAnsi="Arial"/>
                <w:sz w:val="18"/>
                <w:szCs w:val="18"/>
                <w:color w:val="auto"/>
              </w:rPr>
              <w:t>2012</w:t>
            </w:r>
          </w:p>
        </w:tc>
        <w:tc>
          <w:tcPr>
            <w:tcW w:w="136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7"/>
        </w:trPr>
        <w:tc>
          <w:tcPr>
            <w:tcW w:w="9100" w:type="dxa"/>
            <w:vAlign w:val="bottom"/>
            <w:gridSpan w:val="2"/>
            <w:shd w:val="clear" w:color="auto" w:fill="CCEEFF"/>
          </w:tcPr>
          <w:p>
            <w:pPr>
              <w:jc w:val="right"/>
              <w:ind w:right="7400"/>
              <w:spacing w:after="0"/>
              <w:rPr>
                <w:sz w:val="20"/>
                <w:szCs w:val="20"/>
                <w:color w:val="auto"/>
              </w:rPr>
            </w:pPr>
            <w:r>
              <w:rPr>
                <w:rFonts w:ascii="Arial" w:cs="Arial" w:eastAsia="Arial" w:hAnsi="Arial"/>
                <w:sz w:val="18"/>
                <w:szCs w:val="18"/>
                <w:color w:val="auto"/>
              </w:rPr>
              <w:t>2013</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63"/>
        </w:trPr>
        <w:tc>
          <w:tcPr>
            <w:tcW w:w="9100" w:type="dxa"/>
            <w:vAlign w:val="bottom"/>
            <w:gridSpan w:val="2"/>
          </w:tcPr>
          <w:p>
            <w:pPr>
              <w:jc w:val="right"/>
              <w:ind w:right="7400"/>
              <w:spacing w:after="0"/>
              <w:rPr>
                <w:sz w:val="20"/>
                <w:szCs w:val="20"/>
                <w:color w:val="auto"/>
              </w:rPr>
            </w:pPr>
            <w:r>
              <w:rPr>
                <w:rFonts w:ascii="Arial" w:cs="Arial" w:eastAsia="Arial" w:hAnsi="Arial"/>
                <w:sz w:val="18"/>
                <w:szCs w:val="18"/>
                <w:color w:val="auto"/>
              </w:rPr>
              <w:t>2014</w:t>
            </w:r>
          </w:p>
        </w:tc>
        <w:tc>
          <w:tcPr>
            <w:tcW w:w="136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7"/>
        </w:trPr>
        <w:tc>
          <w:tcPr>
            <w:tcW w:w="9100" w:type="dxa"/>
            <w:vAlign w:val="bottom"/>
            <w:gridSpan w:val="2"/>
            <w:shd w:val="clear" w:color="auto" w:fill="CCEEFF"/>
          </w:tcPr>
          <w:p>
            <w:pPr>
              <w:jc w:val="right"/>
              <w:ind w:right="7400"/>
              <w:spacing w:after="0"/>
              <w:rPr>
                <w:sz w:val="20"/>
                <w:szCs w:val="20"/>
                <w:color w:val="auto"/>
              </w:rPr>
            </w:pPr>
            <w:r>
              <w:rPr>
                <w:rFonts w:ascii="Arial" w:cs="Arial" w:eastAsia="Arial" w:hAnsi="Arial"/>
                <w:sz w:val="18"/>
                <w:szCs w:val="18"/>
                <w:color w:val="auto"/>
              </w:rPr>
              <w:t>2015</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Credit Facility</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October 13, 2009, we entered into a Loan and Security Agreement (the "Loan Agreement") with Burdale Capital Finance, Inc., as Agent. The Loan Agreement provides for an initial $20.0 million revolving credit facility, based on eligible accounts receivable and eligible inventory, expiring on October 13, 2012, unless terminated earlier in accordance with its terms. The Loan Agreement contains no financial covenant restrictions for borrowings up to $ 12.5 million, provided that borrowings cannot exceed the Asset Coverage Amount (as defined in the Loan Agreement) divided by 2.25. The Loan Agreement also includes a framework to expand the size of the facility up to $50.0 million, based on mutually agreeable covenants to be determined at the time of expansion. No borrowings have been made under the Loan Agreement as of the date of this report.</w:t>
      </w:r>
    </w:p>
    <w:p>
      <w:pPr>
        <w:spacing w:after="0" w:line="20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Interest on loans made under the Loan Agreement will be based on the greater of LIBOR or a base rate of 2.0 percent plus a margin of 4.0 percent or the greater of prime rate or 4.25 percent plus a margin of 3.0 percent. The unused line fee associated with this Loan Agreement is 1.25 percent per annum. Additionally, under certain circumstances, we will be required to pay an early termination fee of 2 percent of the maximum credit available under the Loan Agreement if we terminate the Loan Agreement prior to October 13, 2011, and 1 percent thereafter until the expiration date of October 13,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Warranty</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provide a comprehensive 12-month/15,000-mile warranty on Class A, Class B and Class C motor homes and a 12-month warranty on our towables at the time of retail sale of our products. We also provide a 3-year/36,000-mile structural warranty on Class A and Class C sidewalls and floors. We have also incurred costs for certain warranty-type expenses which occurred after the normal warranty period. We have voluntarily agreed to pay such costs to help protect the reputation of our products and the goodwill of our customers. We also incur costs as a result of additional service actions not covered by our warranties, including product recalls and customer satisfaction actions. We record our warranty liabilities based on our estimate of the amounts necessary to settle future and existing claims on products sold as of the balance sheet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Changes in our product warranty liability are as follows: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9"/>
        </w:trPr>
        <w:tc>
          <w:tcPr>
            <w:tcW w:w="4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28,</w:t>
            </w:r>
          </w:p>
        </w:tc>
        <w:tc>
          <w:tcPr>
            <w:tcW w:w="28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29,</w:t>
            </w:r>
          </w:p>
        </w:tc>
        <w:tc>
          <w:tcPr>
            <w:tcW w:w="26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7"/>
                <w:szCs w:val="17"/>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May 29,</w:t>
            </w:r>
          </w:p>
        </w:tc>
      </w:tr>
      <w:tr>
        <w:trPr>
          <w:trHeight w:val="246"/>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5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8,068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6,567</w:t>
            </w: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6,408</w:t>
            </w: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Provision</w:t>
            </w:r>
          </w:p>
        </w:tc>
        <w:tc>
          <w:tcPr>
            <w:tcW w:w="280" w:type="dxa"/>
            <w:vAlign w:val="bottom"/>
          </w:tcPr>
          <w:p>
            <w:pPr>
              <w:spacing w:after="0"/>
              <w:rPr>
                <w:sz w:val="22"/>
                <w:szCs w:val="22"/>
                <w:color w:val="auto"/>
              </w:rPr>
            </w:pP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1,677</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4,158</w:t>
            </w:r>
          </w:p>
        </w:tc>
      </w:tr>
      <w:tr>
        <w:trPr>
          <w:trHeight w:val="270"/>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(1,298)</w:t>
            </w:r>
          </w:p>
        </w:tc>
        <w:tc>
          <w:tcPr>
            <w:tcW w:w="3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(3,925)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(3,620)</w:t>
            </w:r>
          </w:p>
        </w:tc>
      </w:tr>
      <w:tr>
        <w:trPr>
          <w:trHeight w:val="257"/>
        </w:trPr>
        <w:tc>
          <w:tcPr>
            <w:tcW w:w="47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6,946</w:t>
            </w:r>
          </w:p>
        </w:tc>
        <w:tc>
          <w:tcPr>
            <w:tcW w:w="3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7,967</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6,946</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36"/>
        </w:trPr>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47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66"/>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Note 12: Employee and Retiree Benefits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Postretirement health care and deferred compensation benefits are as follows: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2"/>
        </w:trPr>
        <w:tc>
          <w:tcPr>
            <w:tcW w:w="1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28,</w:t>
            </w:r>
          </w:p>
        </w:tc>
        <w:tc>
          <w:tcPr>
            <w:tcW w:w="240" w:type="dxa"/>
            <w:vAlign w:val="bottom"/>
          </w:tcPr>
          <w:p>
            <w:pPr>
              <w:spacing w:after="0"/>
              <w:rPr>
                <w:sz w:val="24"/>
                <w:szCs w:val="24"/>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August 28,</w:t>
            </w:r>
          </w:p>
        </w:tc>
      </w:tr>
      <w:tr>
        <w:trPr>
          <w:trHeight w:val="246"/>
        </w:trPr>
        <w:tc>
          <w:tcPr>
            <w:tcW w:w="78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57"/>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Postretirement health care benefit cost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41,304</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40,327</w:t>
            </w:r>
          </w:p>
        </w:tc>
      </w:tr>
      <w:tr>
        <w:trPr>
          <w:trHeight w:val="26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Non-qualified deferred compensation</w:t>
            </w:r>
          </w:p>
        </w:tc>
        <w:tc>
          <w:tcPr>
            <w:tcW w:w="32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24,810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25,372</w:t>
            </w:r>
          </w:p>
        </w:tc>
      </w:tr>
      <w:tr>
        <w:trPr>
          <w:trHeight w:val="277"/>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share option plan liability</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10,767</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8,698</w:t>
            </w:r>
          </w:p>
        </w:tc>
      </w:tr>
      <w:tr>
        <w:trPr>
          <w:trHeight w:val="26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SERP benefit liability</w:t>
            </w:r>
          </w:p>
        </w:tc>
        <w:tc>
          <w:tcPr>
            <w:tcW w:w="320" w:type="dxa"/>
            <w:vAlign w:val="bottom"/>
          </w:tcPr>
          <w:p>
            <w:pPr>
              <w:spacing w:after="0"/>
              <w:rPr>
                <w:sz w:val="22"/>
                <w:szCs w:val="22"/>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3,037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3,107</w:t>
            </w:r>
          </w:p>
        </w:tc>
      </w:tr>
      <w:tr>
        <w:trPr>
          <w:trHeight w:val="27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deferred compensation</w:t>
            </w: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74</w:t>
            </w:r>
          </w:p>
        </w:tc>
      </w:tr>
      <w:tr>
        <w:trPr>
          <w:trHeight w:val="250"/>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Total postretirement health care and deferred compensation benefits</w:t>
            </w:r>
          </w:p>
        </w:tc>
        <w:tc>
          <w:tcPr>
            <w:tcW w:w="320" w:type="dxa"/>
            <w:vAlign w:val="bottom"/>
          </w:tcPr>
          <w:p>
            <w:pPr>
              <w:spacing w:after="0"/>
              <w:rPr>
                <w:sz w:val="21"/>
                <w:szCs w:val="21"/>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80,013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77,578</w:t>
            </w:r>
          </w:p>
        </w:tc>
      </w:tr>
      <w:tr>
        <w:trPr>
          <w:trHeight w:val="27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(4,076)</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(3,997)</w:t>
            </w:r>
          </w:p>
        </w:tc>
      </w:tr>
      <w:tr>
        <w:trPr>
          <w:trHeight w:val="257"/>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Long-term postretirement health care and deferred compensation benefits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75,937</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73,581</w:t>
            </w:r>
          </w:p>
        </w:tc>
      </w:tr>
      <w:tr>
        <w:trPr>
          <w:trHeight w:val="20"/>
        </w:trPr>
        <w:tc>
          <w:tcPr>
            <w:tcW w:w="12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Health Care Benefits</w:t>
      </w:r>
    </w:p>
    <w:p>
      <w:pPr>
        <w:spacing w:after="0" w:line="27"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We provide certain health care and other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 Net periodic postretirement benefit income consisted of the following components: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29,</w:t>
            </w:r>
          </w:p>
        </w:tc>
        <w:tc>
          <w:tcPr>
            <w:tcW w:w="32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29,</w:t>
            </w:r>
          </w:p>
        </w:tc>
      </w:tr>
      <w:tr>
        <w:trPr>
          <w:trHeight w:val="24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1,429</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1,484</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22"/>
                <w:szCs w:val="22"/>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416</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(831)</w:t>
            </w:r>
          </w:p>
        </w:tc>
        <w:tc>
          <w:tcPr>
            <w:tcW w:w="2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(2,328)</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(2,493)</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Net periodic postretirement benefit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(593)</w:t>
            </w: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postretirement health care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303</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908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747</w:t>
            </w: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accounting purposes, we recognized income from the plan for the third quarter and the first nine months of both Fiscal 2011 and Fiscal 2010 due to the amortization of the cost savings from an amendment effective September 2004, which amended our postretirement health care benefit by establishing a maximum employer contribution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Commitments</w:t>
      </w:r>
    </w:p>
    <w:p>
      <w:pPr>
        <w:spacing w:after="0" w:line="2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Generally, companies in the recreation vehicle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recreational vehicle purchased.</w:t>
      </w:r>
    </w:p>
    <w:p>
      <w:pPr>
        <w:spacing w:after="0" w:line="202"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Our repurchase agreements provide that, in the event of default by the dealer on the agreement to pay the lending institution, we will repurchase the financed merchandise.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Our contingent liability on these repurchase agreements was approximately $148.3 million and $155.5 million at May 28, 2011 and August 28, 2010, respectively.</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motor vehicles to repurchase current inventory if a dealership exits the business. Incremental repurchase exposure beyond existing repurchase agreements, related to dealer inventory in states that we have had historical experience of repurchasing inventory, totaled $9.4 million and $4.5 million at May 28, 2011 and August 28, 2010, respectively.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Our risk of loss related to these repurchase commitments is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Accrued loss on repurchases were $1.4 million as of May 28, 2011 and $1.4 million as of August 28, 2010.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gridSpan w:val="2"/>
          </w:tcPr>
          <w:p>
            <w:pPr>
              <w:spacing w:after="0"/>
              <w:rPr>
                <w:sz w:val="20"/>
                <w:szCs w:val="20"/>
                <w:color w:val="auto"/>
              </w:rPr>
            </w:pPr>
            <w:r>
              <w:rPr>
                <w:rFonts w:ascii="Arial" w:cs="Arial" w:eastAsia="Arial" w:hAnsi="Arial"/>
                <w:sz w:val="18"/>
                <w:szCs w:val="18"/>
                <w:color w:val="auto"/>
              </w:rPr>
              <w:t>A summary of repurchase activity is as follows:</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Quarter Ended</w:t>
            </w:r>
          </w:p>
        </w:tc>
        <w:tc>
          <w:tcPr>
            <w:tcW w:w="3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May 28,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May 29,</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7"/>
                <w:szCs w:val="17"/>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29,</w:t>
            </w:r>
          </w:p>
        </w:tc>
      </w:tr>
      <w:tr>
        <w:trPr>
          <w:trHeight w:val="246"/>
        </w:trPr>
        <w:tc>
          <w:tcPr>
            <w:tcW w:w="20" w:type="dxa"/>
            <w:vAlign w:val="bottom"/>
          </w:tcPr>
          <w:p>
            <w:pPr>
              <w:spacing w:after="0"/>
              <w:rPr>
                <w:sz w:val="21"/>
                <w:szCs w:val="21"/>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70"/>
        </w:trPr>
        <w:tc>
          <w:tcPr>
            <w:tcW w:w="20" w:type="dxa"/>
            <w:vAlign w:val="bottom"/>
          </w:tcPr>
          <w:p>
            <w:pPr>
              <w:spacing w:after="0"/>
              <w:rPr>
                <w:sz w:val="23"/>
                <w:szCs w:val="23"/>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repurchased</w:t>
            </w: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Units</w:t>
            </w:r>
          </w:p>
        </w:tc>
        <w:tc>
          <w:tcPr>
            <w:tcW w:w="1060" w:type="dxa"/>
            <w:vAlign w:val="bottom"/>
          </w:tcPr>
          <w:p>
            <w:pPr>
              <w:spacing w:after="0"/>
              <w:rPr>
                <w:sz w:val="22"/>
                <w:szCs w:val="22"/>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20" w:type="dxa"/>
            <w:vAlign w:val="bottom"/>
          </w:tcPr>
          <w:p>
            <w:pPr>
              <w:spacing w:after="0"/>
              <w:rPr>
                <w:sz w:val="24"/>
                <w:szCs w:val="24"/>
                <w:color w:val="auto"/>
              </w:rPr>
            </w:pPr>
          </w:p>
        </w:tc>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Dollars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508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63"/>
        </w:trPr>
        <w:tc>
          <w:tcPr>
            <w:tcW w:w="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Inventory resold</w:t>
            </w: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Units</w:t>
            </w: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20" w:type="dxa"/>
            <w:vAlign w:val="bottom"/>
          </w:tcPr>
          <w:p>
            <w:pPr>
              <w:spacing w:after="0"/>
              <w:rPr>
                <w:sz w:val="22"/>
                <w:szCs w:val="22"/>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Cash collected</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487</w:t>
            </w:r>
          </w:p>
        </w:tc>
        <w:tc>
          <w:tcPr>
            <w:tcW w:w="100" w:type="dxa"/>
            <w:vAlign w:val="bottom"/>
          </w:tcPr>
          <w:p>
            <w:pPr>
              <w:spacing w:after="0"/>
              <w:rPr>
                <w:sz w:val="22"/>
                <w:szCs w:val="22"/>
                <w:color w:val="auto"/>
              </w:rPr>
            </w:pPr>
          </w:p>
        </w:tc>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7"/>
        </w:trPr>
        <w:tc>
          <w:tcPr>
            <w:tcW w:w="20" w:type="dxa"/>
            <w:vAlign w:val="bottom"/>
          </w:tcPr>
          <w:p>
            <w:pPr>
              <w:spacing w:after="0"/>
              <w:rPr>
                <w:sz w:val="24"/>
                <w:szCs w:val="24"/>
                <w:color w:val="auto"/>
              </w:rPr>
            </w:pPr>
          </w:p>
        </w:tc>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recognized</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0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 xml:space="preserve">We account for income taxes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 of May 28, 2011 and August 28, 2010, we have applied a full valuation allowance of $40.6 million and $41.8 million, respectively, against our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we determined a full valuation allowance was appropriate as of May 28, 2011.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quarter, we recorded a benefit of $581,000 as a result of a reduction in the estimated annual effective tax rate. The change in the estimated annual effective tax rate decreased as a result of a positive impact on the tax-exempt interest income in relation to projected pre-tax income, the rate impact of the sale of CCMF, and the increase to the Fiscal 2010 net operating loss (NOL) carryforwards as a result of the finalization and filing of our federal and state tax returns. The benefit recorded during the quarter resulted in a tax expense of $1.8 million being recorded year to date.</w:t>
      </w:r>
    </w:p>
    <w:p>
      <w:pPr>
        <w:spacing w:after="0" w:line="20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file tax returns in the U.S. federal jurisdiction, as well as various international and state jurisdictions. Our federal tax returns have been audited by the Internal Revenue Service (IRS) through Fiscal 2008. Our Fiscal 2009 federal</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41" w:right="25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income tax return is currently under examination by the IRS.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May 28, 2011, our unrecognized tax benefits were $5.5 million, all of which, if recognized, would positively affect our effective tax rate as all of the deferred tax assets associated with these positions have a full valuation allowance established against them. It is our policy to recognize interest and penalties accrued relative to unrecognized tax benefits as tax expense. As of May 28, 2011, we had accrued $2.4 million in interest and penalties. We do not anticipate any significant changes in unrecognized tax benefits within the next twelve months. Actual results may differ materially from this estimate.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income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28,</w:t>
            </w:r>
          </w:p>
        </w:tc>
        <w:tc>
          <w:tcPr>
            <w:tcW w:w="2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29,</w:t>
            </w:r>
          </w:p>
        </w:tc>
        <w:tc>
          <w:tcPr>
            <w:tcW w:w="2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28,</w:t>
            </w:r>
          </w:p>
        </w:tc>
        <w:tc>
          <w:tcPr>
            <w:tcW w:w="200" w:type="dxa"/>
            <w:vAlign w:val="bottom"/>
          </w:tcPr>
          <w:p>
            <w:pPr>
              <w:spacing w:after="0"/>
              <w:rPr>
                <w:sz w:val="17"/>
                <w:szCs w:val="17"/>
                <w:color w:val="auto"/>
              </w:rPr>
            </w:pPr>
          </w:p>
        </w:tc>
        <w:tc>
          <w:tcPr>
            <w:tcW w:w="1060" w:type="dxa"/>
            <w:vAlign w:val="bottom"/>
          </w:tcPr>
          <w:p>
            <w:pPr>
              <w:jc w:val="right"/>
              <w:ind w:right="237"/>
              <w:spacing w:after="0"/>
              <w:rPr>
                <w:sz w:val="20"/>
                <w:szCs w:val="20"/>
                <w:color w:val="auto"/>
              </w:rPr>
            </w:pPr>
            <w:r>
              <w:rPr>
                <w:rFonts w:ascii="Arial" w:cs="Arial" w:eastAsia="Arial" w:hAnsi="Arial"/>
                <w:sz w:val="18"/>
                <w:szCs w:val="18"/>
                <w:b w:val="1"/>
                <w:bCs w:val="1"/>
                <w:color w:val="auto"/>
              </w:rPr>
              <w:t>May 29,</w:t>
            </w:r>
          </w:p>
        </w:tc>
      </w:tr>
      <w:tr>
        <w:trPr>
          <w:trHeight w:val="246"/>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per share data)</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auto"/>
              </w:rPr>
              <w:t>2010</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60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7"/>
              <w:spacing w:after="0"/>
              <w:rPr>
                <w:sz w:val="20"/>
                <w:szCs w:val="20"/>
                <w:color w:val="auto"/>
              </w:rPr>
            </w:pPr>
            <w:r>
              <w:rPr>
                <w:rFonts w:ascii="Arial" w:cs="Arial" w:eastAsia="Arial" w:hAnsi="Arial"/>
                <w:sz w:val="16"/>
                <w:szCs w:val="16"/>
                <w:color w:val="auto"/>
              </w:rPr>
              <w:t>5,992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7"/>
              <w:spacing w:after="0"/>
              <w:rPr>
                <w:sz w:val="20"/>
                <w:szCs w:val="20"/>
                <w:color w:val="auto"/>
              </w:rPr>
            </w:pPr>
            <w:r>
              <w:rPr>
                <w:rFonts w:ascii="Arial" w:cs="Arial" w:eastAsia="Arial" w:hAnsi="Arial"/>
                <w:sz w:val="16"/>
                <w:szCs w:val="16"/>
                <w:color w:val="auto"/>
              </w:rPr>
              <w:t>8,296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5,354</w:t>
            </w:r>
          </w:p>
        </w:tc>
      </w:tr>
      <w:tr>
        <w:trPr>
          <w:trHeight w:val="280"/>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29,124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29,098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29,118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29,084</w:t>
            </w:r>
          </w:p>
        </w:tc>
      </w:tr>
      <w:tr>
        <w:trPr>
          <w:trHeight w:val="260"/>
        </w:trPr>
        <w:tc>
          <w:tcPr>
            <w:tcW w:w="6060" w:type="dxa"/>
            <w:vAlign w:val="bottom"/>
          </w:tcPr>
          <w:p>
            <w:pPr>
              <w:ind w:left="120"/>
              <w:spacing w:after="0"/>
              <w:rPr>
                <w:sz w:val="20"/>
                <w:szCs w:val="20"/>
                <w:color w:val="auto"/>
              </w:rPr>
            </w:pPr>
            <w:r>
              <w:rPr>
                <w:rFonts w:ascii="Arial" w:cs="Arial" w:eastAsia="Arial" w:hAnsi="Arial"/>
                <w:sz w:val="16"/>
                <w:szCs w:val="16"/>
                <w:color w:val="auto"/>
              </w:rPr>
              <w:t>Net income per share - basic</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7"/>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7"/>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0.18</w:t>
            </w:r>
          </w:p>
        </w:tc>
      </w:tr>
      <w:tr>
        <w:trPr>
          <w:trHeight w:val="280"/>
        </w:trPr>
        <w:tc>
          <w:tcPr>
            <w:tcW w:w="6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Income per share - assuming dilution: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1,195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5,992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8,296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5,354</w:t>
            </w:r>
          </w:p>
        </w:tc>
      </w:tr>
      <w:tr>
        <w:trPr>
          <w:trHeight w:val="260"/>
        </w:trPr>
        <w:tc>
          <w:tcPr>
            <w:tcW w:w="6060" w:type="dxa"/>
            <w:vAlign w:val="bottom"/>
          </w:tcPr>
          <w:p>
            <w:pPr>
              <w:ind w:left="12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29,124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6"/>
                <w:szCs w:val="16"/>
                <w:color w:val="auto"/>
              </w:rPr>
              <w:t>29,098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6"/>
                <w:szCs w:val="16"/>
                <w:color w:val="auto"/>
              </w:rPr>
              <w:t>29,118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29,084</w:t>
            </w:r>
          </w:p>
        </w:tc>
      </w:tr>
      <w:tr>
        <w:trPr>
          <w:trHeight w:val="280"/>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Dilutive impact of options and awards outstanding</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13</w:t>
            </w:r>
          </w:p>
        </w:tc>
      </w:tr>
      <w:tr>
        <w:trPr>
          <w:trHeight w:val="260"/>
        </w:trPr>
        <w:tc>
          <w:tcPr>
            <w:tcW w:w="6060" w:type="dxa"/>
            <w:vAlign w:val="bottom"/>
          </w:tcPr>
          <w:p>
            <w:pPr>
              <w:ind w:left="12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20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29,152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6"/>
                <w:szCs w:val="16"/>
                <w:color w:val="auto"/>
              </w:rPr>
              <w:t>29,107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6"/>
                <w:szCs w:val="16"/>
                <w:color w:val="auto"/>
              </w:rPr>
              <w:t>29,135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29,097</w:t>
            </w:r>
          </w:p>
        </w:tc>
      </w:tr>
      <w:tr>
        <w:trPr>
          <w:trHeight w:val="280"/>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per share - assuming dilution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0.18</w:t>
            </w:r>
          </w:p>
        </w:tc>
      </w:tr>
    </w:tbl>
    <w:p>
      <w:pPr>
        <w:spacing w:after="0" w:line="21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At the end of the third quarters of Fiscal 2011 and Fiscal 2010, there were options outstanding to purchase 923,731 shares and 934,173 shares, respectively, of common stock at an average price of $28.07 and $28.07, respectively, which were not included in the computation of diluted income per share because they are considered anti-dilutive under the treasury stock method per ASC 260.</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quarter ended May 28, 2011 we granted equity awards to key employees and nonemployee directors. Total stock-based compensation expense related to these awards included in our statement of operations for the quarter was $827,000 ($516,000 net of tax or 2 cents per diluted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r>
              <w:rPr>
                <w:rFonts w:ascii="Arial" w:cs="Arial" w:eastAsia="Arial" w:hAnsi="Arial"/>
                <w:sz w:val="18"/>
                <w:szCs w:val="18"/>
                <w:b w:val="1"/>
                <w:bCs w:val="1"/>
                <w:color w:val="auto"/>
              </w:rPr>
              <w:t>Note 16: Comprehensive Income</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9"/>
        </w:trPr>
        <w:tc>
          <w:tcPr>
            <w:tcW w:w="5040" w:type="dxa"/>
            <w:vAlign w:val="bottom"/>
          </w:tcPr>
          <w:p>
            <w:pPr>
              <w:spacing w:after="0"/>
              <w:rPr>
                <w:sz w:val="20"/>
                <w:szCs w:val="20"/>
                <w:color w:val="auto"/>
              </w:rPr>
            </w:pPr>
            <w:r>
              <w:rPr>
                <w:rFonts w:ascii="Arial" w:cs="Arial" w:eastAsia="Arial" w:hAnsi="Arial"/>
                <w:sz w:val="18"/>
                <w:szCs w:val="18"/>
                <w:color w:val="auto"/>
              </w:rPr>
              <w:t>Comprehensive income, net of tax, consists of:</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2"/>
        </w:trPr>
        <w:tc>
          <w:tcPr>
            <w:tcW w:w="5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29,</w:t>
            </w:r>
          </w:p>
        </w:tc>
        <w:tc>
          <w:tcPr>
            <w:tcW w:w="26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7"/>
                <w:szCs w:val="17"/>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May 29,</w:t>
            </w:r>
          </w:p>
        </w:tc>
      </w:tr>
      <w:tr>
        <w:trPr>
          <w:trHeight w:val="24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8,296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5,354</w:t>
            </w:r>
          </w:p>
        </w:tc>
      </w:tr>
      <w:tr>
        <w:trPr>
          <w:trHeight w:val="263"/>
        </w:trPr>
        <w:tc>
          <w:tcPr>
            <w:tcW w:w="504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tcPr>
          <w:p>
            <w:pPr>
              <w:spacing w:after="0"/>
              <w:rPr>
                <w:sz w:val="22"/>
                <w:szCs w:val="22"/>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(1,956)</w:t>
            </w: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actuarial loss</w:t>
            </w: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411</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Unrealized appreciation (depreciation) of investments</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w:t>
            </w: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6,735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3,828</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w:t>
      </w:r>
    </w:p>
    <w:p>
      <w:pPr>
        <w:spacing w:after="0" w:line="247"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We evaluated all other events or transactions occurring between the balance sheet date and the date of issuance of the financial statements that would require recognition or disclosure in the financial statements. There were no</w:t>
      </w:r>
    </w:p>
    <w:p>
      <w:pPr>
        <w:sectPr>
          <w:pgSz w:w="11900" w:h="16838" w:orient="portrait"/>
          <w:cols w:equalWidth="0" w:num="1">
            <w:col w:w="11420"/>
          </w:cols>
          <w:pgMar w:left="240" w:top="141"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material subsequent events.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It is suggested that this management's discussion be read in conjunction with the financial statements contained in this Form 10-Q as well as the Management's Discussion and Analysis and Risk Factors included in our Annual Report to Shareholders for the year ended August 28, 2010, as supplemented by the Risk Factors included in this Quarterly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Overview</w:t>
      </w:r>
    </w:p>
    <w:p>
      <w:pPr>
        <w:spacing w:after="0" w:line="24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Winnebago Industries, Inc. is a leading U.S. manufacturer of motor homes with a proud history of manufacturing recreation vehicles for more than 50 years. Our strategy is to manufacture quality motor homes in a profitable manner. We produce all of our motor homes in highly vertically integrated manufacturing facilities in the state of Iowa. We distribute our products through independent dealers throughout the United States and Canada, who then retail the products to the end consumer. We have led the industry with the highest retail market share in the U.S. of Class A and Class C motor homes combined for the past ten calendar years through 2010 according to the most recent Statistical Surveys, Inc. (Statistical Surveys) reporting. We held the number three retail market share position in Canada for calendar 2010, which was approximately 15 percent of the size of the U.S. market for calendar 2010. Our retail motor home unit market share, as reported by Statistical Surveys,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60" w:type="dxa"/>
            <w:vAlign w:val="bottom"/>
          </w:tcPr>
          <w:p>
            <w:pPr>
              <w:spacing w:after="0"/>
              <w:rPr>
                <w:sz w:val="21"/>
                <w:szCs w:val="21"/>
                <w:color w:val="auto"/>
              </w:rPr>
            </w:pPr>
          </w:p>
        </w:tc>
        <w:tc>
          <w:tcPr>
            <w:tcW w:w="2840" w:type="dxa"/>
            <w:vAlign w:val="bottom"/>
            <w:gridSpan w:val="3"/>
          </w:tcPr>
          <w:p>
            <w:pPr>
              <w:ind w:left="600"/>
              <w:spacing w:after="0"/>
              <w:rPr>
                <w:sz w:val="20"/>
                <w:szCs w:val="20"/>
                <w:color w:val="auto"/>
              </w:rPr>
            </w:pPr>
            <w:r>
              <w:rPr>
                <w:rFonts w:ascii="Arial" w:cs="Arial" w:eastAsia="Arial" w:hAnsi="Arial"/>
                <w:sz w:val="18"/>
                <w:szCs w:val="18"/>
                <w:b w:val="1"/>
                <w:bCs w:val="1"/>
                <w:color w:val="auto"/>
              </w:rPr>
              <w:t>Through April 30</w:t>
            </w:r>
          </w:p>
        </w:tc>
        <w:tc>
          <w:tcPr>
            <w:tcW w:w="1040" w:type="dxa"/>
            <w:vAlign w:val="bottom"/>
          </w:tcPr>
          <w:p>
            <w:pPr>
              <w:spacing w:after="0"/>
              <w:rPr>
                <w:sz w:val="21"/>
                <w:szCs w:val="21"/>
                <w:color w:val="auto"/>
              </w:rPr>
            </w:pPr>
          </w:p>
        </w:tc>
        <w:tc>
          <w:tcPr>
            <w:tcW w:w="1520" w:type="dxa"/>
            <w:vAlign w:val="bottom"/>
          </w:tcPr>
          <w:p>
            <w:pPr>
              <w:ind w:left="140"/>
              <w:spacing w:after="0"/>
              <w:rPr>
                <w:sz w:val="20"/>
                <w:szCs w:val="20"/>
                <w:color w:val="auto"/>
              </w:rPr>
            </w:pPr>
            <w:r>
              <w:rPr>
                <w:rFonts w:ascii="Arial" w:cs="Arial" w:eastAsia="Arial" w:hAnsi="Arial"/>
                <w:sz w:val="18"/>
                <w:szCs w:val="18"/>
                <w:b w:val="1"/>
                <w:bCs w:val="1"/>
                <w:color w:val="auto"/>
              </w:rPr>
              <w:t>Calendar Year</w:t>
            </w:r>
          </w:p>
        </w:tc>
        <w:tc>
          <w:tcPr>
            <w:tcW w:w="960" w:type="dxa"/>
            <w:vAlign w:val="bottom"/>
          </w:tcPr>
          <w:p>
            <w:pPr>
              <w:spacing w:after="0"/>
              <w:rPr>
                <w:sz w:val="21"/>
                <w:szCs w:val="21"/>
                <w:color w:val="auto"/>
              </w:rPr>
            </w:pPr>
          </w:p>
        </w:tc>
      </w:tr>
      <w:tr>
        <w:trPr>
          <w:trHeight w:val="264"/>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U.S. Retail:</w:t>
            </w:r>
          </w:p>
        </w:tc>
        <w:tc>
          <w:tcPr>
            <w:tcW w:w="15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1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2010</w:t>
            </w:r>
          </w:p>
        </w:tc>
        <w:tc>
          <w:tcPr>
            <w:tcW w:w="15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2009</w:t>
            </w: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r>
      <w:tr>
        <w:trPr>
          <w:trHeight w:val="270"/>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A gas</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22.5%</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23.7%</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22.9%</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23.2%</w:t>
            </w: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Class A diesel</w:t>
            </w: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16.2%</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15.2%</w:t>
            </w:r>
          </w:p>
        </w:tc>
        <w:tc>
          <w:tcPr>
            <w:tcW w:w="15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11.4%</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8.1%</w:t>
            </w:r>
          </w:p>
        </w:tc>
      </w:tr>
      <w:tr>
        <w:trPr>
          <w:trHeight w:val="270"/>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Class A</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19.7%</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19.5%</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16.6%</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15.3%</w:t>
            </w: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Class C</w:t>
            </w: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18.9%</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17.9%</w:t>
            </w:r>
          </w:p>
        </w:tc>
        <w:tc>
          <w:tcPr>
            <w:tcW w:w="15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22.7%</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22.8%</w:t>
            </w: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Class A and C</w:t>
            </w: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19.4%</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18.8%</w:t>
            </w:r>
          </w:p>
        </w:tc>
        <w:tc>
          <w:tcPr>
            <w:tcW w:w="15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19.1%</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r>
      <w:tr>
        <w:trPr>
          <w:trHeight w:val="20"/>
        </w:trPr>
        <w:tc>
          <w:tcPr>
            <w:tcW w:w="5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50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w:t>
            </w: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15.9%</w:t>
            </w:r>
          </w:p>
        </w:tc>
        <w:tc>
          <w:tcPr>
            <w:tcW w:w="15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18.1%</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r>
      <w:tr>
        <w:trPr>
          <w:trHeight w:val="20"/>
        </w:trPr>
        <w:tc>
          <w:tcPr>
            <w:tcW w:w="5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60" w:type="dxa"/>
            <w:vAlign w:val="bottom"/>
          </w:tcPr>
          <w:p>
            <w:pPr>
              <w:spacing w:after="0"/>
              <w:rPr>
                <w:sz w:val="21"/>
                <w:szCs w:val="21"/>
                <w:color w:val="auto"/>
              </w:rPr>
            </w:pPr>
          </w:p>
        </w:tc>
        <w:tc>
          <w:tcPr>
            <w:tcW w:w="2840" w:type="dxa"/>
            <w:vAlign w:val="bottom"/>
            <w:gridSpan w:val="3"/>
          </w:tcPr>
          <w:p>
            <w:pPr>
              <w:ind w:left="600"/>
              <w:spacing w:after="0"/>
              <w:rPr>
                <w:sz w:val="20"/>
                <w:szCs w:val="20"/>
                <w:color w:val="auto"/>
              </w:rPr>
            </w:pPr>
            <w:r>
              <w:rPr>
                <w:rFonts w:ascii="Arial" w:cs="Arial" w:eastAsia="Arial" w:hAnsi="Arial"/>
                <w:sz w:val="18"/>
                <w:szCs w:val="18"/>
                <w:b w:val="1"/>
                <w:bCs w:val="1"/>
                <w:color w:val="auto"/>
              </w:rPr>
              <w:t>Through April 30</w:t>
            </w:r>
          </w:p>
        </w:tc>
        <w:tc>
          <w:tcPr>
            <w:tcW w:w="104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rPr>
              <w:t>Calendar Year</w:t>
            </w:r>
          </w:p>
        </w:tc>
        <w:tc>
          <w:tcPr>
            <w:tcW w:w="960" w:type="dxa"/>
            <w:vAlign w:val="bottom"/>
          </w:tcPr>
          <w:p>
            <w:pPr>
              <w:spacing w:after="0"/>
              <w:rPr>
                <w:sz w:val="21"/>
                <w:szCs w:val="21"/>
                <w:color w:val="auto"/>
              </w:rPr>
            </w:pPr>
          </w:p>
        </w:tc>
      </w:tr>
      <w:tr>
        <w:trPr>
          <w:trHeight w:val="264"/>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Canadian Retail:</w:t>
            </w:r>
          </w:p>
        </w:tc>
        <w:tc>
          <w:tcPr>
            <w:tcW w:w="15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1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2009</w:t>
            </w: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r>
      <w:tr>
        <w:trPr>
          <w:trHeight w:val="270"/>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A gas</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12.9%</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5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13.8%</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18.4%</w:t>
            </w: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Class A diesel</w:t>
            </w: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20.9%</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7.0%</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w:t>
            </w:r>
          </w:p>
        </w:tc>
      </w:tr>
      <w:tr>
        <w:trPr>
          <w:trHeight w:val="270"/>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Class A</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16.7%</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5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Class C</w:t>
            </w: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16.1%</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9.5%</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19.5%</w:t>
            </w: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Class A and C</w:t>
            </w: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16.5%</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5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9.8%</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15.7%</w:t>
            </w:r>
          </w:p>
        </w:tc>
      </w:tr>
      <w:tr>
        <w:trPr>
          <w:trHeight w:val="20"/>
        </w:trPr>
        <w:tc>
          <w:tcPr>
            <w:tcW w:w="5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reduction in Class B retail market share reflected above is a result of our decision to discontinue the ERA (Class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26" w:lineRule="exact"/>
        <w:rPr>
          <w:sz w:val="20"/>
          <w:szCs w:val="20"/>
          <w:color w:val="auto"/>
        </w:rPr>
      </w:pPr>
    </w:p>
    <w:p>
      <w:pPr>
        <w:ind w:right="120" w:firstLine="8"/>
        <w:spacing w:after="0" w:line="262"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during model year 2011. We have subsequently reintroduced the ERA in the 2012 model year and have begun shipping product to our dealers and expect that our retail market share will improve once the dealers are adequately stocked.</w:t>
      </w:r>
    </w:p>
    <w:p>
      <w:pPr>
        <w:spacing w:after="0" w:line="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seen significant improvement in the first nine months of Fiscal 2011 in our operating performance compared to the prior period of Fiscal 2010. This significant improvement occurred during our first two quarters of Fiscal 2011, but has deteriorated during the third quarter of Fiscal 2011. Our increased volume through the first three quarters of Fiscal 2011 has allowed for greater absorption of our fixed costs and improved labor efficiencies, which had a favorable effect on our profit margins. Our motor home average selling price has also increased 6.9 percent due to a stronger mix of higher-priced product sold, which has also positively impacted our margins. With dealer inventories at what we believe are reasonable levels for the past few quarters and the aging of our dealer inventory improved as compared to last year, we were able to reduce the level of retail programs offered, which also had a positive effect on our margins. For the first nine months of Fiscal 2011 compared to the same period in Fiscal 2010, our retail registrations are up nearly 11 percent.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Certain key metrics for our Class A, B and C motor homes are provided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As of Quarter End</w:t>
            </w:r>
          </w:p>
        </w:tc>
      </w:tr>
      <w:tr>
        <w:trPr>
          <w:trHeight w:val="193"/>
        </w:trPr>
        <w:tc>
          <w:tcPr>
            <w:tcW w:w="4600" w:type="dxa"/>
            <w:vAlign w:val="bottom"/>
          </w:tcPr>
          <w:p>
            <w:pPr>
              <w:ind w:left="40"/>
              <w:spacing w:after="0" w:line="194" w:lineRule="exact"/>
              <w:rPr>
                <w:sz w:val="20"/>
                <w:szCs w:val="20"/>
                <w:color w:val="auto"/>
              </w:rPr>
            </w:pPr>
            <w:r>
              <w:rPr>
                <w:rFonts w:ascii="Arial" w:cs="Arial" w:eastAsia="Arial" w:hAnsi="Arial"/>
                <w:sz w:val="18"/>
                <w:szCs w:val="18"/>
                <w:b w:val="1"/>
                <w:bCs w:val="1"/>
                <w:color w:val="auto"/>
              </w:rPr>
              <w:t>(In units and presented in fiscal quarters, except for</w:t>
            </w:r>
          </w:p>
        </w:tc>
        <w:tc>
          <w:tcPr>
            <w:tcW w:w="1660" w:type="dxa"/>
            <w:vAlign w:val="bottom"/>
            <w:gridSpan w:val="2"/>
          </w:tcPr>
          <w:p>
            <w:pPr>
              <w:ind w:left="340"/>
              <w:spacing w:after="0" w:line="194" w:lineRule="exact"/>
              <w:rPr>
                <w:sz w:val="20"/>
                <w:szCs w:val="20"/>
                <w:color w:val="auto"/>
              </w:rPr>
            </w:pPr>
            <w:r>
              <w:rPr>
                <w:rFonts w:ascii="Arial" w:cs="Arial" w:eastAsia="Arial" w:hAnsi="Arial"/>
                <w:sz w:val="18"/>
                <w:szCs w:val="18"/>
                <w:b w:val="1"/>
                <w:bCs w:val="1"/>
                <w:color w:val="auto"/>
              </w:rPr>
              <w:t>Wholesale</w:t>
            </w:r>
          </w:p>
        </w:tc>
        <w:tc>
          <w:tcPr>
            <w:tcW w:w="186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rPr>
              <w:t>Retail</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46"/>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rolling 12 months)</w:t>
            </w:r>
          </w:p>
        </w:tc>
        <w:tc>
          <w:tcPr>
            <w:tcW w:w="1660" w:type="dxa"/>
            <w:vAlign w:val="bottom"/>
            <w:gridSpan w:val="2"/>
          </w:tcPr>
          <w:p>
            <w:pPr>
              <w:ind w:left="360"/>
              <w:spacing w:after="0"/>
              <w:rPr>
                <w:sz w:val="20"/>
                <w:szCs w:val="20"/>
                <w:color w:val="auto"/>
              </w:rPr>
            </w:pPr>
            <w:r>
              <w:rPr>
                <w:rFonts w:ascii="Arial" w:cs="Arial" w:eastAsia="Arial" w:hAnsi="Arial"/>
                <w:sz w:val="18"/>
                <w:szCs w:val="18"/>
                <w:b w:val="1"/>
                <w:bCs w:val="1"/>
                <w:color w:val="auto"/>
              </w:rPr>
              <w:t>Deliveries</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Registrations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Dealer Inventory</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Order Backlog</w:t>
            </w:r>
          </w:p>
        </w:tc>
      </w:tr>
      <w:tr>
        <w:trPr>
          <w:trHeight w:val="257"/>
        </w:trPr>
        <w:tc>
          <w:tcPr>
            <w:tcW w:w="4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4th Quarter 2009</w:t>
            </w:r>
          </w:p>
        </w:tc>
        <w:tc>
          <w:tcPr>
            <w:tcW w:w="156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CEEFF"/>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1,235</w:t>
            </w:r>
          </w:p>
        </w:tc>
        <w:tc>
          <w:tcPr>
            <w:tcW w:w="12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1,694</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940</w:t>
            </w:r>
          </w:p>
        </w:tc>
      </w:tr>
      <w:tr>
        <w:trPr>
          <w:trHeight w:val="263"/>
        </w:trPr>
        <w:tc>
          <w:tcPr>
            <w:tcW w:w="4600" w:type="dxa"/>
            <w:vAlign w:val="bottom"/>
          </w:tcPr>
          <w:p>
            <w:pPr>
              <w:ind w:left="40"/>
              <w:spacing w:after="0"/>
              <w:rPr>
                <w:sz w:val="20"/>
                <w:szCs w:val="20"/>
                <w:color w:val="auto"/>
              </w:rPr>
            </w:pPr>
            <w:r>
              <w:rPr>
                <w:rFonts w:ascii="Arial" w:cs="Arial" w:eastAsia="Arial" w:hAnsi="Arial"/>
                <w:sz w:val="18"/>
                <w:szCs w:val="18"/>
                <w:color w:val="auto"/>
              </w:rPr>
              <w:t>1st Quarter 2010</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2"/>
                <w:szCs w:val="22"/>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2"/>
                <w:szCs w:val="22"/>
                <w:color w:val="auto"/>
              </w:rPr>
            </w:pP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2"/>
                <w:szCs w:val="22"/>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1,521</w:t>
            </w:r>
          </w:p>
        </w:tc>
      </w:tr>
      <w:tr>
        <w:trPr>
          <w:trHeight w:val="27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2nd Quarter 2010</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1,159</w:t>
            </w: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3rd Quarter 2010</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4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jc w:val="right"/>
              <w:ind w:right="310"/>
              <w:spacing w:after="0"/>
              <w:rPr>
                <w:sz w:val="20"/>
                <w:szCs w:val="20"/>
                <w:color w:val="auto"/>
              </w:rPr>
            </w:pPr>
            <w:r>
              <w:rPr>
                <w:rFonts w:ascii="Arial" w:cs="Arial" w:eastAsia="Arial" w:hAnsi="Arial"/>
                <w:sz w:val="18"/>
                <w:szCs w:val="18"/>
                <w:color w:val="auto"/>
              </w:rPr>
              <w:t>935</w:t>
            </w:r>
          </w:p>
        </w:tc>
      </w:tr>
      <w:tr>
        <w:trPr>
          <w:trHeight w:val="25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Rolling 12 months (June 2009 through May 2010)</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4,198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4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0"/>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70"/>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4th Quarter 2010</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818</w:t>
            </w:r>
          </w:p>
        </w:tc>
      </w:tr>
      <w:tr>
        <w:trPr>
          <w:trHeight w:val="263"/>
        </w:trPr>
        <w:tc>
          <w:tcPr>
            <w:tcW w:w="4600" w:type="dxa"/>
            <w:vAlign w:val="bottom"/>
          </w:tcPr>
          <w:p>
            <w:pPr>
              <w:ind w:left="40"/>
              <w:spacing w:after="0"/>
              <w:rPr>
                <w:sz w:val="20"/>
                <w:szCs w:val="20"/>
                <w:color w:val="auto"/>
              </w:rPr>
            </w:pPr>
            <w:r>
              <w:rPr>
                <w:rFonts w:ascii="Arial" w:cs="Arial" w:eastAsia="Arial" w:hAnsi="Arial"/>
                <w:sz w:val="18"/>
                <w:szCs w:val="18"/>
                <w:color w:val="auto"/>
              </w:rPr>
              <w:t>1st Quarter 2011</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2"/>
                <w:szCs w:val="22"/>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2"/>
                <w:szCs w:val="22"/>
                <w:color w:val="auto"/>
              </w:rPr>
            </w:pP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2"/>
                <w:szCs w:val="22"/>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698</w:t>
            </w:r>
          </w:p>
        </w:tc>
      </w:tr>
      <w:tr>
        <w:trPr>
          <w:trHeight w:val="27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2nd Quarter 2011</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2,179</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957</w:t>
            </w: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3rd Quarter 2011</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410"/>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jc w:val="right"/>
              <w:ind w:right="310"/>
              <w:spacing w:after="0"/>
              <w:rPr>
                <w:sz w:val="20"/>
                <w:szCs w:val="20"/>
                <w:color w:val="auto"/>
              </w:rPr>
            </w:pPr>
            <w:r>
              <w:rPr>
                <w:rFonts w:ascii="Arial" w:cs="Arial" w:eastAsia="Arial" w:hAnsi="Arial"/>
                <w:sz w:val="18"/>
                <w:szCs w:val="18"/>
                <w:color w:val="auto"/>
              </w:rPr>
              <w:t>642</w:t>
            </w:r>
          </w:p>
        </w:tc>
      </w:tr>
      <w:tr>
        <w:trPr>
          <w:trHeight w:val="25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Rolling 12 months (June 2010 through May 2011)</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4,471</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4,403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4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6"/>
        </w:trPr>
        <w:tc>
          <w:tcPr>
            <w:tcW w:w="4600" w:type="dxa"/>
            <w:vAlign w:val="bottom"/>
          </w:tcPr>
          <w:p>
            <w:pPr>
              <w:spacing w:after="0"/>
              <w:rPr>
                <w:sz w:val="24"/>
                <w:szCs w:val="24"/>
                <w:color w:val="auto"/>
              </w:rPr>
            </w:pPr>
          </w:p>
        </w:tc>
        <w:tc>
          <w:tcPr>
            <w:tcW w:w="1660" w:type="dxa"/>
            <w:vAlign w:val="bottom"/>
            <w:gridSpan w:val="2"/>
          </w:tcPr>
          <w:p>
            <w:pPr>
              <w:ind w:left="340"/>
              <w:spacing w:after="0"/>
              <w:rPr>
                <w:sz w:val="20"/>
                <w:szCs w:val="20"/>
                <w:color w:val="auto"/>
              </w:rPr>
            </w:pPr>
            <w:r>
              <w:rPr>
                <w:rFonts w:ascii="Arial" w:cs="Arial" w:eastAsia="Arial" w:hAnsi="Arial"/>
                <w:sz w:val="18"/>
                <w:szCs w:val="18"/>
                <w:b w:val="1"/>
                <w:bCs w:val="1"/>
                <w:color w:val="auto"/>
              </w:rPr>
              <w:t>Wholesale</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Retail</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Dealer</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Order</w:t>
            </w:r>
          </w:p>
        </w:tc>
      </w:tr>
      <w:tr>
        <w:trPr>
          <w:trHeight w:val="246"/>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Key comparison increases (decreases):</w:t>
            </w:r>
          </w:p>
        </w:tc>
        <w:tc>
          <w:tcPr>
            <w:tcW w:w="1660" w:type="dxa"/>
            <w:vAlign w:val="bottom"/>
            <w:gridSpan w:val="2"/>
          </w:tcPr>
          <w:p>
            <w:pPr>
              <w:ind w:left="360"/>
              <w:spacing w:after="0"/>
              <w:rPr>
                <w:sz w:val="20"/>
                <w:szCs w:val="20"/>
                <w:color w:val="auto"/>
              </w:rPr>
            </w:pPr>
            <w:r>
              <w:rPr>
                <w:rFonts w:ascii="Arial" w:cs="Arial" w:eastAsia="Arial" w:hAnsi="Arial"/>
                <w:sz w:val="18"/>
                <w:szCs w:val="18"/>
                <w:b w:val="1"/>
                <w:bCs w:val="1"/>
                <w:color w:val="auto"/>
              </w:rPr>
              <w:t>Deliveries</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Registrations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Inventory</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Backlog</w:t>
            </w:r>
          </w:p>
        </w:tc>
      </w:tr>
      <w:tr>
        <w:trPr>
          <w:trHeight w:val="229"/>
        </w:trPr>
        <w:tc>
          <w:tcPr>
            <w:tcW w:w="4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Rolling 12 month comparison (period ended May 2011 to</w:t>
            </w: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r>
      <w:tr>
        <w:trPr>
          <w:trHeight w:val="230"/>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 ended May 2010)</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NA</w:t>
            </w:r>
          </w:p>
        </w:tc>
      </w:tr>
      <w:tr>
        <w:trPr>
          <w:trHeight w:val="263"/>
        </w:trPr>
        <w:tc>
          <w:tcPr>
            <w:tcW w:w="4600" w:type="dxa"/>
            <w:vAlign w:val="bottom"/>
          </w:tcPr>
          <w:p>
            <w:pPr>
              <w:spacing w:after="0"/>
              <w:rPr>
                <w:sz w:val="22"/>
                <w:szCs w:val="22"/>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22"/>
                <w:szCs w:val="22"/>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rPr>
              <w:t>NA</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NA</w:t>
            </w:r>
          </w:p>
        </w:tc>
      </w:tr>
      <w:tr>
        <w:trPr>
          <w:trHeight w:val="235"/>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3rd quarter Fiscal 2011 as compared to 3rd quarter</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2010</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(293)</w:t>
            </w:r>
          </w:p>
        </w:tc>
      </w:tr>
      <w:tr>
        <w:trPr>
          <w:trHeight w:val="263"/>
        </w:trPr>
        <w:tc>
          <w:tcPr>
            <w:tcW w:w="4600" w:type="dxa"/>
            <w:vAlign w:val="bottom"/>
          </w:tcPr>
          <w:p>
            <w:pPr>
              <w:spacing w:after="0"/>
              <w:rPr>
                <w:sz w:val="22"/>
                <w:szCs w:val="22"/>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2"/>
                <w:szCs w:val="22"/>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(31.3)%</w:t>
            </w:r>
          </w:p>
        </w:tc>
      </w:tr>
      <w:tr>
        <w:trPr>
          <w:trHeight w:val="235"/>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3rd quarter Fiscal 2011 as compared to 2nd quarter</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2011</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(315)</w:t>
            </w:r>
          </w:p>
        </w:tc>
      </w:tr>
      <w:tr>
        <w:trPr>
          <w:trHeight w:val="263"/>
        </w:trPr>
        <w:tc>
          <w:tcPr>
            <w:tcW w:w="4600" w:type="dxa"/>
            <w:vAlign w:val="bottom"/>
          </w:tcPr>
          <w:p>
            <w:pPr>
              <w:spacing w:after="0"/>
              <w:rPr>
                <w:sz w:val="22"/>
                <w:szCs w:val="22"/>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41.1 %</w:t>
            </w:r>
          </w:p>
        </w:tc>
        <w:tc>
          <w:tcPr>
            <w:tcW w:w="100" w:type="dxa"/>
            <w:vAlign w:val="bottom"/>
          </w:tcPr>
          <w:p>
            <w:pPr>
              <w:spacing w:after="0"/>
              <w:rPr>
                <w:sz w:val="22"/>
                <w:szCs w:val="22"/>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2"/>
                <w:szCs w:val="22"/>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(32.9)%</w:t>
            </w:r>
          </w:p>
        </w:tc>
      </w:tr>
      <w:tr>
        <w:trPr>
          <w:trHeight w:val="235"/>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2011 through May 28, 2011 as compared to Fiscal</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2010 through May 29, 2010</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NA</w:t>
            </w:r>
          </w:p>
        </w:tc>
      </w:tr>
      <w:tr>
        <w:trPr>
          <w:trHeight w:val="257"/>
        </w:trPr>
        <w:tc>
          <w:tcPr>
            <w:tcW w:w="4600" w:type="dxa"/>
            <w:vAlign w:val="bottom"/>
          </w:tcPr>
          <w:p>
            <w:pPr>
              <w:spacing w:after="0"/>
              <w:rPr>
                <w:sz w:val="22"/>
                <w:szCs w:val="22"/>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2"/>
                <w:szCs w:val="22"/>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rPr>
              <w:t>NA</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 December 29, 2010, through a newly formed, wholly-owned subsidiary, Winnebago of Indiana, LLC, we purchased substantially all of the assets of SunnyBrook RV, Inc. ("SunnyBrook"), a manufacturer of travel trailer and fifth wheel recreation vehicles located in Middlebury, Indiana. The aggregate consideration paid was $5.6 million in cash including the repayment of $3.3 million of SunnyBrook commercial and shareholder debt on the closing date. SunnyBrook operates as a wholly-owned subsidiary known as Winnebago Industries Towables ("Towables") and will continue to manufacture products under the SunnyBrook brands consisting of Harmony, Brookside, Bristol Bay, Edgewater and Sunset Creek travel trailers and Harmony, Brookside, Bristol Bay, West Pointe, Big Dog and Titan fifth wheel trailers. In addition, Towables plans to diversify the product line to include Winnebago brand trailer and fifth wheel products. See Note 4 for additional information on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Outlook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motorized RV market has been significantly impacted by highly unstable market conditions in recent years. The</w:t>
      </w:r>
    </w:p>
    <w:p>
      <w:pPr>
        <w:sectPr>
          <w:pgSz w:w="11900" w:h="16838" w:orient="portrait"/>
          <w:cols w:equalWidth="0" w:num="1">
            <w:col w:w="11380"/>
          </w:cols>
          <w:pgMar w:left="240" w:top="141" w:right="279" w:bottom="1440" w:gutter="0" w:footer="0" w:header="0"/>
        </w:sect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141" w:right="27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tightening of the wholesale and retail credit markets, low consumer confidence, the effect of the global recession and uncertainty related to fuel prices placed enormous pressure on retail sales and as a result, dealers significantly reduced their inventory levels. Industry motor home wholesale shipments in the 20 years prior to Calendar 2008 averaged 58,000 units per year, similar to retail demand. In Calendar 2008, shipments dropped 49 percent to 28,300, the lowest deliveries on record since 1971 and then shipments dropped an additional 53 percent in Calendar 2009 to an unprecedented level of 13,200. Retail registrations fell during this same time frame, but not to the same magnitude, resulting in a significant reduction of dealer inventory levels.</w:t>
      </w:r>
    </w:p>
    <w:p>
      <w:pPr>
        <w:spacing w:after="0" w:line="20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Industry shipments improved dramatically in Calendar 2010 as compared to the prior year, but only slightly outpaced retail demand as dealers restocked in the early part of the year. We attribute the recovery to the improvement in wholesale and retail credit availability and also a result of dealer inventory levels reaching equilibrium with retail demand. The Recreation Vehicle Industry Association (RVIA) has forecasted that shipments in Calendar 2011 will increase by 3 percent to 26,100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Key statistics (including forecasted information) for the motor home industry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6"/>
                <w:szCs w:val="16"/>
                <w:b w:val="1"/>
                <w:bCs w:val="1"/>
                <w:color w:val="auto"/>
              </w:rPr>
              <w:t>US and Canada Industry Class A, B &amp; C Motor Homes</w:t>
            </w:r>
          </w:p>
        </w:tc>
        <w:tc>
          <w:tcPr>
            <w:tcW w:w="1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4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Calendar Year</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Calendar Year</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90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2009</w:t>
            </w:r>
          </w:p>
        </w:tc>
        <w:tc>
          <w:tcPr>
            <w:tcW w:w="1700" w:type="dxa"/>
            <w:vAlign w:val="bottom"/>
          </w:tcPr>
          <w:p>
            <w:pPr>
              <w:jc w:val="right"/>
              <w:ind w:right="459"/>
              <w:spacing w:after="0"/>
              <w:rPr>
                <w:sz w:val="20"/>
                <w:szCs w:val="20"/>
                <w:color w:val="auto"/>
              </w:rPr>
            </w:pPr>
            <w:r>
              <w:rPr>
                <w:rFonts w:ascii="Arial" w:cs="Arial" w:eastAsia="Arial" w:hAnsi="Arial"/>
                <w:sz w:val="16"/>
                <w:szCs w:val="16"/>
                <w:b w:val="1"/>
                <w:bCs w:val="1"/>
                <w:color w:val="auto"/>
              </w:rPr>
              <w:t>Increase</w:t>
            </w: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420" w:type="dxa"/>
            <w:vAlign w:val="bottom"/>
          </w:tcPr>
          <w:p>
            <w:pPr>
              <w:spacing w:after="0"/>
              <w:rPr>
                <w:sz w:val="22"/>
                <w:szCs w:val="22"/>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b w:val="1"/>
                <w:bCs w:val="1"/>
                <w:color w:val="auto"/>
              </w:rPr>
              <w:t>2009</w:t>
            </w: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Increase</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70"/>
        </w:trPr>
        <w:tc>
          <w:tcPr>
            <w:tcW w:w="1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5,700</w:t>
            </w:r>
          </w:p>
        </w:tc>
        <w:tc>
          <w:tcPr>
            <w:tcW w:w="3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7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3,300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137.5 %</w:t>
            </w: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4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4,800</w:t>
            </w:r>
          </w:p>
        </w:tc>
        <w:tc>
          <w:tcPr>
            <w:tcW w:w="13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100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920" w:type="dxa"/>
            <w:vAlign w:val="bottom"/>
          </w:tcPr>
          <w:p>
            <w:pPr>
              <w:jc w:val="right"/>
              <w:spacing w:after="0"/>
              <w:rPr>
                <w:sz w:val="20"/>
                <w:szCs w:val="20"/>
                <w:color w:val="auto"/>
              </w:rPr>
            </w:pPr>
            <w:r>
              <w:rPr>
                <w:rFonts w:ascii="Arial" w:cs="Arial" w:eastAsia="Arial" w:hAnsi="Arial"/>
                <w:sz w:val="16"/>
                <w:szCs w:val="16"/>
                <w:color w:val="auto"/>
              </w:rPr>
              <w:t>7,800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3,200</w:t>
            </w:r>
          </w:p>
        </w:tc>
        <w:tc>
          <w:tcPr>
            <w:tcW w:w="1700" w:type="dxa"/>
            <w:vAlign w:val="bottom"/>
          </w:tcPr>
          <w:p>
            <w:pPr>
              <w:jc w:val="right"/>
              <w:ind w:right="419"/>
              <w:spacing w:after="0"/>
              <w:rPr>
                <w:sz w:val="20"/>
                <w:szCs w:val="20"/>
                <w:color w:val="auto"/>
              </w:rPr>
            </w:pPr>
            <w:r>
              <w:rPr>
                <w:rFonts w:ascii="Arial" w:cs="Arial" w:eastAsia="Arial" w:hAnsi="Arial"/>
                <w:sz w:val="16"/>
                <w:szCs w:val="16"/>
                <w:color w:val="auto"/>
              </w:rPr>
              <w:t>4,600</w:t>
            </w:r>
          </w:p>
        </w:tc>
        <w:tc>
          <w:tcPr>
            <w:tcW w:w="940" w:type="dxa"/>
            <w:vAlign w:val="bottom"/>
          </w:tcPr>
          <w:p>
            <w:pPr>
              <w:jc w:val="right"/>
              <w:spacing w:after="0"/>
              <w:rPr>
                <w:sz w:val="20"/>
                <w:szCs w:val="20"/>
                <w:color w:val="auto"/>
              </w:rPr>
            </w:pPr>
            <w:r>
              <w:rPr>
                <w:rFonts w:ascii="Arial" w:cs="Arial" w:eastAsia="Arial" w:hAnsi="Arial"/>
                <w:sz w:val="16"/>
                <w:szCs w:val="16"/>
                <w:color w:val="auto"/>
              </w:rPr>
              <w:t>143.8 %</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8,300</w:t>
            </w:r>
          </w:p>
        </w:tc>
        <w:tc>
          <w:tcPr>
            <w:tcW w:w="420" w:type="dxa"/>
            <w:vAlign w:val="bottom"/>
          </w:tcPr>
          <w:p>
            <w:pPr>
              <w:spacing w:after="0"/>
              <w:rPr>
                <w:sz w:val="22"/>
                <w:szCs w:val="22"/>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7,100</w:t>
            </w: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1,200</w:t>
            </w:r>
          </w:p>
        </w:tc>
        <w:tc>
          <w:tcPr>
            <w:tcW w:w="1080" w:type="dxa"/>
            <w:vAlign w:val="bottom"/>
          </w:tcPr>
          <w:p>
            <w:pPr>
              <w:jc w:val="right"/>
              <w:spacing w:after="0"/>
              <w:rPr>
                <w:sz w:val="20"/>
                <w:szCs w:val="20"/>
                <w:color w:val="auto"/>
              </w:rPr>
            </w:pPr>
            <w:r>
              <w:rPr>
                <w:rFonts w:ascii="Arial" w:cs="Arial" w:eastAsia="Arial" w:hAnsi="Arial"/>
                <w:sz w:val="16"/>
                <w:szCs w:val="16"/>
                <w:color w:val="auto"/>
              </w:rPr>
              <w:t>16.9 %</w:t>
            </w:r>
          </w:p>
        </w:tc>
        <w:tc>
          <w:tcPr>
            <w:tcW w:w="0" w:type="dxa"/>
            <w:vAlign w:val="bottom"/>
          </w:tcPr>
          <w:p>
            <w:pPr>
              <w:spacing w:after="0"/>
              <w:rPr>
                <w:sz w:val="1"/>
                <w:szCs w:val="1"/>
                <w:color w:val="auto"/>
              </w:rPr>
            </w:pPr>
          </w:p>
        </w:tc>
      </w:tr>
      <w:tr>
        <w:trPr>
          <w:trHeight w:val="28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1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2,900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87.9 %</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5,800</w:t>
            </w:r>
          </w:p>
        </w:tc>
        <w:tc>
          <w:tcPr>
            <w:tcW w:w="13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64"/>
        </w:trPr>
        <w:tc>
          <w:tcPr>
            <w:tcW w:w="1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Fourth quarter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5,600</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w:t>
            </w: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30.2 %</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4,200</w:t>
            </w: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67"/>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25,300</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13,200</w:t>
            </w:r>
          </w:p>
        </w:tc>
        <w:tc>
          <w:tcPr>
            <w:tcW w:w="17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12,100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91.7 %</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23,700</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21,900</w:t>
            </w: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1,800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190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rPr>
              <w:t>Increase(Decrease)</w:t>
            </w: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42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2010</w:t>
            </w: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(Decrease)</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70"/>
        </w:trPr>
        <w:tc>
          <w:tcPr>
            <w:tcW w:w="1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6,900</w:t>
            </w:r>
          </w:p>
        </w:tc>
        <w:tc>
          <w:tcPr>
            <w:tcW w:w="3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5,700</w:t>
            </w:r>
          </w:p>
        </w:tc>
        <w:tc>
          <w:tcPr>
            <w:tcW w:w="17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1,200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4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4,900</w:t>
            </w:r>
          </w:p>
        </w:tc>
        <w:tc>
          <w:tcPr>
            <w:tcW w:w="13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April</w:t>
            </w:r>
          </w:p>
        </w:tc>
        <w:tc>
          <w:tcPr>
            <w:tcW w:w="920" w:type="dxa"/>
            <w:vAlign w:val="bottom"/>
          </w:tcPr>
          <w:p>
            <w:pPr>
              <w:jc w:val="right"/>
              <w:spacing w:after="0"/>
              <w:rPr>
                <w:sz w:val="20"/>
                <w:szCs w:val="20"/>
                <w:color w:val="auto"/>
              </w:rPr>
            </w:pPr>
            <w:r>
              <w:rPr>
                <w:rFonts w:ascii="Arial" w:cs="Arial" w:eastAsia="Arial" w:hAnsi="Arial"/>
                <w:sz w:val="16"/>
                <w:szCs w:val="16"/>
                <w:color w:val="auto"/>
              </w:rPr>
              <w:t>2,800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2,600</w:t>
            </w:r>
          </w:p>
        </w:tc>
        <w:tc>
          <w:tcPr>
            <w:tcW w:w="1700" w:type="dxa"/>
            <w:vAlign w:val="bottom"/>
          </w:tcPr>
          <w:p>
            <w:pPr>
              <w:jc w:val="right"/>
              <w:ind w:right="419"/>
              <w:spacing w:after="0"/>
              <w:rPr>
                <w:sz w:val="20"/>
                <w:szCs w:val="20"/>
                <w:color w:val="auto"/>
              </w:rPr>
            </w:pPr>
            <w:r>
              <w:rPr>
                <w:rFonts w:ascii="Arial" w:cs="Arial" w:eastAsia="Arial" w:hAnsi="Arial"/>
                <w:sz w:val="16"/>
                <w:szCs w:val="16"/>
                <w:color w:val="auto"/>
              </w:rPr>
              <w:t>200</w:t>
            </w:r>
          </w:p>
        </w:tc>
        <w:tc>
          <w:tcPr>
            <w:tcW w:w="94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2,500</w:t>
            </w:r>
          </w:p>
        </w:tc>
        <w:tc>
          <w:tcPr>
            <w:tcW w:w="420" w:type="dxa"/>
            <w:vAlign w:val="bottom"/>
          </w:tcPr>
          <w:p>
            <w:pPr>
              <w:jc w:val="right"/>
              <w:ind w:right="166"/>
              <w:spacing w:after="0"/>
              <w:rPr>
                <w:sz w:val="20"/>
                <w:szCs w:val="20"/>
                <w:color w:val="auto"/>
              </w:rPr>
            </w:pPr>
            <w:r>
              <w:rPr>
                <w:rFonts w:ascii="Arial" w:cs="Arial" w:eastAsia="Arial" w:hAnsi="Arial"/>
                <w:sz w:val="11"/>
                <w:szCs w:val="11"/>
                <w:color w:val="auto"/>
              </w:rPr>
              <w:t>(4)</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2,800</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(300)</w:t>
            </w:r>
          </w:p>
        </w:tc>
        <w:tc>
          <w:tcPr>
            <w:tcW w:w="108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63"/>
        </w:trPr>
        <w:tc>
          <w:tcPr>
            <w:tcW w:w="19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May</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7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w:t>
            </w:r>
          </w:p>
        </w:tc>
        <w:tc>
          <w:tcPr>
            <w:tcW w:w="9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2,800</w:t>
            </w:r>
          </w:p>
        </w:tc>
        <w:tc>
          <w:tcPr>
            <w:tcW w:w="1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90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700" w:type="dxa"/>
            <w:vAlign w:val="bottom"/>
            <w:vMerge w:val="continue"/>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June - December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13,700</w:t>
            </w: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14,300</w:t>
            </w:r>
          </w:p>
        </w:tc>
        <w:tc>
          <w:tcPr>
            <w:tcW w:w="1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(600)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(5)</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13,200</w:t>
            </w:r>
          </w:p>
        </w:tc>
        <w:tc>
          <w:tcPr>
            <w:tcW w:w="1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26,100</w:t>
            </w:r>
          </w:p>
        </w:tc>
        <w:tc>
          <w:tcPr>
            <w:tcW w:w="3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25,300</w:t>
            </w:r>
          </w:p>
        </w:tc>
        <w:tc>
          <w:tcPr>
            <w:tcW w:w="17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800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7,200</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23,700</w:t>
            </w:r>
          </w:p>
        </w:tc>
        <w:tc>
          <w:tcPr>
            <w:tcW w:w="1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Class A, B and C wholesale shipments as reported by RVIA, rounded to the nearest hundred.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Class A, B and C retail registrations as reported by Statistical Surveys for the US and Canada combined, rounded to the nearest hundred.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upon forecasted 2011 Class A, B and C wholesale shipments as reported by RVIA in the Summer 2011 issue of Roadsigns.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Retail registrations for April 2011 as reported by Statistical Surveys do not include data for Maine and Minnesota.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Statistical Surveys has not issued a projection for 2011 retail demand.</w:t>
      </w:r>
    </w:p>
    <w:p>
      <w:pPr>
        <w:spacing w:after="0" w:line="21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the towable market, travel trailer and fifth wheel calendar 2011 shipments are projected by RVIA to be up 9 percent in 2011 to 217,200 as compared to 199,200 shipped in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Outlook</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Due to cost reductions we made in the past few years during the recession, we have been profitable at much lower shipment volumes. This was evident during Fiscal 2010, as we were operationally profitable in the first two quarters of Fiscal 2010 and then profitable on a pre-tax basis in the last two quarters of Fiscal 2010 and the first three quarters of Fiscal 2011. These significantly improved operating results were obtained when industry motor home shipments totaled only 26,700 (rolling twelve-month shipments through April 2011), less than half of the industry's historical shipment level.</w:t>
      </w: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Based on our results for the past five fiscal quarters, if industry wholesale shipments in calendar 2011 are similar to 2010, we believe that we have demonstrated our ability to maintain our liquidity, cover operations cost, recover fixed assets, and maintain physical capacity at present levels. However, in the past quarter our operating margins were negatively impacted in part as a result of increased compensation and benefit expense. Our employee base had not received a salary increase since August 2008 and we reduced salaries across the board in March 2009 as one of our cost reduction measures. The increase we experienced in the third quarter essentially restored wages to the August 2008 levels. We believed after four quarters of profitability it was in the best interests of the Company in return for our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employees' hard work and and sacrifices during this recession. Also, equity grants were awarded to our key management group (approximately 60 employees) and to non-management members of the Board in March 2011, the first such grants since October 2007, which resulted in incremental stock-based compensation expense of approximately $750,000 in the quarter. The restricted stock awards were granted to retain and motivate key managers to continue to seek to improve long-term stock market performance and to enhance shareholder value by placing a portion of their compensation at risk and directly tied to the Company's stock price appreciation.</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retail sales will be the key driver to sustain our recovery and for continued growth going forward. We also believe that future dealer buying patterns will continue to be primarily based on retail demand, thus dealers are expected to order approximately one new unit as one is retailed. If there is significant growth in retail, then dealers may decide to increase their dealer inventory levels, however; our viewpoint is that dealers post-recession are much more cautious about their level of inventory and are more focused on their retail turn rate than they were as a group pre-recession. We plan to continue to focus on those same metrics, closely reviewing the aging of dealer inventory and retail turns by product series. Consistent with our current practice, we will continue to adjust our weekly production rate up or down based on market demand.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unit order backlog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As Of</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8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May 28, 2011</w:t>
            </w:r>
          </w:p>
        </w:tc>
        <w:tc>
          <w:tcPr>
            <w:tcW w:w="2100" w:type="dxa"/>
            <w:vAlign w:val="bottom"/>
            <w:gridSpan w:val="3"/>
          </w:tcPr>
          <w:p>
            <w:pPr>
              <w:ind w:left="400"/>
              <w:spacing w:after="0"/>
              <w:rPr>
                <w:sz w:val="20"/>
                <w:szCs w:val="20"/>
                <w:color w:val="auto"/>
              </w:rPr>
            </w:pPr>
            <w:r>
              <w:rPr>
                <w:rFonts w:ascii="Arial" w:cs="Arial" w:eastAsia="Arial" w:hAnsi="Arial"/>
                <w:sz w:val="16"/>
                <w:szCs w:val="16"/>
                <w:b w:val="1"/>
                <w:bCs w:val="1"/>
                <w:color w:val="auto"/>
              </w:rPr>
              <w:t>May 29, 2010</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47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Units</w:t>
            </w:r>
          </w:p>
        </w:tc>
        <w:tc>
          <w:tcPr>
            <w:tcW w:w="920" w:type="dxa"/>
            <w:vAlign w:val="bottom"/>
            <w:tcBorders>
              <w:top w:val="single" w:sz="8" w:color="auto"/>
              <w:bottom w:val="single" w:sz="8" w:color="auto"/>
            </w:tcBorders>
          </w:tcPr>
          <w:p>
            <w:pPr>
              <w:jc w:val="right"/>
              <w:ind w:right="30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260" w:type="dxa"/>
            <w:vAlign w:val="bottom"/>
            <w:tcBorders>
              <w:top w:val="single" w:sz="8" w:color="auto"/>
              <w:bottom w:val="single" w:sz="8" w:color="auto"/>
            </w:tcBorders>
          </w:tcPr>
          <w:p>
            <w:pPr>
              <w:jc w:val="right"/>
              <w:ind w:right="363"/>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(Decrease) Increase</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(257)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130</w:t>
            </w:r>
          </w:p>
        </w:tc>
        <w:tc>
          <w:tcPr>
            <w:tcW w:w="92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96</w:t>
            </w:r>
          </w:p>
        </w:tc>
        <w:tc>
          <w:tcPr>
            <w:tcW w:w="960" w:type="dxa"/>
            <w:vAlign w:val="bottom"/>
          </w:tcPr>
          <w:p>
            <w:pPr>
              <w:jc w:val="right"/>
              <w:spacing w:after="0"/>
              <w:rPr>
                <w:sz w:val="20"/>
                <w:szCs w:val="20"/>
                <w:color w:val="auto"/>
              </w:rPr>
            </w:pPr>
            <w:r>
              <w:rPr>
                <w:rFonts w:ascii="Arial" w:cs="Arial" w:eastAsia="Arial" w:hAnsi="Arial"/>
                <w:sz w:val="16"/>
                <w:szCs w:val="16"/>
                <w:color w:val="auto"/>
              </w:rPr>
              <w:t>282.4 %</w:t>
            </w: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212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(132)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642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(293)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r>
      <w:tr>
        <w:trPr>
          <w:trHeight w:val="251"/>
        </w:trPr>
        <w:tc>
          <w:tcPr>
            <w:tcW w:w="4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220" w:type="dxa"/>
            <w:vAlign w:val="bottom"/>
          </w:tcPr>
          <w:p>
            <w:pPr>
              <w:spacing w:after="0"/>
              <w:rPr>
                <w:sz w:val="22"/>
                <w:szCs w:val="22"/>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46</w:t>
            </w:r>
          </w:p>
        </w:tc>
        <w:tc>
          <w:tcPr>
            <w:tcW w:w="92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r>
      <w:tr>
        <w:trPr>
          <w:trHeight w:val="251"/>
        </w:trPr>
        <w:tc>
          <w:tcPr>
            <w:tcW w:w="4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Total approximate backlog revenue (in 000's):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61,924</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93,214</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(31,290)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3,532</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7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340" w:right="120" w:hanging="332"/>
        <w:spacing w:after="0" w:line="258"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Quarter Compared to the Comparable Quarter Last Year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analysis of changes in key items included in the consolidated statements of operations</w:t>
      </w:r>
      <w:r>
        <w:rPr>
          <w:rFonts w:ascii="Arial" w:cs="Arial" w:eastAsia="Arial" w:hAnsi="Arial"/>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40" w:type="dxa"/>
            <w:vAlign w:val="bottom"/>
          </w:tcPr>
          <w:p>
            <w:pPr>
              <w:spacing w:after="0"/>
              <w:rPr>
                <w:sz w:val="17"/>
                <w:szCs w:val="17"/>
                <w:color w:val="auto"/>
              </w:rPr>
            </w:pPr>
          </w:p>
        </w:tc>
        <w:tc>
          <w:tcPr>
            <w:tcW w:w="1080" w:type="dxa"/>
            <w:vAlign w:val="bottom"/>
          </w:tcPr>
          <w:p>
            <w:pPr>
              <w:jc w:val="right"/>
              <w:ind w:right="311"/>
              <w:spacing w:after="0"/>
              <w:rPr>
                <w:sz w:val="20"/>
                <w:szCs w:val="20"/>
                <w:color w:val="auto"/>
              </w:rPr>
            </w:pPr>
            <w:r>
              <w:rPr>
                <w:rFonts w:ascii="Arial" w:cs="Arial" w:eastAsia="Arial" w:hAnsi="Arial"/>
                <w:sz w:val="16"/>
                <w:szCs w:val="16"/>
                <w:b w:val="1"/>
                <w:bCs w:val="1"/>
                <w:color w:val="auto"/>
              </w:rPr>
              <w:t>May 28,</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080" w:type="dxa"/>
            <w:vAlign w:val="bottom"/>
          </w:tcPr>
          <w:p>
            <w:pPr>
              <w:jc w:val="right"/>
              <w:ind w:right="292"/>
              <w:spacing w:after="0"/>
              <w:rPr>
                <w:sz w:val="20"/>
                <w:szCs w:val="20"/>
                <w:color w:val="auto"/>
              </w:rPr>
            </w:pPr>
            <w:r>
              <w:rPr>
                <w:rFonts w:ascii="Arial" w:cs="Arial" w:eastAsia="Arial" w:hAnsi="Arial"/>
                <w:sz w:val="16"/>
                <w:szCs w:val="16"/>
                <w:b w:val="1"/>
                <w:bCs w:val="1"/>
                <w:color w:val="auto"/>
              </w:rPr>
              <w:t>May 29,</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140" w:type="dxa"/>
            <w:vAlign w:val="bottom"/>
          </w:tcPr>
          <w:p>
            <w:pPr>
              <w:jc w:val="right"/>
              <w:ind w:right="271"/>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jc w:val="right"/>
              <w:ind w:right="4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8"/>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and per share data)</w:t>
            </w:r>
          </w:p>
        </w:tc>
        <w:tc>
          <w:tcPr>
            <w:tcW w:w="240" w:type="dxa"/>
            <w:vAlign w:val="bottom"/>
          </w:tcPr>
          <w:p>
            <w:pPr>
              <w:spacing w:after="0"/>
              <w:rPr>
                <w:sz w:val="19"/>
                <w:szCs w:val="19"/>
                <w:color w:val="auto"/>
              </w:rPr>
            </w:pPr>
          </w:p>
        </w:tc>
        <w:tc>
          <w:tcPr>
            <w:tcW w:w="10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2011</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9"/>
                <w:szCs w:val="19"/>
                <w:color w:val="auto"/>
              </w:rPr>
            </w:pPr>
          </w:p>
        </w:tc>
        <w:tc>
          <w:tcPr>
            <w:tcW w:w="10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2010</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9"/>
                <w:szCs w:val="19"/>
                <w:color w:val="auto"/>
              </w:rPr>
            </w:pPr>
          </w:p>
        </w:tc>
        <w:tc>
          <w:tcPr>
            <w:tcW w:w="1140" w:type="dxa"/>
            <w:vAlign w:val="bottom"/>
          </w:tcPr>
          <w:p>
            <w:pPr>
              <w:jc w:val="right"/>
              <w:ind w:right="191"/>
              <w:spacing w:after="0"/>
              <w:rPr>
                <w:sz w:val="20"/>
                <w:szCs w:val="20"/>
                <w:color w:val="auto"/>
              </w:rPr>
            </w:pPr>
            <w:r>
              <w:rPr>
                <w:rFonts w:ascii="Arial" w:cs="Arial" w:eastAsia="Arial" w:hAnsi="Arial"/>
                <w:sz w:val="16"/>
                <w:szCs w:val="16"/>
                <w:b w:val="1"/>
                <w:bCs w:val="1"/>
                <w:color w:val="auto"/>
              </w:rPr>
              <w:t>(Decrease)</w:t>
            </w:r>
          </w:p>
        </w:tc>
        <w:tc>
          <w:tcPr>
            <w:tcW w:w="120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57"/>
        </w:trPr>
        <w:tc>
          <w:tcPr>
            <w:tcW w:w="3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135,568</w:t>
            </w:r>
          </w:p>
        </w:tc>
        <w:tc>
          <w:tcPr>
            <w:tcW w:w="14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134,813</w:t>
            </w:r>
          </w:p>
        </w:tc>
        <w:tc>
          <w:tcPr>
            <w:tcW w:w="14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755</w:t>
            </w:r>
          </w:p>
        </w:tc>
        <w:tc>
          <w:tcPr>
            <w:tcW w:w="1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126,865</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93.6 %</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125,058</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92.8 %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1,807</w:t>
            </w: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0"/>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8,703</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9,755</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(1,052)</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0"/>
        </w:trPr>
        <w:tc>
          <w:tcPr>
            <w:tcW w:w="3180" w:type="dxa"/>
            <w:vAlign w:val="bottom"/>
          </w:tcPr>
          <w:p>
            <w:pPr>
              <w:ind w:left="40"/>
              <w:spacing w:after="0"/>
              <w:rPr>
                <w:sz w:val="20"/>
                <w:szCs w:val="20"/>
                <w:color w:val="auto"/>
              </w:rPr>
            </w:pPr>
            <w:r>
              <w:rPr>
                <w:rFonts w:ascii="Arial" w:cs="Arial" w:eastAsia="Arial" w:hAnsi="Arial"/>
                <w:sz w:val="18"/>
                <w:szCs w:val="18"/>
                <w:color w:val="auto"/>
              </w:rPr>
              <w:t>Selling</w:t>
            </w:r>
          </w:p>
        </w:tc>
        <w:tc>
          <w:tcPr>
            <w:tcW w:w="2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3,608</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3,107</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501</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77"/>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3,952</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3,244</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708</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64"/>
        </w:trPr>
        <w:tc>
          <w:tcPr>
            <w:tcW w:w="3180" w:type="dxa"/>
            <w:vAlign w:val="bottom"/>
          </w:tcPr>
          <w:p>
            <w:pPr>
              <w:ind w:left="40"/>
              <w:spacing w:after="0"/>
              <w:rPr>
                <w:sz w:val="20"/>
                <w:szCs w:val="20"/>
                <w:color w:val="auto"/>
              </w:rPr>
            </w:pPr>
            <w:r>
              <w:rPr>
                <w:rFonts w:ascii="Arial" w:cs="Arial" w:eastAsia="Arial" w:hAnsi="Arial"/>
                <w:sz w:val="18"/>
                <w:szCs w:val="18"/>
                <w:color w:val="auto"/>
              </w:rPr>
              <w:t>Asset held for sale impairment</w:t>
            </w:r>
          </w:p>
        </w:tc>
        <w:tc>
          <w:tcPr>
            <w:tcW w:w="240" w:type="dxa"/>
            <w:vAlign w:val="bottom"/>
          </w:tcPr>
          <w:p>
            <w:pPr>
              <w:spacing w:after="0"/>
              <w:rPr>
                <w:sz w:val="22"/>
                <w:szCs w:val="22"/>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605</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605</w:t>
            </w:r>
          </w:p>
        </w:tc>
        <w:tc>
          <w:tcPr>
            <w:tcW w:w="1200" w:type="dxa"/>
            <w:vAlign w:val="bottom"/>
          </w:tcPr>
          <w:p>
            <w:pPr>
              <w:jc w:val="right"/>
              <w:ind w:right="31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50"/>
        </w:trPr>
        <w:tc>
          <w:tcPr>
            <w:tcW w:w="3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8,165</w:t>
            </w:r>
          </w:p>
        </w:tc>
        <w:tc>
          <w:tcPr>
            <w:tcW w:w="14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6,351</w:t>
            </w:r>
          </w:p>
        </w:tc>
        <w:tc>
          <w:tcPr>
            <w:tcW w:w="14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4.7 %</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1,814</w:t>
            </w:r>
          </w:p>
        </w:tc>
        <w:tc>
          <w:tcPr>
            <w:tcW w:w="1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50"/>
        </w:trPr>
        <w:tc>
          <w:tcPr>
            <w:tcW w:w="31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538</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3,404</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(2,866)</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76</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158</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(82)</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50"/>
        </w:trPr>
        <w:tc>
          <w:tcPr>
            <w:tcW w:w="31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614</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3,562</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(2,948)</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for taxes</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(581)</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(2,430)</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1,849</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76.1 %</w:t>
            </w:r>
          </w:p>
        </w:tc>
        <w:tc>
          <w:tcPr>
            <w:tcW w:w="0" w:type="dxa"/>
            <w:vAlign w:val="bottom"/>
          </w:tcPr>
          <w:p>
            <w:pPr>
              <w:spacing w:after="0"/>
              <w:rPr>
                <w:sz w:val="1"/>
                <w:szCs w:val="1"/>
                <w:color w:val="auto"/>
              </w:rPr>
            </w:pPr>
          </w:p>
        </w:tc>
      </w:tr>
      <w:tr>
        <w:trPr>
          <w:trHeight w:val="297"/>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1,195</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5,992</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(4,797)</w:t>
            </w: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64"/>
        </w:trPr>
        <w:tc>
          <w:tcPr>
            <w:tcW w:w="3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income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0.04</w:t>
            </w: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0.21</w:t>
            </w: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(0.17)</w:t>
            </w: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82"/>
        </w:trPr>
        <w:tc>
          <w:tcPr>
            <w:tcW w:w="31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Fully diluted average shares</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29,152</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29,107</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Unit deliveries and average sales price (ASP), net of discounts, consisted of the following</w:t>
      </w:r>
      <w:r>
        <w:rPr>
          <w:rFonts w:ascii="Arial" w:cs="Arial" w:eastAsia="Arial" w:hAnsi="Arial"/>
          <w:sz w:val="16"/>
          <w:szCs w:val="16"/>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7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07"/>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28,</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Product</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29,</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Product</w:t>
            </w:r>
          </w:p>
        </w:tc>
        <w:tc>
          <w:tcPr>
            <w:tcW w:w="220" w:type="dxa"/>
            <w:vAlign w:val="bottom"/>
          </w:tcPr>
          <w:p>
            <w:pPr>
              <w:spacing w:after="0"/>
              <w:rPr>
                <w:sz w:val="17"/>
                <w:szCs w:val="17"/>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Increase</w:t>
            </w: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46"/>
        </w:trPr>
        <w:tc>
          <w:tcPr>
            <w:tcW w:w="2700" w:type="dxa"/>
            <w:vAlign w:val="bottom"/>
          </w:tcPr>
          <w:p>
            <w:pPr>
              <w:ind w:left="40"/>
              <w:spacing w:after="0"/>
              <w:rPr>
                <w:sz w:val="20"/>
                <w:szCs w:val="20"/>
                <w:color w:val="auto"/>
              </w:rPr>
            </w:pPr>
            <w:r>
              <w:rPr>
                <w:rFonts w:ascii="Arial" w:cs="Arial" w:eastAsia="Arial" w:hAnsi="Arial"/>
                <w:sz w:val="18"/>
                <w:szCs w:val="18"/>
                <w:b w:val="1"/>
                <w:bCs w:val="1"/>
                <w:color w:val="auto"/>
              </w:rPr>
              <w:t>(In units)</w:t>
            </w:r>
          </w:p>
        </w:tc>
        <w:tc>
          <w:tcPr>
            <w:tcW w:w="220" w:type="dxa"/>
            <w:vAlign w:val="bottom"/>
          </w:tcPr>
          <w:p>
            <w:pPr>
              <w:spacing w:after="0"/>
              <w:rPr>
                <w:sz w:val="21"/>
                <w:szCs w:val="21"/>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6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rPr>
              <w:t>Mix*</w:t>
            </w: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Mix*</w:t>
            </w:r>
          </w:p>
        </w:tc>
        <w:tc>
          <w:tcPr>
            <w:tcW w:w="22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(Decrease)</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70"/>
        </w:trPr>
        <w:tc>
          <w:tcPr>
            <w:tcW w:w="2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Motor homes:</w:t>
            </w:r>
          </w:p>
        </w:tc>
        <w:tc>
          <w:tcPr>
            <w:tcW w:w="22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3"/>
        </w:trPr>
        <w:tc>
          <w:tcPr>
            <w:tcW w:w="2700" w:type="dxa"/>
            <w:vAlign w:val="bottom"/>
          </w:tcPr>
          <w:p>
            <w:pPr>
              <w:ind w:left="180"/>
              <w:spacing w:after="0"/>
              <w:rPr>
                <w:sz w:val="20"/>
                <w:szCs w:val="20"/>
                <w:color w:val="auto"/>
              </w:rPr>
            </w:pPr>
            <w:r>
              <w:rPr>
                <w:rFonts w:ascii="Arial" w:cs="Arial" w:eastAsia="Arial" w:hAnsi="Arial"/>
                <w:sz w:val="18"/>
                <w:szCs w:val="18"/>
                <w:color w:val="auto"/>
              </w:rPr>
              <w:t>Class A gas</w:t>
            </w:r>
          </w:p>
        </w:tc>
        <w:tc>
          <w:tcPr>
            <w:tcW w:w="220" w:type="dxa"/>
            <w:vAlign w:val="bottom"/>
          </w:tcPr>
          <w:p>
            <w:pPr>
              <w:spacing w:after="0"/>
              <w:rPr>
                <w:sz w:val="22"/>
                <w:szCs w:val="22"/>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425</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417</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1.9 %</w:t>
            </w:r>
          </w:p>
        </w:tc>
      </w:tr>
      <w:tr>
        <w:trPr>
          <w:trHeight w:val="27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diesel</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204</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273</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(69)</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(25.3)%</w:t>
            </w:r>
          </w:p>
        </w:tc>
      </w:tr>
      <w:tr>
        <w:trPr>
          <w:trHeight w:val="250"/>
        </w:trPr>
        <w:tc>
          <w:tcPr>
            <w:tcW w:w="2700" w:type="dxa"/>
            <w:vAlign w:val="bottom"/>
          </w:tcPr>
          <w:p>
            <w:pPr>
              <w:ind w:left="180"/>
              <w:spacing w:after="0"/>
              <w:rPr>
                <w:sz w:val="20"/>
                <w:szCs w:val="20"/>
                <w:color w:val="auto"/>
              </w:rPr>
            </w:pPr>
            <w:r>
              <w:rPr>
                <w:rFonts w:ascii="Arial" w:cs="Arial" w:eastAsia="Arial" w:hAnsi="Arial"/>
                <w:sz w:val="18"/>
                <w:szCs w:val="18"/>
                <w:color w:val="auto"/>
              </w:rPr>
              <w:t>Total Class A</w:t>
            </w:r>
          </w:p>
        </w:tc>
        <w:tc>
          <w:tcPr>
            <w:tcW w:w="22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629</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690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(61)</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(8.8)%</w:t>
            </w:r>
          </w:p>
        </w:tc>
      </w:tr>
      <w:tr>
        <w:trPr>
          <w:trHeight w:val="277"/>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(75)</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(98.7)%</w:t>
            </w:r>
          </w:p>
        </w:tc>
      </w:tr>
      <w:tr>
        <w:trPr>
          <w:trHeight w:val="264"/>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Class C</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653</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600</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53</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8.8 %</w:t>
            </w:r>
          </w:p>
        </w:tc>
      </w:tr>
      <w:tr>
        <w:trPr>
          <w:trHeight w:val="257"/>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deliveries</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1,283</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1,366</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(83)</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4"/>
        </w:trPr>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ASP (in thousands)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1.3 %</w:t>
            </w:r>
          </w:p>
        </w:tc>
      </w:tr>
      <w:tr>
        <w:trPr>
          <w:trHeight w:val="284"/>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Towables:</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3"/>
        </w:trPr>
        <w:tc>
          <w:tcPr>
            <w:tcW w:w="2700" w:type="dxa"/>
            <w:vAlign w:val="bottom"/>
          </w:tcPr>
          <w:p>
            <w:pPr>
              <w:ind w:left="180"/>
              <w:spacing w:after="0"/>
              <w:rPr>
                <w:sz w:val="20"/>
                <w:szCs w:val="20"/>
                <w:color w:val="auto"/>
              </w:rPr>
            </w:pPr>
            <w:r>
              <w:rPr>
                <w:rFonts w:ascii="Arial" w:cs="Arial" w:eastAsia="Arial" w:hAnsi="Arial"/>
                <w:sz w:val="18"/>
                <w:szCs w:val="18"/>
                <w:color w:val="auto"/>
              </w:rPr>
              <w:t>Fifth wheel</w:t>
            </w:r>
          </w:p>
        </w:tc>
        <w:tc>
          <w:tcPr>
            <w:tcW w:w="220" w:type="dxa"/>
            <w:vAlign w:val="bottom"/>
          </w:tcPr>
          <w:p>
            <w:pPr>
              <w:spacing w:after="0"/>
              <w:rPr>
                <w:sz w:val="22"/>
                <w:szCs w:val="22"/>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Travel trailer</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232</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97"/>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deliveries</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326</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r>
      <w:tr>
        <w:trPr>
          <w:trHeight w:val="264"/>
        </w:trPr>
        <w:tc>
          <w:tcPr>
            <w:tcW w:w="2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7"/>
        </w:trPr>
        <w:tc>
          <w:tcPr>
            <w:tcW w:w="2700" w:type="dxa"/>
            <w:vAlign w:val="bottom"/>
          </w:tcPr>
          <w:p>
            <w:pPr>
              <w:ind w:left="180"/>
              <w:spacing w:after="0"/>
              <w:rPr>
                <w:sz w:val="20"/>
                <w:szCs w:val="20"/>
                <w:color w:val="auto"/>
              </w:rPr>
            </w:pPr>
            <w:r>
              <w:rPr>
                <w:rFonts w:ascii="Arial" w:cs="Arial" w:eastAsia="Arial" w:hAnsi="Arial"/>
                <w:sz w:val="18"/>
                <w:szCs w:val="18"/>
                <w:color w:val="auto"/>
              </w:rPr>
              <w:t>ASP (in thousands)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34"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Net revenues for the third quarter of Fiscal 2011 increased $755,000, or 0.6 percent, compared to the third quarter of Fiscal 2010, due to the following:</w:t>
      </w:r>
    </w:p>
    <w:p>
      <w:pPr>
        <w:ind w:left="340" w:hanging="170"/>
        <w:spacing w:after="0" w:line="23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Towables: we had revenues of $7.2 million in towable products and parts.</w:t>
      </w:r>
    </w:p>
    <w:p>
      <w:pPr>
        <w:ind w:left="340" w:right="500" w:hanging="170"/>
        <w:spacing w:after="0" w:line="23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Motor homes delivery revenues decreased $6.3 million or 4.9 percent primarily due to a 6.1 percent decrease in unit deliveries. Other motor home revenue considerations:</w:t>
      </w:r>
    </w:p>
    <w:p>
      <w:pPr>
        <w:spacing w:after="0" w:line="1" w:lineRule="exact"/>
        <w:rPr>
          <w:rFonts w:ascii="Arial" w:cs="Arial" w:eastAsia="Arial" w:hAnsi="Arial"/>
          <w:sz w:val="18"/>
          <w:szCs w:val="18"/>
          <w:color w:val="auto"/>
        </w:rPr>
      </w:pPr>
    </w:p>
    <w:p>
      <w:pPr>
        <w:ind w:left="660" w:right="320" w:hanging="328"/>
        <w:spacing w:after="0" w:line="246"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achieved a modest improvement in the ASP during the quarter. This was partially offset by discounting initiatives to our dealers; thus motor home ASP increased 1.3 percent.</w:t>
      </w:r>
    </w:p>
    <w:p>
      <w:pPr>
        <w:sectPr>
          <w:pgSz w:w="11900" w:h="16838" w:orient="portrait"/>
          <w:cols w:equalWidth="0" w:num="1">
            <w:col w:w="11420"/>
          </w:cols>
          <w:pgMar w:left="240" w:top="141" w:right="239" w:bottom="1079"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079"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left="660" w:right="20" w:hanging="328"/>
        <w:spacing w:after="0" w:line="23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 deductions from gross revenues: Incremental repurchase reserve expense of $260,000 was partially offset by reduced retail and wholesales incentives of $200,000.</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for motor home parts, services and other manufactured parts were down 1.6%.</w:t>
      </w:r>
    </w:p>
    <w:p>
      <w:pPr>
        <w:spacing w:after="0" w:line="225"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Cost of products sold was $126.9 million, or 93.6 percent of net revenues for the third quarter of Fiscal 2011 compared to $125.1 million, or 92.8 percent of net revenues for the comparable period a year ago due to the following:</w:t>
      </w:r>
    </w:p>
    <w:p>
      <w:pPr>
        <w:spacing w:after="0" w:line="1" w:lineRule="exact"/>
        <w:rPr>
          <w:sz w:val="20"/>
          <w:szCs w:val="20"/>
          <w:color w:val="auto"/>
        </w:rPr>
      </w:pPr>
    </w:p>
    <w:p>
      <w:pPr>
        <w:ind w:left="340" w:right="120" w:hanging="170"/>
        <w:spacing w:after="0" w:line="23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variable costs (material, labor, variable overhead, delivery, and warranty) increased to 84.8 percent from 84.2 percent as a percent of net revenues. Due to a significant decrease in inventory levels in the third quarter of Fiscal 2010, we incurred a positive benefit to cost of goods sold of $431,000 from the liquidation of LIFO inventory values. Conversely, in the third quarter of Fiscal 2011, our inventory levels increased and we incurred LIFO expense of $410,000. In addition, commodity inflation (notably metals and petroleum based products) negatively impacted gross profit margin for the third quarter of Fiscal 2011 by 0.6 percent. This pressure was partially offset by lower inventory scrap loss rates. Also partially offsetting these negative items was the reversal of accrued incentives of $714,000 established in the first half of the fiscal year.</w:t>
      </w:r>
    </w:p>
    <w:p>
      <w:pPr>
        <w:spacing w:after="0" w:line="5" w:lineRule="exact"/>
        <w:rPr>
          <w:rFonts w:ascii="Arial" w:cs="Arial" w:eastAsia="Arial" w:hAnsi="Arial"/>
          <w:sz w:val="18"/>
          <w:szCs w:val="18"/>
          <w:color w:val="auto"/>
        </w:rPr>
      </w:pPr>
    </w:p>
    <w:p>
      <w:pPr>
        <w:ind w:left="340" w:right="260" w:hanging="170"/>
        <w:spacing w:after="0" w:line="24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overhead (manufacturing support labor, depreciation and facility costs), research and development-related costs and stock-based compensation, increased to 8.8 percent of net revenue compared to 8.6 percent last year.</w:t>
      </w:r>
    </w:p>
    <w:p>
      <w:pPr>
        <w:spacing w:after="0" w:line="19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Gross profit was 6.4 percent of net revenues in the third quarter of Fiscal 2011 compared to 7.2 percent of net revenues in the third quarter of Fiscal 2010.</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Selling expenses increased $501,000, or 16.1 percent percent during the third quarter of Fiscal 2011 and, as a percentage of net revenues were 2.7 percent and 2.3 percent for the third quarters of Fiscal 2011 and Fiscal 2010, respectively. The expense increase was primarily due to operating expenses associated with Towables.</w:t>
      </w:r>
    </w:p>
    <w:p>
      <w:pPr>
        <w:spacing w:after="0" w:line="2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General and administrative expenses increased $708,000, or 21.8 percent, during the third quarter of Fiscal 2011 and, as a percentage of net revenues were 2.9 percent and 2.4 percent for the third quarters of Fiscal 2011 and Fiscal 2010, respectively. The expense increase was due primarily to increases in legal expense of $565,000 due to increased lemon law activity and costs associated with the pursuit of a trademark infringement case as well as Towables operating expenses. Incremental stock-based compensation expense of $500,000 associated with the stock grants awarded during the third quarter of Fiscal 2011 was offset by the reversal of accrued incentives of $575,000.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recorded an additional impairment of $605,000 for our idled fiberglass manufacturing facility in Hampton, Iowa. See Note 8.</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overall effective income tax rate for the third quarter of Fiscal 2011 was a benefit of 94.6 percent as a result of a reduction in the estimated annual effective tax rate. During the quarter, the estimated annual effective tax rate decreased most notably as a result of the tax-exempt interest income in relation to projected pre-tax income, the sale of CCMF and the increase to the NOL carryforward from the finalization and filing of the Fiscal 2010 federal and state tax returns. Our tax benefit of 68.2 percent in the third quarter of Fiscal 2010 related to settlements of uncertain tax positions with various taxing jurisdictions and other adjustments to uncertain tax positions, as well as other tax planning initiatives occurring during the quarter.</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Net income was $ 1.2 million, or $0.04 per diluted share, for the third quarter of Fiscal 2011, compared to a net income of $6.0 million, or $0.21 per diluted share, for the third quarter of Fiscal 2010. See Note 15.</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60"/>
          </w:cols>
          <w:pgMar w:left="240" w:top="141" w:right="29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Compared to the Comparable Nine Months Last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analysis of changes in key items included in the consolidated statements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80" w:type="dxa"/>
            <w:vAlign w:val="bottom"/>
          </w:tcPr>
          <w:p>
            <w:pPr>
              <w:spacing w:after="0"/>
              <w:rPr>
                <w:sz w:val="17"/>
                <w:szCs w:val="17"/>
                <w:color w:val="auto"/>
              </w:rPr>
            </w:pPr>
          </w:p>
        </w:tc>
        <w:tc>
          <w:tcPr>
            <w:tcW w:w="1280" w:type="dxa"/>
            <w:vAlign w:val="bottom"/>
          </w:tcPr>
          <w:p>
            <w:pPr>
              <w:jc w:val="right"/>
              <w:ind w:right="431"/>
              <w:spacing w:after="0"/>
              <w:rPr>
                <w:sz w:val="20"/>
                <w:szCs w:val="20"/>
                <w:color w:val="auto"/>
              </w:rPr>
            </w:pPr>
            <w:r>
              <w:rPr>
                <w:rFonts w:ascii="Arial" w:cs="Arial" w:eastAsia="Arial" w:hAnsi="Arial"/>
                <w:sz w:val="16"/>
                <w:szCs w:val="16"/>
                <w:b w:val="1"/>
                <w:bCs w:val="1"/>
                <w:color w:val="auto"/>
              </w:rPr>
              <w:t>May 28,</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300" w:type="dxa"/>
            <w:vAlign w:val="bottom"/>
          </w:tcPr>
          <w:p>
            <w:pPr>
              <w:spacing w:after="0"/>
              <w:rPr>
                <w:sz w:val="17"/>
                <w:szCs w:val="17"/>
                <w:color w:val="auto"/>
              </w:rPr>
            </w:pPr>
          </w:p>
        </w:tc>
        <w:tc>
          <w:tcPr>
            <w:tcW w:w="1260" w:type="dxa"/>
            <w:vAlign w:val="bottom"/>
          </w:tcPr>
          <w:p>
            <w:pPr>
              <w:jc w:val="right"/>
              <w:ind w:right="412"/>
              <w:spacing w:after="0"/>
              <w:rPr>
                <w:sz w:val="20"/>
                <w:szCs w:val="20"/>
                <w:color w:val="auto"/>
              </w:rPr>
            </w:pPr>
            <w:r>
              <w:rPr>
                <w:rFonts w:ascii="Arial" w:cs="Arial" w:eastAsia="Arial" w:hAnsi="Arial"/>
                <w:sz w:val="16"/>
                <w:szCs w:val="16"/>
                <w:b w:val="1"/>
                <w:bCs w:val="1"/>
                <w:color w:val="auto"/>
              </w:rPr>
              <w:t>May 29,</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00" w:type="dxa"/>
            <w:vAlign w:val="bottom"/>
          </w:tcPr>
          <w:p>
            <w:pPr>
              <w:jc w:val="right"/>
              <w:ind w:right="311"/>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8"/>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and per share data)</w:t>
            </w:r>
          </w:p>
        </w:tc>
        <w:tc>
          <w:tcPr>
            <w:tcW w:w="280" w:type="dxa"/>
            <w:vAlign w:val="bottom"/>
          </w:tcPr>
          <w:p>
            <w:pPr>
              <w:spacing w:after="0"/>
              <w:rPr>
                <w:sz w:val="19"/>
                <w:szCs w:val="19"/>
                <w:color w:val="auto"/>
              </w:rPr>
            </w:pPr>
          </w:p>
        </w:tc>
        <w:tc>
          <w:tcPr>
            <w:tcW w:w="1280" w:type="dxa"/>
            <w:vAlign w:val="bottom"/>
          </w:tcPr>
          <w:p>
            <w:pPr>
              <w:jc w:val="right"/>
              <w:ind w:right="511"/>
              <w:spacing w:after="0"/>
              <w:rPr>
                <w:sz w:val="20"/>
                <w:szCs w:val="20"/>
                <w:color w:val="auto"/>
              </w:rPr>
            </w:pPr>
            <w:r>
              <w:rPr>
                <w:rFonts w:ascii="Arial" w:cs="Arial" w:eastAsia="Arial" w:hAnsi="Arial"/>
                <w:sz w:val="16"/>
                <w:szCs w:val="16"/>
                <w:b w:val="1"/>
                <w:bCs w:val="1"/>
                <w:color w:val="auto"/>
              </w:rPr>
              <w:t>2011</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300" w:type="dxa"/>
            <w:vAlign w:val="bottom"/>
          </w:tcPr>
          <w:p>
            <w:pPr>
              <w:spacing w:after="0"/>
              <w:rPr>
                <w:sz w:val="19"/>
                <w:szCs w:val="19"/>
                <w:color w:val="auto"/>
              </w:rPr>
            </w:pPr>
          </w:p>
        </w:tc>
        <w:tc>
          <w:tcPr>
            <w:tcW w:w="12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2010</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9"/>
                <w:szCs w:val="19"/>
                <w:color w:val="auto"/>
              </w:rPr>
            </w:pPr>
          </w:p>
        </w:tc>
        <w:tc>
          <w:tcPr>
            <w:tcW w:w="1200" w:type="dxa"/>
            <w:vAlign w:val="bottom"/>
          </w:tcPr>
          <w:p>
            <w:pPr>
              <w:jc w:val="right"/>
              <w:ind w:right="231"/>
              <w:spacing w:after="0"/>
              <w:rPr>
                <w:sz w:val="20"/>
                <w:szCs w:val="20"/>
                <w:color w:val="auto"/>
              </w:rPr>
            </w:pPr>
            <w:r>
              <w:rPr>
                <w:rFonts w:ascii="Arial" w:cs="Arial" w:eastAsia="Arial" w:hAnsi="Arial"/>
                <w:sz w:val="16"/>
                <w:szCs w:val="16"/>
                <w:b w:val="1"/>
                <w:bCs w:val="1"/>
                <w:color w:val="auto"/>
              </w:rPr>
              <w:t>(Decrease)</w:t>
            </w:r>
          </w:p>
        </w:tc>
        <w:tc>
          <w:tcPr>
            <w:tcW w:w="12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57"/>
        </w:trPr>
        <w:tc>
          <w:tcPr>
            <w:tcW w:w="2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365,872</w:t>
            </w:r>
          </w:p>
        </w:tc>
        <w:tc>
          <w:tcPr>
            <w:tcW w:w="1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326,359</w:t>
            </w:r>
          </w:p>
        </w:tc>
        <w:tc>
          <w:tcPr>
            <w:tcW w:w="13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39,513</w:t>
            </w:r>
          </w:p>
        </w:tc>
        <w:tc>
          <w:tcPr>
            <w:tcW w:w="12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334,646</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311,296</w:t>
            </w: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95.4 %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23,350</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0"/>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31,226</w:t>
            </w: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15,063</w:t>
            </w: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16,163</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Selling</w:t>
            </w:r>
          </w:p>
        </w:tc>
        <w:tc>
          <w:tcPr>
            <w:tcW w:w="280" w:type="dxa"/>
            <w:vAlign w:val="bottom"/>
          </w:tcPr>
          <w:p>
            <w:pPr>
              <w:spacing w:after="0"/>
              <w:rPr>
                <w:sz w:val="21"/>
                <w:szCs w:val="21"/>
                <w:color w:val="auto"/>
              </w:rPr>
            </w:pP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10,129</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9,438</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691</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7"/>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11,623</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10,056</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1,567</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Assets held for sale impairment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Pr>
          <w:p>
            <w:pPr>
              <w:ind w:left="40"/>
              <w:spacing w:after="0"/>
              <w:rPr>
                <w:sz w:val="20"/>
                <w:szCs w:val="20"/>
                <w:color w:val="auto"/>
              </w:rPr>
            </w:pPr>
            <w:r>
              <w:rPr>
                <w:rFonts w:ascii="Arial" w:cs="Arial" w:eastAsia="Arial" w:hAnsi="Arial"/>
                <w:sz w:val="18"/>
                <w:szCs w:val="18"/>
                <w:color w:val="auto"/>
              </w:rPr>
              <w:t>and (gain), net</w:t>
            </w:r>
          </w:p>
        </w:tc>
        <w:tc>
          <w:tcPr>
            <w:tcW w:w="280" w:type="dxa"/>
            <w:vAlign w:val="bottom"/>
          </w:tcPr>
          <w:p>
            <w:pPr>
              <w:spacing w:after="0"/>
              <w:rPr>
                <w:sz w:val="19"/>
                <w:szCs w:val="19"/>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(39)</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(39)</w:t>
            </w:r>
          </w:p>
        </w:tc>
        <w:tc>
          <w:tcPr>
            <w:tcW w:w="1200" w:type="dxa"/>
            <w:vAlign w:val="bottom"/>
          </w:tcPr>
          <w:p>
            <w:pPr>
              <w:ind w:left="4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50"/>
        </w:trPr>
        <w:tc>
          <w:tcPr>
            <w:tcW w:w="2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21,713</w:t>
            </w:r>
          </w:p>
        </w:tc>
        <w:tc>
          <w:tcPr>
            <w:tcW w:w="1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19,494</w:t>
            </w:r>
          </w:p>
        </w:tc>
        <w:tc>
          <w:tcPr>
            <w:tcW w:w="13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2,219</w:t>
            </w:r>
          </w:p>
        </w:tc>
        <w:tc>
          <w:tcPr>
            <w:tcW w:w="12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1"/>
                <w:szCs w:val="21"/>
                <w:color w:val="auto"/>
              </w:rPr>
            </w:pP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9,513</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(4,431)</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13,944</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550</w:t>
            </w: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289</w:t>
            </w: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261</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21"/>
                <w:szCs w:val="21"/>
                <w:color w:val="auto"/>
              </w:rPr>
            </w:pP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10,063</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(4,142)</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14,205</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(benefit) for taxes</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1,767</w:t>
            </w: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(9,496)</w:t>
            </w: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11,263</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97"/>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8,296</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5,354</w:t>
            </w: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2,942</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51"/>
        </w:trPr>
        <w:tc>
          <w:tcPr>
            <w:tcW w:w="2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income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0.28</w:t>
            </w: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0.18</w:t>
            </w: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0.10</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82"/>
        </w:trPr>
        <w:tc>
          <w:tcPr>
            <w:tcW w:w="28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Fully diluted average shares</w:t>
            </w:r>
          </w:p>
        </w:tc>
        <w:tc>
          <w:tcPr>
            <w:tcW w:w="2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color w:val="auto"/>
              </w:rPr>
              <w:t>29,135</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rPr>
              <w:t>29,097</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 Percentages may not add due to rounding differences.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Unit deliveries and ASP, net of discounts,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May 28,</w:t>
            </w:r>
          </w:p>
        </w:tc>
        <w:tc>
          <w:tcPr>
            <w:tcW w:w="15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Product</w:t>
            </w:r>
          </w:p>
        </w:tc>
        <w:tc>
          <w:tcPr>
            <w:tcW w:w="1240" w:type="dxa"/>
            <w:vAlign w:val="bottom"/>
          </w:tcPr>
          <w:p>
            <w:pPr>
              <w:jc w:val="right"/>
              <w:ind w:right="433"/>
              <w:spacing w:after="0"/>
              <w:rPr>
                <w:sz w:val="20"/>
                <w:szCs w:val="20"/>
                <w:color w:val="auto"/>
              </w:rPr>
            </w:pPr>
            <w:r>
              <w:rPr>
                <w:rFonts w:ascii="Arial" w:cs="Arial" w:eastAsia="Arial" w:hAnsi="Arial"/>
                <w:sz w:val="16"/>
                <w:szCs w:val="16"/>
                <w:b w:val="1"/>
                <w:bCs w:val="1"/>
                <w:color w:val="auto"/>
              </w:rPr>
              <w:t>May 29,</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Product</w:t>
            </w:r>
          </w:p>
        </w:tc>
        <w:tc>
          <w:tcPr>
            <w:tcW w:w="260" w:type="dxa"/>
            <w:vAlign w:val="bottom"/>
          </w:tcPr>
          <w:p>
            <w:pPr>
              <w:spacing w:after="0"/>
              <w:rPr>
                <w:sz w:val="17"/>
                <w:szCs w:val="17"/>
                <w:color w:val="auto"/>
              </w:rPr>
            </w:pPr>
          </w:p>
        </w:tc>
        <w:tc>
          <w:tcPr>
            <w:tcW w:w="1320" w:type="dxa"/>
            <w:vAlign w:val="bottom"/>
          </w:tcPr>
          <w:p>
            <w:pPr>
              <w:jc w:val="right"/>
              <w:ind w:right="372"/>
              <w:spacing w:after="0"/>
              <w:rPr>
                <w:sz w:val="20"/>
                <w:szCs w:val="20"/>
                <w:color w:val="auto"/>
              </w:rPr>
            </w:pPr>
            <w:r>
              <w:rPr>
                <w:rFonts w:ascii="Arial" w:cs="Arial" w:eastAsia="Arial" w:hAnsi="Arial"/>
                <w:sz w:val="16"/>
                <w:szCs w:val="16"/>
                <w:b w:val="1"/>
                <w:bCs w:val="1"/>
                <w:color w:val="auto"/>
              </w:rPr>
              <w:t>Increase</w:t>
            </w:r>
          </w:p>
        </w:tc>
        <w:tc>
          <w:tcPr>
            <w:tcW w:w="1320" w:type="dxa"/>
            <w:vAlign w:val="bottom"/>
          </w:tcPr>
          <w:p>
            <w:pPr>
              <w:jc w:val="right"/>
              <w:ind w:right="492"/>
              <w:spacing w:after="0"/>
              <w:rPr>
                <w:sz w:val="20"/>
                <w:szCs w:val="20"/>
                <w:color w:val="auto"/>
              </w:rPr>
            </w:pPr>
            <w:r>
              <w:rPr>
                <w:rFonts w:ascii="Arial" w:cs="Arial" w:eastAsia="Arial" w:hAnsi="Arial"/>
                <w:sz w:val="16"/>
                <w:szCs w:val="16"/>
                <w:b w:val="1"/>
                <w:bCs w:val="1"/>
                <w:color w:val="auto"/>
              </w:rPr>
              <w:t>%</w:t>
            </w:r>
          </w:p>
        </w:tc>
      </w:tr>
      <w:tr>
        <w:trPr>
          <w:trHeight w:val="228"/>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240" w:type="dxa"/>
            <w:vAlign w:val="bottom"/>
          </w:tcPr>
          <w:p>
            <w:pPr>
              <w:spacing w:after="0"/>
              <w:rPr>
                <w:sz w:val="19"/>
                <w:szCs w:val="19"/>
                <w:color w:val="auto"/>
              </w:rPr>
            </w:pPr>
          </w:p>
        </w:tc>
        <w:tc>
          <w:tcPr>
            <w:tcW w:w="12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2011</w:t>
            </w:r>
          </w:p>
        </w:tc>
        <w:tc>
          <w:tcPr>
            <w:tcW w:w="15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Mix*</w:t>
            </w:r>
          </w:p>
        </w:tc>
        <w:tc>
          <w:tcPr>
            <w:tcW w:w="1240" w:type="dxa"/>
            <w:vAlign w:val="bottom"/>
          </w:tcPr>
          <w:p>
            <w:pPr>
              <w:jc w:val="right"/>
              <w:ind w:right="533"/>
              <w:spacing w:after="0"/>
              <w:rPr>
                <w:sz w:val="20"/>
                <w:szCs w:val="20"/>
                <w:color w:val="auto"/>
              </w:rPr>
            </w:pPr>
            <w:r>
              <w:rPr>
                <w:rFonts w:ascii="Arial" w:cs="Arial" w:eastAsia="Arial" w:hAnsi="Arial"/>
                <w:sz w:val="16"/>
                <w:szCs w:val="16"/>
                <w:b w:val="1"/>
                <w:bCs w:val="1"/>
                <w:color w:val="auto"/>
              </w:rPr>
              <w:t>2010</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Mix*</w:t>
            </w:r>
          </w:p>
        </w:tc>
        <w:tc>
          <w:tcPr>
            <w:tcW w:w="260" w:type="dxa"/>
            <w:vAlign w:val="bottom"/>
          </w:tcPr>
          <w:p>
            <w:pPr>
              <w:spacing w:after="0"/>
              <w:rPr>
                <w:sz w:val="19"/>
                <w:szCs w:val="19"/>
                <w:color w:val="auto"/>
              </w:rPr>
            </w:pPr>
          </w:p>
        </w:tc>
        <w:tc>
          <w:tcPr>
            <w:tcW w:w="1320" w:type="dxa"/>
            <w:vAlign w:val="bottom"/>
          </w:tcPr>
          <w:p>
            <w:pPr>
              <w:jc w:val="right"/>
              <w:ind w:right="292"/>
              <w:spacing w:after="0"/>
              <w:rPr>
                <w:sz w:val="20"/>
                <w:szCs w:val="20"/>
                <w:color w:val="auto"/>
              </w:rPr>
            </w:pPr>
            <w:r>
              <w:rPr>
                <w:rFonts w:ascii="Arial" w:cs="Arial" w:eastAsia="Arial" w:hAnsi="Arial"/>
                <w:sz w:val="16"/>
                <w:szCs w:val="16"/>
                <w:b w:val="1"/>
                <w:bCs w:val="1"/>
                <w:color w:val="auto"/>
              </w:rPr>
              <w:t>(Decrease)</w:t>
            </w:r>
          </w:p>
        </w:tc>
        <w:tc>
          <w:tcPr>
            <w:tcW w:w="132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r>
      <w:tr>
        <w:trPr>
          <w:trHeight w:val="270"/>
        </w:trPr>
        <w:tc>
          <w:tcPr>
            <w:tcW w:w="3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Motor homes:</w:t>
            </w:r>
          </w:p>
        </w:tc>
        <w:tc>
          <w:tcPr>
            <w:tcW w:w="24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3"/>
        </w:trPr>
        <w:tc>
          <w:tcPr>
            <w:tcW w:w="3080" w:type="dxa"/>
            <w:vAlign w:val="bottom"/>
          </w:tcPr>
          <w:p>
            <w:pPr>
              <w:ind w:left="180"/>
              <w:spacing w:after="0"/>
              <w:rPr>
                <w:sz w:val="20"/>
                <w:szCs w:val="20"/>
                <w:color w:val="auto"/>
              </w:rPr>
            </w:pPr>
            <w:r>
              <w:rPr>
                <w:rFonts w:ascii="Arial" w:cs="Arial" w:eastAsia="Arial" w:hAnsi="Arial"/>
                <w:sz w:val="18"/>
                <w:szCs w:val="18"/>
                <w:color w:val="auto"/>
              </w:rPr>
              <w:t>Class A gas</w:t>
            </w:r>
          </w:p>
        </w:tc>
        <w:tc>
          <w:tcPr>
            <w:tcW w:w="240" w:type="dxa"/>
            <w:vAlign w:val="bottom"/>
          </w:tcPr>
          <w:p>
            <w:pPr>
              <w:spacing w:after="0"/>
              <w:rPr>
                <w:sz w:val="22"/>
                <w:szCs w:val="22"/>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1,145</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1,030</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115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11.2 %</w:t>
            </w:r>
          </w:p>
        </w:tc>
      </w:tr>
      <w:tr>
        <w:trPr>
          <w:trHeight w:val="27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diesel</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692</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707</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(15)</w:t>
            </w: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r>
      <w:tr>
        <w:trPr>
          <w:trHeight w:val="250"/>
        </w:trPr>
        <w:tc>
          <w:tcPr>
            <w:tcW w:w="3080" w:type="dxa"/>
            <w:vAlign w:val="bottom"/>
          </w:tcPr>
          <w:p>
            <w:pPr>
              <w:ind w:left="180"/>
              <w:spacing w:after="0"/>
              <w:rPr>
                <w:sz w:val="20"/>
                <w:szCs w:val="20"/>
                <w:color w:val="auto"/>
              </w:rPr>
            </w:pPr>
            <w:r>
              <w:rPr>
                <w:rFonts w:ascii="Arial" w:cs="Arial" w:eastAsia="Arial" w:hAnsi="Arial"/>
                <w:sz w:val="18"/>
                <w:szCs w:val="18"/>
                <w:color w:val="auto"/>
              </w:rPr>
              <w:t>Total Class A</w:t>
            </w:r>
          </w:p>
        </w:tc>
        <w:tc>
          <w:tcPr>
            <w:tcW w:w="24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1,837</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1,737</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100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5.8 %</w:t>
            </w:r>
          </w:p>
        </w:tc>
      </w:tr>
      <w:tr>
        <w:trPr>
          <w:trHeight w:val="277"/>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202</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(200)</w:t>
            </w: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(99.0)%</w:t>
            </w:r>
          </w:p>
        </w:tc>
      </w:tr>
      <w:tr>
        <w:trPr>
          <w:trHeight w:val="264"/>
        </w:trPr>
        <w:tc>
          <w:tcPr>
            <w:tcW w:w="3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Class C</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1,468</w:t>
            </w: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1,330</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138</w:t>
            </w: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10.4 %</w:t>
            </w:r>
          </w:p>
        </w:tc>
      </w:tr>
      <w:tr>
        <w:trPr>
          <w:trHeight w:val="257"/>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deliveries</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3,307</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3,269</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38</w:t>
            </w: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1.2 %</w:t>
            </w: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ASP (in thousands)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101</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95</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w:t>
            </w: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6.9 %</w:t>
            </w:r>
          </w:p>
        </w:tc>
      </w:tr>
      <w:tr>
        <w:trPr>
          <w:trHeight w:val="284"/>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Towables:</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3080" w:type="dxa"/>
            <w:vAlign w:val="bottom"/>
          </w:tcPr>
          <w:p>
            <w:pPr>
              <w:ind w:left="180"/>
              <w:spacing w:after="0"/>
              <w:rPr>
                <w:sz w:val="20"/>
                <w:szCs w:val="20"/>
                <w:color w:val="auto"/>
              </w:rPr>
            </w:pPr>
            <w:r>
              <w:rPr>
                <w:rFonts w:ascii="Arial" w:cs="Arial" w:eastAsia="Arial" w:hAnsi="Arial"/>
                <w:sz w:val="18"/>
                <w:szCs w:val="18"/>
                <w:color w:val="auto"/>
              </w:rPr>
              <w:t>Fifth wheel</w:t>
            </w:r>
          </w:p>
        </w:tc>
        <w:tc>
          <w:tcPr>
            <w:tcW w:w="240" w:type="dxa"/>
            <w:vAlign w:val="bottom"/>
          </w:tcPr>
          <w:p>
            <w:pPr>
              <w:spacing w:after="0"/>
              <w:rPr>
                <w:sz w:val="22"/>
                <w:szCs w:val="22"/>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115</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Travel trailer</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296</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97"/>
        </w:trPr>
        <w:tc>
          <w:tcPr>
            <w:tcW w:w="3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towable deliveries</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411</w:t>
            </w: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r>
      <w:tr>
        <w:trPr>
          <w:trHeight w:val="264"/>
        </w:trPr>
        <w:tc>
          <w:tcPr>
            <w:tcW w:w="3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7"/>
        </w:trPr>
        <w:tc>
          <w:tcPr>
            <w:tcW w:w="3080" w:type="dxa"/>
            <w:vAlign w:val="bottom"/>
          </w:tcPr>
          <w:p>
            <w:pPr>
              <w:ind w:left="180"/>
              <w:spacing w:after="0"/>
              <w:rPr>
                <w:sz w:val="20"/>
                <w:szCs w:val="20"/>
                <w:color w:val="auto"/>
              </w:rPr>
            </w:pPr>
            <w:r>
              <w:rPr>
                <w:rFonts w:ascii="Arial" w:cs="Arial" w:eastAsia="Arial" w:hAnsi="Arial"/>
                <w:sz w:val="18"/>
                <w:szCs w:val="18"/>
                <w:color w:val="auto"/>
              </w:rPr>
              <w:t>ASP (in thousands)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21</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20" w:type="dxa"/>
            <w:vAlign w:val="bottom"/>
          </w:tcPr>
          <w:p>
            <w:pPr>
              <w:spacing w:after="0"/>
              <w:rPr>
                <w:sz w:val="22"/>
                <w:szCs w:val="22"/>
                <w:color w:val="auto"/>
              </w:rPr>
            </w:pPr>
          </w:p>
        </w:tc>
      </w:tr>
    </w:tbl>
    <w:p>
      <w:pPr>
        <w:spacing w:after="0" w:line="9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Percentages may not add due to rounding differences.</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Net revenues for the first nine months of Fiscal 2011 increased $39.5 million, or 12.1 percent, compared to the first nine months of Fiscal 2010, due to the following:</w:t>
      </w:r>
    </w:p>
    <w:p>
      <w:pPr>
        <w:spacing w:after="0" w:line="1" w:lineRule="exact"/>
        <w:rPr>
          <w:sz w:val="20"/>
          <w:szCs w:val="20"/>
          <w:color w:val="auto"/>
        </w:rPr>
      </w:pPr>
    </w:p>
    <w:p>
      <w:pPr>
        <w:ind w:left="340" w:right="400" w:hanging="170"/>
        <w:spacing w:after="0" w:line="23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and mix: Our motor home ASP increased 6.9 percent. This increase was primarily due to a shift to higher-priced product as our sales mix was more heavily weighted to higher-priced Class A product.</w:t>
      </w:r>
    </w:p>
    <w:p>
      <w:pPr>
        <w:spacing w:after="0" w:line="1" w:lineRule="exact"/>
        <w:rPr>
          <w:rFonts w:ascii="Arial" w:cs="Arial" w:eastAsia="Arial" w:hAnsi="Arial"/>
          <w:sz w:val="18"/>
          <w:szCs w:val="18"/>
          <w:color w:val="auto"/>
        </w:rPr>
      </w:pPr>
    </w:p>
    <w:p>
      <w:pPr>
        <w:ind w:left="340" w:hanging="170"/>
        <w:spacing w:after="0" w:line="23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Volume increase: motor home deliveries increased by 1.2 percent.</w:t>
      </w:r>
    </w:p>
    <w:p>
      <w:pPr>
        <w:ind w:left="340" w:right="200" w:hanging="170"/>
        <w:spacing w:after="0" w:line="24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deductions from gross revenues: Our retail and other promotional incentives decreased 1.1 percent (as a percent of net revenues). In the prior year, we had more retail incentive programs in place to help stimulate retail demand to move aged units at our dealers.</w:t>
      </w:r>
    </w:p>
    <w:p>
      <w:pPr>
        <w:spacing w:after="0" w:line="1" w:lineRule="exact"/>
        <w:rPr>
          <w:rFonts w:ascii="Arial" w:cs="Arial" w:eastAsia="Arial" w:hAnsi="Arial"/>
          <w:sz w:val="17"/>
          <w:szCs w:val="17"/>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Non-motor home revenues: we had Towables product and parts revenues of $9.0 million. Revenues for motor</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home parts and services and other manufactured parts increased $1.8 million or 7.4 percent.</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Cost of products sold was $334.6 million, or 91.5 percent of net revenues for the first nine months of Fiscal 2011 compared to $311.3 million, or 95.4 percent of net revenues for the comparable period a year ago due to the following:</w:t>
      </w:r>
    </w:p>
    <w:p>
      <w:pPr>
        <w:spacing w:after="0" w:line="1" w:lineRule="exact"/>
        <w:rPr>
          <w:sz w:val="20"/>
          <w:szCs w:val="20"/>
          <w:color w:val="auto"/>
        </w:rPr>
      </w:pPr>
    </w:p>
    <w:p>
      <w:pPr>
        <w:ind w:left="340" w:right="20" w:hanging="170"/>
        <w:spacing w:after="0" w:line="23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goods sold was positively impacted by an inventory adjustment as a result of the annual physical inventory performed in the second quarter of Fiscal 2011. The favorable adjustment was a result of lower actual inventory scrap and production material loss than recent historical experience, which had the effect of increasing gross profit and inventories by $3.5 million. This adjustment favorably impacted our material, labor, variable overhead and fixed overhead costs as a percentage of net revenues.</w:t>
      </w:r>
    </w:p>
    <w:p>
      <w:pPr>
        <w:spacing w:after="0" w:line="3" w:lineRule="exact"/>
        <w:rPr>
          <w:rFonts w:ascii="Arial" w:cs="Arial" w:eastAsia="Arial" w:hAnsi="Arial"/>
          <w:sz w:val="18"/>
          <w:szCs w:val="18"/>
          <w:color w:val="auto"/>
        </w:rPr>
      </w:pPr>
    </w:p>
    <w:p>
      <w:pPr>
        <w:jc w:val="both"/>
        <w:ind w:left="340" w:right="40" w:hanging="170"/>
        <w:spacing w:after="0" w:line="23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goods sold was negatively affected by $1.2 million LIFO expense compared to $34,000 LIFO income last year. This increase is due to significantly higher inventory levels this year. This increase in LIFO expense unfavorably impacted our material, labor, variable overhead and fixed overhead costs as a percentage of net revenues.</w:t>
      </w:r>
    </w:p>
    <w:p>
      <w:pPr>
        <w:spacing w:after="0" w:line="2" w:lineRule="exact"/>
        <w:rPr>
          <w:rFonts w:ascii="Arial" w:cs="Arial" w:eastAsia="Arial" w:hAnsi="Arial"/>
          <w:sz w:val="18"/>
          <w:szCs w:val="18"/>
          <w:color w:val="auto"/>
        </w:rPr>
      </w:pPr>
    </w:p>
    <w:p>
      <w:pPr>
        <w:jc w:val="both"/>
        <w:ind w:left="340" w:hanging="170"/>
        <w:spacing w:after="0" w:line="23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Variable costs (material, labor, variable overhead, delivery, and warranty) as a percent of net revenues decreased to 83.2 percent from 85.9 percent last year due to the mix of higher priced Class A motor homes sold and the positive results of the physical inventory in Fiscal 2011. Partially offsetting these positive items was increased commodity inflation this year.</w:t>
      </w:r>
    </w:p>
    <w:p>
      <w:pPr>
        <w:spacing w:after="0" w:line="2" w:lineRule="exact"/>
        <w:rPr>
          <w:rFonts w:ascii="Arial" w:cs="Arial" w:eastAsia="Arial" w:hAnsi="Arial"/>
          <w:sz w:val="18"/>
          <w:szCs w:val="18"/>
          <w:color w:val="auto"/>
        </w:rPr>
      </w:pPr>
    </w:p>
    <w:p>
      <w:pPr>
        <w:ind w:left="340" w:right="10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overhead (manufacturing support labor, depreciation and facility costs) and research and development-related costs were 8.3 percent of net revenues compared to 9.5 percent last year. This difference was due to higher absorption of fixed costs as a result of higher production volume.</w:t>
      </w:r>
    </w:p>
    <w:p>
      <w:pPr>
        <w:spacing w:after="0" w:line="20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Gross profit increased from 4.6 percent of net revenues in the first nine months of Fiscal 2010 to 8.5 percent of net revenues in the first nine months of Fiscal 2011. Excluding the effect of the physical inventory adjustment in Fiscal 2011, gross profit would have been 7.6 percent.</w:t>
      </w:r>
    </w:p>
    <w:p>
      <w:pPr>
        <w:spacing w:after="0" w:line="19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Selling expenses increased $691,000, or 7.3 percent, during the first nine months of Fiscal 2011 and, as a percentage of net revenues were 2.8 percent and 2.9 percent for the first nine months of Fiscal 2011 and Fiscal 2010, respectively. The expense increase was due primarily to operating expenses associated with Towables.</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General and administrative expenses increased $ 1.6 million, or 15.6 percent, during the first nine months of Fiscal 2011 and, as a percentage of net revenues were 3.2 percent and 3.1 percent for the first nine months of Fiscal 2011 and Fiscal 2010, respectively. The expense increase was due primarily to increases in legal expenses of $969,000 due to increased lemon law activity and also costs associated with the pursuit of a trademark infringement case. We also had increased employee-related expenses and Towables operating expenses during the first nine months of Fiscal 2011.</w:t>
      </w:r>
    </w:p>
    <w:p>
      <w:pPr>
        <w:spacing w:after="0" w:line="206"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In the first quarter of Fiscal 2011 we realized a gain of $644,000 on the sale of CCMF, one of our assets held for sale. An impairment of $605,000 was recorded in the third quarter of Fiscal 2011 on our Hampton facility. See Note 8.</w:t>
      </w:r>
    </w:p>
    <w:p>
      <w:pPr>
        <w:spacing w:after="0" w:line="1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Non-operating income increased $261,000 during the first nine months of Fiscal 2011. This difference is primarily the result of incurring a one-time expense of $375,000 in Fiscal 2010 to terminate a credit and security agreement with Wells Fargo. We also received proceeds from company owned life insurance policies during the first nine months of Fiscal 2011, partially offset by lower investment income.</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overall effective income tax rate for the first nine months of Fiscal 2011 was 17.6 percent compared to a benefit of 229.3 percent for the first nine months of Fiscal 2010. Most notably, our effective tax rate for the first nine months of Fiscal 2011 was positively affected by the tax-exempt interest income in relation to projected pre-tax income, the sale of CCMF, and the utilization of the NOL carryforward created as a result of finalization and filing of our Fiscal 2010 federal and state tax returns. The sale of CCMF resulted in a positive impact on our annual effective rate by approximately 5.4 percent, as this transaction resulted in a tax loss even though we incurred a gain for accounting purposes. The utilization of the Fiscal 2010 NOL carryforward results in a reduction of our estimated annual effective tax rate by approximately 3.4 percent. Our tax benefit of 229.3 percent in the first nine months of Fiscal 2010 related mostly to the carryback of Fiscal 2009 losses due to a tax law change. During the first quarter of Fiscal 2010, the President of the United States signed into law the Worker, Homeownership, and Business Assistance Act of 2009, which expanded the NOL carryback period from two to five years, which allowed us to carryback all Fiscal 2009 NOL. As a result, we recorded a tax benefit of $4.8 million in Fiscal 2010 and reduced the associated valuation allowance due to this beneficial tax law change. In the first nine months of Fiscal 2010 we also recorded benefits related to settlements and other adjustments to uncertain tax positions as well as other tax planning initiatives.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Net income was $ 8.3 million, or $ 0.28 per diluted share, for the first nine months of Fiscal 2011 compared to $5.4 million or $0.18 per diluted share, for the first nine months of Fiscal 2010. See Note 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totaled $65.2 million and $74.7 million as of May 28, 2011 and August 28, 2010,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Significant liquidity events in the first nine months of Fiscal 2011 include:</w:t>
      </w:r>
    </w:p>
    <w:p>
      <w:pPr>
        <w:spacing w:after="0" w:line="5" w:lineRule="exact"/>
        <w:rPr>
          <w:sz w:val="20"/>
          <w:szCs w:val="20"/>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of $8.3 million.</w:t>
      </w:r>
    </w:p>
    <w:p>
      <w:pPr>
        <w:ind w:left="340" w:hanging="170"/>
        <w:spacing w:after="0" w:line="23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proceeds of $3.7 million due to the sale of CCMF.</w:t>
      </w:r>
    </w:p>
    <w:p>
      <w:pPr>
        <w:ind w:left="340" w:right="700" w:hanging="170"/>
        <w:spacing w:after="0" w:line="23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ARS redemptions at par of $6.5 million. We have $11.2 million ARS at par value classified as long-term investments and $250,000 classified as short-term investments as of May 28, 2011. See Note 6.</w:t>
      </w:r>
    </w:p>
    <w:p>
      <w:pPr>
        <w:spacing w:after="0" w:line="1" w:lineRule="exact"/>
        <w:rPr>
          <w:rFonts w:ascii="Arial" w:cs="Arial" w:eastAsia="Arial" w:hAnsi="Arial"/>
          <w:sz w:val="18"/>
          <w:szCs w:val="18"/>
          <w:color w:val="auto"/>
        </w:rPr>
      </w:pPr>
    </w:p>
    <w:p>
      <w:pPr>
        <w:ind w:left="340" w:hanging="170"/>
        <w:spacing w:after="0" w:line="23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 of Towables for $4.7 million, net of cash acquired. See Note 4.</w:t>
      </w:r>
    </w:p>
    <w:p>
      <w:pPr>
        <w:ind w:left="340" w:right="140" w:hanging="170"/>
        <w:spacing w:after="0" w:line="246"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inventories as noted in the consolidated statement of cash flows of $30.1 million, primarily due to increases in finished goods and chassis inventory.</w:t>
      </w:r>
    </w:p>
    <w:p>
      <w:pPr>
        <w:spacing w:after="0" w:line="1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also have in place a loan agreement providing for a $20.0 million revolving credit facility, as described in further detail in Note 10, which allows us to borrow up to $12.5 million without financial covenant restrictions if there is adequate asset coverage. We had sufficient asset coverage in accounts receivable and inventory as of May 28, 2011 to access the entire $12.5 million.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 No borrowings have been made under the Loan Agreement as of the date of this report.</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filed a Registration Statement on Form S-3, which was declared effective by the SEC on March 31, 2010. Subject to market conditions, we have the ability to offer and sell up to $35 million of our common stock in one or more offerings pursuant to the Registration Statement. The Registration Statement will be available for use for three years from the effective date. We currently have no plans to offer and sell the common stock registered under the Registration Statement; however, it does provide another source of liquidity in addition to the alternatives already in place.</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Working capital at May 28, 2011 and August 28, 2010 was $109.4 million and $91.3 million, respectively, an increase of $18.1 million. We currently expect cash on hand, funds generated from operations (if any) and the availability under the credit facility to be sufficient to cover both short-term and long-term operation requirements. We anticipate capital expenditures during the balance of Fiscal 2011 of approximately $500,000, primarily for manufacturing equipment and facilities which will be funded with cash on hand.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Cash used in operating activities was $14.1 million for the nine months ended May 28, 2011, compared to cash provided by operating activities of $36.8 million for the nine months ended May 29, 2010. The combination of net income and non-cash items (primarily depreciation, amortization, asset impairment, LIFO expense, and stock-based compensation) provided $15.4 million of operating cash compared to $10.6 million in the prior year period. However, this cash inflow of $14.8 million was more than offset by the increase in inventories of $30.1 million in the nine months ended May 28, 2011. In Fiscal 2010, the changes in assets and liabilities (primarily income tax refunds and inventory reductions) provided an additional $26.3 million operating cash.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Cash provided by investing activities was due primarily to ARS redemptions of $6.5 million and proceeds of $4.0 million from the sale of property ($3.7 million related to the sale of CCMF), partially offset by the acquisition of Towables for $4.7 million and capital spending of $1.6 million in the nine months ended May 28, 2011. During the nine months ended May 29, 2010, cash provided by investing activities was due primarily to ARS redemptions of $12.9 million, partially offset by capital spending of $1.5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Cash provided by financing activities was $178,000 for the nine months ended May 28, 2011. Cash used in financing activities of $8.7 million in the nine months ended May 29, 2010 was primarily due to a payment on our borrowings on our ARS portfolio of $8.5 million.</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Generally, revenues of our recreation vehicles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Revenues from the sales of our Original Equipment Manufacturing (OEM) and recreation vehicle related parts are recorded as the products are shipped from our locations. The title of ownership transfers on these products as they leave our locations due to the freight terms of F.O.B. - Origin.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Promotions and Incentives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Commitments</w:t>
      </w:r>
    </w:p>
    <w:p>
      <w:pPr>
        <w:spacing w:after="0" w:line="27"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It is customary practice for companies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In certain instances, we also repurchase inventory from our dealers due to state law or regulatory requirements that govern voluntary or involuntary relationship terminations.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Based on these repurchase agreements, we establish an associated loss reserve which is disclosed separately in the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of our product, age of product in dealer inventory, physical condition of the product, location of the dealer, financing source and independent third party credit rating of our dealers. To the extent that dealers are increasing or decreasing their inventories, our overall exposure under repurchase agreements is likewise impacted. The percentage of dealer inventory we estimate we will repurchase (which has ranged in recent years from 6 to 11 percent on a weighted average basis) and the associated estimated</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loss (which has ranged in recent years from 7 to 16 percent on a weighted average basis)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204"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we use to calculate our loss reserve for repurchase commitments. A hypothetical change of a 10 percent increase or decrease in our significant repurchase commitment assumptions at May 28, 2011 would have affected net income by approximately $190,000.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provide a comprehensive 12-month/15,000-mile warranty on Class A, Class B and Class C motor homes and a 12-month warranty on our towables at the time of retail sale of our products. We also provide a 3-year/36,000-mile warranty on Class A and Class C sidewalls and floors. Estimated costs related to product warranty are accrued at the time of invoicing and are based upon past warranty claims and unit sales history and adjusted as required to reflect actual costs incurred, as information becomes available. A significant increase in dealership labor rates, the cost of parts or the frequency of claims could have a material adverse effect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only recognize tax benefits for filing positions that are considered more likely than not of being sustained under audit by the 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21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laws, the level of our earnings or losses and the results of tax audits.</w:t>
      </w:r>
    </w:p>
    <w:p>
      <w:pPr>
        <w:spacing w:after="0" w:line="20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account for income taxes in accordance with ASC 740. As part of the process of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Valuation allowances arise due to the uncertainty of realizing deferred tax assets. ASC 740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Under that standard, our three-year historical cumulative loss was a significant negative factor. We have evaluated the sustainability of our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41" w:right="25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deferred tax assets on our balance sheet which includes the assessment of cumulative income or losses over recent prior periods. Based on ASC 740 guidelines, we determined a full valuation allowance to be appropriate.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Benefits Obligations and Costs</w:t>
      </w:r>
    </w:p>
    <w:p>
      <w:pPr>
        <w:spacing w:after="0" w:line="2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inventory loss reserve represents anticipated physical work-in-process inventory losses (e.g. scrap, production loss or over-usage) that have occurred since the last physical inventory date. Physical inventory counts of work-in-process are taken on an annual basis to ensure the inventory reported in our consolidated financial statements is properly stated. During the interim period between physical inventory counts, we reserve for anticipated physical inventory losses based upon materials consumed. Our inventory loss reserve contains uncertainties because the calculation requires management to make assumptions and to apply judgment regarding a number of factors, including historical results and current inventory loss trends.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have reserves for other loss exposures, such as litigation, product liability, workers' compensation, inventory and accounts 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of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risk exposure to our ARS, which is described in further detail in Note 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which, by their nature, can provide only reasonable assurance regarding management's disclosure control objectives.</w:t>
      </w:r>
    </w:p>
    <w:p>
      <w:pPr>
        <w:spacing w:after="0" w:line="207" w:lineRule="exact"/>
        <w:rPr>
          <w:sz w:val="20"/>
          <w:szCs w:val="20"/>
          <w:color w:val="auto"/>
        </w:rPr>
      </w:pPr>
    </w:p>
    <w:p>
      <w:pPr>
        <w:jc w:val="both"/>
        <w:ind w:right="180"/>
        <w:spacing w:after="0" w:line="274" w:lineRule="auto"/>
        <w:rPr>
          <w:sz w:val="20"/>
          <w:szCs w:val="20"/>
          <w:color w:val="auto"/>
        </w:rPr>
      </w:pPr>
      <w:r>
        <w:rPr>
          <w:rFonts w:ascii="Arial" w:cs="Arial" w:eastAsia="Arial" w:hAnsi="Arial"/>
          <w:sz w:val="17"/>
          <w:szCs w:val="17"/>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80"/>
          </w:cols>
          <w:pgMar w:left="240" w:top="141" w:right="27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have been no material changes in the risk factors previously disclosed in Part I, Item 1A of our Annual Report on Form 10-K for the fiscal year ended August 28, 2010, except as noted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 of SunnyBrook RV</w:t>
      </w:r>
    </w:p>
    <w:p>
      <w:pPr>
        <w:spacing w:after="0" w:line="27"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If we cannot successfully integrate the operations of SunnyBrook with our existing operations, we may experience material negative consequences to our business, financial condition or results of operations. The integration of companies that have previously been operated separately involves a number of risks, including, but not limited to:</w:t>
      </w:r>
    </w:p>
    <w:p>
      <w:pPr>
        <w:ind w:left="340" w:hanging="170"/>
        <w:spacing w:after="0" w:line="23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management’s attention from the management of daily operations to the integration of operations;</w:t>
      </w:r>
    </w:p>
    <w:p>
      <w:pPr>
        <w:ind w:left="340" w:hanging="170"/>
        <w:spacing w:after="0" w:line="23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employees; and</w:t>
      </w:r>
    </w:p>
    <w:p>
      <w:pPr>
        <w:ind w:left="340" w:right="140" w:hanging="170"/>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the integration of departments, systems, including accounting systems, technologies, books and records and procedures, as well as in maintaining uniform standards, controls, including internal accounting controls, procedures and policies and expenses of any undisclosed or potential legal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Funds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19, 2007, the Board of Directors authorized the repurchase of outstanding shares of our common stock, depending on market conditions, for an aggregate consideration of up to $60 million. There is no time restriction on this authorization. During the third quarter of Fiscal 2011, there were no shares repurchased pursuant to this authorization or otherwise. As of May 28, 2011, there was approximately $59.2 million remaining under this authorization to be used for future repurchases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10.1 Winnebago Industries, Inc. 2004 Incentive Compensation Plan, as amended.</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tab/>
        <w:t>Certification by the Chief Executive Officer pursuant to Section 302 of the Sarbanes-Oxley Act of 2002 dated July 1, 2011.</w:t>
      </w:r>
    </w:p>
    <w:p>
      <w:pPr>
        <w:spacing w:after="0" w:line="17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tab/>
        <w:t>Certification by the Chief Financial Officer pursuant to Section 302 of the Sarbanes-Oxley Act of 2002 dated July 1, 2011.</w:t>
      </w:r>
    </w:p>
    <w:p>
      <w:pPr>
        <w:spacing w:after="0" w:line="17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tab/>
        <w:t>Certification by the Chief Executive Officer pursuant to Section 1350, as adopted pursuant to Section 906 of the Sarbanes-Oxley Act of</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2002 dated July 1, 2011.</w:t>
      </w:r>
    </w:p>
    <w:p>
      <w:pPr>
        <w:spacing w:after="0" w:line="17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tab/>
        <w:t>Certification by the Chief Financial Officer pursuant to Section 1350, as adopted pursuant to Section 906 of the Sarbanes-Oxley Act of</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2002 dated July 1, 2011.</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141" w:right="27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Signatures</w:t>
      </w:r>
    </w:p>
    <w:p>
      <w:pPr>
        <w:spacing w:after="0" w:line="355" w:lineRule="exact"/>
        <w:rPr>
          <w:sz w:val="20"/>
          <w:szCs w:val="20"/>
          <w:color w:val="auto"/>
        </w:rPr>
      </w:pPr>
    </w:p>
    <w:p>
      <w:pPr>
        <w:ind w:left="40" w:right="107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40" w:val="left"/>
          <w:tab w:leader="none" w:pos="4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 2011</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14605</wp:posOffset>
            </wp:positionV>
            <wp:extent cx="3027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4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Randy J. Potts</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 and President</w:t>
      </w:r>
    </w:p>
    <w:p>
      <w:pPr>
        <w:spacing w:after="0" w:line="26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40" w:val="left"/>
          <w:tab w:leader="none" w:pos="4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 2011</w:t>
      </w:r>
      <w:r>
        <w:rPr>
          <w:sz w:val="20"/>
          <w:szCs w:val="20"/>
          <w:color w:val="auto"/>
        </w:rPr>
        <w:tab/>
      </w:r>
      <w:r>
        <w:rPr>
          <w:rFonts w:ascii="Arial" w:cs="Arial" w:eastAsia="Arial" w:hAnsi="Arial"/>
          <w:sz w:val="17"/>
          <w:szCs w:val="17"/>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14605</wp:posOffset>
            </wp:positionV>
            <wp:extent cx="3027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4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Sarah N. Nielsen</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 (Principal Financial Officer)</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219"/>
          </w:cols>
          <w:pgMar w:left="240" w:top="141" w:right="1440" w:bottom="1440" w:gutter="0" w:footer="0" w:header="0"/>
        </w:sectPr>
      </w:pPr>
    </w:p>
    <w:bookmarkStart w:id="28" w:name="page29"/>
    <w:bookmarkEnd w:id="28"/>
    <w:p>
      <w:pPr>
        <w:ind w:left="4280"/>
        <w:spacing w:after="0"/>
        <w:rPr>
          <w:sz w:val="20"/>
          <w:szCs w:val="20"/>
          <w:color w:val="auto"/>
        </w:rPr>
      </w:pPr>
      <w:r>
        <w:rPr>
          <w:rFonts w:ascii="Arial" w:cs="Arial" w:eastAsia="Arial" w:hAnsi="Arial"/>
          <w:sz w:val="18"/>
          <w:szCs w:val="18"/>
          <w:b w:val="1"/>
          <w:bCs w:val="1"/>
          <w:color w:val="auto"/>
        </w:rPr>
        <w:t>WINNEBAGO INDUSTRIES, INC.</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2004 INCENTIVE COMPENSATION PLAN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72" w:lineRule="exact"/>
        <w:rPr>
          <w:sz w:val="20"/>
          <w:szCs w:val="20"/>
          <w:color w:val="auto"/>
        </w:rPr>
      </w:pPr>
    </w:p>
    <w:p>
      <w:pPr>
        <w:ind w:left="-60" w:right="20" w:firstLine="408"/>
        <w:spacing w:after="0" w:line="266" w:lineRule="auto"/>
        <w:tabs>
          <w:tab w:leader="none" w:pos="59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The Winnebago Industries, Inc. 2004 Incentive Compensation Plan (the</w:t>
      </w:r>
      <w:r>
        <w:rPr>
          <w:rFonts w:ascii="Arial" w:cs="Arial" w:eastAsia="Arial" w:hAnsi="Arial"/>
          <w:sz w:val="18"/>
          <w:szCs w:val="18"/>
          <w:i w:val="1"/>
          <w:iCs w:val="1"/>
          <w:color w:val="auto"/>
        </w:rPr>
        <w:t xml:space="preserve"> “Plan”</w:t>
      </w:r>
      <w:r>
        <w:rPr>
          <w:rFonts w:ascii="Arial" w:cs="Arial" w:eastAsia="Arial" w:hAnsi="Arial"/>
          <w:sz w:val="18"/>
          <w:szCs w:val="18"/>
          <w:color w:val="auto"/>
        </w:rPr>
        <w:t>) was adopted by Winnebago Industries, Inc. (the</w:t>
      </w:r>
      <w:r>
        <w:rPr>
          <w:rFonts w:ascii="Arial" w:cs="Arial" w:eastAsia="Arial" w:hAnsi="Arial"/>
          <w:sz w:val="18"/>
          <w:szCs w:val="18"/>
          <w:i w:val="1"/>
          <w:iCs w:val="1"/>
          <w:color w:val="auto"/>
        </w:rPr>
        <w:t xml:space="preserve"> “Company”</w:t>
      </w:r>
      <w:r>
        <w:rPr>
          <w:rFonts w:ascii="Arial" w:cs="Arial" w:eastAsia="Arial" w:hAnsi="Arial"/>
          <w:sz w:val="18"/>
          <w:szCs w:val="18"/>
          <w:color w:val="auto"/>
        </w:rPr>
        <w:t>) to reward certain key Employees of the Company and its Affiliates and Non-employee Directors of the Company by enabling them</w:t>
      </w:r>
      <w:r>
        <w:rPr>
          <w:rFonts w:ascii="Arial" w:cs="Arial" w:eastAsia="Arial" w:hAnsi="Arial"/>
          <w:sz w:val="18"/>
          <w:szCs w:val="18"/>
          <w:i w:val="1"/>
          <w:iCs w:val="1"/>
          <w:color w:val="auto"/>
        </w:rPr>
        <w:t xml:space="preserve"> </w:t>
      </w:r>
      <w:r>
        <w:rPr>
          <w:rFonts w:ascii="Arial" w:cs="Arial" w:eastAsia="Arial" w:hAnsi="Arial"/>
          <w:sz w:val="18"/>
          <w:szCs w:val="18"/>
          <w:color w:val="auto"/>
        </w:rPr>
        <w:t>to acquire shares of Common Stock of the Company.</w:t>
      </w:r>
    </w:p>
    <w:p>
      <w:pPr>
        <w:spacing w:after="0" w:line="122" w:lineRule="exact"/>
        <w:rPr>
          <w:rFonts w:ascii="Arial" w:cs="Arial" w:eastAsia="Arial" w:hAnsi="Arial"/>
          <w:sz w:val="18"/>
          <w:szCs w:val="18"/>
          <w:color w:val="auto"/>
        </w:rPr>
      </w:pPr>
    </w:p>
    <w:p>
      <w:pPr>
        <w:ind w:left="-60" w:firstLine="408"/>
        <w:spacing w:after="0" w:line="257" w:lineRule="auto"/>
        <w:tabs>
          <w:tab w:leader="none" w:pos="59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Objectives. </w:t>
      </w:r>
      <w:r>
        <w:rPr>
          <w:rFonts w:ascii="Arial" w:cs="Arial" w:eastAsia="Arial" w:hAnsi="Arial"/>
          <w:sz w:val="18"/>
          <w:szCs w:val="18"/>
          <w:color w:val="auto"/>
        </w:rPr>
        <w:t>The purpose of this Winnebago Industries, Inc. 2004 Incentive Compensation Plan is to further the interests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shareholders by providing incentives in the form of Awards to key Employees and Non-employee Directors who can contribute materially to the success and profitability of the Company and its Affiliates. Such Awards will recognize and reward outstanding performances and individual contributions and give Participants in the Plan an interest in the Company parallel to that of the shareholders, thus enhancing the proprietary and personal interest of such Participants in the Company's continued success and progress. This Plan will also enable the Company and its Affiliates to attract and retain such Employees and Non-employee Directors.</w:t>
      </w:r>
    </w:p>
    <w:p>
      <w:pPr>
        <w:spacing w:after="0" w:line="128" w:lineRule="exact"/>
        <w:rPr>
          <w:rFonts w:ascii="Arial" w:cs="Arial" w:eastAsia="Arial" w:hAnsi="Arial"/>
          <w:sz w:val="18"/>
          <w:szCs w:val="18"/>
          <w:color w:val="auto"/>
        </w:rPr>
      </w:pPr>
    </w:p>
    <w:p>
      <w:pPr>
        <w:ind w:left="-60" w:right="680" w:firstLine="408"/>
        <w:spacing w:after="0" w:line="282" w:lineRule="auto"/>
        <w:tabs>
          <w:tab w:leader="none" w:pos="59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As used herein, the terms set forth below shall have the following respective meanings unless otherwise expressly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herein:</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(i) with respect to Employee Awards, the Committee, and (ii) with respect to Director Awards, the Board.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a Subsidiary or Joint Venture.</w:t>
      </w:r>
    </w:p>
    <w:p>
      <w:pPr>
        <w:spacing w:after="0" w:line="171" w:lineRule="exact"/>
        <w:rPr>
          <w:sz w:val="20"/>
          <w:szCs w:val="20"/>
          <w:color w:val="auto"/>
        </w:rPr>
      </w:pPr>
    </w:p>
    <w:p>
      <w:pPr>
        <w:ind w:left="480" w:right="260" w:firstLine="400"/>
        <w:spacing w:after="0" w:line="282" w:lineRule="auto"/>
        <w:rPr>
          <w:sz w:val="20"/>
          <w:szCs w:val="20"/>
          <w:color w:val="auto"/>
        </w:rPr>
      </w:pPr>
      <w:r>
        <w:rPr>
          <w:rFonts w:ascii="Arial" w:cs="Arial" w:eastAsia="Arial" w:hAnsi="Arial"/>
          <w:sz w:val="18"/>
          <w:szCs w:val="18"/>
          <w:i w:val="1"/>
          <w:iCs w:val="1"/>
          <w:color w:val="auto"/>
        </w:rPr>
        <w:t xml:space="preserve">“Authorized Officer” </w:t>
      </w:r>
      <w:r>
        <w:rPr>
          <w:rFonts w:ascii="Arial" w:cs="Arial" w:eastAsia="Arial" w:hAnsi="Arial"/>
          <w:sz w:val="18"/>
          <w:szCs w:val="18"/>
          <w:color w:val="auto"/>
        </w:rPr>
        <w:t>means the Chief Executive Officer of the Company (or any other senior officer of the Company to whom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shall delegate the authority to execute any Award Agreement, where applicable).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 Employee Award or a Director Award.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Employee Award Agreement or Director Award Agreement.</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71" w:lineRule="exact"/>
        <w:rPr>
          <w:sz w:val="20"/>
          <w:szCs w:val="20"/>
          <w:color w:val="auto"/>
        </w:rPr>
      </w:pPr>
    </w:p>
    <w:p>
      <w:pPr>
        <w:ind w:left="480" w:right="100" w:firstLine="400"/>
        <w:spacing w:after="0" w:line="254"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unless otherwise defined by the Committee, means the time when (i) any Person becomes an Acquiring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Person, or (ii) individuals who shall qualify as Continuing Directors of the Company shall have ceased for any reason to constitute at least a majority of the Board of Directors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Code established by the Company or any subsidiary of the Company. (In addition, stock held by such a plan shall not be treated as outstanding in determining ownership percentages for purposes of this definition.)</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For the purpose of the definition </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only:</w:t>
      </w:r>
    </w:p>
    <w:p>
      <w:pPr>
        <w:spacing w:after="0" w:line="171" w:lineRule="exact"/>
        <w:rPr>
          <w:sz w:val="20"/>
          <w:szCs w:val="20"/>
          <w:color w:val="auto"/>
        </w:rPr>
      </w:pPr>
    </w:p>
    <w:p>
      <w:pPr>
        <w:ind w:left="-60" w:right="100" w:firstLine="40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“Continuing Director” </w:t>
      </w:r>
      <w:r>
        <w:rPr>
          <w:rFonts w:ascii="Arial" w:cs="Arial" w:eastAsia="Arial" w:hAnsi="Arial"/>
          <w:sz w:val="18"/>
          <w:szCs w:val="18"/>
          <w:color w:val="auto"/>
        </w:rPr>
        <w:t>means (i) any member of the Board of Directors of the Company, which such person is a member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28" w:lineRule="exact"/>
        <w:rPr>
          <w:rFonts w:ascii="Arial" w:cs="Arial" w:eastAsia="Arial" w:hAnsi="Arial"/>
          <w:sz w:val="18"/>
          <w:szCs w:val="18"/>
          <w:color w:val="auto"/>
        </w:rPr>
      </w:pPr>
    </w:p>
    <w:p>
      <w:pPr>
        <w:jc w:val="both"/>
        <w:ind w:left="-60" w:right="240" w:firstLine="40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“Acquiring Person” </w:t>
      </w:r>
      <w:r>
        <w:rPr>
          <w:rFonts w:ascii="Arial" w:cs="Arial" w:eastAsia="Arial" w:hAnsi="Arial"/>
          <w:sz w:val="18"/>
          <w:szCs w:val="18"/>
          <w:color w:val="auto"/>
        </w:rPr>
        <w:t>means any Person or any individual or group of Affiliates or Associates of such Person who acquires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ownership, directly or indirectly, of 20 percent or more of the outstanding stock of the Company if such acquisition occurs in whole or in part, except that the term </w:t>
      </w:r>
      <w:r>
        <w:rPr>
          <w:rFonts w:ascii="Arial" w:cs="Arial" w:eastAsia="Arial" w:hAnsi="Arial"/>
          <w:sz w:val="18"/>
          <w:szCs w:val="18"/>
          <w:i w:val="1"/>
          <w:iCs w:val="1"/>
          <w:color w:val="auto"/>
        </w:rPr>
        <w:t>“Acquiring Person”</w:t>
      </w:r>
      <w:r>
        <w:rPr>
          <w:rFonts w:ascii="Arial" w:cs="Arial" w:eastAsia="Arial" w:hAnsi="Arial"/>
          <w:sz w:val="18"/>
          <w:szCs w:val="18"/>
          <w:color w:val="auto"/>
        </w:rPr>
        <w:t xml:space="preserve"> shall not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0"/>
          </w:cols>
          <w:pgMar w:left="300" w:top="1305" w:right="299" w:bottom="1440" w:gutter="0" w:footer="0" w:header="0"/>
        </w:sectPr>
      </w:pPr>
    </w:p>
    <w:bookmarkStart w:id="29" w:name="page30"/>
    <w:bookmarkEnd w:id="29"/>
    <w:p>
      <w:pPr>
        <w:spacing w:after="0" w:line="251" w:lineRule="auto"/>
        <w:rPr>
          <w:sz w:val="20"/>
          <w:szCs w:val="20"/>
          <w:color w:val="auto"/>
        </w:rPr>
      </w:pPr>
      <w:r>
        <w:rPr>
          <w:rFonts w:ascii="Arial" w:cs="Arial" w:eastAsia="Arial" w:hAnsi="Arial"/>
          <w:sz w:val="18"/>
          <w:szCs w:val="18"/>
          <w:color w:val="auto"/>
        </w:rPr>
        <w:t xml:space="preserve">include a Hanson Family Member or an Affiliate or Associate of a Hanson Family Member. Notwithstanding the foregoing, no Person shall become an “Acquiring Person” as the result of (x) an acquisition of Common Stock by the Company which, by reducing the number of shares outstanding, increases the proportionate number of shares beneficially owned by such Person to 20% or more of the outstanding Common Stock then outstanding or (y) the acquisition by such Person of newly-issued Common Stock directly from the Company (it being under stood that a purchase from an underwriter or other intermediary is not directly from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 Person shall become the beneficial owner of 20% or more of the Common Stock then outstanding by reason of share purchases by the Company or the receipt of newly-issued Common Stock directly from the Company and shall, after such share purchases or direct issuance by the Company, become the beneficial owner of any additional Common Stock of the Company, then such Person shall be deemed to be an “Acquiring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however, </w:t>
      </w:r>
      <w:r>
        <w:rPr>
          <w:rFonts w:ascii="Arial" w:cs="Arial" w:eastAsia="Arial" w:hAnsi="Arial"/>
          <w:sz w:val="18"/>
          <w:szCs w:val="18"/>
          <w:color w:val="auto"/>
        </w:rPr>
        <w:t>that any transferee from such Person who becomes the beneficial owner of 20% or more of the Common Stock then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shall nevertheless be deemed to be an “Acquiring Person.” Notwithstanding the foregoing, if the Board of Directors of the Company determines in good faith that a Person who would otherwise be an “Acquiring Person,” as defined pursuant to the foregoing provisions of this paragraph, has become such inadvertently, and such Person divests as promptly as practicable (and in any event within ten business days after notification by the Company) a sufficient number of shares of Common Stock so that such Person would no longer be an “Acquiring Person,” as defined pursuant to the foregoing provisions of this paragraph, then such Person shall not be deemed to be an “Acquiring Person” for any purpose of this Plan.</w:t>
      </w:r>
    </w:p>
    <w:p>
      <w:pPr>
        <w:spacing w:after="0" w:line="138" w:lineRule="exact"/>
        <w:rPr>
          <w:sz w:val="20"/>
          <w:szCs w:val="20"/>
          <w:color w:val="auto"/>
        </w:rPr>
      </w:pPr>
    </w:p>
    <w:p>
      <w:pPr>
        <w:ind w:right="660" w:firstLine="408"/>
        <w:spacing w:after="0" w:line="282" w:lineRule="auto"/>
        <w:tabs>
          <w:tab w:leader="none" w:pos="71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a Person that directly or indirectly through one or more intermediaries, controls, or is controlled by, or is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control with, the person specified.</w:t>
      </w:r>
    </w:p>
    <w:p>
      <w:pPr>
        <w:spacing w:after="0" w:line="107" w:lineRule="exact"/>
        <w:rPr>
          <w:rFonts w:ascii="Arial" w:cs="Arial" w:eastAsia="Arial" w:hAnsi="Arial"/>
          <w:sz w:val="18"/>
          <w:szCs w:val="18"/>
          <w:color w:val="auto"/>
        </w:rPr>
      </w:pPr>
    </w:p>
    <w:p>
      <w:pPr>
        <w:ind w:right="200" w:firstLine="408"/>
        <w:spacing w:after="0" w:line="25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“Associate” </w:t>
      </w:r>
      <w:r>
        <w:rPr>
          <w:rFonts w:ascii="Arial" w:cs="Arial" w:eastAsia="Arial" w:hAnsi="Arial"/>
          <w:sz w:val="18"/>
          <w:szCs w:val="18"/>
          <w:color w:val="auto"/>
        </w:rPr>
        <w:t>means (1) any corporate, partnership, limited liability company, entity or organization (other than the Company or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majority-owned subsidiary of the Company) of which such a Person is an officer, director, member, or partner or is, directly, or indirectly the beneficial owner of ten percent (10 percent)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28" w:lineRule="exact"/>
        <w:rPr>
          <w:rFonts w:ascii="Arial" w:cs="Arial" w:eastAsia="Arial" w:hAnsi="Arial"/>
          <w:sz w:val="18"/>
          <w:szCs w:val="18"/>
          <w:color w:val="auto"/>
        </w:rPr>
      </w:pPr>
    </w:p>
    <w:p>
      <w:pPr>
        <w:ind w:right="360" w:firstLine="408"/>
        <w:spacing w:after="0" w:line="26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“Hanson Family Member” </w:t>
      </w:r>
      <w:r>
        <w:rPr>
          <w:rFonts w:ascii="Arial" w:cs="Arial" w:eastAsia="Arial" w:hAnsi="Arial"/>
          <w:sz w:val="18"/>
          <w:szCs w:val="18"/>
          <w:color w:val="auto"/>
        </w:rPr>
        <w:t>means John K. Hanson and Luise V. Hanson (and the executors or administrators of their estates),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lineal descendants (and the executors or administrators of their estates), the spouses of their lineal descendants (and the executors or administrators of their estate) and the John K. and Luise V. Hanson Foundation.</w:t>
      </w:r>
    </w:p>
    <w:p>
      <w:pPr>
        <w:spacing w:after="0" w:line="122" w:lineRule="exact"/>
        <w:rPr>
          <w:rFonts w:ascii="Arial" w:cs="Arial" w:eastAsia="Arial" w:hAnsi="Arial"/>
          <w:sz w:val="18"/>
          <w:szCs w:val="18"/>
          <w:color w:val="auto"/>
        </w:rPr>
      </w:pPr>
    </w:p>
    <w:p>
      <w:pPr>
        <w:ind w:right="20" w:firstLine="408"/>
        <w:spacing w:after="0" w:line="282" w:lineRule="auto"/>
        <w:tabs>
          <w:tab w:leader="none" w:pos="67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 individual, corporation, limited liability company, partnership, association, joint stock company, trust,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or government or political subdivision thereof.</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from time to time.</w:t>
      </w:r>
    </w:p>
    <w:p>
      <w:pPr>
        <w:spacing w:after="0" w:line="171" w:lineRule="exact"/>
        <w:rPr>
          <w:sz w:val="20"/>
          <w:szCs w:val="20"/>
          <w:color w:val="auto"/>
        </w:rPr>
      </w:pPr>
    </w:p>
    <w:p>
      <w:pPr>
        <w:ind w:left="540" w:right="580" w:firstLine="400"/>
        <w:spacing w:after="0" w:line="282" w:lineRule="auto"/>
        <w:rPr>
          <w:sz w:val="20"/>
          <w:szCs w:val="20"/>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the Human Resources Committee of the Board or such other independent Committee of the Board as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by the Board to administer the Plan.</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Winnebago Industries, Inc. common stock, par value $.50 per share.</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Winnebago Industries, Inc., an Iowa corporation, or any successor thereto.</w:t>
      </w:r>
    </w:p>
    <w:p>
      <w:pPr>
        <w:spacing w:after="0" w:line="171" w:lineRule="exact"/>
        <w:rPr>
          <w:sz w:val="20"/>
          <w:szCs w:val="20"/>
          <w:color w:val="auto"/>
        </w:rPr>
      </w:pPr>
    </w:p>
    <w:p>
      <w:pPr>
        <w:jc w:val="both"/>
        <w:ind w:left="540" w:right="80" w:firstLine="400"/>
        <w:spacing w:after="0" w:line="266" w:lineRule="auto"/>
        <w:rPr>
          <w:sz w:val="20"/>
          <w:szCs w:val="20"/>
          <w:color w:val="auto"/>
        </w:rPr>
      </w:pPr>
      <w:r>
        <w:rPr>
          <w:rFonts w:ascii="Arial" w:cs="Arial" w:eastAsia="Arial" w:hAnsi="Arial"/>
          <w:sz w:val="18"/>
          <w:szCs w:val="18"/>
          <w:i w:val="1"/>
          <w:iCs w:val="1"/>
          <w:color w:val="auto"/>
        </w:rPr>
        <w:t xml:space="preserve">“Director Award” </w:t>
      </w:r>
      <w:r>
        <w:rPr>
          <w:rFonts w:ascii="Arial" w:cs="Arial" w:eastAsia="Arial" w:hAnsi="Arial"/>
          <w:sz w:val="18"/>
          <w:szCs w:val="18"/>
          <w:color w:val="auto"/>
        </w:rPr>
        <w:t>means any Stock Award or Non-qualified Stock Options granted, whether singly, in combination or in tandem,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who is a Non-employee Director pursuant to such applicable terms, conditions and limitations as the Board may establish in order to fulfill the objectives of the Plan.</w:t>
      </w:r>
    </w:p>
    <w:p>
      <w:pPr>
        <w:spacing w:after="0" w:line="122" w:lineRule="exact"/>
        <w:rPr>
          <w:sz w:val="20"/>
          <w:szCs w:val="20"/>
          <w:color w:val="auto"/>
        </w:rPr>
      </w:pPr>
    </w:p>
    <w:p>
      <w:pPr>
        <w:ind w:left="540" w:right="220" w:firstLine="400"/>
        <w:spacing w:after="0" w:line="282" w:lineRule="auto"/>
        <w:rPr>
          <w:sz w:val="20"/>
          <w:szCs w:val="20"/>
          <w:color w:val="auto"/>
        </w:rPr>
      </w:pPr>
      <w:r>
        <w:rPr>
          <w:rFonts w:ascii="Arial" w:cs="Arial" w:eastAsia="Arial" w:hAnsi="Arial"/>
          <w:sz w:val="18"/>
          <w:szCs w:val="18"/>
          <w:i w:val="1"/>
          <w:iCs w:val="1"/>
          <w:color w:val="auto"/>
        </w:rPr>
        <w:t xml:space="preserve">“Director Award Agreement” </w:t>
      </w:r>
      <w:r>
        <w:rPr>
          <w:rFonts w:ascii="Arial" w:cs="Arial" w:eastAsia="Arial" w:hAnsi="Arial"/>
          <w:sz w:val="18"/>
          <w:szCs w:val="18"/>
          <w:color w:val="auto"/>
        </w:rPr>
        <w:t>means a written agreement setting forth the terms, conditions and limitations applicable to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Award, to the extent the Board determines such agreement is necessary.</w:t>
      </w:r>
    </w:p>
    <w:p>
      <w:pPr>
        <w:spacing w:after="0" w:line="108" w:lineRule="exact"/>
        <w:rPr>
          <w:sz w:val="20"/>
          <w:szCs w:val="20"/>
          <w:color w:val="auto"/>
        </w:rPr>
      </w:pPr>
    </w:p>
    <w:p>
      <w:pPr>
        <w:ind w:left="540" w:right="100" w:firstLine="400"/>
        <w:spacing w:after="0" w:line="266"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means the Participant is unable to perform each of the essential duties of such Participant's position by reason of a</w:t>
      </w:r>
      <w:r>
        <w:rPr>
          <w:rFonts w:ascii="Arial" w:cs="Arial" w:eastAsia="Arial" w:hAnsi="Arial"/>
          <w:sz w:val="18"/>
          <w:szCs w:val="18"/>
          <w:i w:val="1"/>
          <w:iCs w:val="1"/>
          <w:color w:val="auto"/>
        </w:rPr>
        <w:t xml:space="preserve"> </w:t>
      </w:r>
      <w:r>
        <w:rPr>
          <w:rFonts w:ascii="Arial" w:cs="Arial" w:eastAsia="Arial" w:hAnsi="Arial"/>
          <w:sz w:val="18"/>
          <w:szCs w:val="18"/>
          <w:color w:val="auto"/>
        </w:rPr>
        <w:t>medically determinable physical or mental impairment which is potentially permanent in character or which can be expected to last for a continuous period of not less than 12 months.</w:t>
      </w:r>
    </w:p>
    <w:p>
      <w:pPr>
        <w:spacing w:after="0" w:line="122" w:lineRule="exact"/>
        <w:rPr>
          <w:sz w:val="20"/>
          <w:szCs w:val="20"/>
          <w:color w:val="auto"/>
        </w:rPr>
      </w:pPr>
    </w:p>
    <w:p>
      <w:pPr>
        <w:jc w:val="both"/>
        <w:ind w:left="540" w:right="460" w:firstLine="400"/>
        <w:spacing w:after="0" w:line="266"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means, with respect to Stock Units or shares of Restricted Stock that are to be issued at the end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 Period, an amount equal to all dividends and other distributions (or the economic equivalent thereof) that are payable to shareholders of record during the Restriction Period on a like number of shares of Common Stock.</w:t>
      </w:r>
    </w:p>
    <w:p>
      <w:pPr>
        <w:spacing w:after="0" w:line="122" w:lineRule="exact"/>
        <w:rPr>
          <w:sz w:val="20"/>
          <w:szCs w:val="20"/>
          <w:color w:val="auto"/>
        </w:rPr>
      </w:pPr>
    </w:p>
    <w:p>
      <w:pPr>
        <w:ind w:left="940"/>
        <w:spacing w:after="0"/>
        <w:rPr>
          <w:sz w:val="20"/>
          <w:szCs w:val="20"/>
          <w:color w:val="auto"/>
        </w:rPr>
      </w:pPr>
      <w:r>
        <w:rPr>
          <w:rFonts w:ascii="Arial" w:cs="Arial" w:eastAsia="Arial" w:hAnsi="Arial"/>
          <w:sz w:val="18"/>
          <w:szCs w:val="18"/>
          <w:i w:val="1"/>
          <w:iCs w:val="1"/>
          <w:color w:val="auto"/>
        </w:rPr>
        <w:t xml:space="preserve">“Employee” </w:t>
      </w:r>
      <w:r>
        <w:rPr>
          <w:rFonts w:ascii="Arial" w:cs="Arial" w:eastAsia="Arial" w:hAnsi="Arial"/>
          <w:sz w:val="18"/>
          <w:szCs w:val="18"/>
          <w:color w:val="auto"/>
        </w:rPr>
        <w:t>means an employee of the Company or any of its Affiliates.</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i w:val="1"/>
          <w:iCs w:val="1"/>
          <w:color w:val="auto"/>
        </w:rPr>
        <w:t xml:space="preserve">“Employee Award” </w:t>
      </w:r>
      <w:r>
        <w:rPr>
          <w:rFonts w:ascii="Arial" w:cs="Arial" w:eastAsia="Arial" w:hAnsi="Arial"/>
          <w:sz w:val="18"/>
          <w:szCs w:val="18"/>
          <w:color w:val="auto"/>
        </w:rPr>
        <w:t>means any Option or Stock Award granted, whether singly, in combination or in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679" w:right="239" w:bottom="1440" w:gutter="0" w:footer="0" w:header="0"/>
        </w:sectPr>
      </w:pPr>
    </w:p>
    <w:bookmarkStart w:id="30" w:name="page31"/>
    <w:bookmarkEnd w:id="30"/>
    <w:p>
      <w:pPr>
        <w:ind w:left="140" w:right="580"/>
        <w:spacing w:after="0" w:line="262" w:lineRule="auto"/>
        <w:rPr>
          <w:sz w:val="20"/>
          <w:szCs w:val="20"/>
          <w:color w:val="auto"/>
        </w:rPr>
      </w:pPr>
      <w:r>
        <w:rPr>
          <w:rFonts w:ascii="Arial" w:cs="Arial" w:eastAsia="Arial" w:hAnsi="Arial"/>
          <w:sz w:val="18"/>
          <w:szCs w:val="18"/>
          <w:color w:val="auto"/>
        </w:rPr>
        <w:t>tandem, to a Participant who is an Employee pursuant to such applicable terms, conditions and limitations as the Committee may establish in order to fulfill the objectives of the Plan.</w:t>
      </w:r>
    </w:p>
    <w:p>
      <w:pPr>
        <w:spacing w:after="0" w:line="124" w:lineRule="exact"/>
        <w:rPr>
          <w:sz w:val="20"/>
          <w:szCs w:val="20"/>
          <w:color w:val="auto"/>
        </w:rPr>
      </w:pPr>
    </w:p>
    <w:p>
      <w:pPr>
        <w:ind w:left="140" w:right="600" w:firstLine="400"/>
        <w:spacing w:after="0" w:line="282" w:lineRule="auto"/>
        <w:rPr>
          <w:sz w:val="20"/>
          <w:szCs w:val="20"/>
          <w:color w:val="auto"/>
        </w:rPr>
      </w:pPr>
      <w:r>
        <w:rPr>
          <w:rFonts w:ascii="Arial" w:cs="Arial" w:eastAsia="Arial" w:hAnsi="Arial"/>
          <w:sz w:val="18"/>
          <w:szCs w:val="18"/>
          <w:i w:val="1"/>
          <w:iCs w:val="1"/>
          <w:color w:val="auto"/>
        </w:rPr>
        <w:t xml:space="preserve">“Employee Award Agreement” </w:t>
      </w:r>
      <w:r>
        <w:rPr>
          <w:rFonts w:ascii="Arial" w:cs="Arial" w:eastAsia="Arial" w:hAnsi="Arial"/>
          <w:sz w:val="18"/>
          <w:szCs w:val="18"/>
          <w:color w:val="auto"/>
        </w:rPr>
        <w:t>means a written agreement setting forth the terms, conditions and limitations applicable to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Award, to the extent the Committee determines such agreement is necessary.</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“Equity Award” </w:t>
      </w:r>
      <w:r>
        <w:rPr>
          <w:rFonts w:ascii="Arial" w:cs="Arial" w:eastAsia="Arial" w:hAnsi="Arial"/>
          <w:sz w:val="18"/>
          <w:szCs w:val="18"/>
          <w:color w:val="auto"/>
        </w:rPr>
        <w:t>means any Option or Stock Award granted to a Participant under the Plan.</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71" w:lineRule="exact"/>
        <w:rPr>
          <w:sz w:val="20"/>
          <w:szCs w:val="20"/>
          <w:color w:val="auto"/>
        </w:rPr>
      </w:pPr>
    </w:p>
    <w:p>
      <w:pPr>
        <w:ind w:left="140" w:firstLine="400"/>
        <w:spacing w:after="0" w:line="253"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a share of Common Stock means, as of a particular date, (i) (A) if Common Stock is listed on a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exchange, the closing price per share of such Common Stock on the consolidated transaction reporting system for the principal national securities exchange on which shares of Common Stock are listed on that date, or, if there shall have been no such sale so reported on that date, on the next succeeding date on which such a sale was so reported, (B) if Common Stock is not so listed but is quoted on the NASDAQ National Market, the mean between the highest and lowest sales price per share of Common Stock reported by the NASDAQ National Market on that date, or, if there shall have been no such sale so reported on that date, on the next succeeding date on which such a sale was so reported, or, at the discretion of the Committee, the price prevailing on the NASDAQ National Market at the time of exercise, (C) if Common Stock is not so listed or quoted, the mean between the closing bid and asked price on that date, or, if there are no quotations available for such date, on the next succeeding date on which such quotations shall be available, as reported by the NASDAQ Stock Market, or, if not reported by the NASDAQ Stock Market, by the National Quotation Bureau Incorporated or (D) if Common Stock is not publicly traded, the most recent value determined by an independent appraiser appointed by the Company for such purpose, or (ii) if applicable, the price per share as determined in accordance with the procedures of a third party administrator retained by the Company to administer the Plan.</w:t>
      </w:r>
    </w:p>
    <w:p>
      <w:pPr>
        <w:spacing w:after="0" w:line="135" w:lineRule="exact"/>
        <w:rPr>
          <w:sz w:val="20"/>
          <w:szCs w:val="20"/>
          <w:color w:val="auto"/>
        </w:rPr>
      </w:pPr>
    </w:p>
    <w:p>
      <w:pPr>
        <w:ind w:left="140" w:right="200" w:firstLine="400"/>
        <w:spacing w:after="0" w:line="282" w:lineRule="auto"/>
        <w:rPr>
          <w:sz w:val="20"/>
          <w:szCs w:val="20"/>
          <w:color w:val="auto"/>
        </w:rPr>
      </w:pPr>
      <w:r>
        <w:rPr>
          <w:rFonts w:ascii="Arial" w:cs="Arial" w:eastAsia="Arial" w:hAnsi="Arial"/>
          <w:sz w:val="18"/>
          <w:szCs w:val="18"/>
          <w:i w:val="1"/>
          <w:iCs w:val="1"/>
          <w:color w:val="auto"/>
        </w:rPr>
        <w:t xml:space="preserve">“Grant Date” </w:t>
      </w:r>
      <w:r>
        <w:rPr>
          <w:rFonts w:ascii="Arial" w:cs="Arial" w:eastAsia="Arial" w:hAnsi="Arial"/>
          <w:sz w:val="18"/>
          <w:szCs w:val="18"/>
          <w:color w:val="auto"/>
        </w:rPr>
        <w:t>means the date an Award is granted to a Participant pursuant to the Plan. The Grant Date for a substituted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of the original award.</w:t>
      </w:r>
    </w:p>
    <w:p>
      <w:pPr>
        <w:spacing w:after="0" w:line="108" w:lineRule="exact"/>
        <w:rPr>
          <w:sz w:val="20"/>
          <w:szCs w:val="20"/>
          <w:color w:val="auto"/>
        </w:rPr>
      </w:pPr>
    </w:p>
    <w:p>
      <w:pPr>
        <w:ind w:left="140" w:right="200" w:firstLine="400"/>
        <w:spacing w:after="0" w:line="282" w:lineRule="auto"/>
        <w:rPr>
          <w:sz w:val="20"/>
          <w:szCs w:val="20"/>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means the price at which a Participant may exercise his or her right to receive Common Stock, as applicable,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an Award.</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 Option that is intended to comply with the requirements set forth in Section 422 of the Code.</w:t>
      </w:r>
    </w:p>
    <w:p>
      <w:pPr>
        <w:spacing w:after="0" w:line="171" w:lineRule="exact"/>
        <w:rPr>
          <w:sz w:val="20"/>
          <w:szCs w:val="20"/>
          <w:color w:val="auto"/>
        </w:rPr>
      </w:pPr>
    </w:p>
    <w:p>
      <w:pPr>
        <w:ind w:left="140" w:right="220" w:firstLine="400"/>
        <w:spacing w:after="0" w:line="282" w:lineRule="auto"/>
        <w:rPr>
          <w:sz w:val="20"/>
          <w:szCs w:val="20"/>
          <w:color w:val="auto"/>
        </w:rPr>
      </w:pPr>
      <w:r>
        <w:rPr>
          <w:rFonts w:ascii="Arial" w:cs="Arial" w:eastAsia="Arial" w:hAnsi="Arial"/>
          <w:sz w:val="18"/>
          <w:szCs w:val="18"/>
          <w:i w:val="1"/>
          <w:iCs w:val="1"/>
          <w:color w:val="auto"/>
        </w:rPr>
        <w:t xml:space="preserve">“Joint Venture” </w:t>
      </w:r>
      <w:r>
        <w:rPr>
          <w:rFonts w:ascii="Arial" w:cs="Arial" w:eastAsia="Arial" w:hAnsi="Arial"/>
          <w:sz w:val="18"/>
          <w:szCs w:val="18"/>
          <w:color w:val="auto"/>
        </w:rPr>
        <w:t>means any joint venture or partnership in which the Company has at least 50% ownership, voting, capital or profit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whatever form).</w:t>
      </w:r>
    </w:p>
    <w:p>
      <w:pPr>
        <w:spacing w:after="0" w:line="108" w:lineRule="exact"/>
        <w:rPr>
          <w:sz w:val="20"/>
          <w:szCs w:val="20"/>
          <w:color w:val="auto"/>
        </w:rPr>
      </w:pPr>
    </w:p>
    <w:p>
      <w:pPr>
        <w:ind w:left="140" w:right="40" w:firstLine="400"/>
        <w:spacing w:after="0" w:line="282" w:lineRule="auto"/>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an individual serving as a member of the Board who is not an Employee of the Company 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its Affiliates.</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 Option that is not an Incentive Stock Option.</w:t>
      </w:r>
    </w:p>
    <w:p>
      <w:pPr>
        <w:spacing w:after="0" w:line="171" w:lineRule="exact"/>
        <w:rPr>
          <w:sz w:val="20"/>
          <w:szCs w:val="20"/>
          <w:color w:val="auto"/>
        </w:rPr>
      </w:pPr>
    </w:p>
    <w:p>
      <w:pPr>
        <w:ind w:left="140" w:right="300" w:firstLine="400"/>
        <w:spacing w:after="0" w:line="282" w:lineRule="auto"/>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 right to purchase a specified number of shares of Common Stock at a specified Grant Price, which may be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or a Non-qualified Stock Option.</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Employee or Non-employee Director to whom an Award has been granted under this Plan.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means Common Stock that is restricted or subject to forfeiture provisions.</w:t>
      </w:r>
    </w:p>
    <w:p>
      <w:pPr>
        <w:spacing w:after="0" w:line="171" w:lineRule="exact"/>
        <w:rPr>
          <w:sz w:val="20"/>
          <w:szCs w:val="20"/>
          <w:color w:val="auto"/>
        </w:rPr>
      </w:pPr>
    </w:p>
    <w:p>
      <w:pPr>
        <w:ind w:left="140" w:right="280" w:firstLine="400"/>
        <w:spacing w:after="0" w:line="282" w:lineRule="auto"/>
        <w:rPr>
          <w:sz w:val="20"/>
          <w:szCs w:val="20"/>
          <w:color w:val="auto"/>
        </w:rPr>
      </w:pPr>
      <w:r>
        <w:rPr>
          <w:rFonts w:ascii="Arial" w:cs="Arial" w:eastAsia="Arial" w:hAnsi="Arial"/>
          <w:sz w:val="18"/>
          <w:szCs w:val="18"/>
          <w:i w:val="1"/>
          <w:iCs w:val="1"/>
          <w:color w:val="auto"/>
        </w:rPr>
        <w:t xml:space="preserve">“Restriction Period” </w:t>
      </w:r>
      <w:r>
        <w:rPr>
          <w:rFonts w:ascii="Arial" w:cs="Arial" w:eastAsia="Arial" w:hAnsi="Arial"/>
          <w:sz w:val="18"/>
          <w:szCs w:val="18"/>
          <w:color w:val="auto"/>
        </w:rPr>
        <w:t>means a period of time beginning as of the Grant Date of an Award of Restricted Stock and ending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upon which the Common Stock subject to such Award is no longer restricted or subject to forfeiture provisions.</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“Stock Award” </w:t>
      </w:r>
      <w:r>
        <w:rPr>
          <w:rFonts w:ascii="Arial" w:cs="Arial" w:eastAsia="Arial" w:hAnsi="Arial"/>
          <w:sz w:val="18"/>
          <w:szCs w:val="18"/>
          <w:color w:val="auto"/>
        </w:rPr>
        <w:t>means an Award in the form of shares of Common Stock or Stock Units, including an award of Restricted Stock.</w:t>
      </w:r>
    </w:p>
    <w:p>
      <w:pPr>
        <w:spacing w:after="0" w:line="171" w:lineRule="exact"/>
        <w:rPr>
          <w:sz w:val="20"/>
          <w:szCs w:val="20"/>
          <w:color w:val="auto"/>
        </w:rPr>
      </w:pPr>
    </w:p>
    <w:p>
      <w:pPr>
        <w:ind w:left="140" w:right="180" w:firstLine="400"/>
        <w:spacing w:after="0" w:line="282" w:lineRule="auto"/>
        <w:rPr>
          <w:sz w:val="20"/>
          <w:szCs w:val="20"/>
          <w:color w:val="auto"/>
        </w:rPr>
      </w:pPr>
      <w:r>
        <w:rPr>
          <w:rFonts w:ascii="Arial" w:cs="Arial" w:eastAsia="Arial" w:hAnsi="Arial"/>
          <w:sz w:val="18"/>
          <w:szCs w:val="18"/>
          <w:i w:val="1"/>
          <w:iCs w:val="1"/>
          <w:color w:val="auto"/>
        </w:rPr>
        <w:t xml:space="preserve">“Stock Unit” </w:t>
      </w:r>
      <w:r>
        <w:rPr>
          <w:rFonts w:ascii="Arial" w:cs="Arial" w:eastAsia="Arial" w:hAnsi="Arial"/>
          <w:sz w:val="18"/>
          <w:szCs w:val="18"/>
          <w:color w:val="auto"/>
        </w:rPr>
        <w:t>means a unit equal to one share of Common Stock (as determined by the Committee) granted to either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or a Non-employee Director.</w:t>
      </w:r>
    </w:p>
    <w:p>
      <w:pPr>
        <w:spacing w:after="0" w:line="108" w:lineRule="exact"/>
        <w:rPr>
          <w:sz w:val="20"/>
          <w:szCs w:val="20"/>
          <w:color w:val="auto"/>
        </w:rPr>
      </w:pPr>
    </w:p>
    <w:p>
      <w:pPr>
        <w:ind w:left="140" w:firstLine="400"/>
        <w:spacing w:after="0" w:line="266"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of which the Company directly or indirectly owns shares representing 50% or more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voting power of the shares of all classes or series of capital stock of such corporation which have the right to vote generally on matters submitted to a vote of the shareholders of such corporation.</w:t>
      </w:r>
    </w:p>
    <w:p>
      <w:pPr>
        <w:spacing w:after="0" w:line="122"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357"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000"/>
          </w:cols>
          <w:pgMar w:left="640" w:top="679" w:right="259" w:bottom="1440" w:gutter="0" w:footer="0" w:header="0"/>
        </w:sectPr>
      </w:pPr>
    </w:p>
    <w:bookmarkStart w:id="31" w:name="page32"/>
    <w:bookmarkEnd w:id="31"/>
    <w:p>
      <w:pPr>
        <w:ind w:left="-40" w:right="220" w:firstLine="408"/>
        <w:spacing w:after="0" w:line="282"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Employees eligible for the grant of Employee Awards under this Plan are those who hold positions of responsibility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whose performance, in the judgment of the Committee, can have a significant effect on the success of the Company and its Affiliates.</w:t>
      </w:r>
    </w:p>
    <w:p>
      <w:pPr>
        <w:spacing w:after="0" w:line="107" w:lineRule="exact"/>
        <w:rPr>
          <w:rFonts w:ascii="Arial" w:cs="Arial" w:eastAsia="Arial" w:hAnsi="Arial"/>
          <w:sz w:val="18"/>
          <w:szCs w:val="18"/>
          <w:color w:val="auto"/>
        </w:rPr>
      </w:pPr>
    </w:p>
    <w:p>
      <w:pPr>
        <w:ind w:left="680" w:hanging="31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Directors. </w:t>
      </w:r>
      <w:r>
        <w:rPr>
          <w:rFonts w:ascii="Arial" w:cs="Arial" w:eastAsia="Arial" w:hAnsi="Arial"/>
          <w:sz w:val="18"/>
          <w:szCs w:val="18"/>
          <w:color w:val="auto"/>
        </w:rPr>
        <w:t>Members of the Board eligible for the grant of Director Awards under this Plan are those who are Non-employee Directors.</w:t>
      </w:r>
    </w:p>
    <w:p>
      <w:pPr>
        <w:spacing w:after="0" w:line="171" w:lineRule="exact"/>
        <w:rPr>
          <w:sz w:val="20"/>
          <w:szCs w:val="20"/>
          <w:color w:val="auto"/>
        </w:rPr>
      </w:pPr>
    </w:p>
    <w:p>
      <w:pPr>
        <w:ind w:left="-40" w:firstLine="408"/>
        <w:spacing w:after="0" w:line="252" w:lineRule="auto"/>
        <w:tabs>
          <w:tab w:leader="none" w:pos="61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Available for Awards. </w:t>
      </w:r>
      <w:r>
        <w:rPr>
          <w:rFonts w:ascii="Arial" w:cs="Arial" w:eastAsia="Arial" w:hAnsi="Arial"/>
          <w:sz w:val="18"/>
          <w:szCs w:val="18"/>
          <w:color w:val="auto"/>
        </w:rPr>
        <w:t>Subject to the provisions of paragraph 17 hereof, no Award shall be granted if it shall result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number of shares of Common Stock issued under the Plan plus the number of shares of Common Stock covered by or subject to Awards then outstanding (after giving effect to the grant of the Award in question) to exceed 2,000,000 shares. No more than 1,000,000 shares of Common Stock shall be available for Awards other than Options. The number of shares of Common Stock that are the subject of Awards under this Plan that are forfeited or terminated, or expire unexercised shall again immediately become available for Awards hereunder. If the Grant Price or other purchase price of any Option or other Award granted under the Plan is satisfied by tendering shares of Common Stock to the Company by either actual delivery or by attestation, or if the tax withholding obligation resulting from the settlement of any such Option or other Award is satisfied by tendering or withholding shares of Common Stock, only the number of shares of Common Stock issued net of the shares of Common Stock tendered or withheld shall be deemed delivered for purposes of determining the maximum number of shares of Common Stock available for delivery under the Plan. Shares of Common Stock delivered under the Plan in settlement, assumption or substitution of outstanding awards or obligations to grant future awards under the plans or arrangements of another entity shall not reduce the maximum number of shares of Common Stock available for delivery under the Plan, to the extent that such settlement, assumption or substitution is a result of the Company or an Affiliate acquiring another entity or an interest in another entity. The Committee may from time to time adopt and observe such procedures concerning the counting of shares against the Plan maximum as it may deem appropriate. 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140" w:lineRule="exact"/>
        <w:rPr>
          <w:rFonts w:ascii="Arial" w:cs="Arial" w:eastAsia="Arial" w:hAnsi="Arial"/>
          <w:sz w:val="18"/>
          <w:szCs w:val="18"/>
          <w:color w:val="auto"/>
        </w:rPr>
      </w:pPr>
    </w:p>
    <w:p>
      <w:pPr>
        <w:ind w:left="620" w:hanging="252"/>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(a) This Plan shall be administered by the Committee except as otherwise provided herein.</w:t>
      </w:r>
    </w:p>
    <w:p>
      <w:pPr>
        <w:spacing w:after="0" w:line="189" w:lineRule="exact"/>
        <w:rPr>
          <w:sz w:val="20"/>
          <w:szCs w:val="20"/>
          <w:color w:val="auto"/>
        </w:rPr>
      </w:pPr>
    </w:p>
    <w:p>
      <w:pPr>
        <w:ind w:left="-40" w:right="80" w:firstLine="408"/>
        <w:spacing w:after="0" w:line="251"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provide for the acceleration of the vesting or exercisability of an Employee Award or otherwise amend or modify an Employee Award in any manner that is either (i) not adverse to the Participant to whom such Employee Award was granted or (ii) consented to by such Participant; provided, however, that the Committee may not undertake any actions as described above if such actions would be prohibited by section 409A of the Code and the regulations thereunder, or if such actions would result in the treatment of the Awards granted under this Plan as deferred compensation under section 409A of the Code. The Committee may correct any defect or supply any omission or reconcile any inconsistency in this Plan or in any Award in the manner and to the extent the Committee deems necessary or desirable to further the Plan purposes. Any decision of the Committee, with respect to Employee Awards, in the interpretation and administration of this Plan shall lie within its sole and absolute discretion and shall be final, conclusive and binding on all parties concerned.</w:t>
      </w:r>
    </w:p>
    <w:p>
      <w:pPr>
        <w:spacing w:after="0" w:line="157" w:lineRule="exact"/>
        <w:rPr>
          <w:rFonts w:ascii="Arial" w:cs="Arial" w:eastAsia="Arial" w:hAnsi="Arial"/>
          <w:sz w:val="18"/>
          <w:szCs w:val="18"/>
          <w:color w:val="auto"/>
        </w:rPr>
      </w:pPr>
    </w:p>
    <w:p>
      <w:pPr>
        <w:ind w:left="-40" w:firstLine="408"/>
        <w:spacing w:after="0" w:line="254" w:lineRule="auto"/>
        <w:tabs>
          <w:tab w:leader="none" w:pos="6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member of the Committee or officer of the Company to whom the Committee has delegated authority in accordance with the provisions of paragraph 7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50" w:lineRule="exact"/>
        <w:rPr>
          <w:rFonts w:ascii="Arial" w:cs="Arial" w:eastAsia="Arial" w:hAnsi="Arial"/>
          <w:sz w:val="18"/>
          <w:szCs w:val="18"/>
          <w:color w:val="auto"/>
        </w:rPr>
      </w:pPr>
    </w:p>
    <w:p>
      <w:pPr>
        <w:ind w:left="-40" w:right="20" w:firstLine="408"/>
        <w:spacing w:after="0" w:line="262" w:lineRule="auto"/>
        <w:tabs>
          <w:tab w:leader="none" w:pos="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shall have the same powers, duties, and authority to administer the Plan with respect to Director Awards as the Committee retains with respect to Employee Awards as described above.</w:t>
      </w:r>
    </w:p>
    <w:p>
      <w:pPr>
        <w:spacing w:after="0" w:line="124" w:lineRule="exact"/>
        <w:rPr>
          <w:sz w:val="20"/>
          <w:szCs w:val="20"/>
          <w:color w:val="auto"/>
        </w:rPr>
      </w:pPr>
    </w:p>
    <w:p>
      <w:pPr>
        <w:ind w:left="-40" w:right="260" w:firstLine="408"/>
        <w:spacing w:after="0" w:line="258" w:lineRule="auto"/>
        <w:tabs>
          <w:tab w:leader="none" w:pos="61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Delegation of Authority. </w:t>
      </w:r>
      <w:r>
        <w:rPr>
          <w:rFonts w:ascii="Arial" w:cs="Arial" w:eastAsia="Arial" w:hAnsi="Arial"/>
          <w:sz w:val="18"/>
          <w:szCs w:val="18"/>
          <w:color w:val="auto"/>
        </w:rPr>
        <w:t>Following the authorization of a pool of shares of Common Stock to be available for Awards,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may authorize the Chief Executive Officer of the Company or a committee consisting solely of members of the Board to grant individual Employee Awards from such pool pursuant to such conditions or limitations as the Committee may establish. The Committee may also delegate to the Chief Executive Officer and to other executive officers of the Company its administrative duties under this Plan (excluding its granting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40"/>
          </w:cols>
          <w:pgMar w:left="280" w:top="661" w:right="279" w:bottom="1440" w:gutter="0" w:footer="0" w:header="0"/>
        </w:sectPr>
      </w:pPr>
    </w:p>
    <w:bookmarkStart w:id="32" w:name="page33"/>
    <w:bookmarkEnd w:id="32"/>
    <w:p>
      <w:pPr>
        <w:spacing w:after="0" w:line="262" w:lineRule="auto"/>
        <w:rPr>
          <w:sz w:val="20"/>
          <w:szCs w:val="20"/>
          <w:color w:val="auto"/>
        </w:rPr>
      </w:pPr>
      <w:r>
        <w:rPr>
          <w:rFonts w:ascii="Arial" w:cs="Arial" w:eastAsia="Arial" w:hAnsi="Arial"/>
          <w:sz w:val="18"/>
          <w:szCs w:val="18"/>
          <w:color w:val="auto"/>
        </w:rPr>
        <w:t>authority) pursuant to such conditions or limitations as the Committee may establish. The Committee may engage or authorize the engagement of a third party administrator to carry out administrative functions under the Plan.</w:t>
      </w:r>
    </w:p>
    <w:p>
      <w:pPr>
        <w:spacing w:after="0" w:line="124" w:lineRule="exact"/>
        <w:rPr>
          <w:sz w:val="20"/>
          <w:szCs w:val="20"/>
          <w:color w:val="auto"/>
        </w:rPr>
      </w:pPr>
    </w:p>
    <w:p>
      <w:pPr>
        <w:ind w:right="60" w:firstLine="408"/>
        <w:spacing w:after="0" w:line="254"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Employee Awards. </w:t>
      </w:r>
      <w:r>
        <w:rPr>
          <w:rFonts w:ascii="Arial" w:cs="Arial" w:eastAsia="Arial" w:hAnsi="Arial"/>
          <w:sz w:val="18"/>
          <w:szCs w:val="18"/>
          <w:color w:val="auto"/>
        </w:rPr>
        <w:t>(a) The Committee shall determine the type or types of Employee Awards to be made under this Plan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from time to time the Employees who are to be the recipients of such Awards. Each Employee Award shall be embodied in an Employee Award Agreement, which shall contain such terms, conditions and limitations as shall be determined by the Committee in its sole discretion and shall be signed by the Participant to whom the Employee Award is granted and by an Authorized Officer for and on behalf of the Company. Employee Awards may consist of those listed in this paragraph 8(a) and may be granted singly, in combination or in tandem. All or part of an Employee Award may be subject to conditions established by the Committee, which may include, but are not limited to, continuous service with the Company and its Affiliates, achievement of specific business objectives, increases in specified indices, attainment of specified growth rates and other comparable measurements of performance. Upon the termination of employment by a Participant who is an Employee, any unexercised, deferred, unvested or unpaid Employee Awards shall be treated as set forth in the applicable Employee Award Agreement or as otherwise specified by the Committee.</w:t>
      </w:r>
    </w:p>
    <w:p>
      <w:pPr>
        <w:spacing w:after="0" w:line="132" w:lineRule="exact"/>
        <w:rPr>
          <w:sz w:val="20"/>
          <w:szCs w:val="20"/>
          <w:color w:val="auto"/>
        </w:rPr>
      </w:pPr>
    </w:p>
    <w:p>
      <w:pPr>
        <w:ind w:right="100" w:firstLine="408"/>
        <w:spacing w:after="0" w:line="277"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Option. </w:t>
      </w:r>
      <w:r>
        <w:rPr>
          <w:rFonts w:ascii="Arial" w:cs="Arial" w:eastAsia="Arial" w:hAnsi="Arial"/>
          <w:sz w:val="17"/>
          <w:szCs w:val="17"/>
          <w:color w:val="auto"/>
        </w:rPr>
        <w:t>An Employee Award may be in the form of an Option. On the Grant Date, the Grant Price of an Option shall be not less than</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Market Value of the Common Stock subject to such Option. The term of the Option shall extend no more than 10 years after the Grant Date. Options may not include provisions that “reload” the option upon exercise. Subject to the foregoing provisions, the terms, conditions and limitations applicable to any Options awarded to Employees pursuant to this Plan, including the Grant Price, the term of the Options, the number of shares subject to the Option and the date or dates upon which they become exercisable, shall be determined by the Committee.</w:t>
      </w:r>
    </w:p>
    <w:p>
      <w:pPr>
        <w:spacing w:after="0" w:line="114" w:lineRule="exact"/>
        <w:rPr>
          <w:rFonts w:ascii="Arial" w:cs="Arial" w:eastAsia="Arial" w:hAnsi="Arial"/>
          <w:sz w:val="17"/>
          <w:szCs w:val="17"/>
          <w:color w:val="auto"/>
        </w:rPr>
      </w:pPr>
    </w:p>
    <w:p>
      <w:pPr>
        <w:ind w:right="20" w:firstLine="408"/>
        <w:spacing w:after="0" w:line="258"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Stock Award. </w:t>
      </w:r>
      <w:r>
        <w:rPr>
          <w:rFonts w:ascii="Arial" w:cs="Arial" w:eastAsia="Arial" w:hAnsi="Arial"/>
          <w:sz w:val="18"/>
          <w:szCs w:val="18"/>
          <w:color w:val="auto"/>
        </w:rPr>
        <w:t>An Employee Award may be in the form of a Stock Award. The terms, conditions and limitations applicable to 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Awards granted to Employees pursuant to this Plan shall be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Stock Award shall have a minimum Restriction Period of one year from the Grant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Committee may provide for earlier vesting upon a termination of employment by reason of death, Disability or normal retirement, and (ii) such one-year minimum Restriction Period shall not apply to a Stock Award that is granted in lieu of salary or bonus.</w:t>
      </w:r>
    </w:p>
    <w:p>
      <w:pPr>
        <w:spacing w:after="0" w:line="148" w:lineRule="exact"/>
        <w:rPr>
          <w:sz w:val="20"/>
          <w:szCs w:val="20"/>
          <w:color w:val="auto"/>
        </w:rPr>
      </w:pPr>
    </w:p>
    <w:p>
      <w:pPr>
        <w:ind w:right="300" w:firstLine="408"/>
        <w:spacing w:after="0" w:line="262"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the following limitations shall apply to any Employee Awards made hereunder:</w:t>
      </w:r>
    </w:p>
    <w:p>
      <w:pPr>
        <w:spacing w:after="0" w:line="142" w:lineRule="exact"/>
        <w:rPr>
          <w:sz w:val="20"/>
          <w:szCs w:val="20"/>
          <w:color w:val="auto"/>
        </w:rPr>
      </w:pPr>
    </w:p>
    <w:p>
      <w:pPr>
        <w:ind w:left="660" w:hanging="2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Employee Awards consisting of Options that are exercisable for more than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100,000 shares of Common Stock; and</w:t>
      </w:r>
    </w:p>
    <w:p>
      <w:pPr>
        <w:spacing w:after="0" w:line="171" w:lineRule="exact"/>
        <w:rPr>
          <w:rFonts w:ascii="Arial" w:cs="Arial" w:eastAsia="Arial" w:hAnsi="Arial"/>
          <w:sz w:val="18"/>
          <w:szCs w:val="18"/>
          <w:color w:val="auto"/>
        </w:rPr>
      </w:pPr>
    </w:p>
    <w:p>
      <w:pPr>
        <w:ind w:right="160" w:firstLine="408"/>
        <w:spacing w:after="0" w:line="256"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no Participant may be granted, during any calendar year, Employee Awards consisting of Stock Awards covering or relating to more than 100,000 shares of Common Stock (the limitation set forth in this clause (ii), together with the limitation set forth in clause (i) above, being hereinafter collectively referred to as </w:t>
      </w:r>
      <w:r>
        <w:rPr>
          <w:rFonts w:ascii="Arial" w:cs="Arial" w:eastAsia="Arial" w:hAnsi="Arial"/>
          <w:sz w:val="18"/>
          <w:szCs w:val="18"/>
          <w:i w:val="1"/>
          <w:iCs w:val="1"/>
          <w:color w:val="auto"/>
        </w:rPr>
        <w:t>“Stock Based Awards Limitations”</w:t>
      </w:r>
      <w:r>
        <w:rPr>
          <w:rFonts w:ascii="Arial" w:cs="Arial" w:eastAsia="Arial" w:hAnsi="Arial"/>
          <w:sz w:val="18"/>
          <w:szCs w:val="18"/>
          <w:color w:val="auto"/>
        </w:rPr>
        <w:t>).</w:t>
      </w:r>
    </w:p>
    <w:p>
      <w:pPr>
        <w:spacing w:after="0" w:line="130" w:lineRule="exact"/>
        <w:rPr>
          <w:sz w:val="20"/>
          <w:szCs w:val="20"/>
          <w:color w:val="auto"/>
        </w:rPr>
      </w:pPr>
    </w:p>
    <w:p>
      <w:pPr>
        <w:ind w:left="660" w:hanging="2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Director Awards. </w:t>
      </w:r>
      <w:r>
        <w:rPr>
          <w:rFonts w:ascii="Arial" w:cs="Arial" w:eastAsia="Arial" w:hAnsi="Arial"/>
          <w:sz w:val="18"/>
          <w:szCs w:val="18"/>
          <w:color w:val="auto"/>
        </w:rPr>
        <w:t>(a) The Board may grant Director Awards to the Non-employee Directors of the Company from time to time in</w:t>
      </w:r>
    </w:p>
    <w:p>
      <w:pPr>
        <w:spacing w:after="0" w:line="27" w:lineRule="exact"/>
        <w:rPr>
          <w:rFonts w:ascii="Arial" w:cs="Arial" w:eastAsia="Arial" w:hAnsi="Arial"/>
          <w:sz w:val="18"/>
          <w:szCs w:val="18"/>
          <w:color w:val="auto"/>
        </w:rPr>
      </w:pPr>
    </w:p>
    <w:p>
      <w:pPr>
        <w:ind w:right="40"/>
        <w:spacing w:after="0" w:line="254" w:lineRule="auto"/>
        <w:rPr>
          <w:rFonts w:ascii="Arial" w:cs="Arial" w:eastAsia="Arial" w:hAnsi="Arial"/>
          <w:sz w:val="18"/>
          <w:szCs w:val="18"/>
          <w:color w:val="auto"/>
        </w:rPr>
      </w:pPr>
      <w:r>
        <w:rPr>
          <w:rFonts w:ascii="Arial" w:cs="Arial" w:eastAsia="Arial" w:hAnsi="Arial"/>
          <w:sz w:val="18"/>
          <w:szCs w:val="18"/>
          <w:color w:val="auto"/>
        </w:rPr>
        <w:t>accordance with this paragraph 9. Director Awards may consist of those listed in this paragraph 9 and may be granted singly, in combination or in tandem. Each Director Award shall be embodied in a Director Award Agreement, which shall contain such terms, conditions and limitations as shall be determined by the Board in its sole discretion and, if required by the Board, shall be accepted by the Participant to whom the Director Award is granted and signed by an Authorized Officer for and on behalf of the Company.</w:t>
      </w:r>
    </w:p>
    <w:p>
      <w:pPr>
        <w:spacing w:after="0" w:line="132" w:lineRule="exact"/>
        <w:rPr>
          <w:sz w:val="20"/>
          <w:szCs w:val="20"/>
          <w:color w:val="auto"/>
        </w:rPr>
      </w:pPr>
    </w:p>
    <w:p>
      <w:pPr>
        <w:ind w:right="60" w:firstLine="40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A Director Award may be in the form of a Stock Award. A Non-employee Director may not sell, transfer, assign, pledge</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encumber or dispose of any portion of a Stock Award until he or she terminates service as a Non-employee Director, and any attempt to sell, transfer, assign, pledge or encumber any portion of the Stock Award prior to such time shall have no effect. Any additional terms, conditions and limitations applicable to any Stock Awards granted to a Non-employee Director pursuant to this Plan shall be determined by the Board.</w:t>
      </w:r>
    </w:p>
    <w:p>
      <w:pPr>
        <w:spacing w:after="0" w:line="129" w:lineRule="exact"/>
        <w:rPr>
          <w:rFonts w:ascii="Arial" w:cs="Arial" w:eastAsia="Arial" w:hAnsi="Arial"/>
          <w:sz w:val="18"/>
          <w:szCs w:val="18"/>
          <w:color w:val="auto"/>
        </w:rPr>
      </w:pPr>
    </w:p>
    <w:p>
      <w:pPr>
        <w:ind w:right="20" w:firstLine="408"/>
        <w:spacing w:after="0" w:line="255"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A Director Award may be in the form of a Non-qualified Stock Option. On the Grant Date, the Grant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a Non-qualified Stock Option shall be not less than the Fair Market Value of the Common Stock subject to such Option. The term of the Non-qualified Stock Option shall extend no more than 10 years after the Grant Date. Non-qualified Stock Options may not include provisions that “reload” the option upon exercise. Subject to the foregoing provisions, the terms, conditions and limitations applicable to any Non-qualified Stock Options awarded to Directors pursuant to this Plan, including the Grant Price, the term of the Non-qualified Stock Options, the number of shares subject to the Non-qualified Stock Option and the date or dates upon which they become exercisable, shall be determined by the Committee.</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679" w:right="259" w:bottom="1440" w:gutter="0" w:footer="0" w:header="0"/>
        </w:sectPr>
      </w:pPr>
    </w:p>
    <w:bookmarkStart w:id="33" w:name="page34"/>
    <w:bookmarkEnd w:id="33"/>
    <w:p>
      <w:pPr>
        <w:jc w:val="both"/>
        <w:ind w:firstLine="408"/>
        <w:spacing w:after="0" w:line="25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Plan, no Participant may be granted, during any fiscal year, Director Awards consisting of Stock Awards covering or relating to more than 5,000 shares of Common Stock (the limitation set forth in this paragraph (b) being hereinafter referred to as a </w:t>
      </w:r>
      <w:r>
        <w:rPr>
          <w:rFonts w:ascii="Arial" w:cs="Arial" w:eastAsia="Arial" w:hAnsi="Arial"/>
          <w:sz w:val="18"/>
          <w:szCs w:val="18"/>
          <w:i w:val="1"/>
          <w:iCs w:val="1"/>
          <w:color w:val="auto"/>
        </w:rPr>
        <w:t>“Stock Based Awards Limitation”</w:t>
      </w:r>
      <w:r>
        <w:rPr>
          <w:rFonts w:ascii="Arial" w:cs="Arial" w:eastAsia="Arial" w:hAnsi="Arial"/>
          <w:sz w:val="18"/>
          <w:szCs w:val="18"/>
          <w:color w:val="auto"/>
        </w:rPr>
        <w:t>) or Non-qualified Stock Options for more than 10,000 shares of Common Stock during any fiscal year.</w:t>
      </w:r>
    </w:p>
    <w:p>
      <w:pPr>
        <w:spacing w:after="0" w:line="132" w:lineRule="exact"/>
        <w:rPr>
          <w:sz w:val="20"/>
          <w:szCs w:val="20"/>
          <w:color w:val="auto"/>
        </w:rPr>
      </w:pPr>
    </w:p>
    <w:p>
      <w:pPr>
        <w:ind w:firstLine="408"/>
        <w:spacing w:after="0" w:line="257" w:lineRule="auto"/>
        <w:tabs>
          <w:tab w:leader="none" w:pos="75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Notwithstanding the provisions of paragraphs 8 and 9 hereof, unless otherwise expressly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Award Agreement, or as otherwise specified in the terms of an Equity Award, in the event of a Change in Control during a Participant's employment (or service as a Non-employee Director) with the Company or one of its Affiliates, each Equity Award granted under this Plan to the Participant shall become immediately vested and fully exercisable, with performance-based equity awards vested at target level (regardless of the otherwise applicable vesting or exercise schedules or performance goals provided for under the Award Agreement or the terms of the Equity Award).</w:t>
      </w:r>
    </w:p>
    <w:p>
      <w:pPr>
        <w:spacing w:after="0" w:line="128" w:lineRule="exact"/>
        <w:rPr>
          <w:rFonts w:ascii="Arial" w:cs="Arial" w:eastAsia="Arial" w:hAnsi="Arial"/>
          <w:sz w:val="18"/>
          <w:szCs w:val="18"/>
          <w:color w:val="auto"/>
        </w:rPr>
      </w:pPr>
    </w:p>
    <w:p>
      <w:pPr>
        <w:ind w:left="760" w:hanging="352"/>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Payment of Awards.</w:t>
      </w:r>
    </w:p>
    <w:p>
      <w:pPr>
        <w:spacing w:after="0" w:line="171" w:lineRule="exact"/>
        <w:rPr>
          <w:sz w:val="20"/>
          <w:szCs w:val="20"/>
          <w:color w:val="auto"/>
        </w:rPr>
      </w:pPr>
    </w:p>
    <w:p>
      <w:pPr>
        <w:ind w:right="220" w:firstLine="408"/>
        <w:spacing w:after="0" w:line="255"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Payment made to a Participant pursuant to an Award may be made in the form of Common Stock, and may include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as the Administrator shall determine, including, in the case of Common Stock, restrictions on transfer and forfeiture provisions. If such payment is made in the form of Restricted Stock, the Administrator shall specify whether the underlying shares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Administrator may determine.</w:t>
      </w:r>
    </w:p>
    <w:p>
      <w:pPr>
        <w:spacing w:after="0" w:line="131" w:lineRule="exact"/>
        <w:rPr>
          <w:rFonts w:ascii="Arial" w:cs="Arial" w:eastAsia="Arial" w:hAnsi="Arial"/>
          <w:sz w:val="18"/>
          <w:szCs w:val="18"/>
          <w:color w:val="auto"/>
        </w:rPr>
      </w:pPr>
    </w:p>
    <w:p>
      <w:pPr>
        <w:ind w:firstLine="408"/>
        <w:spacing w:after="0" w:line="26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Dividends, Earnings and Interest. </w:t>
      </w:r>
      <w:r>
        <w:rPr>
          <w:rFonts w:ascii="Arial" w:cs="Arial" w:eastAsia="Arial" w:hAnsi="Arial"/>
          <w:sz w:val="18"/>
          <w:szCs w:val="18"/>
          <w:color w:val="auto"/>
        </w:rPr>
        <w:t>Rights to dividends or Dividend Equivalents may be extended to and made part of any Stock Award,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terms, conditions and restrictions as the Administrator may establish. The Administrator may also establish rules and procedures for the crediting of interest or other earnings on Dividend Equivalents for Stock Awards.</w:t>
      </w:r>
    </w:p>
    <w:p>
      <w:pPr>
        <w:spacing w:after="0" w:line="122" w:lineRule="exact"/>
        <w:rPr>
          <w:sz w:val="20"/>
          <w:szCs w:val="20"/>
          <w:color w:val="auto"/>
        </w:rPr>
      </w:pPr>
    </w:p>
    <w:p>
      <w:pPr>
        <w:ind w:right="100" w:firstLine="408"/>
        <w:spacing w:after="0" w:line="255" w:lineRule="auto"/>
        <w:tabs>
          <w:tab w:leader="none" w:pos="75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Option Exercise. </w:t>
      </w:r>
      <w:r>
        <w:rPr>
          <w:rFonts w:ascii="Arial" w:cs="Arial" w:eastAsia="Arial" w:hAnsi="Arial"/>
          <w:sz w:val="18"/>
          <w:szCs w:val="18"/>
          <w:color w:val="auto"/>
        </w:rPr>
        <w:t>The Grant Price shall be paid in full at the time of exercise in cash or, if permitted by the Committee and elected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optionee, the optionee may purchase such shares by means of tendering Common Stock valued at Fair Market Value on the date of exercise, or any combination thereof. The Committee shall determine acceptable methods for Participants to tender Common Stock or other Awards. The Committee may provide for procedures to permit the exercise or purchase of such Awards by use of the proceeds to be received from the sale of Common Stock issuable pursuant to an Award. The Committee may adopt additional rules and procedures regarding the exercise of Options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rules and procedures are not inconsistent with the provisions of this paragraph, and provided further that such rules and procedures do not result in the further deferral of the taxation of any Awards.</w:t>
      </w:r>
    </w:p>
    <w:p>
      <w:pPr>
        <w:spacing w:after="0" w:line="153" w:lineRule="exact"/>
        <w:rPr>
          <w:sz w:val="20"/>
          <w:szCs w:val="20"/>
          <w:color w:val="auto"/>
        </w:rPr>
      </w:pPr>
    </w:p>
    <w:p>
      <w:pPr>
        <w:ind w:right="20" w:firstLine="390"/>
        <w:spacing w:after="0" w:line="252" w:lineRule="auto"/>
        <w:rPr>
          <w:sz w:val="20"/>
          <w:szCs w:val="20"/>
          <w:color w:val="auto"/>
        </w:rPr>
      </w:pPr>
      <w:r>
        <w:rPr>
          <w:rFonts w:ascii="Arial" w:cs="Arial" w:eastAsia="Arial" w:hAnsi="Arial"/>
          <w:sz w:val="18"/>
          <w:szCs w:val="18"/>
          <w:color w:val="auto"/>
        </w:rPr>
        <w:t>An optionee desiring to pay the Grant Price of an Option by tendering Common Stock using the method of attestation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shares of Common Stock subject to the Option equal to the result obtained by dividing (a) the excess of the aggregate Fair Market Value of the shares of Common Stock subject to the Option for which the Option (or portion thereof) is being exercised over the Grant Price payable in respect of such exercise by (b) the Fair Market Value per share of Common Stock subject to the Option, and the optionee may retain the shares of Common Stock the ownership of which is attested.</w:t>
      </w:r>
    </w:p>
    <w:p>
      <w:pPr>
        <w:spacing w:after="0" w:line="135" w:lineRule="exact"/>
        <w:rPr>
          <w:sz w:val="20"/>
          <w:szCs w:val="20"/>
          <w:color w:val="auto"/>
        </w:rPr>
      </w:pPr>
    </w:p>
    <w:p>
      <w:pPr>
        <w:ind w:right="20" w:firstLine="408"/>
        <w:spacing w:after="0" w:line="255" w:lineRule="auto"/>
        <w:tabs>
          <w:tab w:leader="none" w:pos="75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The Company or its designated third party administrator shall have the right to deduct applicable taxes from any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Award payment and withhold, at the time of delivery or vesting of shares of Common Stock under this Plan, an appropriate amount of cash or number of shares of Common Stock or a combination thereof for payment of taxes or other amounts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Employee Award with respect to which withholding is required. If shares of Common Stock are used to satisfy tax withholding, such shares shall be valued based on the Fair Market Value when the tax withholding is required to be made.</w:t>
      </w:r>
    </w:p>
    <w:p>
      <w:pPr>
        <w:spacing w:after="0" w:line="135" w:lineRule="exact"/>
        <w:rPr>
          <w:rFonts w:ascii="Arial" w:cs="Arial" w:eastAsia="Arial" w:hAnsi="Arial"/>
          <w:sz w:val="18"/>
          <w:szCs w:val="18"/>
          <w:color w:val="auto"/>
        </w:rPr>
      </w:pPr>
    </w:p>
    <w:p>
      <w:pPr>
        <w:ind w:left="760" w:hanging="352"/>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Amendment, Modification, Suspension or Termination of the Plan. </w:t>
      </w:r>
      <w:r>
        <w:rPr>
          <w:rFonts w:ascii="Arial" w:cs="Arial" w:eastAsia="Arial" w:hAnsi="Arial"/>
          <w:sz w:val="18"/>
          <w:szCs w:val="18"/>
          <w:color w:val="auto"/>
        </w:rPr>
        <w:t>The Committee may amend, modify,</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40" w:top="679" w:right="279" w:bottom="1440" w:gutter="0" w:footer="0" w:header="0"/>
        </w:sectPr>
      </w:pPr>
    </w:p>
    <w:bookmarkStart w:id="34" w:name="page35"/>
    <w:bookmarkEnd w:id="34"/>
    <w:p>
      <w:pPr>
        <w:ind w:right="120"/>
        <w:spacing w:after="0" w:line="250" w:lineRule="auto"/>
        <w:rPr>
          <w:sz w:val="20"/>
          <w:szCs w:val="20"/>
          <w:color w:val="auto"/>
        </w:rPr>
      </w:pPr>
      <w:r>
        <w:rPr>
          <w:rFonts w:ascii="Arial" w:cs="Arial" w:eastAsia="Arial" w:hAnsi="Arial"/>
          <w:sz w:val="18"/>
          <w:szCs w:val="18"/>
          <w:color w:val="auto"/>
        </w:rPr>
        <w:t>suspend or terminate this Plan for the purpose of meeting or addressing any changes in legal requirements or for any other purpose permitted by law, except that (i) any amendment, modification, suspension, or termination of paragraph 9 of this Plan shall be approved by the Board,</w:t>
      </w:r>
    </w:p>
    <w:p>
      <w:pPr>
        <w:spacing w:after="0" w:line="1" w:lineRule="exact"/>
        <w:rPr>
          <w:sz w:val="20"/>
          <w:szCs w:val="20"/>
          <w:color w:val="auto"/>
        </w:rPr>
      </w:pPr>
    </w:p>
    <w:p>
      <w:pPr>
        <w:ind w:right="20" w:firstLine="8"/>
        <w:spacing w:after="0" w:line="252" w:lineRule="auto"/>
        <w:tabs>
          <w:tab w:leader="none" w:pos="2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amendment or alteration that would adversely affect the rights of any Participant under any Award previously granted to such Participant shall be made without the consent of such Participant and (iii) no amendment or alteration shall be effective prior to its approval by the shareholders of the Company to the extent such approval is required by applicable legal requirements or the requirements of the securities exchange on which the Company's stock is listed. Furthermore, no amendment, modification, or termination of this Plan shall cause this Plan or the Awards or benefits issued or payable hereunder to be subject to compliance with section 409A of the Code. Notwithstanding anything herein to the contrary, without the prior approval of the Company's shareholders, Options issued under the Plan will not be repriced, replaced, or regranted through cancellation or by decreasing the exercise price of a previously granted Option.</w:t>
      </w:r>
    </w:p>
    <w:p>
      <w:pPr>
        <w:spacing w:after="0" w:line="135" w:lineRule="exact"/>
        <w:rPr>
          <w:rFonts w:ascii="Arial" w:cs="Arial" w:eastAsia="Arial" w:hAnsi="Arial"/>
          <w:sz w:val="18"/>
          <w:szCs w:val="18"/>
          <w:color w:val="auto"/>
        </w:rPr>
      </w:pPr>
    </w:p>
    <w:p>
      <w:pPr>
        <w:ind w:right="80" w:firstLine="408"/>
        <w:spacing w:after="0" w:line="258" w:lineRule="auto"/>
        <w:tabs>
          <w:tab w:leader="none" w:pos="75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Assignability. </w:t>
      </w:r>
      <w:r>
        <w:rPr>
          <w:rFonts w:ascii="Arial" w:cs="Arial" w:eastAsia="Arial" w:hAnsi="Arial"/>
          <w:sz w:val="18"/>
          <w:szCs w:val="18"/>
          <w:color w:val="auto"/>
        </w:rPr>
        <w:t>Unless otherwise determined by the Administrator and provided in the Award Agreement or the terms of the Award, no</w:t>
      </w:r>
      <w:r>
        <w:rPr>
          <w:rFonts w:ascii="Arial" w:cs="Arial" w:eastAsia="Arial" w:hAnsi="Arial"/>
          <w:sz w:val="18"/>
          <w:szCs w:val="18"/>
          <w:i w:val="1"/>
          <w:iCs w:val="1"/>
          <w:color w:val="auto"/>
        </w:rPr>
        <w:t xml:space="preserve"> </w:t>
      </w:r>
      <w:r>
        <w:rPr>
          <w:rFonts w:ascii="Arial" w:cs="Arial" w:eastAsia="Arial" w:hAnsi="Arial"/>
          <w:sz w:val="18"/>
          <w:szCs w:val="18"/>
          <w:color w:val="auto"/>
        </w:rPr>
        <w:t>Award or any other benefit under this Plan shall be assignable or otherwise transferable except by will, beneficiary designation or the laws of descent and distribution. In the event that a beneficiary designation conflicts with an assignment by will, the beneficiary designation will prevail. The Administrator may prescribe and include in applicable Award Agreements or the terms of the Award other restrictions on transfer. Any attempted assignment of an Award or any other benefit under this Plan in violation of this paragraph 15 shall be null and void.</w:t>
      </w:r>
    </w:p>
    <w:p>
      <w:pPr>
        <w:spacing w:after="0" w:line="129" w:lineRule="exact"/>
        <w:rPr>
          <w:rFonts w:ascii="Arial" w:cs="Arial" w:eastAsia="Arial" w:hAnsi="Arial"/>
          <w:sz w:val="18"/>
          <w:szCs w:val="18"/>
          <w:color w:val="auto"/>
        </w:rPr>
      </w:pPr>
    </w:p>
    <w:p>
      <w:pPr>
        <w:ind w:firstLine="408"/>
        <w:spacing w:after="0" w:line="257" w:lineRule="auto"/>
        <w:tabs>
          <w:tab w:leader="none" w:pos="75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(a) The existence of outstanding Awards shall not affect in any manner the right or power of the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47" w:lineRule="exact"/>
        <w:rPr>
          <w:sz w:val="20"/>
          <w:szCs w:val="20"/>
          <w:color w:val="auto"/>
        </w:rPr>
      </w:pPr>
    </w:p>
    <w:p>
      <w:pPr>
        <w:ind w:right="200" w:firstLine="408"/>
        <w:spacing w:after="0" w:line="250" w:lineRule="auto"/>
        <w:tabs>
          <w:tab w:leader="none" w:pos="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event of any subdivision or consolidation of outstanding shares of Common Stock, declaration of a dividend payable in shares of Common Stock or other stock split, then (i) the number of shares of Common Stock reserved under this Plan, (ii) the number of shares of Common Stock covered by outstanding Awards, (iii) the Grant Price or other price in respect of such Awards, (iv) the appropriate Fair Market Value and other price determinations for such Awards, and (v) the Stock Based Awards Limitations shall each be adjusted proportionately by the Board as appropriate to reflect such transaction. In the event of any other recapitalization or capital reorganization of the Company, any consolidation or merger of the Company with another corporation or entity, the adoption by the Company of any plan of exchange affecting Common Stock or any distribution to holders of Common Stock of securities or property (other than normal cash dividends or dividends payable in Common Stock), the Board shall make appropriate adjustments to (i) the number of shares of Common Stock covered by Awards,</w:t>
      </w:r>
    </w:p>
    <w:p>
      <w:pPr>
        <w:spacing w:after="0" w:line="3" w:lineRule="exact"/>
        <w:rPr>
          <w:rFonts w:ascii="Arial" w:cs="Arial" w:eastAsia="Arial" w:hAnsi="Arial"/>
          <w:sz w:val="18"/>
          <w:szCs w:val="18"/>
          <w:color w:val="auto"/>
        </w:rPr>
      </w:pPr>
    </w:p>
    <w:p>
      <w:pPr>
        <w:ind w:right="20" w:firstLine="8"/>
        <w:spacing w:after="0" w:line="252" w:lineRule="auto"/>
        <w:tabs>
          <w:tab w:leader="none" w:pos="2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Grant Price or other price in respect of such Awards, (iii) the appropriate, Fair Market Value and other price determinations for such Awards, and (iv) the Stock Based Awards Limitations to reflect such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adjustments shall only be such as are necessary to maintain the proportionate interest of the holders of the Awards and preserve, without increasing, the value of such Awards. In the event of a corporate merger, consolidation, acquisition of property or stock, separation, reorganization or liquidation, the Board shall be authorized (i) to assume under the Plan previously issued compensatory awards, or to substitute new Awards for previously issued compensatory awards, including Awards, as part of such adjustment or (ii) to cancel Awards that are Options and give the Participants who are the holders of such Awards notice and opportunity to exercise for 30 days prior to such cancellation.</w:t>
      </w:r>
    </w:p>
    <w:p>
      <w:pPr>
        <w:spacing w:after="0" w:line="135" w:lineRule="exact"/>
        <w:rPr>
          <w:sz w:val="20"/>
          <w:szCs w:val="20"/>
          <w:color w:val="auto"/>
        </w:rPr>
      </w:pPr>
    </w:p>
    <w:p>
      <w:pPr>
        <w:ind w:right="80" w:firstLine="408"/>
        <w:spacing w:after="0" w:line="255" w:lineRule="auto"/>
        <w:tabs>
          <w:tab w:leader="none" w:pos="75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No Common Stock or other form of payment shall be issued with respect to any Award unless the Company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satisfied based 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Administrator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Administrator may cause a legend or legends to be placed upon such certificates (if any) to make appropriate reference to such restrictions.</w:t>
      </w:r>
    </w:p>
    <w:p>
      <w:pPr>
        <w:spacing w:after="0" w:line="135" w:lineRule="exact"/>
        <w:rPr>
          <w:rFonts w:ascii="Arial" w:cs="Arial" w:eastAsia="Arial" w:hAnsi="Arial"/>
          <w:sz w:val="18"/>
          <w:szCs w:val="18"/>
          <w:color w:val="auto"/>
        </w:rPr>
      </w:pPr>
    </w:p>
    <w:p>
      <w:pPr>
        <w:ind w:right="180" w:firstLine="408"/>
        <w:spacing w:after="0" w:line="282" w:lineRule="auto"/>
        <w:tabs>
          <w:tab w:leader="none" w:pos="75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Unfunded Plan. </w:t>
      </w:r>
      <w:r>
        <w:rPr>
          <w:rFonts w:ascii="Arial" w:cs="Arial" w:eastAsia="Arial" w:hAnsi="Arial"/>
          <w:sz w:val="18"/>
          <w:szCs w:val="18"/>
          <w:color w:val="auto"/>
        </w:rPr>
        <w:t>This Plan shall be unfunded. Although bookkeeping accounts may be established with respect to Participants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Plan, any such accounts shall be used merely as a bookkeeping convenience,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679" w:right="239" w:bottom="1440" w:gutter="0" w:footer="0" w:header="0"/>
        </w:sectPr>
      </w:pPr>
    </w:p>
    <w:bookmarkStart w:id="35" w:name="page36"/>
    <w:bookmarkEnd w:id="35"/>
    <w:p>
      <w:pPr>
        <w:spacing w:after="0" w:line="252" w:lineRule="auto"/>
        <w:rPr>
          <w:sz w:val="20"/>
          <w:szCs w:val="20"/>
          <w:color w:val="auto"/>
        </w:rPr>
      </w:pPr>
      <w:r>
        <w:rPr>
          <w:rFonts w:ascii="Arial" w:cs="Arial" w:eastAsia="Arial" w:hAnsi="Arial"/>
          <w:sz w:val="18"/>
          <w:szCs w:val="18"/>
          <w:color w:val="auto"/>
        </w:rPr>
        <w:t>including bookkeeping accounts established by a third party administrator retained by the Company to administer the Plan. The Company shall not be required to segregate any assets for purposes of this Plan or Awards hereunder, nor shall the Company, the Board or the Committee be deemed to be a trustee of any benefit to be granted under this Plan. Any liability or obligation of the Company to any Participant with respect to an Award under this Plan shall be based solely upon any contractual obligations that may be created by this Plan and any Award Agreement or the terms of the Award,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35" w:lineRule="exact"/>
        <w:rPr>
          <w:sz w:val="20"/>
          <w:szCs w:val="20"/>
          <w:color w:val="auto"/>
        </w:rPr>
      </w:pPr>
    </w:p>
    <w:p>
      <w:pPr>
        <w:ind w:right="180" w:firstLine="408"/>
        <w:spacing w:after="0" w:line="266" w:lineRule="auto"/>
        <w:tabs>
          <w:tab w:leader="none" w:pos="75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Right to Employment. </w:t>
      </w:r>
      <w:r>
        <w:rPr>
          <w:rFonts w:ascii="Arial" w:cs="Arial" w:eastAsia="Arial" w:hAnsi="Arial"/>
          <w:sz w:val="18"/>
          <w:szCs w:val="18"/>
          <w:color w:val="auto"/>
        </w:rPr>
        <w:t>Nothing in the Plan or an Award Agreement shall interfere with or limit in any way the right of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any Participant's employment or other service relationship at any time, nor confer upon any Participant any right to continue in the capacity in which he or she is employed or otherwise serves the Company.</w:t>
      </w:r>
    </w:p>
    <w:p>
      <w:pPr>
        <w:spacing w:after="0" w:line="122" w:lineRule="exact"/>
        <w:rPr>
          <w:rFonts w:ascii="Arial" w:cs="Arial" w:eastAsia="Arial" w:hAnsi="Arial"/>
          <w:sz w:val="18"/>
          <w:szCs w:val="18"/>
          <w:color w:val="auto"/>
        </w:rPr>
      </w:pPr>
    </w:p>
    <w:p>
      <w:pPr>
        <w:ind w:right="400" w:firstLine="408"/>
        <w:spacing w:after="0" w:line="266" w:lineRule="auto"/>
        <w:tabs>
          <w:tab w:leader="none" w:pos="75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Successors. </w:t>
      </w:r>
      <w:r>
        <w:rPr>
          <w:rFonts w:ascii="Arial" w:cs="Arial" w:eastAsia="Arial" w:hAnsi="Arial"/>
          <w:sz w:val="18"/>
          <w:szCs w:val="18"/>
          <w:color w:val="auto"/>
        </w:rPr>
        <w:t>All obligations of the Company under the Plan with respect to Awards granted hereunder shall be binding on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to the Company, whether the existence of such successor is the result of a direct or indirect purchase, merger, consolidation, or otherwise, of all or substantially all of the business and/or assets of the Company.</w:t>
      </w:r>
    </w:p>
    <w:p>
      <w:pPr>
        <w:spacing w:after="0" w:line="122" w:lineRule="exact"/>
        <w:rPr>
          <w:rFonts w:ascii="Arial" w:cs="Arial" w:eastAsia="Arial" w:hAnsi="Arial"/>
          <w:sz w:val="18"/>
          <w:szCs w:val="18"/>
          <w:color w:val="auto"/>
        </w:rPr>
      </w:pPr>
    </w:p>
    <w:p>
      <w:pPr>
        <w:ind w:right="120" w:firstLine="408"/>
        <w:spacing w:after="0" w:line="266" w:lineRule="auto"/>
        <w:tabs>
          <w:tab w:leader="none" w:pos="75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Plan and all determinations made and actions taken pursuant hereto, to the extent not otherwise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provisions of the Code or the securities laws of the United States, shall be governed by and construed in accordance with the laws of the State of Iowa.</w:t>
      </w:r>
    </w:p>
    <w:p>
      <w:pPr>
        <w:spacing w:after="0" w:line="122" w:lineRule="exact"/>
        <w:rPr>
          <w:rFonts w:ascii="Arial" w:cs="Arial" w:eastAsia="Arial" w:hAnsi="Arial"/>
          <w:sz w:val="18"/>
          <w:szCs w:val="18"/>
          <w:color w:val="auto"/>
        </w:rPr>
      </w:pPr>
    </w:p>
    <w:p>
      <w:pPr>
        <w:jc w:val="both"/>
        <w:ind w:right="980" w:firstLine="408"/>
        <w:spacing w:after="0" w:line="282" w:lineRule="auto"/>
        <w:tabs>
          <w:tab w:leader="none" w:pos="75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w:t>
      </w:r>
      <w:r>
        <w:rPr>
          <w:rFonts w:ascii="Arial" w:cs="Arial" w:eastAsia="Arial" w:hAnsi="Arial"/>
          <w:sz w:val="18"/>
          <w:szCs w:val="18"/>
          <w:color w:val="auto"/>
        </w:rPr>
        <w:t>The Plan will be submitted to the shareholders of the Company for approval at the 2004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scheduled to be held on January 13, 2004 and, if approved, will become retroactively effective as of January 1, 2004.</w:t>
      </w:r>
    </w:p>
    <w:p>
      <w:pPr>
        <w:spacing w:after="0" w:line="107" w:lineRule="exact"/>
        <w:rPr>
          <w:rFonts w:ascii="Arial" w:cs="Arial" w:eastAsia="Arial" w:hAnsi="Arial"/>
          <w:sz w:val="18"/>
          <w:szCs w:val="18"/>
          <w:color w:val="auto"/>
        </w:rPr>
      </w:pPr>
    </w:p>
    <w:p>
      <w:pPr>
        <w:ind w:left="760" w:hanging="35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No Awards shall be made under the Plan after January 1, 2014.</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40" w:top="679" w:right="279"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20"/>
          <w:szCs w:val="20"/>
          <w:b w:val="1"/>
          <w:bCs w:val="1"/>
          <w:color w:val="auto"/>
        </w:rPr>
        <w:t>Exhibit 31.1</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CERTIFICATION BY CHIEF EXECUTIVE OFFICER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19"/>
        <w:spacing w:after="0"/>
        <w:rPr>
          <w:sz w:val="20"/>
          <w:szCs w:val="20"/>
          <w:color w:val="auto"/>
        </w:rPr>
      </w:pPr>
      <w:r>
        <w:rPr>
          <w:rFonts w:ascii="Arial" w:cs="Arial" w:eastAsia="Arial" w:hAnsi="Arial"/>
          <w:sz w:val="20"/>
          <w:szCs w:val="20"/>
          <w:b w:val="1"/>
          <w:bCs w:val="1"/>
          <w:color w:val="auto"/>
        </w:rPr>
        <w:t>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 Randy Potts, Chief Executive Officer of Winnebago Industries, Inc.,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11" w:lineRule="exact"/>
        <w:rPr>
          <w:rFonts w:ascii="Arial" w:cs="Arial" w:eastAsia="Arial" w:hAnsi="Arial"/>
          <w:sz w:val="18"/>
          <w:szCs w:val="18"/>
          <w:color w:val="auto"/>
        </w:rPr>
      </w:pPr>
    </w:p>
    <w:p>
      <w:pPr>
        <w:ind w:left="660" w:right="2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2" w:lineRule="exact"/>
        <w:rPr>
          <w:rFonts w:ascii="Arial" w:cs="Arial" w:eastAsia="Arial" w:hAnsi="Arial"/>
          <w:sz w:val="18"/>
          <w:szCs w:val="18"/>
          <w:color w:val="auto"/>
        </w:rPr>
      </w:pPr>
    </w:p>
    <w:p>
      <w:pPr>
        <w:ind w:left="660" w:right="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11" w:lineRule="exact"/>
        <w:rPr>
          <w:rFonts w:ascii="Arial" w:cs="Arial" w:eastAsia="Arial" w:hAnsi="Arial"/>
          <w:sz w:val="18"/>
          <w:szCs w:val="18"/>
          <w:color w:val="auto"/>
        </w:rPr>
      </w:pPr>
    </w:p>
    <w:p>
      <w:pPr>
        <w:ind w:left="1300" w:right="1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02" w:lineRule="exact"/>
        <w:rPr>
          <w:rFonts w:ascii="Arial" w:cs="Arial" w:eastAsia="Arial" w:hAnsi="Arial"/>
          <w:sz w:val="18"/>
          <w:szCs w:val="18"/>
          <w:color w:val="auto"/>
        </w:rPr>
      </w:pPr>
    </w:p>
    <w:p>
      <w:pPr>
        <w:ind w:left="1300" w:right="1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ind w:left="1300" w:right="8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202" w:lineRule="exact"/>
        <w:rPr>
          <w:rFonts w:ascii="Arial" w:cs="Arial" w:eastAsia="Arial" w:hAnsi="Arial"/>
          <w:sz w:val="18"/>
          <w:szCs w:val="18"/>
          <w:color w:val="auto"/>
        </w:rPr>
      </w:pPr>
    </w:p>
    <w:p>
      <w:pPr>
        <w:ind w:left="1300" w:right="14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300" w:right="860" w:hanging="320"/>
        <w:spacing w:after="0" w:line="246"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372" w:lineRule="exact"/>
        <w:rPr>
          <w:sz w:val="20"/>
          <w:szCs w:val="20"/>
          <w:color w:val="auto"/>
        </w:rPr>
      </w:pPr>
    </w:p>
    <w:p>
      <w:pPr>
        <w:ind w:left="40"/>
        <w:spacing w:after="0"/>
        <w:tabs>
          <w:tab w:leader="none" w:pos="134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 2011</w:t>
      </w:r>
      <w:r>
        <w:rPr>
          <w:sz w:val="20"/>
          <w:szCs w:val="20"/>
          <w:color w:val="auto"/>
        </w:rPr>
        <w:tab/>
      </w:r>
      <w:r>
        <w:rPr>
          <w:rFonts w:ascii="Arial" w:cs="Arial" w:eastAsia="Arial" w:hAnsi="Arial"/>
          <w:sz w:val="17"/>
          <w:szCs w:val="17"/>
          <w:color w:val="auto"/>
        </w:rPr>
        <w:t>/s/ Randy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Randy Potts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20"/>
          </w:cols>
          <w:pgMar w:left="240" w:top="571" w:right="33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20"/>
          <w:szCs w:val="20"/>
          <w:b w:val="1"/>
          <w:bCs w:val="1"/>
          <w:color w:val="auto"/>
        </w:rPr>
        <w:t>Exhibit 31.2</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CERTIFICATION BY CHIEF FINANCIAL OFFICER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19"/>
        <w:spacing w:after="0"/>
        <w:rPr>
          <w:sz w:val="20"/>
          <w:szCs w:val="20"/>
          <w:color w:val="auto"/>
        </w:rPr>
      </w:pPr>
      <w:r>
        <w:rPr>
          <w:rFonts w:ascii="Arial" w:cs="Arial" w:eastAsia="Arial" w:hAnsi="Arial"/>
          <w:sz w:val="20"/>
          <w:szCs w:val="20"/>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11" w:lineRule="exact"/>
        <w:rPr>
          <w:rFonts w:ascii="Arial" w:cs="Arial" w:eastAsia="Arial" w:hAnsi="Arial"/>
          <w:sz w:val="18"/>
          <w:szCs w:val="18"/>
          <w:color w:val="auto"/>
        </w:rPr>
      </w:pPr>
    </w:p>
    <w:p>
      <w:pPr>
        <w:ind w:left="660" w:right="2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2" w:lineRule="exact"/>
        <w:rPr>
          <w:rFonts w:ascii="Arial" w:cs="Arial" w:eastAsia="Arial" w:hAnsi="Arial"/>
          <w:sz w:val="18"/>
          <w:szCs w:val="18"/>
          <w:color w:val="auto"/>
        </w:rPr>
      </w:pPr>
    </w:p>
    <w:p>
      <w:pPr>
        <w:ind w:left="660" w:right="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11" w:lineRule="exact"/>
        <w:rPr>
          <w:rFonts w:ascii="Arial" w:cs="Arial" w:eastAsia="Arial" w:hAnsi="Arial"/>
          <w:sz w:val="18"/>
          <w:szCs w:val="18"/>
          <w:color w:val="auto"/>
        </w:rPr>
      </w:pPr>
    </w:p>
    <w:p>
      <w:pPr>
        <w:ind w:left="1300" w:right="1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02" w:lineRule="exact"/>
        <w:rPr>
          <w:rFonts w:ascii="Arial" w:cs="Arial" w:eastAsia="Arial" w:hAnsi="Arial"/>
          <w:sz w:val="18"/>
          <w:szCs w:val="18"/>
          <w:color w:val="auto"/>
        </w:rPr>
      </w:pPr>
    </w:p>
    <w:p>
      <w:pPr>
        <w:ind w:left="1300" w:right="1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ind w:left="1300" w:right="8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202" w:lineRule="exact"/>
        <w:rPr>
          <w:rFonts w:ascii="Arial" w:cs="Arial" w:eastAsia="Arial" w:hAnsi="Arial"/>
          <w:sz w:val="18"/>
          <w:szCs w:val="18"/>
          <w:color w:val="auto"/>
        </w:rPr>
      </w:pPr>
    </w:p>
    <w:p>
      <w:pPr>
        <w:ind w:left="1300" w:right="14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300" w:right="860" w:hanging="320"/>
        <w:spacing w:after="0" w:line="246"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372" w:lineRule="exact"/>
        <w:rPr>
          <w:sz w:val="20"/>
          <w:szCs w:val="20"/>
          <w:color w:val="auto"/>
        </w:rPr>
      </w:pPr>
    </w:p>
    <w:p>
      <w:pPr>
        <w:ind w:left="40"/>
        <w:spacing w:after="0"/>
        <w:tabs>
          <w:tab w:leader="none" w:pos="12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 2011</w:t>
      </w:r>
      <w:r>
        <w:rPr>
          <w:sz w:val="20"/>
          <w:szCs w:val="20"/>
          <w:color w:val="auto"/>
        </w:rPr>
        <w:tab/>
      </w:r>
      <w:r>
        <w:rPr>
          <w:rFonts w:ascii="Arial" w:cs="Arial" w:eastAsia="Arial" w:hAnsi="Arial"/>
          <w:sz w:val="18"/>
          <w:szCs w:val="18"/>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N. Nielsen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20"/>
          </w:cols>
          <w:pgMar w:left="240" w:top="571" w:right="3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20"/>
          <w:szCs w:val="20"/>
          <w:b w:val="1"/>
          <w:bCs w:val="1"/>
          <w:color w:val="auto"/>
        </w:rPr>
        <w:t>Exhibit 32.1</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59"/>
        <w:spacing w:after="0"/>
        <w:rPr>
          <w:sz w:val="20"/>
          <w:szCs w:val="20"/>
          <w:color w:val="auto"/>
        </w:rPr>
      </w:pPr>
      <w:r>
        <w:rPr>
          <w:rFonts w:ascii="Arial" w:cs="Arial" w:eastAsia="Arial" w:hAnsi="Arial"/>
          <w:sz w:val="20"/>
          <w:szCs w:val="20"/>
          <w:b w:val="1"/>
          <w:bCs w:val="1"/>
          <w:color w:val="auto"/>
        </w:rPr>
        <w:t>(18 U.S.C. SECTION 1350)</w:t>
      </w:r>
    </w:p>
    <w:p>
      <w:pPr>
        <w:spacing w:after="0" w:line="38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this Quarterly Report on Form 10-Q of Winnebago Industries, Inc. for the period ended May 28, 2011, I, Randy Potts, Chief Executive Officer and President of Winnebago Industries, Inc., certify that pursuant to 18 U.S.C. §1350 as adopted pursuant to §906 of the Sarbanes-Oxley Act of 2002, that:</w:t>
      </w:r>
    </w:p>
    <w:p>
      <w:pPr>
        <w:spacing w:after="0" w:line="202" w:lineRule="exact"/>
        <w:rPr>
          <w:sz w:val="20"/>
          <w:szCs w:val="20"/>
          <w:color w:val="auto"/>
        </w:rPr>
      </w:pPr>
    </w:p>
    <w:p>
      <w:pPr>
        <w:jc w:val="both"/>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28, 2011 as filed with the Securities and Exchange Commission on the date of this certificate, which this statement accompanies, fully complies with the requirements of Section 13(a) or 15(d) of the Securities Exchange Act of 1934, and</w:t>
      </w:r>
    </w:p>
    <w:p>
      <w:pPr>
        <w:spacing w:after="0" w:line="202" w:lineRule="exact"/>
        <w:rPr>
          <w:rFonts w:ascii="Arial" w:cs="Arial" w:eastAsia="Arial" w:hAnsi="Arial"/>
          <w:sz w:val="18"/>
          <w:szCs w:val="18"/>
          <w:color w:val="auto"/>
        </w:rPr>
      </w:pPr>
    </w:p>
    <w:p>
      <w:pPr>
        <w:ind w:left="660" w:right="780" w:hanging="328"/>
        <w:spacing w:after="0" w:line="24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372" w:lineRule="exact"/>
        <w:rPr>
          <w:sz w:val="20"/>
          <w:szCs w:val="20"/>
          <w:color w:val="auto"/>
        </w:rPr>
      </w:pPr>
    </w:p>
    <w:p>
      <w:pPr>
        <w:ind w:left="40"/>
        <w:spacing w:after="0"/>
        <w:tabs>
          <w:tab w:leader="none" w:pos="134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 2011</w:t>
      </w:r>
      <w:r>
        <w:rPr>
          <w:sz w:val="20"/>
          <w:szCs w:val="20"/>
          <w:color w:val="auto"/>
        </w:rPr>
        <w:tab/>
      </w:r>
      <w:r>
        <w:rPr>
          <w:rFonts w:ascii="Arial" w:cs="Arial" w:eastAsia="Arial" w:hAnsi="Arial"/>
          <w:sz w:val="17"/>
          <w:szCs w:val="17"/>
          <w:color w:val="auto"/>
        </w:rPr>
        <w:t>/s/ Randy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Randy Potts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60"/>
          </w:cols>
          <w:pgMar w:left="240" w:top="571" w:right="29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20"/>
          <w:szCs w:val="20"/>
          <w:b w:val="1"/>
          <w:bCs w:val="1"/>
          <w:color w:val="auto"/>
        </w:rPr>
        <w:t>Exhibit 32.2</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59"/>
        <w:spacing w:after="0"/>
        <w:rPr>
          <w:sz w:val="20"/>
          <w:szCs w:val="20"/>
          <w:color w:val="auto"/>
        </w:rPr>
      </w:pPr>
      <w:r>
        <w:rPr>
          <w:rFonts w:ascii="Arial" w:cs="Arial" w:eastAsia="Arial" w:hAnsi="Arial"/>
          <w:sz w:val="20"/>
          <w:szCs w:val="20"/>
          <w:b w:val="1"/>
          <w:bCs w:val="1"/>
          <w:color w:val="auto"/>
        </w:rPr>
        <w:t>(18 U.S.C. SECTION 1350)</w:t>
      </w:r>
    </w:p>
    <w:p>
      <w:pPr>
        <w:spacing w:after="0" w:line="191" w:lineRule="exact"/>
        <w:rPr>
          <w:sz w:val="20"/>
          <w:szCs w:val="20"/>
          <w:color w:val="auto"/>
        </w:rPr>
      </w:pPr>
    </w:p>
    <w:p>
      <w:pPr>
        <w:jc w:val="both"/>
        <w:ind w:right="200"/>
        <w:spacing w:after="0" w:line="256" w:lineRule="auto"/>
        <w:rPr>
          <w:sz w:val="20"/>
          <w:szCs w:val="20"/>
          <w:color w:val="auto"/>
        </w:rPr>
      </w:pPr>
      <w:r>
        <w:rPr>
          <w:rFonts w:ascii="Arial" w:cs="Arial" w:eastAsia="Arial" w:hAnsi="Arial"/>
          <w:sz w:val="16"/>
          <w:szCs w:val="16"/>
          <w:color w:val="auto"/>
        </w:rPr>
        <w:t>I</w:t>
      </w:r>
      <w:r>
        <w:rPr>
          <w:rFonts w:ascii="Arial" w:cs="Arial" w:eastAsia="Arial" w:hAnsi="Arial"/>
          <w:sz w:val="18"/>
          <w:szCs w:val="18"/>
          <w:color w:val="auto"/>
        </w:rPr>
        <w:t>n connection with this Quarterly Report on Form 10-Q of Winnebago Industries, Inc. for the period ended May 28, 2011, I, Sarah N. Nielsen,</w:t>
      </w:r>
      <w:r>
        <w:rPr>
          <w:rFonts w:ascii="Arial" w:cs="Arial" w:eastAsia="Arial" w:hAnsi="Arial"/>
          <w:sz w:val="16"/>
          <w:szCs w:val="16"/>
          <w:color w:val="auto"/>
        </w:rPr>
        <w:t xml:space="preserve"> </w:t>
      </w:r>
      <w:r>
        <w:rPr>
          <w:rFonts w:ascii="Arial" w:cs="Arial" w:eastAsia="Arial" w:hAnsi="Arial"/>
          <w:sz w:val="18"/>
          <w:szCs w:val="18"/>
          <w:color w:val="auto"/>
        </w:rPr>
        <w:t>Chief Financial Officer of Winnebago Industries, Inc., certify that pursuant to 18 U.S.C. §1350 as adopted pursuant to §906 of the Sarbanes-Oxley Act of 2002, that:</w:t>
      </w:r>
    </w:p>
    <w:p>
      <w:pPr>
        <w:spacing w:after="0" w:line="202" w:lineRule="exact"/>
        <w:rPr>
          <w:sz w:val="20"/>
          <w:szCs w:val="20"/>
          <w:color w:val="auto"/>
        </w:rPr>
      </w:pPr>
    </w:p>
    <w:p>
      <w:pPr>
        <w:jc w:val="both"/>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28, 2011 as filed with the Securities and Exchange Commission on the date of this certificate, which this statement accompanies, fully complies with the requirements of Section 13(a) or 15(d) of the Securities Exchange Act of 1934, and</w:t>
      </w:r>
    </w:p>
    <w:p>
      <w:pPr>
        <w:spacing w:after="0" w:line="202" w:lineRule="exact"/>
        <w:rPr>
          <w:rFonts w:ascii="Arial" w:cs="Arial" w:eastAsia="Arial" w:hAnsi="Arial"/>
          <w:sz w:val="18"/>
          <w:szCs w:val="18"/>
          <w:color w:val="auto"/>
        </w:rPr>
      </w:pPr>
    </w:p>
    <w:p>
      <w:pPr>
        <w:ind w:left="660" w:right="780" w:hanging="328"/>
        <w:spacing w:after="0" w:line="24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372" w:lineRule="exact"/>
        <w:rPr>
          <w:sz w:val="20"/>
          <w:szCs w:val="20"/>
          <w:color w:val="auto"/>
        </w:rPr>
      </w:pPr>
    </w:p>
    <w:p>
      <w:pPr>
        <w:ind w:left="40"/>
        <w:spacing w:after="0"/>
        <w:tabs>
          <w:tab w:leader="none" w:pos="12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 2011</w:t>
      </w:r>
      <w:r>
        <w:rPr>
          <w:sz w:val="20"/>
          <w:szCs w:val="20"/>
          <w:color w:val="auto"/>
        </w:rPr>
        <w:tab/>
      </w:r>
      <w:r>
        <w:rPr>
          <w:rFonts w:ascii="Arial" w:cs="Arial" w:eastAsia="Arial" w:hAnsi="Arial"/>
          <w:sz w:val="18"/>
          <w:szCs w:val="18"/>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N. Nielsen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60"/>
      </w:cols>
      <w:pgMar w:left="240" w:top="5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upperLetter"/>
      <w:start w:val="2"/>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lvl w:ilvl="1">
      <w:lvlJc w:val="left"/>
      <w:lvlText w:val="◦"/>
      <w:numFmt w:val="bullet"/>
      <w:start w:val="1"/>
    </w:lvl>
  </w:abstractNum>
  <w:abstractNum w:abstractNumId="6">
    <w:nsid w:val="6763845E"/>
    <w:multiLevelType w:val="hybridMultilevel"/>
    <w:lvl w:ilvl="0">
      <w:lvlJc w:val="left"/>
      <w:lvlText w:val="•"/>
      <w:numFmt w:val="bullet"/>
      <w:start w:val="1"/>
    </w:lvl>
    <w:lvl w:ilvl="1">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3"/>
    </w:lvl>
  </w:abstractNum>
  <w:abstractNum w:abstractNumId="15">
    <w:nsid w:val="2CA88611"/>
    <w:multiLevelType w:val="hybridMultilevel"/>
    <w:lvl w:ilvl="0">
      <w:lvlJc w:val="left"/>
      <w:lvlText w:val="%1."/>
      <w:numFmt w:val="decimal"/>
      <w:start w:val="4"/>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decimal"/>
      <w:start w:val="5"/>
    </w:lvl>
  </w:abstractNum>
  <w:abstractNum w:abstractNumId="18">
    <w:nsid w:val="3A95F874"/>
    <w:multiLevelType w:val="hybridMultilevel"/>
    <w:lvl w:ilvl="0">
      <w:lvlJc w:val="left"/>
      <w:lvlText w:val="(%1)"/>
      <w:numFmt w:val="lowerLetter"/>
      <w:start w:val="2"/>
    </w:lvl>
  </w:abstractNum>
  <w:abstractNum w:abstractNumId="19">
    <w:nsid w:val="8138641"/>
    <w:multiLevelType w:val="hybridMultilevel"/>
    <w:lvl w:ilvl="0">
      <w:lvlJc w:val="left"/>
      <w:lvlText w:val="%1."/>
      <w:numFmt w:val="decimal"/>
      <w:start w:val="7"/>
    </w:lvl>
  </w:abstractNum>
  <w:abstractNum w:abstractNumId="20">
    <w:nsid w:val="1E7FF521"/>
    <w:multiLevelType w:val="hybridMultilevel"/>
    <w:lvl w:ilvl="0">
      <w:lvlJc w:val="left"/>
      <w:lvlText w:val="%1."/>
      <w:numFmt w:val="decimal"/>
      <w:start w:val="8"/>
    </w:lvl>
  </w:abstractNum>
  <w:abstractNum w:abstractNumId="21">
    <w:nsid w:val="7C3DBD3D"/>
    <w:multiLevelType w:val="hybridMultilevel"/>
    <w:lvl w:ilvl="0">
      <w:lvlJc w:val="left"/>
      <w:lvlText w:val="(%1)"/>
      <w:numFmt w:val="lowerRoman"/>
      <w:start w:val="1"/>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lowerRoman"/>
      <w:start w:val="1"/>
    </w:lvl>
  </w:abstractNum>
  <w:abstractNum w:abstractNumId="24">
    <w:nsid w:val="22221A70"/>
    <w:multiLevelType w:val="hybridMultilevel"/>
    <w:lvl w:ilvl="0">
      <w:lvlJc w:val="left"/>
      <w:lvlText w:val="%1."/>
      <w:numFmt w:val="decimal"/>
      <w:start w:val="9"/>
    </w:lvl>
  </w:abstractNum>
  <w:abstractNum w:abstractNumId="25">
    <w:nsid w:val="4516DDE9"/>
    <w:multiLevelType w:val="hybridMultilevel"/>
    <w:lvl w:ilvl="0">
      <w:lvlJc w:val="left"/>
      <w:lvlText w:val="(%1)"/>
      <w:numFmt w:val="lowerRoman"/>
      <w:start w:val="1"/>
    </w:lvl>
  </w:abstractNum>
  <w:abstractNum w:abstractNumId="26">
    <w:nsid w:val="3006C83E"/>
    <w:multiLevelType w:val="hybridMultilevel"/>
    <w:lvl w:ilvl="0">
      <w:lvlJc w:val="left"/>
      <w:lvlText w:val="(%1)"/>
      <w:numFmt w:val="lowerLetter"/>
      <w:start w:val="2"/>
    </w:lvl>
  </w:abstractNum>
  <w:abstractNum w:abstractNumId="27">
    <w:nsid w:val="614FD4A1"/>
    <w:multiLevelType w:val="hybridMultilevel"/>
    <w:lvl w:ilvl="0">
      <w:lvlJc w:val="left"/>
      <w:lvlText w:val="%1."/>
      <w:numFmt w:val="decimal"/>
      <w:start w:val="10"/>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decimal"/>
      <w:start w:val="12"/>
    </w:lvl>
  </w:abstractNum>
  <w:abstractNum w:abstractNumId="30">
    <w:nsid w:val="440BADFC"/>
    <w:multiLevelType w:val="hybridMultilevel"/>
    <w:lvl w:ilvl="0">
      <w:lvlJc w:val="left"/>
      <w:lvlText w:val="%1."/>
      <w:numFmt w:val="decimal"/>
      <w:start w:val="13"/>
    </w:lvl>
  </w:abstractNum>
  <w:abstractNum w:abstractNumId="31">
    <w:nsid w:val="5072367"/>
    <w:multiLevelType w:val="hybridMultilevel"/>
    <w:lvl w:ilvl="0">
      <w:lvlJc w:val="left"/>
      <w:lvlText w:val="(%1)"/>
      <w:numFmt w:val="lowerRoman"/>
      <w:start w:val="2"/>
    </w:lvl>
    <w:lvl w:ilvl="1">
      <w:lvlJc w:val="left"/>
      <w:lvlText w:val="%2."/>
      <w:numFmt w:val="decimal"/>
      <w:start w:val="15"/>
    </w:lvl>
  </w:abstractNum>
  <w:abstractNum w:abstractNumId="32">
    <w:nsid w:val="3804823E"/>
    <w:multiLevelType w:val="hybridMultilevel"/>
    <w:lvl w:ilvl="0">
      <w:lvlJc w:val="left"/>
      <w:lvlText w:val="%1"/>
      <w:numFmt w:val="lowerLetter"/>
      <w:start w:val="1"/>
    </w:lvl>
    <w:lvl w:ilvl="1">
      <w:lvlJc w:val="left"/>
      <w:lvlText w:val="(%2)"/>
      <w:numFmt w:val="lowerLetter"/>
      <w:start w:val="2"/>
    </w:lvl>
  </w:abstractNum>
  <w:abstractNum w:abstractNumId="33">
    <w:nsid w:val="77465F01"/>
    <w:multiLevelType w:val="hybridMultilevel"/>
    <w:lvl w:ilvl="0">
      <w:lvlJc w:val="left"/>
      <w:lvlText w:val="(%1)"/>
      <w:numFmt w:val="lowerLetter"/>
      <w:start w:val="35"/>
    </w:lvl>
    <w:lvl w:ilvl="1">
      <w:lvlJc w:val="left"/>
      <w:lvlText w:val="%2"/>
      <w:numFmt w:val="lowerLetter"/>
      <w:start w:val="1"/>
    </w:lvl>
  </w:abstractNum>
  <w:abstractNum w:abstractNumId="34">
    <w:nsid w:val="7724C67E"/>
    <w:multiLevelType w:val="hybridMultilevel"/>
    <w:lvl w:ilvl="0">
      <w:lvlJc w:val="left"/>
      <w:lvlText w:val="%1."/>
      <w:numFmt w:val="decimal"/>
      <w:start w:val="17"/>
    </w:lvl>
  </w:abstractNum>
  <w:abstractNum w:abstractNumId="35">
    <w:nsid w:val="5C482A97"/>
    <w:multiLevelType w:val="hybridMultilevel"/>
    <w:lvl w:ilvl="0">
      <w:lvlJc w:val="left"/>
      <w:lvlText w:val="%1."/>
      <w:numFmt w:val="decimal"/>
      <w:start w:val="19"/>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2019-12-10T04:41:54Z</dcterms:created>
  <dcterms:modified xsi:type="dcterms:W3CDTF">2019-12-10T04:41:54Z</dcterms:modified>
</cp:coreProperties>
</file>