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E2A35"/>
        </w:rPr>
        <w:t xml:space="preserve">Filed by the Registrant </w:t>
      </w:r>
      <w:r>
        <w:rPr>
          <w:rFonts w:ascii="MS PGothic" w:cs="MS PGothic" w:eastAsia="MS PGothic" w:hAnsi="MS PGothic"/>
          <w:sz w:val="18"/>
          <w:szCs w:val="18"/>
          <w:color w:val="0E2A35"/>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E2A35"/>
        </w:rPr>
        <w:t xml:space="preserve">Filed by party other than the Registrant </w:t>
      </w:r>
      <w:r>
        <w:rPr>
          <w:rFonts w:ascii="MS PGothic" w:cs="MS PGothic" w:eastAsia="MS PGothic" w:hAnsi="MS PGothic"/>
          <w:sz w:val="18"/>
          <w:szCs w:val="18"/>
          <w:color w:val="0E2A35"/>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2A35"/>
        </w:rPr>
        <w:t>Check the appropriate box:</w:t>
      </w:r>
    </w:p>
    <w:p>
      <w:pPr>
        <w:spacing w:after="0" w:line="117"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Preliminary Proxy Statement</w:t>
      </w:r>
    </w:p>
    <w:p>
      <w:pPr>
        <w:spacing w:after="0" w:line="113"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b w:val="1"/>
          <w:bCs w:val="1"/>
          <w:color w:val="0E2A35"/>
        </w:rPr>
        <w:t>Confidential, For Use of the Commission Only (as permitted by Rule 14a-6(e)(2))</w:t>
      </w:r>
    </w:p>
    <w:p>
      <w:pPr>
        <w:spacing w:after="0" w:line="121" w:lineRule="exact"/>
        <w:rPr>
          <w:rFonts w:ascii="MS PGothic" w:cs="MS PGothic" w:eastAsia="MS PGothic" w:hAnsi="MS PGothic"/>
          <w:sz w:val="18"/>
          <w:szCs w:val="18"/>
          <w:color w:val="0E2A35"/>
        </w:rPr>
      </w:pPr>
    </w:p>
    <w:p>
      <w:pPr>
        <w:ind w:left="440" w:hanging="436"/>
        <w:spacing w:after="0"/>
        <w:tabs>
          <w:tab w:leader="none" w:pos="440" w:val="left"/>
        </w:tabs>
        <w:numPr>
          <w:ilvl w:val="0"/>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Definitive Proxy Statement</w:t>
      </w:r>
    </w:p>
    <w:p>
      <w:pPr>
        <w:spacing w:after="0" w:line="117"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Definitive Additional Materials</w:t>
      </w:r>
    </w:p>
    <w:p>
      <w:pPr>
        <w:spacing w:after="0" w:line="117"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197485</wp:posOffset>
            </wp:positionV>
            <wp:extent cx="2202815"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0E2A35"/>
        </w:rPr>
        <w:t> </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2A35"/>
        </w:rPr>
        <w:t> </w:t>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0E2A35"/>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0E2A35"/>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0E2A35"/>
        </w:rPr>
        <w:t>(Name of Person(s) Filing Proxy Statement, if Other than the Registrant)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2A35"/>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No fee required.</w:t>
      </w:r>
    </w:p>
    <w:p>
      <w:pPr>
        <w:spacing w:after="0" w:line="117" w:lineRule="exact"/>
        <w:rPr>
          <w:rFonts w:ascii="MS PGothic" w:cs="MS PGothic" w:eastAsia="MS PGothic" w:hAnsi="MS PGothic"/>
          <w:sz w:val="18"/>
          <w:szCs w:val="18"/>
          <w:color w:val="0E2A35"/>
        </w:rPr>
      </w:pPr>
    </w:p>
    <w:p>
      <w:pPr>
        <w:ind w:left="400" w:hanging="392"/>
        <w:spacing w:after="0"/>
        <w:tabs>
          <w:tab w:leader="none" w:pos="400" w:val="left"/>
        </w:tabs>
        <w:numPr>
          <w:ilvl w:val="1"/>
          <w:numId w:val="2"/>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Fee computed on table below per Exchange Act Rules 14a-6(i)(1) and 0-11.</w:t>
      </w:r>
    </w:p>
    <w:p>
      <w:pPr>
        <w:spacing w:after="0" w:line="117" w:lineRule="exact"/>
        <w:rPr>
          <w:rFonts w:ascii="MS PGothic" w:cs="MS PGothic" w:eastAsia="MS PGothic" w:hAnsi="MS PGothic"/>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Title of each class of securities to which transaction applies:</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Aggregate number of securities to which transaction applies:</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780" w:right="40" w:hanging="385"/>
        <w:spacing w:after="0" w:line="282" w:lineRule="auto"/>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Per unit price or other underlying value of transaction computed pursuant to Exchange Act Rule 0-11 (set forth the amount on which the filing fee is calculated and state how it was determined):</w:t>
      </w:r>
    </w:p>
    <w:p>
      <w:pPr>
        <w:spacing w:after="0" w:line="391" w:lineRule="exact"/>
        <w:rPr>
          <w:rFonts w:ascii="Times New Roman" w:cs="Times New Roman" w:eastAsia="Times New Roman" w:hAnsi="Times New Roman"/>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Proposed maximum aggregate value of transaction:</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Total fee paid:</w:t>
      </w:r>
    </w:p>
    <w:p>
      <w:pPr>
        <w:spacing w:after="0" w:line="200" w:lineRule="exact"/>
        <w:rPr>
          <w:rFonts w:ascii="Times New Roman" w:cs="Times New Roman" w:eastAsia="Times New Roman" w:hAnsi="Times New Roman"/>
          <w:sz w:val="18"/>
          <w:szCs w:val="18"/>
          <w:color w:val="0E2A35"/>
        </w:rPr>
      </w:pPr>
    </w:p>
    <w:p>
      <w:pPr>
        <w:spacing w:after="0" w:line="241" w:lineRule="exact"/>
        <w:rPr>
          <w:rFonts w:ascii="Times New Roman" w:cs="Times New Roman" w:eastAsia="Times New Roman" w:hAnsi="Times New Roman"/>
          <w:sz w:val="18"/>
          <w:szCs w:val="18"/>
          <w:color w:val="0E2A35"/>
        </w:rPr>
      </w:pPr>
    </w:p>
    <w:p>
      <w:pPr>
        <w:ind w:left="400" w:hanging="392"/>
        <w:spacing w:after="0"/>
        <w:tabs>
          <w:tab w:leader="none" w:pos="400" w:val="left"/>
        </w:tabs>
        <w:numPr>
          <w:ilvl w:val="1"/>
          <w:numId w:val="2"/>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Fee paid previously with preliminary materials.</w:t>
      </w:r>
    </w:p>
    <w:p>
      <w:pPr>
        <w:spacing w:after="0" w:line="117" w:lineRule="exact"/>
        <w:rPr>
          <w:rFonts w:ascii="MS PGothic" w:cs="MS PGothic" w:eastAsia="MS PGothic" w:hAnsi="MS PGothic"/>
          <w:sz w:val="18"/>
          <w:szCs w:val="18"/>
          <w:color w:val="0E2A35"/>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Amount previously paid:</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Form, Schedule or Registration Statement No.:</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780" w:hanging="385"/>
        <w:spacing w:after="0"/>
        <w:tabs>
          <w:tab w:leader="none" w:pos="780" w:val="left"/>
        </w:tabs>
        <w:numPr>
          <w:ilvl w:val="2"/>
          <w:numId w:val="2"/>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257175</wp:posOffset>
            </wp:positionV>
            <wp:extent cx="5674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-161925</wp:posOffset>
            </wp:positionV>
            <wp:extent cx="5674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-582295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-1679575</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-2099310</wp:posOffset>
            </wp:positionV>
            <wp:extent cx="5674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-2519680</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-3076575</wp:posOffset>
            </wp:positionV>
            <wp:extent cx="5674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-3496945</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ectPr>
          <w:pgSz w:w="11900" w:h="16838" w:orient="portrait"/>
          <w:cols w:equalWidth="0" w:num="1">
            <w:col w:w="9660"/>
          </w:cols>
          <w:pgMar w:left="1080" w:top="223" w:right="115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780" w:hanging="385"/>
        <w:spacing w:after="0"/>
        <w:tabs>
          <w:tab w:leader="none" w:pos="780" w:val="left"/>
        </w:tabs>
        <w:numPr>
          <w:ilvl w:val="0"/>
          <w:numId w:val="3"/>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Date filed:</w:t>
      </w:r>
    </w:p>
    <w:p>
      <w:pPr>
        <w:sectPr>
          <w:pgSz w:w="11900" w:h="16838" w:orient="portrait"/>
          <w:cols w:equalWidth="0" w:num="1">
            <w:col w:w="9660"/>
          </w:cols>
          <w:pgMar w:left="1080" w:top="223" w:right="1159" w:bottom="0" w:gutter="0" w:footer="0" w:header="0"/>
          <w:type w:val="continuous"/>
        </w:sectPr>
      </w:pPr>
    </w:p>
    <w:bookmarkStart w:id="1" w:name="page2"/>
    <w:bookmarkEnd w:id="1"/>
    <w:p>
      <w:pPr>
        <w:spacing w:after="0"/>
        <w:tabs>
          <w:tab w:leader="none" w:pos="7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637540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1185545</wp:posOffset>
            </wp:positionH>
            <wp:positionV relativeFrom="page">
              <wp:posOffset>294640</wp:posOffset>
            </wp:positionV>
            <wp:extent cx="5674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448945</wp:posOffset>
            </wp:positionV>
            <wp:extent cx="6172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509270</wp:posOffset>
            </wp:positionV>
            <wp:extent cx="61722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-8890</wp:posOffset>
            </wp:positionV>
            <wp:extent cx="6995160" cy="905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136525</wp:posOffset>
            </wp:positionV>
            <wp:extent cx="6900545" cy="894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0545" cy="89408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161925</wp:posOffset>
            </wp:positionV>
            <wp:extent cx="2854325" cy="1911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50"/>
          <w:szCs w:val="50"/>
          <w:b w:val="1"/>
          <w:bCs w:val="1"/>
          <w:color w:val="0E2A35"/>
        </w:rPr>
        <w:t>Dear Fellow</w:t>
      </w:r>
    </w:p>
    <w:p>
      <w:pPr>
        <w:spacing w:after="0" w:line="58" w:lineRule="exact"/>
        <w:rPr>
          <w:sz w:val="20"/>
          <w:szCs w:val="20"/>
          <w:color w:val="auto"/>
        </w:rPr>
      </w:pPr>
    </w:p>
    <w:p>
      <w:pPr>
        <w:spacing w:after="0"/>
        <w:tabs>
          <w:tab w:leader="none" w:pos="4760" w:val="left"/>
        </w:tabs>
        <w:rPr>
          <w:sz w:val="20"/>
          <w:szCs w:val="20"/>
          <w:color w:val="auto"/>
        </w:rPr>
      </w:pPr>
      <w:r>
        <w:rPr>
          <w:rFonts w:ascii="Arial" w:cs="Arial" w:eastAsia="Arial" w:hAnsi="Arial"/>
          <w:sz w:val="41"/>
          <w:szCs w:val="41"/>
          <w:b w:val="1"/>
          <w:bCs w:val="1"/>
          <w:color w:val="0E2A35"/>
        </w:rPr>
        <w:t>Shareholders,</w:t>
      </w:r>
      <w:r>
        <w:rPr>
          <w:sz w:val="20"/>
          <w:szCs w:val="20"/>
          <w:color w:val="auto"/>
        </w:rPr>
        <w:tab/>
      </w:r>
      <w:r>
        <w:rPr>
          <w:rFonts w:ascii="Arial" w:cs="Arial" w:eastAsia="Arial" w:hAnsi="Arial"/>
          <w:sz w:val="30"/>
          <w:szCs w:val="30"/>
          <w:color w:val="0E2A35"/>
          <w:vertAlign w:val="subscript"/>
        </w:rPr>
        <w:t> </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0E2A35"/>
        </w:rPr>
        <w:t> </w:t>
      </w:r>
    </w:p>
    <w:p>
      <w:pPr>
        <w:sectPr>
          <w:pgSz w:w="11900" w:h="16838" w:orient="portrait"/>
          <w:cols w:equalWidth="0" w:num="1">
            <w:col w:w="9280"/>
          </w:cols>
          <w:pgMar w:left="1300" w:top="263" w:right="1319" w:bottom="1440" w:gutter="0" w:footer="0" w:header="0"/>
        </w:sectPr>
      </w:pPr>
    </w:p>
    <w:p>
      <w:pPr>
        <w:spacing w:after="0" w:line="22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E2A35"/>
        </w:rPr>
        <w:t>Winnebago Industries’ performance during fiscal 2022 underscores the success of our ongoing evolution, diligent execution of our consistent strategy, and strong market position. Fiscal 2022 marked a year of record sales, profitability and market share. This included a major milestone for Grand Design, our largest brand, which reached a new market share summit during fiscal 2022. During the year, we also continued to grow our emerging marine portfolio through the successful integration of Barletta, one of the fastest growing brands in the booming pontoon category.</w:t>
      </w:r>
    </w:p>
    <w:p>
      <w:pPr>
        <w:spacing w:after="0" w:line="33"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Our robust performance continues to create opportunities for strategic investments in our business and further position our Company to deliver enhanced value for our customers and shareholders. One of these opportunities lies in developing an intimate knowledge of our customer base and leveraging proprietary insights to inform a robust pipeline of new innovation and capitalize on consumers’ evolving tastes. Our manufacturing investments include strategic expansion and improvement projects underway at Barletta, Chris-Craft and Newmar, which will enable us to better meet future demand, while creating operational resiliency and efficiency amid ongoing supply chain constraints and inflation.</w:t>
      </w:r>
    </w:p>
    <w:p>
      <w:pPr>
        <w:spacing w:after="0" w:line="3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0E2A35"/>
        </w:rPr>
        <w:t>Our premium portfolio of outdoor lifestyle brands and products, which we have transformed with a focus on the golden threads of quality, innovation and service, continues to resonate with increasingly diverse and passionate consumers. We demonstrated our commitment to developing advanced technology and disruptive innovation with the unveiling of the Winnebago-branded e-RV, the industry’s first all-electric zero emission motorhome concept, and celebrated our legacy of operational excellence and enduring quality when, on March 15, 2022, Winnebago became the first industry brand to reach production of its 500,000th motorhome.</w:t>
      </w:r>
    </w:p>
    <w:p>
      <w:pPr>
        <w:spacing w:after="0" w:line="6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0E2A35"/>
        </w:rPr>
        <w:t>Corporate responsibility remains central to our efforts to building a better, more sustainable future and our mission to “Be great, outdoors.” Fiscal 2022 marked continued progress instilling impactful environmental, social and governance practices across our organization. It also marked a year of record giving through the Winnebago Foundation, having donated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653415</wp:posOffset>
            </wp:positionV>
            <wp:extent cx="146558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$2 million to our community partners. Through ongoing and new partnerships with the National Park Foundation, Camber Outdoors, and the Make-A-Wish Foundation, we partner to expand outdoor equity and provide increased access to children and historically underserved groups. Finally in fiscal 2022, we introduced All-In-Outdoors, a new platform that brings to life our approach to Inclusion, Diversity, Equity and Action in the workplace, in the communities in which we operate and with our industry partners.</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0E2A35"/>
        </w:rPr>
        <w:t>On behalf of the Board of Directors, we would like to thank director Bob Chiusano, who is not standing for re-election upon expiration of his current term, for his service and support to Winnebago Industries. His business and governance experience has greatly contributed to our company during his fourteen years of service on our Board. We will miss his quality of character and commitment to our vision. We were also saddened by the loss this past July of fellow director Maria Blase in July, and recognize the intellect, passion and insight she brought to the Board during her service.</w:t>
      </w:r>
    </w:p>
    <w:p>
      <w:pPr>
        <w:spacing w:after="0" w:line="4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0E2A35"/>
        </w:rPr>
        <w:t>The following proxy statement contains several items to be voted on at our upcoming annual meeting of shareholders, which will be conducted virtually on December 13, 2022. We value your input on these matters and recommend that you vote for these items as described in this proxy statement.</w:t>
      </w:r>
    </w:p>
    <w:p>
      <w:pPr>
        <w:spacing w:after="0" w:line="41" w:lineRule="exact"/>
        <w:rPr>
          <w:sz w:val="20"/>
          <w:szCs w:val="20"/>
          <w:color w:val="auto"/>
        </w:rPr>
      </w:pPr>
    </w:p>
    <w:p>
      <w:pPr>
        <w:ind w:right="460"/>
        <w:spacing w:after="0" w:line="261" w:lineRule="auto"/>
        <w:rPr>
          <w:sz w:val="20"/>
          <w:szCs w:val="20"/>
          <w:color w:val="auto"/>
        </w:rPr>
      </w:pPr>
      <w:r>
        <w:rPr>
          <w:rFonts w:ascii="Arial" w:cs="Arial" w:eastAsia="Arial" w:hAnsi="Arial"/>
          <w:sz w:val="16"/>
          <w:szCs w:val="16"/>
          <w:color w:val="0E2A35"/>
        </w:rPr>
        <w:t>Thank you for your investment in our business. We appreciate your continued support and confidence in Winnebago Industries’ ability to deliver value to our shareholders and enable families to enjoy the outdoors.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1148715"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87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David W. Miles,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174879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Michael J. Happe,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President and Chief Executive Officer</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190500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540" w:space="220"/>
            <w:col w:w="4520"/>
          </w:cols>
          <w:pgMar w:left="1300" w:top="263" w:right="13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161925</wp:posOffset>
            </wp:positionV>
            <wp:extent cx="1337310" cy="52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3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0" w:type="dxa"/>
            <w:vAlign w:val="bottom"/>
            <w:gridSpan w:val="2"/>
          </w:tcPr>
          <w:p>
            <w:pPr>
              <w:spacing w:after="0"/>
              <w:rPr>
                <w:sz w:val="20"/>
                <w:szCs w:val="20"/>
                <w:color w:val="auto"/>
              </w:rPr>
            </w:pPr>
            <w:r>
              <w:rPr>
                <w:rFonts w:ascii="Arial" w:cs="Arial" w:eastAsia="Arial" w:hAnsi="Arial"/>
                <w:sz w:val="27"/>
                <w:szCs w:val="27"/>
                <w:b w:val="1"/>
                <w:bCs w:val="1"/>
                <w:color w:val="0E2A35"/>
              </w:rPr>
              <w:t>Notice of Annual Meeting of Shareholders</w:t>
            </w:r>
          </w:p>
        </w:tc>
        <w:tc>
          <w:tcPr>
            <w:tcW w:w="2280" w:type="dxa"/>
            <w:vAlign w:val="bottom"/>
          </w:tcPr>
          <w:p>
            <w:pPr>
              <w:spacing w:after="0"/>
              <w:rPr>
                <w:sz w:val="24"/>
                <w:szCs w:val="24"/>
                <w:color w:val="auto"/>
              </w:rPr>
            </w:pPr>
          </w:p>
        </w:tc>
      </w:tr>
      <w:tr>
        <w:trPr>
          <w:trHeight w:val="372"/>
        </w:trPr>
        <w:tc>
          <w:tcPr>
            <w:tcW w:w="7000" w:type="dxa"/>
            <w:vAlign w:val="bottom"/>
            <w:gridSpan w:val="2"/>
          </w:tcPr>
          <w:p>
            <w:pPr>
              <w:spacing w:after="0"/>
              <w:rPr>
                <w:sz w:val="20"/>
                <w:szCs w:val="20"/>
                <w:color w:val="auto"/>
              </w:rPr>
            </w:pPr>
            <w:r>
              <w:rPr>
                <w:rFonts w:ascii="Arial" w:cs="Arial" w:eastAsia="Arial" w:hAnsi="Arial"/>
                <w:sz w:val="27"/>
                <w:szCs w:val="27"/>
                <w:b w:val="1"/>
                <w:bCs w:val="1"/>
                <w:color w:val="0E2A35"/>
              </w:rPr>
              <w:t>to be held December 13, 2022</w:t>
            </w:r>
          </w:p>
        </w:tc>
        <w:tc>
          <w:tcPr>
            <w:tcW w:w="2280" w:type="dxa"/>
            <w:vAlign w:val="bottom"/>
          </w:tcPr>
          <w:p>
            <w:pPr>
              <w:ind w:left="180"/>
              <w:spacing w:after="0"/>
              <w:rPr>
                <w:sz w:val="20"/>
                <w:szCs w:val="20"/>
                <w:color w:val="auto"/>
              </w:rPr>
            </w:pPr>
            <w:r>
              <w:rPr>
                <w:rFonts w:ascii="Arial" w:cs="Arial" w:eastAsia="Arial" w:hAnsi="Arial"/>
                <w:sz w:val="18"/>
                <w:szCs w:val="18"/>
                <w:color w:val="0E2A35"/>
              </w:rPr>
              <w:t> </w:t>
            </w:r>
          </w:p>
        </w:tc>
      </w:tr>
      <w:tr>
        <w:trPr>
          <w:trHeight w:val="156"/>
        </w:trPr>
        <w:tc>
          <w:tcPr>
            <w:tcW w:w="24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716"/>
        </w:trPr>
        <w:tc>
          <w:tcPr>
            <w:tcW w:w="2460" w:type="dxa"/>
            <w:vAlign w:val="bottom"/>
            <w:shd w:val="clear" w:color="auto" w:fill="0E2A35"/>
          </w:tcPr>
          <w:p>
            <w:pPr>
              <w:ind w:left="140"/>
              <w:spacing w:after="0"/>
              <w:rPr>
                <w:sz w:val="20"/>
                <w:szCs w:val="20"/>
                <w:color w:val="auto"/>
              </w:rPr>
            </w:pPr>
            <w:r>
              <w:rPr>
                <w:rFonts w:ascii="Arial" w:cs="Arial" w:eastAsia="Arial" w:hAnsi="Arial"/>
                <w:sz w:val="16"/>
                <w:szCs w:val="16"/>
                <w:color w:val="FFFFFF"/>
              </w:rPr>
              <w:t> </w:t>
            </w:r>
          </w:p>
        </w:tc>
        <w:tc>
          <w:tcPr>
            <w:tcW w:w="4540" w:type="dxa"/>
            <w:vAlign w:val="bottom"/>
            <w:shd w:val="clear" w:color="auto" w:fill="0E2A35"/>
          </w:tcPr>
          <w:p>
            <w:pPr>
              <w:ind w:left="560"/>
              <w:spacing w:after="0"/>
              <w:rPr>
                <w:sz w:val="20"/>
                <w:szCs w:val="20"/>
                <w:color w:val="auto"/>
              </w:rPr>
            </w:pPr>
            <w:r>
              <w:rPr>
                <w:rFonts w:ascii="Arial" w:cs="Arial" w:eastAsia="Arial" w:hAnsi="Arial"/>
                <w:sz w:val="16"/>
                <w:szCs w:val="16"/>
                <w:color w:val="FFFFFF"/>
              </w:rPr>
              <w:t> </w:t>
            </w:r>
          </w:p>
        </w:tc>
        <w:tc>
          <w:tcPr>
            <w:tcW w:w="2280" w:type="dxa"/>
            <w:vAlign w:val="bottom"/>
            <w:shd w:val="clear" w:color="auto" w:fill="0E2A35"/>
          </w:tcPr>
          <w:p>
            <w:pPr>
              <w:ind w:left="780"/>
              <w:spacing w:after="0"/>
              <w:rPr>
                <w:sz w:val="20"/>
                <w:szCs w:val="20"/>
                <w:color w:val="auto"/>
              </w:rPr>
            </w:pPr>
            <w:r>
              <w:rPr>
                <w:rFonts w:ascii="Arial" w:cs="Arial" w:eastAsia="Arial" w:hAnsi="Arial"/>
                <w:sz w:val="16"/>
                <w:szCs w:val="16"/>
                <w:color w:val="FFFFFF"/>
              </w:rPr>
              <w:t> </w:t>
            </w:r>
          </w:p>
        </w:tc>
      </w:tr>
      <w:tr>
        <w:trPr>
          <w:trHeight w:val="202"/>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b w:val="1"/>
                <w:bCs w:val="1"/>
                <w:color w:val="FFFFFF"/>
              </w:rPr>
              <w:t>Time and Date:</w:t>
            </w:r>
          </w:p>
        </w:tc>
        <w:tc>
          <w:tcPr>
            <w:tcW w:w="4540" w:type="dxa"/>
            <w:vAlign w:val="bottom"/>
            <w:shd w:val="clear" w:color="auto" w:fill="0E2A35"/>
          </w:tcPr>
          <w:p>
            <w:pPr>
              <w:jc w:val="center"/>
              <w:ind w:left="659"/>
              <w:spacing w:after="0"/>
              <w:rPr>
                <w:sz w:val="20"/>
                <w:szCs w:val="20"/>
                <w:color w:val="auto"/>
              </w:rPr>
            </w:pPr>
            <w:r>
              <w:rPr>
                <w:rFonts w:ascii="Arial" w:cs="Arial" w:eastAsia="Arial" w:hAnsi="Arial"/>
                <w:sz w:val="16"/>
                <w:szCs w:val="16"/>
                <w:b w:val="1"/>
                <w:bCs w:val="1"/>
                <w:color w:val="FFFFFF"/>
              </w:rPr>
              <w:t>Place:</w:t>
            </w:r>
          </w:p>
        </w:tc>
        <w:tc>
          <w:tcPr>
            <w:tcW w:w="2280" w:type="dxa"/>
            <w:vAlign w:val="bottom"/>
            <w:shd w:val="clear" w:color="auto" w:fill="0E2A35"/>
          </w:tcPr>
          <w:p>
            <w:pPr>
              <w:jc w:val="center"/>
              <w:ind w:left="697"/>
              <w:spacing w:after="0"/>
              <w:rPr>
                <w:sz w:val="20"/>
                <w:szCs w:val="20"/>
                <w:color w:val="auto"/>
              </w:rPr>
            </w:pPr>
            <w:r>
              <w:rPr>
                <w:rFonts w:ascii="Arial" w:cs="Arial" w:eastAsia="Arial" w:hAnsi="Arial"/>
                <w:sz w:val="16"/>
                <w:szCs w:val="16"/>
                <w:b w:val="1"/>
                <w:bCs w:val="1"/>
                <w:color w:val="FFFFFF"/>
              </w:rPr>
              <w:t>Record Date:</w:t>
            </w:r>
          </w:p>
        </w:tc>
      </w:tr>
      <w:tr>
        <w:trPr>
          <w:trHeight w:val="216"/>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Tuesday,</w:t>
            </w:r>
          </w:p>
        </w:tc>
        <w:tc>
          <w:tcPr>
            <w:tcW w:w="4540" w:type="dxa"/>
            <w:vAlign w:val="bottom"/>
            <w:shd w:val="clear" w:color="auto" w:fill="0E2A35"/>
          </w:tcPr>
          <w:p>
            <w:pPr>
              <w:jc w:val="center"/>
              <w:ind w:left="619"/>
              <w:spacing w:after="0"/>
              <w:rPr>
                <w:sz w:val="20"/>
                <w:szCs w:val="20"/>
                <w:color w:val="auto"/>
              </w:rPr>
            </w:pPr>
            <w:r>
              <w:rPr>
                <w:rFonts w:ascii="Arial" w:cs="Arial" w:eastAsia="Arial" w:hAnsi="Arial"/>
                <w:sz w:val="16"/>
                <w:szCs w:val="16"/>
                <w:color w:val="FFFFFF"/>
              </w:rPr>
              <w:t>The annual meeting will be held virtually.</w:t>
            </w:r>
          </w:p>
        </w:tc>
        <w:tc>
          <w:tcPr>
            <w:tcW w:w="2280" w:type="dxa"/>
            <w:vAlign w:val="bottom"/>
            <w:shd w:val="clear" w:color="auto" w:fill="0E2A35"/>
          </w:tcPr>
          <w:p>
            <w:pPr>
              <w:jc w:val="center"/>
              <w:ind w:left="737"/>
              <w:spacing w:after="0"/>
              <w:rPr>
                <w:sz w:val="20"/>
                <w:szCs w:val="20"/>
                <w:color w:val="auto"/>
              </w:rPr>
            </w:pPr>
            <w:r>
              <w:rPr>
                <w:rFonts w:ascii="Arial" w:cs="Arial" w:eastAsia="Arial" w:hAnsi="Arial"/>
                <w:sz w:val="16"/>
                <w:szCs w:val="16"/>
                <w:color w:val="FFFFFF"/>
              </w:rPr>
              <w:t>October 18, 2022​</w:t>
            </w:r>
          </w:p>
        </w:tc>
      </w:tr>
      <w:tr>
        <w:trPr>
          <w:trHeight w:val="203"/>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December 13, 2022</w:t>
            </w:r>
          </w:p>
        </w:tc>
        <w:tc>
          <w:tcPr>
            <w:tcW w:w="4540" w:type="dxa"/>
            <w:vAlign w:val="bottom"/>
            <w:shd w:val="clear" w:color="auto" w:fill="0E2A35"/>
          </w:tcPr>
          <w:p>
            <w:pPr>
              <w:jc w:val="center"/>
              <w:ind w:left="659"/>
              <w:spacing w:after="0"/>
              <w:rPr>
                <w:sz w:val="20"/>
                <w:szCs w:val="20"/>
                <w:color w:val="auto"/>
              </w:rPr>
            </w:pPr>
            <w:r>
              <w:rPr>
                <w:rFonts w:ascii="Arial" w:cs="Arial" w:eastAsia="Arial" w:hAnsi="Arial"/>
                <w:sz w:val="16"/>
                <w:szCs w:val="16"/>
                <w:color w:val="FFFFFF"/>
              </w:rPr>
              <w:t>www.virtualshareholdermeeting.com/WGO2022</w:t>
            </w:r>
          </w:p>
        </w:tc>
        <w:tc>
          <w:tcPr>
            <w:tcW w:w="2280" w:type="dxa"/>
            <w:vAlign w:val="bottom"/>
            <w:shd w:val="clear" w:color="auto" w:fill="0E2A35"/>
          </w:tcPr>
          <w:p>
            <w:pPr>
              <w:spacing w:after="0"/>
              <w:rPr>
                <w:sz w:val="17"/>
                <w:szCs w:val="17"/>
                <w:color w:val="auto"/>
              </w:rPr>
            </w:pPr>
          </w:p>
        </w:tc>
      </w:tr>
      <w:tr>
        <w:trPr>
          <w:trHeight w:val="189"/>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4:00 p.m. Central</w:t>
            </w:r>
          </w:p>
        </w:tc>
        <w:tc>
          <w:tcPr>
            <w:tcW w:w="4540" w:type="dxa"/>
            <w:vAlign w:val="bottom"/>
            <w:shd w:val="clear" w:color="auto" w:fill="0E2A35"/>
          </w:tcPr>
          <w:p>
            <w:pPr>
              <w:spacing w:after="0"/>
              <w:rPr>
                <w:sz w:val="16"/>
                <w:szCs w:val="16"/>
                <w:color w:val="auto"/>
              </w:rPr>
            </w:pPr>
          </w:p>
        </w:tc>
        <w:tc>
          <w:tcPr>
            <w:tcW w:w="2280" w:type="dxa"/>
            <w:vAlign w:val="bottom"/>
            <w:shd w:val="clear" w:color="auto" w:fill="0E2A35"/>
          </w:tcPr>
          <w:p>
            <w:pPr>
              <w:spacing w:after="0"/>
              <w:rPr>
                <w:sz w:val="16"/>
                <w:szCs w:val="16"/>
                <w:color w:val="auto"/>
              </w:rPr>
            </w:pPr>
          </w:p>
        </w:tc>
      </w:tr>
      <w:tr>
        <w:trPr>
          <w:trHeight w:val="215"/>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Standard Time</w:t>
            </w:r>
          </w:p>
        </w:tc>
        <w:tc>
          <w:tcPr>
            <w:tcW w:w="4540" w:type="dxa"/>
            <w:vAlign w:val="bottom"/>
            <w:shd w:val="clear" w:color="auto" w:fill="0E2A35"/>
          </w:tcPr>
          <w:p>
            <w:pPr>
              <w:spacing w:after="0"/>
              <w:rPr>
                <w:sz w:val="18"/>
                <w:szCs w:val="18"/>
                <w:color w:val="auto"/>
              </w:rPr>
            </w:pPr>
          </w:p>
        </w:tc>
        <w:tc>
          <w:tcPr>
            <w:tcW w:w="2280" w:type="dxa"/>
            <w:vAlign w:val="bottom"/>
            <w:shd w:val="clear" w:color="auto" w:fill="0E2A35"/>
          </w:tcPr>
          <w:p>
            <w:pPr>
              <w:spacing w:after="0"/>
              <w:rPr>
                <w:sz w:val="18"/>
                <w:szCs w:val="18"/>
                <w:color w:val="auto"/>
              </w:rPr>
            </w:pPr>
          </w:p>
        </w:tc>
      </w:tr>
      <w:tr>
        <w:trPr>
          <w:trHeight w:val="286"/>
        </w:trPr>
        <w:tc>
          <w:tcPr>
            <w:tcW w:w="2460" w:type="dxa"/>
            <w:vAlign w:val="bottom"/>
            <w:shd w:val="clear" w:color="auto" w:fill="0E2A35"/>
          </w:tcPr>
          <w:p>
            <w:pPr>
              <w:spacing w:after="0"/>
              <w:rPr>
                <w:sz w:val="24"/>
                <w:szCs w:val="24"/>
                <w:color w:val="auto"/>
              </w:rPr>
            </w:pPr>
          </w:p>
        </w:tc>
        <w:tc>
          <w:tcPr>
            <w:tcW w:w="4540" w:type="dxa"/>
            <w:vAlign w:val="bottom"/>
            <w:shd w:val="clear" w:color="auto" w:fill="0E2A35"/>
          </w:tcPr>
          <w:p>
            <w:pPr>
              <w:spacing w:after="0"/>
              <w:rPr>
                <w:sz w:val="24"/>
                <w:szCs w:val="24"/>
                <w:color w:val="auto"/>
              </w:rPr>
            </w:pPr>
          </w:p>
        </w:tc>
        <w:tc>
          <w:tcPr>
            <w:tcW w:w="2280" w:type="dxa"/>
            <w:vAlign w:val="bottom"/>
            <w:shd w:val="clear" w:color="auto" w:fill="0E2A3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-1285240</wp:posOffset>
            </wp:positionV>
            <wp:extent cx="68580" cy="128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5875"/>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-1285240</wp:posOffset>
            </wp:positionV>
            <wp:extent cx="68580" cy="128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5875"/>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-1105535</wp:posOffset>
            </wp:positionV>
            <wp:extent cx="17970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-1105535</wp:posOffset>
            </wp:positionV>
            <wp:extent cx="18859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-1105535</wp:posOffset>
            </wp:positionV>
            <wp:extent cx="1631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Winnebago Industries, Inc. (Winnebago Industries or the Company) will hold its 2022 annual meeting of shareholders (Annual Meeting) on Tuesday, December 13, 2022 at 4:00 p.m. Central Standard Time. The Annual Meeting will be completely virtual. The proxy materials were either made available to you over the Internet or mailed to you on or about October 31, 2022. At the Annual Meeting, shareholders will be asked to:</w:t>
      </w:r>
    </w:p>
    <w:p>
      <w:pPr>
        <w:spacing w:after="0" w:line="127" w:lineRule="exact"/>
        <w:rPr>
          <w:sz w:val="20"/>
          <w:szCs w:val="20"/>
          <w:color w:val="auto"/>
        </w:rPr>
      </w:pPr>
    </w:p>
    <w:p>
      <w:pPr>
        <w:ind w:left="180" w:right="220" w:hanging="180"/>
        <w:spacing w:after="0" w:line="296" w:lineRule="auto"/>
        <w:tabs>
          <w:tab w:leader="none" w:pos="180" w:val="left"/>
        </w:tabs>
        <w:numPr>
          <w:ilvl w:val="0"/>
          <w:numId w:val="4"/>
        </w:numPr>
        <w:rPr>
          <w:rFonts w:ascii="Arial" w:cs="Arial" w:eastAsia="Arial" w:hAnsi="Arial"/>
          <w:sz w:val="16"/>
          <w:szCs w:val="16"/>
          <w:b w:val="1"/>
          <w:bCs w:val="1"/>
          <w:color w:val="0E2A35"/>
        </w:rPr>
      </w:pPr>
      <w:r>
        <w:rPr>
          <w:rFonts w:ascii="Arial" w:cs="Arial" w:eastAsia="Arial" w:hAnsi="Arial"/>
          <w:sz w:val="16"/>
          <w:szCs w:val="16"/>
          <w:b w:val="1"/>
          <w:bCs w:val="1"/>
          <w:color w:val="0E2A35"/>
        </w:rPr>
        <w:t>Elect three Class II directors to hold office for a three-year term</w:t>
      </w:r>
    </w:p>
    <w:p>
      <w:pPr>
        <w:spacing w:after="0" w:line="86" w:lineRule="exact"/>
        <w:rPr>
          <w:rFonts w:ascii="Arial" w:cs="Arial" w:eastAsia="Arial" w:hAnsi="Arial"/>
          <w:sz w:val="16"/>
          <w:szCs w:val="16"/>
          <w:b w:val="1"/>
          <w:bCs w:val="1"/>
          <w:color w:val="0E2A35"/>
        </w:rPr>
      </w:pPr>
    </w:p>
    <w:p>
      <w:pPr>
        <w:ind w:left="180" w:right="20" w:hanging="180"/>
        <w:spacing w:after="0" w:line="296" w:lineRule="auto"/>
        <w:tabs>
          <w:tab w:leader="none" w:pos="180" w:val="left"/>
        </w:tabs>
        <w:numPr>
          <w:ilvl w:val="0"/>
          <w:numId w:val="4"/>
        </w:numPr>
        <w:rPr>
          <w:rFonts w:ascii="Arial" w:cs="Arial" w:eastAsia="Arial" w:hAnsi="Arial"/>
          <w:sz w:val="16"/>
          <w:szCs w:val="16"/>
          <w:b w:val="1"/>
          <w:bCs w:val="1"/>
          <w:color w:val="0E2A35"/>
        </w:rPr>
      </w:pPr>
      <w:r>
        <w:rPr>
          <w:rFonts w:ascii="Arial" w:cs="Arial" w:eastAsia="Arial" w:hAnsi="Arial"/>
          <w:sz w:val="16"/>
          <w:szCs w:val="16"/>
          <w:b w:val="1"/>
          <w:bCs w:val="1"/>
          <w:color w:val="0E2A35"/>
        </w:rPr>
        <w:t>Approve, on an advisory basis, the compensation of our executive officers</w:t>
      </w:r>
    </w:p>
    <w:p>
      <w:pPr>
        <w:spacing w:after="0" w:line="86" w:lineRule="exact"/>
        <w:rPr>
          <w:rFonts w:ascii="Arial" w:cs="Arial" w:eastAsia="Arial" w:hAnsi="Arial"/>
          <w:sz w:val="16"/>
          <w:szCs w:val="16"/>
          <w:b w:val="1"/>
          <w:bCs w:val="1"/>
          <w:color w:val="0E2A35"/>
        </w:rPr>
      </w:pPr>
    </w:p>
    <w:p>
      <w:pPr>
        <w:ind w:left="180" w:hanging="180"/>
        <w:spacing w:after="0" w:line="296" w:lineRule="auto"/>
        <w:tabs>
          <w:tab w:leader="none" w:pos="180" w:val="left"/>
        </w:tabs>
        <w:numPr>
          <w:ilvl w:val="0"/>
          <w:numId w:val="4"/>
        </w:numPr>
        <w:rPr>
          <w:rFonts w:ascii="Arial" w:cs="Arial" w:eastAsia="Arial" w:hAnsi="Arial"/>
          <w:sz w:val="16"/>
          <w:szCs w:val="16"/>
          <w:b w:val="1"/>
          <w:bCs w:val="1"/>
          <w:color w:val="0E2A35"/>
        </w:rPr>
      </w:pPr>
      <w:r>
        <w:rPr>
          <w:rFonts w:ascii="Arial" w:cs="Arial" w:eastAsia="Arial" w:hAnsi="Arial"/>
          <w:sz w:val="16"/>
          <w:szCs w:val="16"/>
          <w:b w:val="1"/>
          <w:bCs w:val="1"/>
          <w:color w:val="0E2A35"/>
        </w:rPr>
        <w:t>Ratify the selection of Deloitte &amp; Touche LLP as our independent registered public accountant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13284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0E2A35"/>
        </w:rPr>
        <w:t>Only shareholders of record at the close of business on October 18, 2022 may vote at the Annual Meeting or any adjournment thereof.</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0E2A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143129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Stacy L. Bogart</w:t>
      </w:r>
    </w:p>
    <w:p>
      <w:pPr>
        <w:spacing w:after="0" w:line="21" w:lineRule="exact"/>
        <w:rPr>
          <w:sz w:val="20"/>
          <w:szCs w:val="20"/>
          <w:color w:val="auto"/>
        </w:rPr>
      </w:pPr>
    </w:p>
    <w:p>
      <w:pPr>
        <w:ind w:right="560"/>
        <w:spacing w:after="0" w:line="265" w:lineRule="auto"/>
        <w:rPr>
          <w:sz w:val="20"/>
          <w:szCs w:val="20"/>
          <w:color w:val="auto"/>
        </w:rPr>
      </w:pPr>
      <w:r>
        <w:rPr>
          <w:rFonts w:ascii="Arial" w:cs="Arial" w:eastAsia="Arial" w:hAnsi="Arial"/>
          <w:sz w:val="16"/>
          <w:szCs w:val="16"/>
          <w:color w:val="0E2A35"/>
        </w:rPr>
        <w:t>Senior Vice President, General Counsel, Secretary and Corporate Responsibility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0E2A35"/>
        </w:rPr>
        <w:t>Eden Prairie, MN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October 31, 2022</w:t>
      </w:r>
    </w:p>
    <w:p>
      <w:pPr>
        <w:spacing w:after="0" w:line="200" w:lineRule="exact"/>
        <w:rPr>
          <w:sz w:val="20"/>
          <w:szCs w:val="20"/>
          <w:color w:val="auto"/>
        </w:rPr>
      </w:pPr>
    </w:p>
    <w:p>
      <w:pPr>
        <w:sectPr>
          <w:pgSz w:w="11900" w:h="16838" w:orient="portrait"/>
          <w:cols w:equalWidth="0" w:num="2">
            <w:col w:w="4520" w:space="240"/>
            <w:col w:w="4520"/>
          </w:cols>
          <w:pgMar w:left="1300" w:top="263" w:right="131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Review the Proxy Statement and Vote in One of Four Ways</w:t>
      </w:r>
    </w:p>
    <w:p>
      <w:pPr>
        <w:sectPr>
          <w:pgSz w:w="11900" w:h="16838" w:orient="portrait"/>
          <w:cols w:equalWidth="0" w:num="1">
            <w:col w:w="9280"/>
          </w:cols>
          <w:pgMar w:left="1300" w:top="263" w:right="131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During the Virtual Meeting:</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6"/>
          <w:szCs w:val="16"/>
          <w:color w:val="0E2A35"/>
        </w:rPr>
        <w:t>Attend the live webcast meeting at 4:00 p.m. CST on December 13, 2022 by visiting virtualshareholdermeeting. com/WGO2022 and voting during the meeting.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By Internet:</w:t>
      </w:r>
    </w:p>
    <w:p>
      <w:pPr>
        <w:spacing w:after="0" w:line="5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E2A35"/>
        </w:rPr>
        <w:t>Visit www.proxyvote.com and follow the instructions to vote by internet.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By Mail:</w:t>
      </w:r>
    </w:p>
    <w:p>
      <w:pPr>
        <w:spacing w:after="0" w:line="35" w:lineRule="exact"/>
        <w:rPr>
          <w:sz w:val="20"/>
          <w:szCs w:val="20"/>
          <w:color w:val="auto"/>
        </w:rPr>
      </w:pPr>
    </w:p>
    <w:p>
      <w:pPr>
        <w:sectPr>
          <w:pgSz w:w="11900" w:h="16838" w:orient="portrait"/>
          <w:cols w:equalWidth="0" w:num="2">
            <w:col w:w="4140" w:space="620"/>
            <w:col w:w="4520"/>
          </w:cols>
          <w:pgMar w:left="1300" w:top="263" w:right="1319" w:bottom="1440" w:gutter="0" w:footer="0" w:header="0"/>
          <w:type w:val="continuous"/>
        </w:sectPr>
      </w:pPr>
    </w:p>
    <w:p>
      <w:pPr>
        <w:spacing w:after="0"/>
        <w:rPr>
          <w:sz w:val="20"/>
          <w:szCs w:val="20"/>
          <w:color w:val="auto"/>
        </w:rPr>
      </w:pPr>
      <w:r>
        <w:rPr>
          <w:rFonts w:ascii="Arial" w:cs="Arial" w:eastAsia="Arial" w:hAnsi="Arial"/>
          <w:sz w:val="16"/>
          <w:szCs w:val="16"/>
          <w:b w:val="1"/>
          <w:bCs w:val="1"/>
          <w:color w:val="0E2A35"/>
        </w:rPr>
        <w:t>By Phone: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0E2A35"/>
        </w:rPr>
        <w:t>Call 1-800-690-6903 to vote by telephone.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0E2A35"/>
        </w:rPr>
        <w:t>Complete and sign your proxy card and return it in the enclosed postage pre-paid envelope. If you received a Notice of Internet Availability, your notice provides instructions for requesting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276225</wp:posOffset>
            </wp:positionV>
            <wp:extent cx="5897880" cy="925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97880" cy="92583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4040" w:space="720"/>
            <w:col w:w="4520"/>
          </w:cols>
          <w:pgMar w:left="1300" w:top="263" w:right="131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Your Vote Is Important</w:t>
      </w:r>
    </w:p>
    <w:p>
      <w:pPr>
        <w:spacing w:after="0" w:line="140" w:lineRule="exact"/>
        <w:rPr>
          <w:sz w:val="20"/>
          <w:szCs w:val="20"/>
          <w:color w:val="auto"/>
        </w:rPr>
      </w:pPr>
    </w:p>
    <w:p>
      <w:pPr>
        <w:jc w:val="center"/>
        <w:ind w:left="60" w:right="60"/>
        <w:spacing w:after="0" w:line="266" w:lineRule="auto"/>
        <w:rPr>
          <w:sz w:val="20"/>
          <w:szCs w:val="20"/>
          <w:color w:val="auto"/>
        </w:rPr>
      </w:pPr>
      <w:r>
        <w:rPr>
          <w:rFonts w:ascii="Arial" w:cs="Arial" w:eastAsia="Arial" w:hAnsi="Arial"/>
          <w:sz w:val="16"/>
          <w:szCs w:val="16"/>
          <w:color w:val="FFFFFF"/>
        </w:rPr>
        <w:t>Whether or not you expect to attend the Annual Meeting, please vote via the Internet or telephone or request a paper proxy card to complete, sign and return by mail so that your shares may be voted. A prompt response is helpful and your cooperation is appreciated.</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Table of Contents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 w:type="dxa"/>
            <w:vAlign w:val="bottom"/>
            <w:shd w:val="clear" w:color="auto" w:fill="0E2A35"/>
          </w:tcPr>
          <w:p>
            <w:pPr>
              <w:spacing w:after="0"/>
              <w:rPr>
                <w:sz w:val="22"/>
                <w:szCs w:val="22"/>
                <w:color w:val="auto"/>
              </w:rPr>
            </w:pPr>
          </w:p>
        </w:tc>
        <w:tc>
          <w:tcPr>
            <w:tcW w:w="160" w:type="dxa"/>
            <w:vAlign w:val="bottom"/>
            <w:shd w:val="clear" w:color="auto" w:fill="0E2A35"/>
          </w:tcPr>
          <w:p>
            <w:pPr>
              <w:spacing w:after="0"/>
              <w:rPr>
                <w:sz w:val="22"/>
                <w:szCs w:val="22"/>
                <w:color w:val="auto"/>
              </w:rPr>
            </w:pPr>
          </w:p>
        </w:tc>
        <w:tc>
          <w:tcPr>
            <w:tcW w:w="18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160" w:type="dxa"/>
            <w:vAlign w:val="bottom"/>
            <w:shd w:val="clear" w:color="auto" w:fill="0E2A35"/>
          </w:tcPr>
          <w:p>
            <w:pPr>
              <w:spacing w:after="0"/>
              <w:rPr>
                <w:sz w:val="22"/>
                <w:szCs w:val="22"/>
                <w:color w:val="auto"/>
              </w:rPr>
            </w:pPr>
          </w:p>
        </w:tc>
        <w:tc>
          <w:tcPr>
            <w:tcW w:w="160" w:type="dxa"/>
            <w:vAlign w:val="bottom"/>
            <w:shd w:val="clear" w:color="auto" w:fill="0E2A35"/>
          </w:tcPr>
          <w:p>
            <w:pPr>
              <w:spacing w:after="0"/>
              <w:rPr>
                <w:sz w:val="22"/>
                <w:szCs w:val="22"/>
                <w:color w:val="auto"/>
              </w:rPr>
            </w:pPr>
          </w:p>
        </w:tc>
        <w:tc>
          <w:tcPr>
            <w:tcW w:w="120" w:type="dxa"/>
            <w:vAlign w:val="bottom"/>
            <w:shd w:val="clear" w:color="auto" w:fill="0E2A35"/>
          </w:tcPr>
          <w:p>
            <w:pPr>
              <w:spacing w:after="0"/>
              <w:rPr>
                <w:sz w:val="22"/>
                <w:szCs w:val="22"/>
                <w:color w:val="auto"/>
              </w:rPr>
            </w:pPr>
          </w:p>
        </w:tc>
        <w:tc>
          <w:tcPr>
            <w:tcW w:w="1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20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8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620" w:type="dxa"/>
            <w:vAlign w:val="bottom"/>
            <w:shd w:val="clear" w:color="auto" w:fill="0E2A35"/>
          </w:tcPr>
          <w:p>
            <w:pPr>
              <w:spacing w:after="0"/>
              <w:rPr>
                <w:sz w:val="22"/>
                <w:szCs w:val="22"/>
                <w:color w:val="auto"/>
              </w:rPr>
            </w:pPr>
          </w:p>
        </w:tc>
        <w:tc>
          <w:tcPr>
            <w:tcW w:w="440" w:type="dxa"/>
            <w:vAlign w:val="bottom"/>
            <w:shd w:val="clear" w:color="auto" w:fill="0E2A35"/>
          </w:tcPr>
          <w:p>
            <w:pPr>
              <w:spacing w:after="0"/>
              <w:rPr>
                <w:sz w:val="22"/>
                <w:szCs w:val="22"/>
                <w:color w:val="auto"/>
              </w:rPr>
            </w:pPr>
          </w:p>
        </w:tc>
        <w:tc>
          <w:tcPr>
            <w:tcW w:w="520" w:type="dxa"/>
            <w:vAlign w:val="bottom"/>
            <w:shd w:val="clear" w:color="auto" w:fill="0E2A35"/>
          </w:tcPr>
          <w:p>
            <w:pPr>
              <w:spacing w:after="0"/>
              <w:rPr>
                <w:sz w:val="22"/>
                <w:szCs w:val="22"/>
                <w:color w:val="auto"/>
              </w:rPr>
            </w:pPr>
          </w:p>
        </w:tc>
        <w:tc>
          <w:tcPr>
            <w:tcW w:w="120" w:type="dxa"/>
            <w:vAlign w:val="bottom"/>
            <w:shd w:val="clear" w:color="auto" w:fill="0E2A35"/>
          </w:tcPr>
          <w:p>
            <w:pPr>
              <w:spacing w:after="0"/>
              <w:rPr>
                <w:sz w:val="22"/>
                <w:szCs w:val="22"/>
                <w:color w:val="auto"/>
              </w:rPr>
            </w:pPr>
          </w:p>
        </w:tc>
        <w:tc>
          <w:tcPr>
            <w:tcW w:w="880" w:type="dxa"/>
            <w:vAlign w:val="bottom"/>
            <w:shd w:val="clear" w:color="auto" w:fill="0E2A35"/>
          </w:tcPr>
          <w:p>
            <w:pPr>
              <w:spacing w:after="0"/>
              <w:rPr>
                <w:sz w:val="22"/>
                <w:szCs w:val="22"/>
                <w:color w:val="auto"/>
              </w:rPr>
            </w:pPr>
          </w:p>
        </w:tc>
        <w:tc>
          <w:tcPr>
            <w:tcW w:w="360" w:type="dxa"/>
            <w:vAlign w:val="bottom"/>
            <w:shd w:val="clear" w:color="auto" w:fill="0E2A35"/>
          </w:tcPr>
          <w:p>
            <w:pPr>
              <w:spacing w:after="0"/>
              <w:rPr>
                <w:sz w:val="22"/>
                <w:szCs w:val="22"/>
                <w:color w:val="auto"/>
              </w:rPr>
            </w:pPr>
          </w:p>
        </w:tc>
        <w:tc>
          <w:tcPr>
            <w:tcW w:w="2360" w:type="dxa"/>
            <w:vAlign w:val="bottom"/>
            <w:shd w:val="clear" w:color="auto" w:fill="0E2A35"/>
          </w:tcPr>
          <w:p>
            <w:pPr>
              <w:spacing w:after="0"/>
              <w:rPr>
                <w:sz w:val="22"/>
                <w:szCs w:val="22"/>
                <w:color w:val="auto"/>
              </w:rPr>
            </w:pPr>
          </w:p>
        </w:tc>
        <w:tc>
          <w:tcPr>
            <w:tcW w:w="300" w:type="dxa"/>
            <w:vAlign w:val="bottom"/>
            <w:shd w:val="clear" w:color="auto" w:fill="0E2A35"/>
          </w:tcPr>
          <w:p>
            <w:pPr>
              <w:spacing w:after="0"/>
              <w:rPr>
                <w:sz w:val="22"/>
                <w:szCs w:val="22"/>
                <w:color w:val="auto"/>
              </w:rPr>
            </w:pPr>
          </w:p>
        </w:tc>
        <w:tc>
          <w:tcPr>
            <w:tcW w:w="620" w:type="dxa"/>
            <w:vAlign w:val="bottom"/>
            <w:gridSpan w:val="4"/>
            <w:shd w:val="clear" w:color="auto" w:fill="0E2A35"/>
          </w:tcPr>
          <w:p>
            <w:pPr>
              <w:jc w:val="right"/>
              <w:spacing w:after="0"/>
              <w:rPr>
                <w:sz w:val="20"/>
                <w:szCs w:val="20"/>
                <w:color w:val="auto"/>
              </w:rPr>
            </w:pPr>
            <w:r>
              <w:rPr>
                <w:rFonts w:ascii="Arial" w:cs="Arial" w:eastAsia="Arial" w:hAnsi="Arial"/>
                <w:sz w:val="13"/>
                <w:szCs w:val="13"/>
                <w:b w:val="1"/>
                <w:bCs w:val="1"/>
                <w:color w:val="FFFFFF"/>
              </w:rPr>
              <w:t>Page​​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60" w:type="dxa"/>
            <w:vAlign w:val="bottom"/>
            <w:shd w:val="clear" w:color="auto" w:fill="0E2A35"/>
          </w:tcPr>
          <w:p>
            <w:pPr>
              <w:spacing w:after="0"/>
              <w:rPr>
                <w:sz w:val="5"/>
                <w:szCs w:val="5"/>
                <w:color w:val="auto"/>
              </w:rPr>
            </w:pPr>
          </w:p>
        </w:tc>
        <w:tc>
          <w:tcPr>
            <w:tcW w:w="160" w:type="dxa"/>
            <w:vAlign w:val="bottom"/>
            <w:shd w:val="clear" w:color="auto" w:fill="0E2A35"/>
          </w:tcPr>
          <w:p>
            <w:pPr>
              <w:spacing w:after="0"/>
              <w:rPr>
                <w:sz w:val="5"/>
                <w:szCs w:val="5"/>
                <w:color w:val="auto"/>
              </w:rPr>
            </w:pPr>
          </w:p>
        </w:tc>
        <w:tc>
          <w:tcPr>
            <w:tcW w:w="900" w:type="dxa"/>
            <w:vAlign w:val="bottom"/>
            <w:gridSpan w:val="8"/>
            <w:shd w:val="clear" w:color="auto" w:fill="0E2A35"/>
          </w:tcPr>
          <w:p>
            <w:pPr>
              <w:spacing w:after="0"/>
              <w:rPr>
                <w:sz w:val="5"/>
                <w:szCs w:val="5"/>
                <w:color w:val="auto"/>
              </w:rPr>
            </w:pPr>
          </w:p>
        </w:tc>
        <w:tc>
          <w:tcPr>
            <w:tcW w:w="100" w:type="dxa"/>
            <w:vAlign w:val="bottom"/>
            <w:gridSpan w:val="2"/>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60" w:type="dxa"/>
            <w:vAlign w:val="bottom"/>
            <w:shd w:val="clear" w:color="auto" w:fill="0E2A35"/>
          </w:tcPr>
          <w:p>
            <w:pPr>
              <w:spacing w:after="0"/>
              <w:rPr>
                <w:sz w:val="5"/>
                <w:szCs w:val="5"/>
                <w:color w:val="auto"/>
              </w:rPr>
            </w:pPr>
          </w:p>
        </w:tc>
        <w:tc>
          <w:tcPr>
            <w:tcW w:w="200" w:type="dxa"/>
            <w:vAlign w:val="bottom"/>
            <w:shd w:val="clear" w:color="auto" w:fill="0E2A35"/>
          </w:tcPr>
          <w:p>
            <w:pPr>
              <w:spacing w:after="0"/>
              <w:rPr>
                <w:sz w:val="5"/>
                <w:szCs w:val="5"/>
                <w:color w:val="auto"/>
              </w:rPr>
            </w:pPr>
          </w:p>
        </w:tc>
        <w:tc>
          <w:tcPr>
            <w:tcW w:w="10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100" w:type="dxa"/>
            <w:vAlign w:val="bottom"/>
            <w:shd w:val="clear" w:color="auto" w:fill="0E2A35"/>
          </w:tcPr>
          <w:p>
            <w:pPr>
              <w:spacing w:after="0"/>
              <w:rPr>
                <w:sz w:val="5"/>
                <w:szCs w:val="5"/>
                <w:color w:val="auto"/>
              </w:rPr>
            </w:pPr>
          </w:p>
        </w:tc>
        <w:tc>
          <w:tcPr>
            <w:tcW w:w="80" w:type="dxa"/>
            <w:vAlign w:val="bottom"/>
            <w:shd w:val="clear" w:color="auto" w:fill="0E2A35"/>
          </w:tcPr>
          <w:p>
            <w:pPr>
              <w:spacing w:after="0"/>
              <w:rPr>
                <w:sz w:val="5"/>
                <w:szCs w:val="5"/>
                <w:color w:val="auto"/>
              </w:rPr>
            </w:pPr>
          </w:p>
        </w:tc>
        <w:tc>
          <w:tcPr>
            <w:tcW w:w="80" w:type="dxa"/>
            <w:vAlign w:val="bottom"/>
            <w:shd w:val="clear" w:color="auto" w:fill="0E2A35"/>
          </w:tcPr>
          <w:p>
            <w:pPr>
              <w:spacing w:after="0"/>
              <w:rPr>
                <w:sz w:val="5"/>
                <w:szCs w:val="5"/>
                <w:color w:val="auto"/>
              </w:rPr>
            </w:pPr>
          </w:p>
        </w:tc>
        <w:tc>
          <w:tcPr>
            <w:tcW w:w="6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40" w:type="dxa"/>
            <w:vAlign w:val="bottom"/>
            <w:shd w:val="clear" w:color="auto" w:fill="0E2A35"/>
          </w:tcPr>
          <w:p>
            <w:pPr>
              <w:spacing w:after="0"/>
              <w:rPr>
                <w:sz w:val="5"/>
                <w:szCs w:val="5"/>
                <w:color w:val="auto"/>
              </w:rPr>
            </w:pPr>
          </w:p>
        </w:tc>
        <w:tc>
          <w:tcPr>
            <w:tcW w:w="40" w:type="dxa"/>
            <w:vAlign w:val="bottom"/>
            <w:shd w:val="clear" w:color="auto" w:fill="0E2A35"/>
          </w:tcPr>
          <w:p>
            <w:pPr>
              <w:spacing w:after="0"/>
              <w:rPr>
                <w:sz w:val="5"/>
                <w:szCs w:val="5"/>
                <w:color w:val="auto"/>
              </w:rPr>
            </w:pPr>
          </w:p>
        </w:tc>
        <w:tc>
          <w:tcPr>
            <w:tcW w:w="100" w:type="dxa"/>
            <w:vAlign w:val="bottom"/>
            <w:shd w:val="clear" w:color="auto" w:fill="0E2A35"/>
          </w:tcPr>
          <w:p>
            <w:pPr>
              <w:spacing w:after="0"/>
              <w:rPr>
                <w:sz w:val="5"/>
                <w:szCs w:val="5"/>
                <w:color w:val="auto"/>
              </w:rPr>
            </w:pPr>
          </w:p>
        </w:tc>
        <w:tc>
          <w:tcPr>
            <w:tcW w:w="60" w:type="dxa"/>
            <w:vAlign w:val="bottom"/>
            <w:shd w:val="clear" w:color="auto" w:fill="0E2A35"/>
          </w:tcPr>
          <w:p>
            <w:pPr>
              <w:spacing w:after="0"/>
              <w:rPr>
                <w:sz w:val="5"/>
                <w:szCs w:val="5"/>
                <w:color w:val="auto"/>
              </w:rPr>
            </w:pPr>
          </w:p>
        </w:tc>
        <w:tc>
          <w:tcPr>
            <w:tcW w:w="80" w:type="dxa"/>
            <w:vAlign w:val="bottom"/>
            <w:shd w:val="clear" w:color="auto" w:fill="0E2A35"/>
          </w:tcPr>
          <w:p>
            <w:pPr>
              <w:spacing w:after="0"/>
              <w:rPr>
                <w:sz w:val="5"/>
                <w:szCs w:val="5"/>
                <w:color w:val="auto"/>
              </w:rPr>
            </w:pPr>
          </w:p>
        </w:tc>
        <w:tc>
          <w:tcPr>
            <w:tcW w:w="14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6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280" w:type="dxa"/>
            <w:vAlign w:val="bottom"/>
            <w:shd w:val="clear" w:color="auto" w:fill="0E2A35"/>
          </w:tcPr>
          <w:p>
            <w:pPr>
              <w:spacing w:after="0"/>
              <w:rPr>
                <w:sz w:val="5"/>
                <w:szCs w:val="5"/>
                <w:color w:val="auto"/>
              </w:rPr>
            </w:pPr>
          </w:p>
        </w:tc>
        <w:tc>
          <w:tcPr>
            <w:tcW w:w="40" w:type="dxa"/>
            <w:vAlign w:val="bottom"/>
            <w:shd w:val="clear" w:color="auto" w:fill="0E2A35"/>
          </w:tcPr>
          <w:p>
            <w:pPr>
              <w:spacing w:after="0"/>
              <w:rPr>
                <w:sz w:val="5"/>
                <w:szCs w:val="5"/>
                <w:color w:val="auto"/>
              </w:rPr>
            </w:pPr>
          </w:p>
        </w:tc>
        <w:tc>
          <w:tcPr>
            <w:tcW w:w="10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40" w:type="dxa"/>
            <w:vAlign w:val="bottom"/>
            <w:shd w:val="clear" w:color="auto" w:fill="0E2A35"/>
          </w:tcPr>
          <w:p>
            <w:pPr>
              <w:spacing w:after="0"/>
              <w:rPr>
                <w:sz w:val="5"/>
                <w:szCs w:val="5"/>
                <w:color w:val="auto"/>
              </w:rPr>
            </w:pPr>
          </w:p>
        </w:tc>
        <w:tc>
          <w:tcPr>
            <w:tcW w:w="620" w:type="dxa"/>
            <w:vAlign w:val="bottom"/>
            <w:shd w:val="clear" w:color="auto" w:fill="0E2A35"/>
          </w:tcPr>
          <w:p>
            <w:pPr>
              <w:spacing w:after="0"/>
              <w:rPr>
                <w:sz w:val="5"/>
                <w:szCs w:val="5"/>
                <w:color w:val="auto"/>
              </w:rPr>
            </w:pPr>
          </w:p>
        </w:tc>
        <w:tc>
          <w:tcPr>
            <w:tcW w:w="440" w:type="dxa"/>
            <w:vAlign w:val="bottom"/>
            <w:shd w:val="clear" w:color="auto" w:fill="0E2A35"/>
          </w:tcPr>
          <w:p>
            <w:pPr>
              <w:spacing w:after="0"/>
              <w:rPr>
                <w:sz w:val="5"/>
                <w:szCs w:val="5"/>
                <w:color w:val="auto"/>
              </w:rPr>
            </w:pPr>
          </w:p>
        </w:tc>
        <w:tc>
          <w:tcPr>
            <w:tcW w:w="520" w:type="dxa"/>
            <w:vAlign w:val="bottom"/>
            <w:shd w:val="clear" w:color="auto" w:fill="0E2A35"/>
          </w:tcPr>
          <w:p>
            <w:pPr>
              <w:spacing w:after="0"/>
              <w:rPr>
                <w:sz w:val="5"/>
                <w:szCs w:val="5"/>
                <w:color w:val="auto"/>
              </w:rPr>
            </w:pPr>
          </w:p>
        </w:tc>
        <w:tc>
          <w:tcPr>
            <w:tcW w:w="120" w:type="dxa"/>
            <w:vAlign w:val="bottom"/>
            <w:shd w:val="clear" w:color="auto" w:fill="0E2A35"/>
          </w:tcPr>
          <w:p>
            <w:pPr>
              <w:spacing w:after="0"/>
              <w:rPr>
                <w:sz w:val="5"/>
                <w:szCs w:val="5"/>
                <w:color w:val="auto"/>
              </w:rPr>
            </w:pPr>
          </w:p>
        </w:tc>
        <w:tc>
          <w:tcPr>
            <w:tcW w:w="880" w:type="dxa"/>
            <w:vAlign w:val="bottom"/>
            <w:shd w:val="clear" w:color="auto" w:fill="0E2A35"/>
          </w:tcPr>
          <w:p>
            <w:pPr>
              <w:spacing w:after="0"/>
              <w:rPr>
                <w:sz w:val="5"/>
                <w:szCs w:val="5"/>
                <w:color w:val="auto"/>
              </w:rPr>
            </w:pPr>
          </w:p>
        </w:tc>
        <w:tc>
          <w:tcPr>
            <w:tcW w:w="360" w:type="dxa"/>
            <w:vAlign w:val="bottom"/>
            <w:shd w:val="clear" w:color="auto" w:fill="0E2A35"/>
          </w:tcPr>
          <w:p>
            <w:pPr>
              <w:spacing w:after="0"/>
              <w:rPr>
                <w:sz w:val="5"/>
                <w:szCs w:val="5"/>
                <w:color w:val="auto"/>
              </w:rPr>
            </w:pPr>
          </w:p>
        </w:tc>
        <w:tc>
          <w:tcPr>
            <w:tcW w:w="2360" w:type="dxa"/>
            <w:vAlign w:val="bottom"/>
            <w:shd w:val="clear" w:color="auto" w:fill="0E2A35"/>
          </w:tcPr>
          <w:p>
            <w:pPr>
              <w:spacing w:after="0"/>
              <w:rPr>
                <w:sz w:val="5"/>
                <w:szCs w:val="5"/>
                <w:color w:val="auto"/>
              </w:rPr>
            </w:pPr>
          </w:p>
        </w:tc>
        <w:tc>
          <w:tcPr>
            <w:tcW w:w="300" w:type="dxa"/>
            <w:vAlign w:val="bottom"/>
            <w:shd w:val="clear" w:color="auto" w:fill="0E2A35"/>
          </w:tcPr>
          <w:p>
            <w:pPr>
              <w:spacing w:after="0"/>
              <w:rPr>
                <w:sz w:val="5"/>
                <w:szCs w:val="5"/>
                <w:color w:val="auto"/>
              </w:rPr>
            </w:pPr>
          </w:p>
        </w:tc>
        <w:tc>
          <w:tcPr>
            <w:tcW w:w="460" w:type="dxa"/>
            <w:vAlign w:val="bottom"/>
            <w:shd w:val="clear" w:color="auto" w:fill="0E2A35"/>
          </w:tcPr>
          <w:p>
            <w:pPr>
              <w:spacing w:after="0"/>
              <w:rPr>
                <w:sz w:val="5"/>
                <w:szCs w:val="5"/>
                <w:color w:val="auto"/>
              </w:rPr>
            </w:pPr>
          </w:p>
        </w:tc>
        <w:tc>
          <w:tcPr>
            <w:tcW w:w="20" w:type="dxa"/>
            <w:vAlign w:val="bottom"/>
            <w:shd w:val="clear" w:color="auto" w:fill="0E2A35"/>
          </w:tcPr>
          <w:p>
            <w:pPr>
              <w:spacing w:after="0"/>
              <w:rPr>
                <w:sz w:val="5"/>
                <w:szCs w:val="5"/>
                <w:color w:val="auto"/>
              </w:rPr>
            </w:pPr>
          </w:p>
        </w:tc>
        <w:tc>
          <w:tcPr>
            <w:tcW w:w="60" w:type="dxa"/>
            <w:vAlign w:val="bottom"/>
            <w:shd w:val="clear" w:color="auto" w:fill="0E2A35"/>
          </w:tcPr>
          <w:p>
            <w:pPr>
              <w:spacing w:after="0"/>
              <w:rPr>
                <w:sz w:val="5"/>
                <w:szCs w:val="5"/>
                <w:color w:val="auto"/>
              </w:rPr>
            </w:pPr>
          </w:p>
        </w:tc>
        <w:tc>
          <w:tcPr>
            <w:tcW w:w="80" w:type="dxa"/>
            <w:vAlign w:val="bottom"/>
            <w:shd w:val="clear" w:color="auto" w:fill="0E2A3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PROXY STATEMENT SUMMARY</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0000EE"/>
              </w:rPr>
              <w:t>4​</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0" w:type="dxa"/>
            <w:vAlign w:val="bottom"/>
            <w:gridSpan w:val="3"/>
          </w:tcPr>
          <w:p>
            <w:pPr>
              <w:spacing w:after="0"/>
              <w:rPr>
                <w:sz w:val="20"/>
                <w:szCs w:val="20"/>
                <w:color w:val="auto"/>
              </w:rPr>
            </w:pPr>
            <w:r>
              <w:rPr>
                <w:rFonts w:ascii="Arial" w:cs="Arial" w:eastAsia="Arial" w:hAnsi="Arial"/>
                <w:sz w:val="14"/>
                <w:szCs w:val="14"/>
                <w:color w:val="0000EE"/>
                <w:w w:val="95"/>
              </w:rPr>
              <w:t>Voting​</w:t>
            </w:r>
          </w:p>
        </w:tc>
        <w:tc>
          <w:tcPr>
            <w:tcW w:w="20" w:type="dxa"/>
            <w:vAlign w:val="bottom"/>
          </w:tcPr>
          <w:p>
            <w:pPr>
              <w:spacing w:after="0"/>
              <w:rPr>
                <w:sz w:val="20"/>
                <w:szCs w:val="20"/>
                <w:color w:val="auto"/>
              </w:rPr>
            </w:pPr>
          </w:p>
        </w:tc>
        <w:tc>
          <w:tcPr>
            <w:tcW w:w="660" w:type="dxa"/>
            <w:vAlign w:val="bottom"/>
            <w:gridSpan w:val="6"/>
          </w:tcPr>
          <w:p>
            <w:pPr>
              <w:ind w:left="20"/>
              <w:spacing w:after="0"/>
              <w:rPr>
                <w:sz w:val="20"/>
                <w:szCs w:val="20"/>
                <w:color w:val="auto"/>
              </w:rPr>
            </w:pPr>
            <w:r>
              <w:rPr>
                <w:rFonts w:ascii="Arial" w:cs="Arial" w:eastAsia="Arial" w:hAnsi="Arial"/>
                <w:sz w:val="14"/>
                <w:szCs w:val="14"/>
                <w:color w:val="0000EE"/>
              </w:rPr>
              <w:t>Roadmap</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0000EE"/>
              </w:rPr>
              <w:t>4​</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0" w:type="dxa"/>
            <w:vAlign w:val="bottom"/>
            <w:gridSpan w:val="3"/>
          </w:tcPr>
          <w:p>
            <w:pPr>
              <w:spacing w:after="0"/>
              <w:rPr>
                <w:sz w:val="20"/>
                <w:szCs w:val="20"/>
                <w:color w:val="auto"/>
              </w:rPr>
            </w:pPr>
            <w:r>
              <w:rPr>
                <w:rFonts w:ascii="Arial" w:cs="Arial" w:eastAsia="Arial" w:hAnsi="Arial"/>
                <w:sz w:val="14"/>
                <w:szCs w:val="14"/>
                <w:color w:val="0000EE"/>
              </w:rPr>
              <w:t>Fiscal​</w:t>
            </w:r>
          </w:p>
        </w:tc>
        <w:tc>
          <w:tcPr>
            <w:tcW w:w="8200" w:type="dxa"/>
            <w:vAlign w:val="bottom"/>
            <w:gridSpan w:val="43"/>
          </w:tcPr>
          <w:p>
            <w:pPr>
              <w:spacing w:after="0"/>
              <w:rPr>
                <w:sz w:val="20"/>
                <w:szCs w:val="20"/>
                <w:color w:val="auto"/>
              </w:rPr>
            </w:pPr>
            <w:r>
              <w:rPr>
                <w:rFonts w:ascii="Arial" w:cs="Arial" w:eastAsia="Arial" w:hAnsi="Arial"/>
                <w:sz w:val="14"/>
                <w:szCs w:val="14"/>
                <w:color w:val="0000EE"/>
              </w:rPr>
              <w:t>2022 Performance Highlights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0000EE"/>
              </w:rPr>
              <w:t>6​</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60" w:type="dxa"/>
            <w:vAlign w:val="bottom"/>
            <w:gridSpan w:val="6"/>
          </w:tcPr>
          <w:p>
            <w:pPr>
              <w:spacing w:after="0"/>
              <w:rPr>
                <w:sz w:val="20"/>
                <w:szCs w:val="20"/>
                <w:color w:val="auto"/>
              </w:rPr>
            </w:pPr>
            <w:r>
              <w:rPr>
                <w:rFonts w:ascii="Arial" w:cs="Arial" w:eastAsia="Arial" w:hAnsi="Arial"/>
                <w:sz w:val="14"/>
                <w:szCs w:val="14"/>
                <w:color w:val="0000EE"/>
              </w:rPr>
              <w:t>Corporate​</w:t>
            </w:r>
          </w:p>
        </w:tc>
        <w:tc>
          <w:tcPr>
            <w:tcW w:w="7940" w:type="dxa"/>
            <w:vAlign w:val="bottom"/>
            <w:gridSpan w:val="40"/>
          </w:tcPr>
          <w:p>
            <w:pPr>
              <w:ind w:left="20"/>
              <w:spacing w:after="0"/>
              <w:rPr>
                <w:sz w:val="20"/>
                <w:szCs w:val="20"/>
                <w:color w:val="auto"/>
              </w:rPr>
            </w:pPr>
            <w:r>
              <w:rPr>
                <w:rFonts w:ascii="Arial" w:cs="Arial" w:eastAsia="Arial" w:hAnsi="Arial"/>
                <w:sz w:val="14"/>
                <w:szCs w:val="14"/>
                <w:color w:val="0000EE"/>
              </w:rPr>
              <w:t>Responsibility</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0000EE"/>
              </w:rPr>
              <w:t>7​</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60" w:type="dxa"/>
            <w:vAlign w:val="bottom"/>
            <w:gridSpan w:val="6"/>
          </w:tcPr>
          <w:p>
            <w:pPr>
              <w:spacing w:after="0"/>
              <w:rPr>
                <w:sz w:val="20"/>
                <w:szCs w:val="20"/>
                <w:color w:val="auto"/>
              </w:rPr>
            </w:pPr>
            <w:r>
              <w:rPr>
                <w:rFonts w:ascii="Arial" w:cs="Arial" w:eastAsia="Arial" w:hAnsi="Arial"/>
                <w:sz w:val="14"/>
                <w:szCs w:val="14"/>
                <w:color w:val="0000EE"/>
              </w:rPr>
              <w:t>Corporate​</w:t>
            </w:r>
          </w:p>
        </w:tc>
        <w:tc>
          <w:tcPr>
            <w:tcW w:w="7940" w:type="dxa"/>
            <w:vAlign w:val="bottom"/>
            <w:gridSpan w:val="40"/>
          </w:tcPr>
          <w:p>
            <w:pPr>
              <w:ind w:left="20"/>
              <w:spacing w:after="0"/>
              <w:rPr>
                <w:sz w:val="20"/>
                <w:szCs w:val="20"/>
                <w:color w:val="auto"/>
              </w:rPr>
            </w:pPr>
            <w:r>
              <w:rPr>
                <w:rFonts w:ascii="Arial" w:cs="Arial" w:eastAsia="Arial" w:hAnsi="Arial"/>
                <w:sz w:val="14"/>
                <w:szCs w:val="14"/>
                <w:color w:val="0000EE"/>
              </w:rPr>
              <w:t>Governance Highlights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0000EE"/>
              </w:rPr>
              <w:t>8​</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CORPORATE GOVERNANCE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11​</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Board Leadership Structure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11​</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Board and Shareholder Meeting Attendance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13​</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Board Committees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13​</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Director Independence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15​</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Risk Management</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15​</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Board Refreshment</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17​</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0000EE"/>
                <w:w w:val="95"/>
              </w:rPr>
              <w:t>Code​</w:t>
            </w:r>
          </w:p>
        </w:tc>
        <w:tc>
          <w:tcPr>
            <w:tcW w:w="8260" w:type="dxa"/>
            <w:vAlign w:val="bottom"/>
            <w:gridSpan w:val="44"/>
          </w:tcPr>
          <w:p>
            <w:pPr>
              <w:ind w:left="40"/>
              <w:spacing w:after="0"/>
              <w:rPr>
                <w:sz w:val="20"/>
                <w:szCs w:val="20"/>
                <w:color w:val="auto"/>
              </w:rPr>
            </w:pPr>
            <w:r>
              <w:rPr>
                <w:rFonts w:ascii="Arial" w:cs="Arial" w:eastAsia="Arial" w:hAnsi="Arial"/>
                <w:sz w:val="14"/>
                <w:szCs w:val="14"/>
                <w:color w:val="0000EE"/>
              </w:rPr>
              <w:t>of Conduct and Corporate Governance Documents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17​</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top w:val="single" w:sz="8" w:color="0000EE"/>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0" w:type="dxa"/>
            <w:vAlign w:val="bottom"/>
            <w:gridSpan w:val="3"/>
          </w:tcPr>
          <w:p>
            <w:pPr>
              <w:spacing w:after="0"/>
              <w:rPr>
                <w:sz w:val="20"/>
                <w:szCs w:val="20"/>
                <w:color w:val="auto"/>
              </w:rPr>
            </w:pPr>
            <w:r>
              <w:rPr>
                <w:rFonts w:ascii="Arial" w:cs="Arial" w:eastAsia="Arial" w:hAnsi="Arial"/>
                <w:sz w:val="14"/>
                <w:szCs w:val="14"/>
                <w:color w:val="0000EE"/>
              </w:rPr>
              <w:t>Policy​</w:t>
            </w:r>
          </w:p>
        </w:tc>
        <w:tc>
          <w:tcPr>
            <w:tcW w:w="8200" w:type="dxa"/>
            <w:vAlign w:val="bottom"/>
            <w:gridSpan w:val="43"/>
          </w:tcPr>
          <w:p>
            <w:pPr>
              <w:ind w:left="20"/>
              <w:spacing w:after="0"/>
              <w:rPr>
                <w:sz w:val="20"/>
                <w:szCs w:val="20"/>
                <w:color w:val="auto"/>
              </w:rPr>
            </w:pPr>
            <w:r>
              <w:rPr>
                <w:rFonts w:ascii="Arial" w:cs="Arial" w:eastAsia="Arial" w:hAnsi="Arial"/>
                <w:sz w:val="14"/>
                <w:szCs w:val="14"/>
                <w:color w:val="0000EE"/>
              </w:rPr>
              <w:t>on Transactions with Related Persons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17​</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080" w:type="dxa"/>
            <w:vAlign w:val="bottom"/>
            <w:gridSpan w:val="10"/>
          </w:tcPr>
          <w:p>
            <w:pPr>
              <w:spacing w:after="0"/>
              <w:rPr>
                <w:sz w:val="20"/>
                <w:szCs w:val="20"/>
                <w:color w:val="auto"/>
              </w:rPr>
            </w:pPr>
            <w:r>
              <w:rPr>
                <w:rFonts w:ascii="Arial" w:cs="Arial" w:eastAsia="Arial" w:hAnsi="Arial"/>
                <w:sz w:val="14"/>
                <w:szCs w:val="14"/>
                <w:color w:val="0000EE"/>
              </w:rPr>
              <w:t>Communications​</w:t>
            </w:r>
          </w:p>
        </w:tc>
        <w:tc>
          <w:tcPr>
            <w:tcW w:w="7520" w:type="dxa"/>
            <w:vAlign w:val="bottom"/>
            <w:gridSpan w:val="36"/>
          </w:tcPr>
          <w:p>
            <w:pPr>
              <w:jc w:val="center"/>
              <w:ind w:right="6600"/>
              <w:spacing w:after="0"/>
              <w:rPr>
                <w:sz w:val="20"/>
                <w:szCs w:val="20"/>
                <w:color w:val="auto"/>
              </w:rPr>
            </w:pPr>
            <w:r>
              <w:rPr>
                <w:rFonts w:ascii="Arial" w:cs="Arial" w:eastAsia="Arial" w:hAnsi="Arial"/>
                <w:sz w:val="14"/>
                <w:szCs w:val="14"/>
                <w:color w:val="0000EE"/>
              </w:rPr>
              <w:t>with Directors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18​</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Anti​-Hedging and Anti-Pledging Policy</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18​</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PROPOSAL 1 – ELECTION OF DIRECTORS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19​</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DIRECTOR COMPENSATION</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26​</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0" w:type="dxa"/>
            <w:vAlign w:val="bottom"/>
            <w:gridSpan w:val="5"/>
          </w:tcPr>
          <w:p>
            <w:pPr>
              <w:spacing w:after="0"/>
              <w:rPr>
                <w:sz w:val="20"/>
                <w:szCs w:val="20"/>
                <w:color w:val="auto"/>
              </w:rPr>
            </w:pPr>
            <w:r>
              <w:rPr>
                <w:rFonts w:ascii="Arial" w:cs="Arial" w:eastAsia="Arial" w:hAnsi="Arial"/>
                <w:sz w:val="14"/>
                <w:szCs w:val="14"/>
                <w:color w:val="0000EE"/>
                <w:w w:val="97"/>
              </w:rPr>
              <w:t>Director​</w:t>
            </w:r>
          </w:p>
        </w:tc>
        <w:tc>
          <w:tcPr>
            <w:tcW w:w="8100" w:type="dxa"/>
            <w:vAlign w:val="bottom"/>
            <w:gridSpan w:val="41"/>
          </w:tcPr>
          <w:p>
            <w:pPr>
              <w:jc w:val="center"/>
              <w:ind w:right="6720"/>
              <w:spacing w:after="0"/>
              <w:rPr>
                <w:sz w:val="20"/>
                <w:szCs w:val="20"/>
                <w:color w:val="auto"/>
              </w:rPr>
            </w:pPr>
            <w:r>
              <w:rPr>
                <w:rFonts w:ascii="Arial" w:cs="Arial" w:eastAsia="Arial" w:hAnsi="Arial"/>
                <w:sz w:val="14"/>
                <w:szCs w:val="14"/>
                <w:color w:val="0000EE"/>
              </w:rPr>
              <w:t>Compensation Table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27​</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Non-Employee Director Equity Awards Outstanding as of August 27, 2022</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28​</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top w:val="single" w:sz="8" w:color="0000EE"/>
              <w:bottom w:val="single" w:sz="8" w:color="0E2A35"/>
            </w:tcBorders>
          </w:tcPr>
          <w:p>
            <w:pPr>
              <w:spacing w:after="0"/>
              <w:rPr>
                <w:sz w:val="7"/>
                <w:szCs w:val="7"/>
                <w:color w:val="auto"/>
              </w:rPr>
            </w:pPr>
          </w:p>
        </w:tc>
        <w:tc>
          <w:tcPr>
            <w:tcW w:w="440" w:type="dxa"/>
            <w:vAlign w:val="bottom"/>
            <w:tcBorders>
              <w:top w:val="single" w:sz="8" w:color="0000EE"/>
              <w:bottom w:val="single" w:sz="8" w:color="0E2A35"/>
            </w:tcBorders>
          </w:tcPr>
          <w:p>
            <w:pPr>
              <w:spacing w:after="0"/>
              <w:rPr>
                <w:sz w:val="7"/>
                <w:szCs w:val="7"/>
                <w:color w:val="auto"/>
              </w:rPr>
            </w:pPr>
          </w:p>
        </w:tc>
        <w:tc>
          <w:tcPr>
            <w:tcW w:w="5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Director Ownership Guidelines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28​</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Directors’ Deferred Compensation Plan</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28​</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Director Annual Equity Grants</w:t>
            </w:r>
          </w:p>
        </w:tc>
        <w:tc>
          <w:tcPr>
            <w:tcW w:w="620" w:type="dxa"/>
            <w:vAlign w:val="bottom"/>
            <w:gridSpan w:val="4"/>
          </w:tcPr>
          <w:p>
            <w:pPr>
              <w:jc w:val="right"/>
              <w:spacing w:after="0"/>
              <w:rPr>
                <w:sz w:val="20"/>
                <w:szCs w:val="20"/>
                <w:color w:val="auto"/>
              </w:rPr>
            </w:pPr>
            <w:r>
              <w:rPr>
                <w:rFonts w:ascii="Arial" w:cs="Arial" w:eastAsia="Arial" w:hAnsi="Arial"/>
                <w:sz w:val="14"/>
                <w:szCs w:val="14"/>
                <w:color w:val="0000EE"/>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PROPOSAL 2 – ADVISORY VOTE ON EXECUTIVE COMPENSATION</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31​</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top w:val="single" w:sz="8" w:color="0000EE"/>
              <w:bottom w:val="single" w:sz="8" w:color="0E2A35"/>
            </w:tcBorders>
          </w:tcPr>
          <w:p>
            <w:pPr>
              <w:spacing w:after="0"/>
              <w:rPr>
                <w:sz w:val="7"/>
                <w:szCs w:val="7"/>
                <w:color w:val="auto"/>
              </w:rPr>
            </w:pPr>
          </w:p>
        </w:tc>
        <w:tc>
          <w:tcPr>
            <w:tcW w:w="440" w:type="dxa"/>
            <w:vAlign w:val="bottom"/>
            <w:tcBorders>
              <w:top w:val="single" w:sz="8" w:color="0000EE"/>
              <w:bottom w:val="single" w:sz="8" w:color="0E2A35"/>
            </w:tcBorders>
          </w:tcPr>
          <w:p>
            <w:pPr>
              <w:spacing w:after="0"/>
              <w:rPr>
                <w:sz w:val="7"/>
                <w:szCs w:val="7"/>
                <w:color w:val="auto"/>
              </w:rPr>
            </w:pPr>
          </w:p>
        </w:tc>
        <w:tc>
          <w:tcPr>
            <w:tcW w:w="520" w:type="dxa"/>
            <w:vAlign w:val="bottom"/>
            <w:tcBorders>
              <w:top w:val="single" w:sz="8" w:color="0000EE"/>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EXECUTIVE COMPENSATION</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32​</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40" w:type="dxa"/>
            <w:vAlign w:val="bottom"/>
            <w:gridSpan w:val="8"/>
          </w:tcPr>
          <w:p>
            <w:pPr>
              <w:spacing w:after="0"/>
              <w:rPr>
                <w:sz w:val="20"/>
                <w:szCs w:val="20"/>
                <w:color w:val="auto"/>
              </w:rPr>
            </w:pPr>
            <w:r>
              <w:rPr>
                <w:rFonts w:ascii="Arial" w:cs="Arial" w:eastAsia="Arial" w:hAnsi="Arial"/>
                <w:sz w:val="14"/>
                <w:szCs w:val="14"/>
                <w:color w:val="0000EE"/>
              </w:rPr>
              <w:t>Compensation​</w:t>
            </w:r>
          </w:p>
        </w:tc>
        <w:tc>
          <w:tcPr>
            <w:tcW w:w="7660" w:type="dxa"/>
            <w:vAlign w:val="bottom"/>
            <w:gridSpan w:val="38"/>
          </w:tcPr>
          <w:p>
            <w:pPr>
              <w:ind w:left="20"/>
              <w:spacing w:after="0"/>
              <w:rPr>
                <w:sz w:val="20"/>
                <w:szCs w:val="20"/>
                <w:color w:val="auto"/>
              </w:rPr>
            </w:pPr>
            <w:r>
              <w:rPr>
                <w:rFonts w:ascii="Arial" w:cs="Arial" w:eastAsia="Arial" w:hAnsi="Arial"/>
                <w:sz w:val="14"/>
                <w:szCs w:val="14"/>
                <w:color w:val="0000EE"/>
              </w:rPr>
              <w:t>Discussion and Analysis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33​</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0" w:type="dxa"/>
            <w:vAlign w:val="bottom"/>
            <w:gridSpan w:val="5"/>
          </w:tcPr>
          <w:p>
            <w:pPr>
              <w:spacing w:after="0"/>
              <w:rPr>
                <w:sz w:val="20"/>
                <w:szCs w:val="20"/>
                <w:color w:val="auto"/>
              </w:rPr>
            </w:pPr>
            <w:r>
              <w:rPr>
                <w:rFonts w:ascii="Arial" w:cs="Arial" w:eastAsia="Arial" w:hAnsi="Arial"/>
                <w:sz w:val="14"/>
                <w:szCs w:val="14"/>
                <w:color w:val="0000EE"/>
              </w:rPr>
              <w:t>Human​</w:t>
            </w:r>
          </w:p>
        </w:tc>
        <w:tc>
          <w:tcPr>
            <w:tcW w:w="8100" w:type="dxa"/>
            <w:vAlign w:val="bottom"/>
            <w:gridSpan w:val="41"/>
          </w:tcPr>
          <w:p>
            <w:pPr>
              <w:spacing w:after="0"/>
              <w:rPr>
                <w:sz w:val="20"/>
                <w:szCs w:val="20"/>
                <w:color w:val="auto"/>
              </w:rPr>
            </w:pPr>
            <w:r>
              <w:rPr>
                <w:rFonts w:ascii="Arial" w:cs="Arial" w:eastAsia="Arial" w:hAnsi="Arial"/>
                <w:sz w:val="14"/>
                <w:szCs w:val="14"/>
                <w:color w:val="0000EE"/>
              </w:rPr>
              <w:t>Resources Committee Report</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50​</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940" w:type="dxa"/>
            <w:vAlign w:val="bottom"/>
            <w:gridSpan w:val="8"/>
          </w:tcPr>
          <w:p>
            <w:pPr>
              <w:spacing w:after="0"/>
              <w:rPr>
                <w:sz w:val="20"/>
                <w:szCs w:val="20"/>
                <w:color w:val="auto"/>
              </w:rPr>
            </w:pPr>
            <w:r>
              <w:rPr>
                <w:rFonts w:ascii="Arial" w:cs="Arial" w:eastAsia="Arial" w:hAnsi="Arial"/>
                <w:sz w:val="14"/>
                <w:szCs w:val="14"/>
                <w:color w:val="0000EE"/>
              </w:rPr>
              <w:t>Compensation​</w:t>
            </w:r>
          </w:p>
        </w:tc>
        <w:tc>
          <w:tcPr>
            <w:tcW w:w="7660" w:type="dxa"/>
            <w:vAlign w:val="bottom"/>
            <w:gridSpan w:val="38"/>
          </w:tcPr>
          <w:p>
            <w:pPr>
              <w:ind w:left="20"/>
              <w:spacing w:after="0"/>
              <w:rPr>
                <w:sz w:val="20"/>
                <w:szCs w:val="20"/>
                <w:color w:val="auto"/>
              </w:rPr>
            </w:pPr>
            <w:r>
              <w:rPr>
                <w:rFonts w:ascii="Arial" w:cs="Arial" w:eastAsia="Arial" w:hAnsi="Arial"/>
                <w:sz w:val="14"/>
                <w:szCs w:val="14"/>
                <w:color w:val="0000EE"/>
              </w:rPr>
              <w:t>Tables and Narrative Disclosure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51​</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60" w:type="dxa"/>
            <w:vAlign w:val="bottom"/>
            <w:gridSpan w:val="6"/>
          </w:tcPr>
          <w:p>
            <w:pPr>
              <w:spacing w:after="0"/>
              <w:rPr>
                <w:sz w:val="20"/>
                <w:szCs w:val="20"/>
                <w:color w:val="auto"/>
              </w:rPr>
            </w:pPr>
            <w:r>
              <w:rPr>
                <w:rFonts w:ascii="Arial" w:cs="Arial" w:eastAsia="Arial" w:hAnsi="Arial"/>
                <w:sz w:val="14"/>
                <w:szCs w:val="14"/>
                <w:color w:val="0000EE"/>
              </w:rPr>
              <w:t>Estimated​</w:t>
            </w:r>
          </w:p>
        </w:tc>
        <w:tc>
          <w:tcPr>
            <w:tcW w:w="7940" w:type="dxa"/>
            <w:vAlign w:val="bottom"/>
            <w:gridSpan w:val="40"/>
          </w:tcPr>
          <w:p>
            <w:pPr>
              <w:ind w:left="20"/>
              <w:spacing w:after="0"/>
              <w:rPr>
                <w:sz w:val="20"/>
                <w:szCs w:val="20"/>
                <w:color w:val="auto"/>
              </w:rPr>
            </w:pPr>
            <w:r>
              <w:rPr>
                <w:rFonts w:ascii="Arial" w:cs="Arial" w:eastAsia="Arial" w:hAnsi="Arial"/>
                <w:sz w:val="14"/>
                <w:szCs w:val="14"/>
                <w:color w:val="0000EE"/>
              </w:rPr>
              <w:t>Change in Control or Termination Payments and Benefits at the End of Fiscal 2022</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61​</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top w:val="single" w:sz="8" w:color="0000EE"/>
              <w:bottom w:val="single" w:sz="8" w:color="0E2A35"/>
            </w:tcBorders>
          </w:tcPr>
          <w:p>
            <w:pPr>
              <w:spacing w:after="0"/>
              <w:rPr>
                <w:sz w:val="7"/>
                <w:szCs w:val="7"/>
                <w:color w:val="auto"/>
              </w:rPr>
            </w:pPr>
          </w:p>
        </w:tc>
        <w:tc>
          <w:tcPr>
            <w:tcW w:w="440" w:type="dxa"/>
            <w:vAlign w:val="bottom"/>
            <w:tcBorders>
              <w:top w:val="single" w:sz="8" w:color="0000EE"/>
              <w:bottom w:val="single" w:sz="8" w:color="0E2A35"/>
            </w:tcBorders>
          </w:tcPr>
          <w:p>
            <w:pPr>
              <w:spacing w:after="0"/>
              <w:rPr>
                <w:sz w:val="7"/>
                <w:szCs w:val="7"/>
                <w:color w:val="auto"/>
              </w:rPr>
            </w:pPr>
          </w:p>
        </w:tc>
        <w:tc>
          <w:tcPr>
            <w:tcW w:w="5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880" w:type="dxa"/>
            <w:vAlign w:val="bottom"/>
            <w:tcBorders>
              <w:top w:val="single" w:sz="8" w:color="0000EE"/>
              <w:bottom w:val="single" w:sz="8" w:color="0E2A35"/>
            </w:tcBorders>
          </w:tcPr>
          <w:p>
            <w:pPr>
              <w:spacing w:after="0"/>
              <w:rPr>
                <w:sz w:val="7"/>
                <w:szCs w:val="7"/>
                <w:color w:val="auto"/>
              </w:rPr>
            </w:pPr>
          </w:p>
        </w:tc>
        <w:tc>
          <w:tcPr>
            <w:tcW w:w="360" w:type="dxa"/>
            <w:vAlign w:val="bottom"/>
            <w:tcBorders>
              <w:top w:val="single" w:sz="8" w:color="0000EE"/>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0000EE"/>
              </w:rPr>
              <w:t>CEO​</w:t>
            </w:r>
          </w:p>
        </w:tc>
        <w:tc>
          <w:tcPr>
            <w:tcW w:w="8260" w:type="dxa"/>
            <w:vAlign w:val="bottom"/>
            <w:gridSpan w:val="44"/>
          </w:tcPr>
          <w:p>
            <w:pPr>
              <w:spacing w:after="0"/>
              <w:rPr>
                <w:sz w:val="20"/>
                <w:szCs w:val="20"/>
                <w:color w:val="auto"/>
              </w:rPr>
            </w:pPr>
            <w:r>
              <w:rPr>
                <w:rFonts w:ascii="Arial" w:cs="Arial" w:eastAsia="Arial" w:hAnsi="Arial"/>
                <w:sz w:val="14"/>
                <w:szCs w:val="14"/>
                <w:color w:val="0000EE"/>
              </w:rPr>
              <w:t>Pay Ratio Disclosure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63​</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color w:val="0000EE"/>
              </w:rPr>
              <w:t>Equity Compensation Plan Information</w:t>
            </w:r>
          </w:p>
        </w:tc>
        <w:tc>
          <w:tcPr>
            <w:tcW w:w="620" w:type="dxa"/>
            <w:vAlign w:val="bottom"/>
            <w:gridSpan w:val="4"/>
          </w:tcPr>
          <w:p>
            <w:pPr>
              <w:jc w:val="right"/>
              <w:spacing w:after="0"/>
              <w:rPr>
                <w:sz w:val="20"/>
                <w:szCs w:val="20"/>
                <w:color w:val="auto"/>
              </w:rPr>
            </w:pPr>
            <w:r>
              <w:rPr>
                <w:rFonts w:ascii="Arial" w:cs="Arial" w:eastAsia="Arial" w:hAnsi="Arial"/>
                <w:sz w:val="14"/>
                <w:szCs w:val="14"/>
                <w:color w:val="0000EE"/>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PROPOSAL 3 – RATIFICATION OF THE APPOINTMENT OF INDEPENDENT REGISTERED PUBLIC ACCOUNTANT FOR THE</w:t>
            </w:r>
          </w:p>
        </w:tc>
        <w:tc>
          <w:tcPr>
            <w:tcW w:w="460" w:type="dxa"/>
            <w:vAlign w:val="bottom"/>
          </w:tcPr>
          <w:p>
            <w:pPr>
              <w:spacing w:after="0"/>
              <w:rPr>
                <w:sz w:val="20"/>
                <w:szCs w:val="20"/>
                <w:color w:val="auto"/>
              </w:rPr>
            </w:pPr>
          </w:p>
        </w:tc>
        <w:tc>
          <w:tcPr>
            <w:tcW w:w="180" w:type="dxa"/>
            <w:vAlign w:val="bottom"/>
            <w:gridSpan w:val="4"/>
            <w:vMerge w:val="restart"/>
          </w:tcPr>
          <w:p>
            <w:pPr>
              <w:jc w:val="right"/>
              <w:ind w:right="20"/>
              <w:spacing w:after="0"/>
              <w:rPr>
                <w:sz w:val="20"/>
                <w:szCs w:val="20"/>
                <w:color w:val="auto"/>
              </w:rPr>
            </w:pPr>
            <w:r>
              <w:rPr>
                <w:rFonts w:ascii="Arial" w:cs="Arial" w:eastAsia="Arial" w:hAnsi="Arial"/>
                <w:sz w:val="14"/>
                <w:szCs w:val="14"/>
                <w:color w:val="0000EE"/>
                <w:w w:val="89"/>
              </w:rPr>
              <w:t>​65</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140" w:type="dxa"/>
            <w:vAlign w:val="bottom"/>
            <w:tcBorders>
              <w:top w:val="single" w:sz="8" w:color="0000EE"/>
            </w:tcBorders>
            <w:gridSpan w:val="44"/>
            <w:vMerge w:val="restart"/>
          </w:tcPr>
          <w:p>
            <w:pPr>
              <w:jc w:val="center"/>
              <w:ind w:right="5340"/>
              <w:spacing w:after="0" w:line="142" w:lineRule="exact"/>
              <w:rPr>
                <w:sz w:val="20"/>
                <w:szCs w:val="20"/>
                <w:color w:val="auto"/>
              </w:rPr>
            </w:pPr>
            <w:r>
              <w:rPr>
                <w:rFonts w:ascii="Arial" w:cs="Arial" w:eastAsia="Arial" w:hAnsi="Arial"/>
                <w:sz w:val="14"/>
                <w:szCs w:val="14"/>
                <w:b w:val="1"/>
                <w:bCs w:val="1"/>
                <w:color w:val="0000EE"/>
              </w:rPr>
              <w:t>FISCAL YEAR ENDING AUGUST 26, 2023</w:t>
            </w:r>
          </w:p>
        </w:tc>
        <w:tc>
          <w:tcPr>
            <w:tcW w:w="30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140" w:type="dxa"/>
            <w:vAlign w:val="bottom"/>
            <w:tcBorders>
              <w:top w:val="single" w:sz="8" w:color="0000EE"/>
            </w:tcBorders>
            <w:gridSpan w:val="4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20" w:type="dxa"/>
            <w:vAlign w:val="bottom"/>
            <w:gridSpan w:val="4"/>
          </w:tcPr>
          <w:p>
            <w:pPr>
              <w:spacing w:after="0"/>
              <w:rPr>
                <w:sz w:val="20"/>
                <w:szCs w:val="20"/>
                <w:color w:val="auto"/>
              </w:rPr>
            </w:pPr>
            <w:r>
              <w:rPr>
                <w:rFonts w:ascii="Arial" w:cs="Arial" w:eastAsia="Arial" w:hAnsi="Arial"/>
                <w:sz w:val="14"/>
                <w:szCs w:val="14"/>
                <w:color w:val="0000EE"/>
                <w:w w:val="95"/>
              </w:rPr>
              <w:t>Report​</w:t>
            </w:r>
          </w:p>
        </w:tc>
        <w:tc>
          <w:tcPr>
            <w:tcW w:w="8180" w:type="dxa"/>
            <w:vAlign w:val="bottom"/>
            <w:gridSpan w:val="42"/>
          </w:tcPr>
          <w:p>
            <w:pPr>
              <w:jc w:val="center"/>
              <w:ind w:right="6640"/>
              <w:spacing w:after="0"/>
              <w:rPr>
                <w:sz w:val="20"/>
                <w:szCs w:val="20"/>
                <w:color w:val="auto"/>
              </w:rPr>
            </w:pPr>
            <w:r>
              <w:rPr>
                <w:rFonts w:ascii="Arial" w:cs="Arial" w:eastAsia="Arial" w:hAnsi="Arial"/>
                <w:sz w:val="14"/>
                <w:szCs w:val="14"/>
                <w:color w:val="0000EE"/>
              </w:rPr>
              <w:t>of the Audit Committee</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66​</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Arial" w:cs="Arial" w:eastAsia="Arial" w:hAnsi="Arial"/>
                <w:sz w:val="14"/>
                <w:szCs w:val="14"/>
                <w:color w:val="0000EE"/>
              </w:rPr>
              <w:t>Independent​</w:t>
            </w:r>
          </w:p>
        </w:tc>
        <w:tc>
          <w:tcPr>
            <w:tcW w:w="7780" w:type="dxa"/>
            <w:vAlign w:val="bottom"/>
            <w:gridSpan w:val="39"/>
          </w:tcPr>
          <w:p>
            <w:pPr>
              <w:ind w:left="20"/>
              <w:spacing w:after="0"/>
              <w:rPr>
                <w:sz w:val="20"/>
                <w:szCs w:val="20"/>
                <w:color w:val="auto"/>
              </w:rPr>
            </w:pPr>
            <w:r>
              <w:rPr>
                <w:rFonts w:ascii="Arial" w:cs="Arial" w:eastAsia="Arial" w:hAnsi="Arial"/>
                <w:sz w:val="14"/>
                <w:szCs w:val="14"/>
                <w:color w:val="0000EE"/>
              </w:rPr>
              <w:t>Registered Public Accountant’s Fees and Services</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67​</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top w:val="single" w:sz="8" w:color="0000EE"/>
              <w:bottom w:val="single" w:sz="8" w:color="0E2A35"/>
            </w:tcBorders>
          </w:tcPr>
          <w:p>
            <w:pPr>
              <w:spacing w:after="0"/>
              <w:rPr>
                <w:sz w:val="7"/>
                <w:szCs w:val="7"/>
                <w:color w:val="auto"/>
              </w:rPr>
            </w:pPr>
          </w:p>
        </w:tc>
        <w:tc>
          <w:tcPr>
            <w:tcW w:w="440" w:type="dxa"/>
            <w:vAlign w:val="bottom"/>
            <w:tcBorders>
              <w:top w:val="single" w:sz="8" w:color="0000EE"/>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70​</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4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8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40" w:type="dxa"/>
            <w:vAlign w:val="bottom"/>
            <w:tcBorders>
              <w:top w:val="single" w:sz="8" w:color="0000EE"/>
              <w:bottom w:val="single" w:sz="8" w:color="0E2A35"/>
            </w:tcBorders>
          </w:tcPr>
          <w:p>
            <w:pPr>
              <w:spacing w:after="0"/>
              <w:rPr>
                <w:sz w:val="7"/>
                <w:szCs w:val="7"/>
                <w:color w:val="auto"/>
              </w:rPr>
            </w:pPr>
          </w:p>
        </w:tc>
        <w:tc>
          <w:tcPr>
            <w:tcW w:w="620" w:type="dxa"/>
            <w:vAlign w:val="bottom"/>
            <w:tcBorders>
              <w:top w:val="single" w:sz="8" w:color="0000EE"/>
              <w:bottom w:val="single" w:sz="8" w:color="0E2A35"/>
            </w:tcBorders>
          </w:tcPr>
          <w:p>
            <w:pPr>
              <w:spacing w:after="0"/>
              <w:rPr>
                <w:sz w:val="7"/>
                <w:szCs w:val="7"/>
                <w:color w:val="auto"/>
              </w:rPr>
            </w:pPr>
          </w:p>
        </w:tc>
        <w:tc>
          <w:tcPr>
            <w:tcW w:w="440" w:type="dxa"/>
            <w:vAlign w:val="bottom"/>
            <w:tcBorders>
              <w:top w:val="single" w:sz="8" w:color="0000EE"/>
              <w:bottom w:val="single" w:sz="8" w:color="0E2A35"/>
            </w:tcBorders>
          </w:tcPr>
          <w:p>
            <w:pPr>
              <w:spacing w:after="0"/>
              <w:rPr>
                <w:sz w:val="7"/>
                <w:szCs w:val="7"/>
                <w:color w:val="auto"/>
              </w:rPr>
            </w:pPr>
          </w:p>
        </w:tc>
        <w:tc>
          <w:tcPr>
            <w:tcW w:w="5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880" w:type="dxa"/>
            <w:vAlign w:val="bottom"/>
            <w:tcBorders>
              <w:top w:val="single" w:sz="8" w:color="0000EE"/>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VOTING INFORMATION</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72​</w:t>
            </w:r>
          </w:p>
        </w:tc>
        <w:tc>
          <w:tcPr>
            <w:tcW w:w="0" w:type="dxa"/>
            <w:vAlign w:val="bottom"/>
          </w:tcPr>
          <w:p>
            <w:pPr>
              <w:spacing w:after="0"/>
              <w:rPr>
                <w:sz w:val="1"/>
                <w:szCs w:val="1"/>
                <w:color w:val="auto"/>
              </w:rPr>
            </w:pPr>
          </w:p>
        </w:tc>
      </w:tr>
      <w:tr>
        <w:trPr>
          <w:trHeight w:val="88"/>
        </w:trPr>
        <w:tc>
          <w:tcPr>
            <w:tcW w:w="60" w:type="dxa"/>
            <w:vAlign w:val="bottom"/>
            <w:tcBorders>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8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6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1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200" w:type="dxa"/>
            <w:vAlign w:val="bottom"/>
            <w:tcBorders>
              <w:top w:val="single" w:sz="8" w:color="0000EE"/>
              <w:bottom w:val="single" w:sz="8" w:color="0E2A35"/>
            </w:tcBorders>
          </w:tcPr>
          <w:p>
            <w:pPr>
              <w:spacing w:after="0"/>
              <w:rPr>
                <w:sz w:val="7"/>
                <w:szCs w:val="7"/>
                <w:color w:val="auto"/>
              </w:rPr>
            </w:pPr>
          </w:p>
        </w:tc>
        <w:tc>
          <w:tcPr>
            <w:tcW w:w="10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6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40" w:type="dxa"/>
            <w:vAlign w:val="bottom"/>
            <w:tcBorders>
              <w:bottom w:val="single" w:sz="8" w:color="0E2A35"/>
            </w:tcBorders>
          </w:tcPr>
          <w:p>
            <w:pPr>
              <w:spacing w:after="0"/>
              <w:rPr>
                <w:sz w:val="7"/>
                <w:szCs w:val="7"/>
                <w:color w:val="auto"/>
              </w:rPr>
            </w:pPr>
          </w:p>
        </w:tc>
        <w:tc>
          <w:tcPr>
            <w:tcW w:w="62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52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236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20" w:type="dxa"/>
            <w:vAlign w:val="bottom"/>
            <w:tcBorders>
              <w:top w:val="single" w:sz="8" w:color="0000EE"/>
              <w:bottom w:val="single" w:sz="8" w:color="0E2A35"/>
            </w:tcBorders>
          </w:tcPr>
          <w:p>
            <w:pPr>
              <w:spacing w:after="0"/>
              <w:rPr>
                <w:sz w:val="7"/>
                <w:szCs w:val="7"/>
                <w:color w:val="auto"/>
              </w:rPr>
            </w:pPr>
          </w:p>
        </w:tc>
        <w:tc>
          <w:tcPr>
            <w:tcW w:w="60" w:type="dxa"/>
            <w:vAlign w:val="bottom"/>
            <w:tcBorders>
              <w:top w:val="single" w:sz="8" w:color="0000EE"/>
              <w:bottom w:val="single" w:sz="8" w:color="0E2A35"/>
            </w:tcBorders>
          </w:tcPr>
          <w:p>
            <w:pPr>
              <w:spacing w:after="0"/>
              <w:rPr>
                <w:sz w:val="7"/>
                <w:szCs w:val="7"/>
                <w:color w:val="auto"/>
              </w:rPr>
            </w:pPr>
          </w:p>
        </w:tc>
        <w:tc>
          <w:tcPr>
            <w:tcW w:w="80" w:type="dxa"/>
            <w:vAlign w:val="bottom"/>
            <w:tcBorders>
              <w:top w:val="single" w:sz="8" w:color="0000EE"/>
              <w:bottom w:val="single" w:sz="8" w:color="0E2A35"/>
            </w:tcBorders>
          </w:tcPr>
          <w:p>
            <w:pPr>
              <w:spacing w:after="0"/>
              <w:rPr>
                <w:sz w:val="7"/>
                <w:szCs w:val="7"/>
                <w:color w:val="auto"/>
              </w:rPr>
            </w:pPr>
          </w:p>
        </w:tc>
        <w:tc>
          <w:tcPr>
            <w:tcW w:w="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600" w:type="dxa"/>
            <w:vAlign w:val="bottom"/>
            <w:gridSpan w:val="46"/>
          </w:tcPr>
          <w:p>
            <w:pPr>
              <w:spacing w:after="0"/>
              <w:rPr>
                <w:sz w:val="20"/>
                <w:szCs w:val="20"/>
                <w:color w:val="auto"/>
              </w:rPr>
            </w:pPr>
            <w:r>
              <w:rPr>
                <w:rFonts w:ascii="Arial" w:cs="Arial" w:eastAsia="Arial" w:hAnsi="Arial"/>
                <w:sz w:val="14"/>
                <w:szCs w:val="14"/>
                <w:b w:val="1"/>
                <w:bCs w:val="1"/>
                <w:color w:val="0000EE"/>
              </w:rPr>
              <w:t>OTHER INFORMATION</w:t>
            </w:r>
          </w:p>
        </w:tc>
        <w:tc>
          <w:tcPr>
            <w:tcW w:w="460" w:type="dxa"/>
            <w:vAlign w:val="bottom"/>
          </w:tcPr>
          <w:p>
            <w:pPr>
              <w:spacing w:after="0"/>
              <w:rPr>
                <w:sz w:val="20"/>
                <w:szCs w:val="20"/>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4"/>
                <w:szCs w:val="14"/>
                <w:color w:val="0000EE"/>
                <w:w w:val="89"/>
              </w:rPr>
              <w:t>73​</w:t>
            </w:r>
          </w:p>
        </w:tc>
        <w:tc>
          <w:tcPr>
            <w:tcW w:w="0" w:type="dxa"/>
            <w:vAlign w:val="bottom"/>
          </w:tcPr>
          <w:p>
            <w:pPr>
              <w:spacing w:after="0"/>
              <w:rPr>
                <w:sz w:val="1"/>
                <w:szCs w:val="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18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360" w:type="dxa"/>
            <w:vAlign w:val="bottom"/>
            <w:tcBorders>
              <w:bottom w:val="single" w:sz="8" w:color="0E2A35"/>
            </w:tcBorders>
          </w:tcPr>
          <w:p>
            <w:pPr>
              <w:spacing w:after="0"/>
              <w:rPr>
                <w:sz w:val="8"/>
                <w:szCs w:val="8"/>
                <w:color w:val="auto"/>
              </w:rPr>
            </w:pPr>
          </w:p>
        </w:tc>
        <w:tc>
          <w:tcPr>
            <w:tcW w:w="236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960"/>
        <w:spacing w:after="0"/>
        <w:rPr>
          <w:sz w:val="20"/>
          <w:szCs w:val="20"/>
          <w:color w:val="auto"/>
        </w:rPr>
      </w:pPr>
      <w:r>
        <w:rPr>
          <w:rFonts w:ascii="Arial" w:cs="Arial" w:eastAsia="Arial" w:hAnsi="Arial"/>
          <w:sz w:val="12"/>
          <w:szCs w:val="12"/>
          <w:color w:val="0E2A35"/>
        </w:rPr>
        <w:t>Proxy Statement for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206375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300"/>
          </w:cols>
          <w:pgMar w:left="1300" w:top="263" w:right="1299" w:bottom="867"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1217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97880" cy="121729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ind w:left="100"/>
              <w:spacing w:after="0"/>
              <w:rPr>
                <w:sz w:val="20"/>
                <w:szCs w:val="20"/>
                <w:color w:val="auto"/>
              </w:rPr>
            </w:pPr>
            <w:r>
              <w:rPr>
                <w:rFonts w:ascii="Arial" w:cs="Arial" w:eastAsia="Arial" w:hAnsi="Arial"/>
                <w:sz w:val="14"/>
                <w:szCs w:val="14"/>
                <w:color w:val="FFFFFF"/>
              </w:rPr>
              <w:t> </w:t>
            </w:r>
          </w:p>
        </w:tc>
        <w:tc>
          <w:tcPr>
            <w:tcW w:w="440" w:type="dxa"/>
            <w:vAlign w:val="bottom"/>
          </w:tcPr>
          <w:p>
            <w:pPr>
              <w:ind w:left="300"/>
              <w:spacing w:after="0"/>
              <w:rPr>
                <w:sz w:val="20"/>
                <w:szCs w:val="20"/>
                <w:color w:val="auto"/>
              </w:rPr>
            </w:pPr>
            <w:r>
              <w:rPr>
                <w:rFonts w:ascii="Arial" w:cs="Arial" w:eastAsia="Arial" w:hAnsi="Arial"/>
                <w:sz w:val="14"/>
                <w:szCs w:val="14"/>
                <w:color w:val="FFFFFF"/>
              </w:rPr>
              <w:t> </w:t>
            </w:r>
          </w:p>
        </w:tc>
        <w:tc>
          <w:tcPr>
            <w:tcW w:w="3380" w:type="dxa"/>
            <w:vAlign w:val="bottom"/>
          </w:tcPr>
          <w:p>
            <w:pPr>
              <w:ind w:left="3300"/>
              <w:spacing w:after="0"/>
              <w:rPr>
                <w:sz w:val="20"/>
                <w:szCs w:val="20"/>
                <w:color w:val="auto"/>
              </w:rPr>
            </w:pPr>
            <w:r>
              <w:rPr>
                <w:rFonts w:ascii="Arial" w:cs="Arial" w:eastAsia="Arial" w:hAnsi="Arial"/>
                <w:sz w:val="14"/>
                <w:szCs w:val="14"/>
                <w:color w:val="FFFFFF"/>
              </w:rPr>
              <w:t> </w:t>
            </w:r>
          </w:p>
        </w:tc>
        <w:tc>
          <w:tcPr>
            <w:tcW w:w="1740" w:type="dxa"/>
            <w:vAlign w:val="bottom"/>
          </w:tcPr>
          <w:p>
            <w:pPr>
              <w:spacing w:after="0"/>
              <w:rPr>
                <w:sz w:val="16"/>
                <w:szCs w:val="16"/>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FFFFFF"/>
              </w:rPr>
              <w:t> </w:t>
            </w:r>
          </w:p>
        </w:tc>
      </w:tr>
      <w:tr>
        <w:trPr>
          <w:trHeight w:val="180"/>
        </w:trPr>
        <w:tc>
          <w:tcPr>
            <w:tcW w:w="1880" w:type="dxa"/>
            <w:vAlign w:val="bottom"/>
          </w:tcPr>
          <w:p>
            <w:pPr>
              <w:jc w:val="center"/>
              <w:ind w:right="208"/>
              <w:spacing w:after="0"/>
              <w:rPr>
                <w:sz w:val="20"/>
                <w:szCs w:val="20"/>
                <w:color w:val="auto"/>
              </w:rPr>
            </w:pPr>
            <w:r>
              <w:rPr>
                <w:rFonts w:ascii="Arial" w:cs="Arial" w:eastAsia="Arial" w:hAnsi="Arial"/>
                <w:sz w:val="14"/>
                <w:szCs w:val="14"/>
                <w:b w:val="1"/>
                <w:bCs w:val="1"/>
                <w:color w:val="FFFFFF"/>
              </w:rPr>
              <w:t>Time and Date:</w:t>
            </w:r>
          </w:p>
        </w:tc>
        <w:tc>
          <w:tcPr>
            <w:tcW w:w="440" w:type="dxa"/>
            <w:vAlign w:val="bottom"/>
          </w:tcPr>
          <w:p>
            <w:pPr>
              <w:spacing w:after="0"/>
              <w:rPr>
                <w:sz w:val="15"/>
                <w:szCs w:val="15"/>
                <w:color w:val="auto"/>
              </w:rPr>
            </w:pPr>
          </w:p>
        </w:tc>
        <w:tc>
          <w:tcPr>
            <w:tcW w:w="3380" w:type="dxa"/>
            <w:vAlign w:val="bottom"/>
          </w:tcPr>
          <w:p>
            <w:pPr>
              <w:jc w:val="center"/>
              <w:ind w:right="768"/>
              <w:spacing w:after="0"/>
              <w:rPr>
                <w:sz w:val="20"/>
                <w:szCs w:val="20"/>
                <w:color w:val="auto"/>
              </w:rPr>
            </w:pPr>
            <w:r>
              <w:rPr>
                <w:rFonts w:ascii="Arial" w:cs="Arial" w:eastAsia="Arial" w:hAnsi="Arial"/>
                <w:sz w:val="14"/>
                <w:szCs w:val="14"/>
                <w:b w:val="1"/>
                <w:bCs w:val="1"/>
                <w:color w:val="FFFFFF"/>
              </w:rPr>
              <w:t>Place:</w:t>
            </w:r>
          </w:p>
        </w:tc>
        <w:tc>
          <w:tcPr>
            <w:tcW w:w="1740" w:type="dxa"/>
            <w:vAlign w:val="bottom"/>
          </w:tcPr>
          <w:p>
            <w:pPr>
              <w:jc w:val="center"/>
              <w:ind w:right="248"/>
              <w:spacing w:after="0"/>
              <w:rPr>
                <w:sz w:val="20"/>
                <w:szCs w:val="20"/>
                <w:color w:val="auto"/>
              </w:rPr>
            </w:pPr>
            <w:r>
              <w:rPr>
                <w:rFonts w:ascii="Arial" w:cs="Arial" w:eastAsia="Arial" w:hAnsi="Arial"/>
                <w:sz w:val="14"/>
                <w:szCs w:val="14"/>
                <w:b w:val="1"/>
                <w:bCs w:val="1"/>
                <w:color w:val="FFFFFF"/>
              </w:rPr>
              <w:t>Proxy Mailing Date:</w:t>
            </w:r>
          </w:p>
        </w:tc>
        <w:tc>
          <w:tcPr>
            <w:tcW w:w="1700" w:type="dxa"/>
            <w:vAlign w:val="bottom"/>
          </w:tcPr>
          <w:p>
            <w:pPr>
              <w:jc w:val="center"/>
              <w:ind w:left="448"/>
              <w:spacing w:after="0"/>
              <w:rPr>
                <w:sz w:val="20"/>
                <w:szCs w:val="20"/>
                <w:color w:val="auto"/>
              </w:rPr>
            </w:pPr>
            <w:r>
              <w:rPr>
                <w:rFonts w:ascii="Arial" w:cs="Arial" w:eastAsia="Arial" w:hAnsi="Arial"/>
                <w:sz w:val="14"/>
                <w:szCs w:val="14"/>
                <w:b w:val="1"/>
                <w:bCs w:val="1"/>
                <w:color w:val="FFFFFF"/>
              </w:rPr>
              <w:t>Record Date:</w:t>
            </w:r>
          </w:p>
        </w:tc>
      </w:tr>
      <w:tr>
        <w:trPr>
          <w:trHeight w:val="189"/>
        </w:trPr>
        <w:tc>
          <w:tcPr>
            <w:tcW w:w="1880" w:type="dxa"/>
            <w:vAlign w:val="bottom"/>
          </w:tcPr>
          <w:p>
            <w:pPr>
              <w:jc w:val="center"/>
              <w:ind w:right="228"/>
              <w:spacing w:after="0"/>
              <w:rPr>
                <w:sz w:val="20"/>
                <w:szCs w:val="20"/>
                <w:color w:val="auto"/>
              </w:rPr>
            </w:pPr>
            <w:r>
              <w:rPr>
                <w:rFonts w:ascii="Arial" w:cs="Arial" w:eastAsia="Arial" w:hAnsi="Arial"/>
                <w:sz w:val="14"/>
                <w:szCs w:val="14"/>
                <w:color w:val="FFFFFF"/>
              </w:rPr>
              <w:t>Tuesday,</w:t>
            </w:r>
          </w:p>
        </w:tc>
        <w:tc>
          <w:tcPr>
            <w:tcW w:w="440" w:type="dxa"/>
            <w:vAlign w:val="bottom"/>
          </w:tcPr>
          <w:p>
            <w:pPr>
              <w:spacing w:after="0"/>
              <w:rPr>
                <w:sz w:val="16"/>
                <w:szCs w:val="16"/>
                <w:color w:val="auto"/>
              </w:rPr>
            </w:pPr>
          </w:p>
        </w:tc>
        <w:tc>
          <w:tcPr>
            <w:tcW w:w="3380" w:type="dxa"/>
            <w:vAlign w:val="bottom"/>
          </w:tcPr>
          <w:p>
            <w:pPr>
              <w:jc w:val="center"/>
              <w:ind w:right="788"/>
              <w:spacing w:after="0"/>
              <w:rPr>
                <w:sz w:val="20"/>
                <w:szCs w:val="20"/>
                <w:color w:val="auto"/>
              </w:rPr>
            </w:pPr>
            <w:r>
              <w:rPr>
                <w:rFonts w:ascii="Arial" w:cs="Arial" w:eastAsia="Arial" w:hAnsi="Arial"/>
                <w:sz w:val="14"/>
                <w:szCs w:val="14"/>
                <w:color w:val="FFFFFF"/>
              </w:rPr>
              <w:t>www.virtualshareholdermeeting.com/</w:t>
            </w:r>
          </w:p>
        </w:tc>
        <w:tc>
          <w:tcPr>
            <w:tcW w:w="1740" w:type="dxa"/>
            <w:vAlign w:val="bottom"/>
          </w:tcPr>
          <w:p>
            <w:pPr>
              <w:jc w:val="center"/>
              <w:ind w:right="248"/>
              <w:spacing w:after="0"/>
              <w:rPr>
                <w:sz w:val="20"/>
                <w:szCs w:val="20"/>
                <w:color w:val="auto"/>
              </w:rPr>
            </w:pPr>
            <w:r>
              <w:rPr>
                <w:rFonts w:ascii="Arial" w:cs="Arial" w:eastAsia="Arial" w:hAnsi="Arial"/>
                <w:sz w:val="14"/>
                <w:szCs w:val="14"/>
                <w:color w:val="FFFFFF"/>
              </w:rPr>
              <w:t>December 13, 2022</w:t>
            </w:r>
          </w:p>
        </w:tc>
        <w:tc>
          <w:tcPr>
            <w:tcW w:w="1700" w:type="dxa"/>
            <w:vAlign w:val="bottom"/>
          </w:tcPr>
          <w:p>
            <w:pPr>
              <w:jc w:val="center"/>
              <w:ind w:left="468"/>
              <w:spacing w:after="0"/>
              <w:rPr>
                <w:sz w:val="20"/>
                <w:szCs w:val="20"/>
                <w:color w:val="auto"/>
              </w:rPr>
            </w:pPr>
            <w:r>
              <w:rPr>
                <w:rFonts w:ascii="Arial" w:cs="Arial" w:eastAsia="Arial" w:hAnsi="Arial"/>
                <w:sz w:val="14"/>
                <w:szCs w:val="14"/>
                <w:color w:val="FFFFFF"/>
              </w:rPr>
              <w:t>October 18, 2022​</w:t>
            </w:r>
          </w:p>
        </w:tc>
      </w:tr>
      <w:tr>
        <w:trPr>
          <w:trHeight w:val="217"/>
        </w:trPr>
        <w:tc>
          <w:tcPr>
            <w:tcW w:w="1880" w:type="dxa"/>
            <w:vAlign w:val="bottom"/>
          </w:tcPr>
          <w:p>
            <w:pPr>
              <w:jc w:val="center"/>
              <w:ind w:right="228"/>
              <w:spacing w:after="0"/>
              <w:rPr>
                <w:sz w:val="20"/>
                <w:szCs w:val="20"/>
                <w:color w:val="auto"/>
              </w:rPr>
            </w:pPr>
            <w:r>
              <w:rPr>
                <w:rFonts w:ascii="Arial" w:cs="Arial" w:eastAsia="Arial" w:hAnsi="Arial"/>
                <w:sz w:val="14"/>
                <w:szCs w:val="14"/>
                <w:color w:val="FFFFFF"/>
              </w:rPr>
              <w:t>December 13, 2022 4:00</w:t>
            </w:r>
          </w:p>
        </w:tc>
        <w:tc>
          <w:tcPr>
            <w:tcW w:w="440" w:type="dxa"/>
            <w:vAlign w:val="bottom"/>
          </w:tcPr>
          <w:p>
            <w:pPr>
              <w:spacing w:after="0"/>
              <w:rPr>
                <w:sz w:val="18"/>
                <w:szCs w:val="18"/>
                <w:color w:val="auto"/>
              </w:rPr>
            </w:pPr>
          </w:p>
        </w:tc>
        <w:tc>
          <w:tcPr>
            <w:tcW w:w="3380" w:type="dxa"/>
            <w:vAlign w:val="bottom"/>
          </w:tcPr>
          <w:p>
            <w:pPr>
              <w:jc w:val="center"/>
              <w:ind w:right="748"/>
              <w:spacing w:after="0"/>
              <w:rPr>
                <w:sz w:val="20"/>
                <w:szCs w:val="20"/>
                <w:color w:val="auto"/>
              </w:rPr>
            </w:pPr>
            <w:r>
              <w:rPr>
                <w:rFonts w:ascii="Arial" w:cs="Arial" w:eastAsia="Arial" w:hAnsi="Arial"/>
                <w:sz w:val="14"/>
                <w:szCs w:val="14"/>
                <w:color w:val="FFFFFF"/>
              </w:rPr>
              <w:t>WGO2022</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ind w:left="380"/>
        <w:spacing w:after="0"/>
        <w:rPr>
          <w:sz w:val="20"/>
          <w:szCs w:val="20"/>
          <w:color w:val="auto"/>
        </w:rPr>
      </w:pPr>
      <w:r>
        <w:rPr>
          <w:rFonts w:ascii="Arial" w:cs="Arial" w:eastAsia="Arial" w:hAnsi="Arial"/>
          <w:sz w:val="14"/>
          <w:szCs w:val="14"/>
          <w:color w:val="FFFFFF"/>
        </w:rPr>
        <w:t>p.m. Central</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4"/>
          <w:szCs w:val="14"/>
          <w:color w:val="FFFFFF"/>
        </w:rPr>
        <w:t>Standard Time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Voting Roadmap</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 w:type="dxa"/>
            <w:vAlign w:val="bottom"/>
            <w:shd w:val="clear" w:color="auto" w:fill="0E2A35"/>
          </w:tcPr>
          <w:p>
            <w:pPr>
              <w:spacing w:after="0"/>
              <w:rPr>
                <w:sz w:val="19"/>
                <w:szCs w:val="19"/>
                <w:color w:val="auto"/>
              </w:rPr>
            </w:pPr>
          </w:p>
        </w:tc>
        <w:tc>
          <w:tcPr>
            <w:tcW w:w="2480" w:type="dxa"/>
            <w:vAlign w:val="bottom"/>
            <w:shd w:val="clear" w:color="auto" w:fill="0E2A35"/>
          </w:tcPr>
          <w:p>
            <w:pPr>
              <w:spacing w:after="0"/>
              <w:rPr>
                <w:sz w:val="19"/>
                <w:szCs w:val="19"/>
                <w:color w:val="auto"/>
              </w:rPr>
            </w:pPr>
          </w:p>
        </w:tc>
        <w:tc>
          <w:tcPr>
            <w:tcW w:w="1380" w:type="dxa"/>
            <w:vAlign w:val="bottom"/>
            <w:shd w:val="clear" w:color="auto" w:fill="0E2A35"/>
          </w:tcPr>
          <w:p>
            <w:pPr>
              <w:spacing w:after="0"/>
              <w:rPr>
                <w:sz w:val="19"/>
                <w:szCs w:val="19"/>
                <w:color w:val="auto"/>
              </w:rPr>
            </w:pPr>
          </w:p>
        </w:tc>
        <w:tc>
          <w:tcPr>
            <w:tcW w:w="1120" w:type="dxa"/>
            <w:vAlign w:val="bottom"/>
            <w:shd w:val="clear" w:color="auto" w:fill="0E2A35"/>
          </w:tcPr>
          <w:p>
            <w:pPr>
              <w:spacing w:after="0"/>
              <w:rPr>
                <w:sz w:val="19"/>
                <w:szCs w:val="19"/>
                <w:color w:val="auto"/>
              </w:rPr>
            </w:pPr>
          </w:p>
        </w:tc>
        <w:tc>
          <w:tcPr>
            <w:tcW w:w="116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Board​</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Broker</w:t>
            </w:r>
          </w:p>
        </w:tc>
        <w:tc>
          <w:tcPr>
            <w:tcW w:w="940" w:type="dxa"/>
            <w:vAlign w:val="bottom"/>
            <w:shd w:val="clear" w:color="auto" w:fill="0E2A35"/>
          </w:tcPr>
          <w:p>
            <w:pPr>
              <w:spacing w:after="0"/>
              <w:rPr>
                <w:sz w:val="19"/>
                <w:szCs w:val="19"/>
                <w:color w:val="auto"/>
              </w:rPr>
            </w:pPr>
          </w:p>
        </w:tc>
        <w:tc>
          <w:tcPr>
            <w:tcW w:w="340" w:type="dxa"/>
            <w:vAlign w:val="bottom"/>
            <w:shd w:val="clear" w:color="auto" w:fill="0E2A35"/>
          </w:tcPr>
          <w:p>
            <w:pPr>
              <w:spacing w:after="0"/>
              <w:rPr>
                <w:sz w:val="19"/>
                <w:szCs w:val="19"/>
                <w:color w:val="auto"/>
              </w:rPr>
            </w:pPr>
          </w:p>
        </w:tc>
        <w:tc>
          <w:tcPr>
            <w:tcW w:w="160" w:type="dxa"/>
            <w:vAlign w:val="bottom"/>
            <w:shd w:val="clear" w:color="auto" w:fill="0E2A35"/>
          </w:tcPr>
          <w:p>
            <w:pPr>
              <w:spacing w:after="0"/>
              <w:rPr>
                <w:sz w:val="19"/>
                <w:szCs w:val="19"/>
                <w:color w:val="auto"/>
              </w:rPr>
            </w:pPr>
          </w:p>
        </w:tc>
        <w:tc>
          <w:tcPr>
            <w:tcW w:w="26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0E2A35"/>
          </w:tcPr>
          <w:p>
            <w:pPr>
              <w:spacing w:after="0"/>
              <w:rPr>
                <w:sz w:val="11"/>
                <w:szCs w:val="11"/>
                <w:color w:val="auto"/>
              </w:rPr>
            </w:pPr>
          </w:p>
        </w:tc>
        <w:tc>
          <w:tcPr>
            <w:tcW w:w="2480" w:type="dxa"/>
            <w:vAlign w:val="bottom"/>
            <w:shd w:val="clear" w:color="auto" w:fill="0E2A35"/>
          </w:tcPr>
          <w:p>
            <w:pPr>
              <w:spacing w:after="0"/>
              <w:rPr>
                <w:sz w:val="11"/>
                <w:szCs w:val="11"/>
                <w:color w:val="auto"/>
              </w:rPr>
            </w:pPr>
          </w:p>
        </w:tc>
        <w:tc>
          <w:tcPr>
            <w:tcW w:w="13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Vote</w:t>
            </w:r>
          </w:p>
        </w:tc>
        <w:tc>
          <w:tcPr>
            <w:tcW w:w="1120" w:type="dxa"/>
            <w:vAlign w:val="bottom"/>
            <w:vMerge w:val="restart"/>
            <w:shd w:val="clear" w:color="auto" w:fill="0E2A35"/>
          </w:tcPr>
          <w:p>
            <w:pPr>
              <w:jc w:val="center"/>
              <w:ind w:right="30"/>
              <w:spacing w:after="0"/>
              <w:rPr>
                <w:sz w:val="20"/>
                <w:szCs w:val="20"/>
                <w:color w:val="auto"/>
              </w:rPr>
            </w:pPr>
            <w:r>
              <w:rPr>
                <w:rFonts w:ascii="Arial" w:cs="Arial" w:eastAsia="Arial" w:hAnsi="Arial"/>
                <w:sz w:val="13"/>
                <w:szCs w:val="13"/>
                <w:b w:val="1"/>
                <w:bCs w:val="1"/>
                <w:color w:val="FFFFFF"/>
                <w:w w:val="93"/>
              </w:rPr>
              <w:t>Voting</w:t>
            </w:r>
          </w:p>
        </w:tc>
        <w:tc>
          <w:tcPr>
            <w:tcW w:w="1160" w:type="dxa"/>
            <w:vAlign w:val="bottom"/>
            <w:vMerge w:val="continue"/>
            <w:shd w:val="clear" w:color="auto" w:fill="0E2A35"/>
          </w:tcPr>
          <w:p>
            <w:pPr>
              <w:spacing w:after="0"/>
              <w:rPr>
                <w:sz w:val="11"/>
                <w:szCs w:val="11"/>
                <w:color w:val="auto"/>
              </w:rPr>
            </w:pP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Discretionary</w:t>
            </w:r>
          </w:p>
        </w:tc>
        <w:tc>
          <w:tcPr>
            <w:tcW w:w="94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Impact of</w:t>
            </w:r>
          </w:p>
        </w:tc>
        <w:tc>
          <w:tcPr>
            <w:tcW w:w="760" w:type="dxa"/>
            <w:vAlign w:val="bottom"/>
            <w:gridSpan w:val="3"/>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129"/>
        </w:trPr>
        <w:tc>
          <w:tcPr>
            <w:tcW w:w="274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Proposals</w:t>
            </w:r>
          </w:p>
        </w:tc>
        <w:tc>
          <w:tcPr>
            <w:tcW w:w="1380" w:type="dxa"/>
            <w:vAlign w:val="bottom"/>
            <w:vMerge w:val="continue"/>
            <w:shd w:val="clear" w:color="auto" w:fill="0E2A35"/>
          </w:tcPr>
          <w:p>
            <w:pPr>
              <w:spacing w:after="0"/>
              <w:rPr>
                <w:sz w:val="11"/>
                <w:szCs w:val="11"/>
                <w:color w:val="auto"/>
              </w:rPr>
            </w:pPr>
          </w:p>
        </w:tc>
        <w:tc>
          <w:tcPr>
            <w:tcW w:w="1120" w:type="dxa"/>
            <w:vAlign w:val="bottom"/>
            <w:vMerge w:val="continue"/>
            <w:shd w:val="clear" w:color="auto" w:fill="0E2A35"/>
          </w:tcPr>
          <w:p>
            <w:pPr>
              <w:spacing w:after="0"/>
              <w:rPr>
                <w:sz w:val="11"/>
                <w:szCs w:val="11"/>
                <w:color w:val="auto"/>
              </w:rPr>
            </w:pPr>
          </w:p>
        </w:tc>
        <w:tc>
          <w:tcPr>
            <w:tcW w:w="116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4"/>
              </w:rPr>
              <w:t>Recommend</w:t>
            </w:r>
          </w:p>
        </w:tc>
        <w:tc>
          <w:tcPr>
            <w:tcW w:w="118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3"/>
              </w:rPr>
              <w:t>Voting</w:t>
            </w:r>
          </w:p>
        </w:tc>
        <w:tc>
          <w:tcPr>
            <w:tcW w:w="940" w:type="dxa"/>
            <w:vAlign w:val="bottom"/>
            <w:vMerge w:val="continue"/>
            <w:shd w:val="clear" w:color="auto" w:fill="0E2A35"/>
          </w:tcPr>
          <w:p>
            <w:pPr>
              <w:spacing w:after="0"/>
              <w:rPr>
                <w:sz w:val="11"/>
                <w:szCs w:val="11"/>
                <w:color w:val="auto"/>
              </w:rPr>
            </w:pPr>
          </w:p>
        </w:tc>
        <w:tc>
          <w:tcPr>
            <w:tcW w:w="760" w:type="dxa"/>
            <w:vAlign w:val="bottom"/>
            <w:gridSpan w:val="3"/>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740" w:type="dxa"/>
            <w:vAlign w:val="bottom"/>
            <w:gridSpan w:val="2"/>
            <w:vMerge w:val="continue"/>
            <w:shd w:val="clear" w:color="auto" w:fill="0E2A35"/>
          </w:tcPr>
          <w:p>
            <w:pPr>
              <w:spacing w:after="0"/>
              <w:rPr>
                <w:sz w:val="23"/>
                <w:szCs w:val="23"/>
                <w:color w:val="auto"/>
              </w:rPr>
            </w:pPr>
          </w:p>
        </w:tc>
        <w:tc>
          <w:tcPr>
            <w:tcW w:w="13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Required</w:t>
            </w:r>
          </w:p>
        </w:tc>
        <w:tc>
          <w:tcPr>
            <w:tcW w:w="11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-ation</w:t>
            </w:r>
            <w:r>
              <w:rPr>
                <w:rFonts w:ascii="Arial" w:cs="Arial" w:eastAsia="Arial" w:hAnsi="Arial"/>
                <w:sz w:val="20"/>
                <w:szCs w:val="20"/>
                <w:b w:val="1"/>
                <w:bCs w:val="1"/>
                <w:color w:val="FFFFFF"/>
                <w:w w:val="92"/>
                <w:vertAlign w:val="superscript"/>
              </w:rPr>
              <w:t>(1)</w:t>
            </w:r>
          </w:p>
        </w:tc>
        <w:tc>
          <w:tcPr>
            <w:tcW w:w="1180" w:type="dxa"/>
            <w:vAlign w:val="bottom"/>
            <w:shd w:val="clear" w:color="auto" w:fill="0E2A35"/>
          </w:tcPr>
          <w:p>
            <w:pPr>
              <w:jc w:val="center"/>
              <w:ind w:left="13"/>
              <w:spacing w:after="0"/>
              <w:rPr>
                <w:sz w:val="20"/>
                <w:szCs w:val="20"/>
                <w:color w:val="auto"/>
              </w:rPr>
            </w:pPr>
            <w:r>
              <w:rPr>
                <w:rFonts w:ascii="Arial" w:cs="Arial" w:eastAsia="Arial" w:hAnsi="Arial"/>
                <w:sz w:val="13"/>
                <w:szCs w:val="13"/>
                <w:b w:val="1"/>
                <w:bCs w:val="1"/>
                <w:color w:val="FFFFFF"/>
                <w:w w:val="93"/>
              </w:rPr>
              <w:t>Allowed</w:t>
            </w:r>
            <w:r>
              <w:rPr>
                <w:rFonts w:ascii="Arial" w:cs="Arial" w:eastAsia="Arial" w:hAnsi="Arial"/>
                <w:sz w:val="20"/>
                <w:szCs w:val="20"/>
                <w:b w:val="1"/>
                <w:bCs w:val="1"/>
                <w:color w:val="FFFFFF"/>
                <w:w w:val="93"/>
                <w:vertAlign w:val="superscript"/>
              </w:rPr>
              <w:t>(2)</w:t>
            </w:r>
          </w:p>
        </w:tc>
        <w:tc>
          <w:tcPr>
            <w:tcW w:w="940" w:type="dxa"/>
            <w:vAlign w:val="bottom"/>
            <w:shd w:val="clear" w:color="auto" w:fill="0E2A35"/>
          </w:tcPr>
          <w:p>
            <w:pPr>
              <w:jc w:val="center"/>
              <w:ind w:left="12"/>
              <w:spacing w:after="0"/>
              <w:rPr>
                <w:sz w:val="20"/>
                <w:szCs w:val="20"/>
                <w:color w:val="auto"/>
              </w:rPr>
            </w:pPr>
            <w:r>
              <w:rPr>
                <w:rFonts w:ascii="Arial" w:cs="Arial" w:eastAsia="Arial" w:hAnsi="Arial"/>
                <w:sz w:val="13"/>
                <w:szCs w:val="13"/>
                <w:b w:val="1"/>
                <w:bCs w:val="1"/>
                <w:color w:val="FFFFFF"/>
                <w:w w:val="97"/>
              </w:rPr>
              <w:t>Abstention</w:t>
            </w:r>
          </w:p>
        </w:tc>
        <w:tc>
          <w:tcPr>
            <w:tcW w:w="760" w:type="dxa"/>
            <w:vAlign w:val="bottom"/>
            <w:gridSpan w:val="3"/>
            <w:shd w:val="clear" w:color="auto" w:fill="0E2A35"/>
          </w:tcPr>
          <w:p>
            <w:pPr>
              <w:jc w:val="center"/>
              <w:ind w:left="12"/>
              <w:spacing w:after="0"/>
              <w:rPr>
                <w:sz w:val="20"/>
                <w:szCs w:val="20"/>
                <w:color w:val="auto"/>
              </w:rPr>
            </w:pPr>
            <w:r>
              <w:rPr>
                <w:rFonts w:ascii="Arial" w:cs="Arial" w:eastAsia="Arial" w:hAnsi="Arial"/>
                <w:sz w:val="13"/>
                <w:szCs w:val="13"/>
                <w:b w:val="1"/>
                <w:bCs w:val="1"/>
                <w:color w:val="FFFFFF"/>
                <w:w w:val="95"/>
              </w:rPr>
              <w:t>Reference</w:t>
            </w:r>
          </w:p>
        </w:tc>
        <w:tc>
          <w:tcPr>
            <w:tcW w:w="0" w:type="dxa"/>
            <w:vAlign w:val="bottom"/>
          </w:tcPr>
          <w:p>
            <w:pPr>
              <w:spacing w:after="0"/>
              <w:rPr>
                <w:sz w:val="1"/>
                <w:szCs w:val="1"/>
                <w:color w:val="auto"/>
              </w:rPr>
            </w:pPr>
          </w:p>
        </w:tc>
      </w:tr>
      <w:tr>
        <w:trPr>
          <w:trHeight w:val="256"/>
        </w:trPr>
        <w:tc>
          <w:tcPr>
            <w:tcW w:w="260" w:type="dxa"/>
            <w:vAlign w:val="bottom"/>
          </w:tcPr>
          <w:p>
            <w:pPr>
              <w:ind w:left="60"/>
              <w:spacing w:after="0"/>
              <w:rPr>
                <w:sz w:val="20"/>
                <w:szCs w:val="20"/>
                <w:color w:val="auto"/>
              </w:rPr>
            </w:pPr>
            <w:r>
              <w:rPr>
                <w:rFonts w:ascii="Arial" w:cs="Arial" w:eastAsia="Arial" w:hAnsi="Arial"/>
                <w:sz w:val="20"/>
                <w:szCs w:val="20"/>
                <w:b w:val="1"/>
                <w:bCs w:val="1"/>
                <w:color w:val="0E2A35"/>
              </w:rPr>
              <w:t>1.</w:t>
            </w:r>
          </w:p>
        </w:tc>
        <w:tc>
          <w:tcPr>
            <w:tcW w:w="2480" w:type="dxa"/>
            <w:vAlign w:val="bottom"/>
          </w:tcPr>
          <w:p>
            <w:pPr>
              <w:ind w:left="20"/>
              <w:spacing w:after="0"/>
              <w:rPr>
                <w:sz w:val="20"/>
                <w:szCs w:val="20"/>
                <w:color w:val="auto"/>
              </w:rPr>
            </w:pPr>
            <w:r>
              <w:rPr>
                <w:rFonts w:ascii="Arial" w:cs="Arial" w:eastAsia="Arial" w:hAnsi="Arial"/>
                <w:sz w:val="14"/>
                <w:szCs w:val="14"/>
                <w:color w:val="0E2A35"/>
              </w:rPr>
              <w:t>Election of three Class II directors to</w:t>
            </w:r>
          </w:p>
        </w:tc>
        <w:tc>
          <w:tcPr>
            <w:tcW w:w="1380" w:type="dxa"/>
            <w:vAlign w:val="bottom"/>
          </w:tcPr>
          <w:p>
            <w:pPr>
              <w:jc w:val="center"/>
              <w:spacing w:after="0"/>
              <w:rPr>
                <w:sz w:val="20"/>
                <w:szCs w:val="20"/>
                <w:color w:val="auto"/>
              </w:rPr>
            </w:pPr>
            <w:r>
              <w:rPr>
                <w:rFonts w:ascii="Arial" w:cs="Arial" w:eastAsia="Arial" w:hAnsi="Arial"/>
                <w:sz w:val="14"/>
                <w:szCs w:val="14"/>
                <w:color w:val="0E2A35"/>
              </w:rPr>
              <w:t>Plurality of the</w:t>
            </w:r>
          </w:p>
        </w:tc>
        <w:tc>
          <w:tcPr>
            <w:tcW w:w="1120" w:type="dxa"/>
            <w:vAlign w:val="bottom"/>
          </w:tcPr>
          <w:p>
            <w:pPr>
              <w:jc w:val="center"/>
              <w:ind w:right="30"/>
              <w:spacing w:after="0"/>
              <w:rPr>
                <w:sz w:val="20"/>
                <w:szCs w:val="20"/>
                <w:color w:val="auto"/>
              </w:rPr>
            </w:pPr>
            <w:r>
              <w:rPr>
                <w:rFonts w:ascii="Arial" w:cs="Arial" w:eastAsia="Arial" w:hAnsi="Arial"/>
                <w:sz w:val="14"/>
                <w:szCs w:val="14"/>
                <w:color w:val="0E2A35"/>
              </w:rPr>
              <w:t>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180" w:type="dxa"/>
            <w:vAlign w:val="bottom"/>
          </w:tcPr>
          <w:p>
            <w:pPr>
              <w:jc w:val="center"/>
              <w:ind w:left="13"/>
              <w:spacing w:after="0"/>
              <w:rPr>
                <w:sz w:val="20"/>
                <w:szCs w:val="20"/>
                <w:color w:val="auto"/>
              </w:rPr>
            </w:pPr>
            <w:r>
              <w:rPr>
                <w:rFonts w:ascii="Arial" w:cs="Arial" w:eastAsia="Arial" w:hAnsi="Arial"/>
                <w:sz w:val="14"/>
                <w:szCs w:val="14"/>
                <w:color w:val="0E2A35"/>
              </w:rPr>
              <w:t>No</w:t>
            </w:r>
          </w:p>
        </w:tc>
        <w:tc>
          <w:tcPr>
            <w:tcW w:w="940" w:type="dxa"/>
            <w:vAlign w:val="bottom"/>
          </w:tcPr>
          <w:p>
            <w:pPr>
              <w:jc w:val="center"/>
              <w:ind w:left="12"/>
              <w:spacing w:after="0"/>
              <w:rPr>
                <w:sz w:val="20"/>
                <w:szCs w:val="20"/>
                <w:color w:val="auto"/>
              </w:rPr>
            </w:pPr>
            <w:r>
              <w:rPr>
                <w:rFonts w:ascii="Arial" w:cs="Arial" w:eastAsia="Arial" w:hAnsi="Arial"/>
                <w:sz w:val="14"/>
                <w:szCs w:val="14"/>
                <w:color w:val="0E2A35"/>
              </w:rPr>
              <w:t>None</w:t>
            </w:r>
          </w:p>
        </w:tc>
        <w:tc>
          <w:tcPr>
            <w:tcW w:w="760" w:type="dxa"/>
            <w:vAlign w:val="bottom"/>
            <w:gridSpan w:val="3"/>
          </w:tcPr>
          <w:p>
            <w:pPr>
              <w:jc w:val="center"/>
              <w:ind w:left="12"/>
              <w:spacing w:after="0"/>
              <w:rPr>
                <w:sz w:val="20"/>
                <w:szCs w:val="20"/>
                <w:color w:val="auto"/>
              </w:rPr>
            </w:pPr>
            <w:r>
              <w:rPr>
                <w:rFonts w:ascii="Arial" w:cs="Arial" w:eastAsia="Arial" w:hAnsi="Arial"/>
                <w:sz w:val="14"/>
                <w:szCs w:val="14"/>
                <w:color w:val="0000EE"/>
              </w:rPr>
              <w:t>19</w:t>
            </w:r>
          </w:p>
        </w:tc>
        <w:tc>
          <w:tcPr>
            <w:tcW w:w="0" w:type="dxa"/>
            <w:vAlign w:val="bottom"/>
          </w:tcPr>
          <w:p>
            <w:pPr>
              <w:spacing w:after="0"/>
              <w:rPr>
                <w:sz w:val="1"/>
                <w:szCs w:val="1"/>
                <w:color w:val="auto"/>
              </w:rPr>
            </w:pPr>
          </w:p>
        </w:tc>
      </w:tr>
      <w:tr>
        <w:trPr>
          <w:trHeight w:val="264"/>
        </w:trPr>
        <w:tc>
          <w:tcPr>
            <w:tcW w:w="260" w:type="dxa"/>
            <w:vAlign w:val="bottom"/>
            <w:tcBorders>
              <w:bottom w:val="single" w:sz="8" w:color="0E2A35"/>
            </w:tcBorders>
          </w:tcPr>
          <w:p>
            <w:pPr>
              <w:spacing w:after="0"/>
              <w:rPr>
                <w:sz w:val="22"/>
                <w:szCs w:val="22"/>
                <w:color w:val="auto"/>
              </w:rPr>
            </w:pPr>
          </w:p>
        </w:tc>
        <w:tc>
          <w:tcPr>
            <w:tcW w:w="2480" w:type="dxa"/>
            <w:vAlign w:val="bottom"/>
            <w:tcBorders>
              <w:bottom w:val="single" w:sz="8" w:color="0E2A35"/>
            </w:tcBorders>
          </w:tcPr>
          <w:p>
            <w:pPr>
              <w:ind w:left="20"/>
              <w:spacing w:after="0"/>
              <w:rPr>
                <w:sz w:val="20"/>
                <w:szCs w:val="20"/>
                <w:color w:val="auto"/>
              </w:rPr>
            </w:pPr>
            <w:r>
              <w:rPr>
                <w:rFonts w:ascii="Arial" w:cs="Arial" w:eastAsia="Arial" w:hAnsi="Arial"/>
                <w:sz w:val="14"/>
                <w:szCs w:val="14"/>
                <w:color w:val="0E2A35"/>
              </w:rPr>
              <w:t>hold office for a three-year term</w:t>
            </w:r>
          </w:p>
        </w:tc>
        <w:tc>
          <w:tcPr>
            <w:tcW w:w="138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5"/>
              </w:rPr>
              <w:t>votes cast</w:t>
            </w:r>
            <w:r>
              <w:rPr>
                <w:rFonts w:ascii="Arial" w:cs="Arial" w:eastAsia="Arial" w:hAnsi="Arial"/>
                <w:sz w:val="23"/>
                <w:szCs w:val="23"/>
                <w:color w:val="0E2A35"/>
                <w:w w:val="95"/>
                <w:vertAlign w:val="superscript"/>
              </w:rPr>
              <w:t>(3)</w:t>
            </w:r>
          </w:p>
        </w:tc>
        <w:tc>
          <w:tcPr>
            <w:tcW w:w="112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WITHHOLD</w:t>
            </w:r>
          </w:p>
        </w:tc>
        <w:tc>
          <w:tcPr>
            <w:tcW w:w="1160" w:type="dxa"/>
            <w:vAlign w:val="bottom"/>
            <w:tcBorders>
              <w:bottom w:val="single" w:sz="8" w:color="0E2A35"/>
            </w:tcBorders>
          </w:tcPr>
          <w:p>
            <w:pPr>
              <w:spacing w:after="0"/>
              <w:rPr>
                <w:sz w:val="22"/>
                <w:szCs w:val="22"/>
                <w:color w:val="auto"/>
              </w:rPr>
            </w:pPr>
          </w:p>
        </w:tc>
        <w:tc>
          <w:tcPr>
            <w:tcW w:w="1180" w:type="dxa"/>
            <w:vAlign w:val="bottom"/>
            <w:tcBorders>
              <w:bottom w:val="single" w:sz="8" w:color="0E2A35"/>
            </w:tcBorders>
          </w:tcPr>
          <w:p>
            <w:pPr>
              <w:spacing w:after="0"/>
              <w:rPr>
                <w:sz w:val="22"/>
                <w:szCs w:val="22"/>
                <w:color w:val="auto"/>
              </w:rPr>
            </w:pPr>
          </w:p>
        </w:tc>
        <w:tc>
          <w:tcPr>
            <w:tcW w:w="940" w:type="dxa"/>
            <w:vAlign w:val="bottom"/>
            <w:tcBorders>
              <w:bottom w:val="single" w:sz="8" w:color="0E2A35"/>
            </w:tcBorders>
          </w:tcPr>
          <w:p>
            <w:pPr>
              <w:spacing w:after="0"/>
              <w:rPr>
                <w:sz w:val="22"/>
                <w:szCs w:val="22"/>
                <w:color w:val="auto"/>
              </w:rPr>
            </w:pPr>
          </w:p>
        </w:tc>
        <w:tc>
          <w:tcPr>
            <w:tcW w:w="340" w:type="dxa"/>
            <w:vAlign w:val="bottom"/>
            <w:tcBorders>
              <w:bottom w:val="single" w:sz="8" w:color="0E2A35"/>
            </w:tcBorders>
          </w:tcPr>
          <w:p>
            <w:pPr>
              <w:spacing w:after="0"/>
              <w:rPr>
                <w:sz w:val="22"/>
                <w:szCs w:val="22"/>
                <w:color w:val="auto"/>
              </w:rPr>
            </w:pPr>
          </w:p>
        </w:tc>
        <w:tc>
          <w:tcPr>
            <w:tcW w:w="160" w:type="dxa"/>
            <w:vAlign w:val="bottom"/>
            <w:tcBorders>
              <w:top w:val="single" w:sz="8" w:color="0000EE"/>
              <w:bottom w:val="single" w:sz="8" w:color="0E2A35"/>
            </w:tcBorders>
          </w:tcPr>
          <w:p>
            <w:pPr>
              <w:spacing w:after="0"/>
              <w:rPr>
                <w:sz w:val="22"/>
                <w:szCs w:val="22"/>
                <w:color w:val="auto"/>
              </w:rPr>
            </w:pPr>
          </w:p>
        </w:tc>
        <w:tc>
          <w:tcPr>
            <w:tcW w:w="260" w:type="dxa"/>
            <w:vAlign w:val="bottom"/>
            <w:tcBorders>
              <w:bottom w:val="single" w:sz="8" w:color="0E2A35"/>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0" w:type="dxa"/>
            <w:vAlign w:val="bottom"/>
          </w:tcPr>
          <w:p>
            <w:pPr>
              <w:ind w:left="60"/>
              <w:spacing w:after="0"/>
              <w:rPr>
                <w:sz w:val="20"/>
                <w:szCs w:val="20"/>
                <w:color w:val="auto"/>
              </w:rPr>
            </w:pPr>
            <w:r>
              <w:rPr>
                <w:rFonts w:ascii="Arial" w:cs="Arial" w:eastAsia="Arial" w:hAnsi="Arial"/>
                <w:sz w:val="20"/>
                <w:szCs w:val="20"/>
                <w:b w:val="1"/>
                <w:bCs w:val="1"/>
                <w:color w:val="0E2A35"/>
              </w:rPr>
              <w:t>2.</w:t>
            </w:r>
          </w:p>
        </w:tc>
        <w:tc>
          <w:tcPr>
            <w:tcW w:w="2480" w:type="dxa"/>
            <w:vAlign w:val="bottom"/>
          </w:tcPr>
          <w:p>
            <w:pPr>
              <w:ind w:left="20"/>
              <w:spacing w:after="0"/>
              <w:rPr>
                <w:sz w:val="20"/>
                <w:szCs w:val="20"/>
                <w:color w:val="auto"/>
              </w:rPr>
            </w:pPr>
            <w:r>
              <w:rPr>
                <w:rFonts w:ascii="Arial" w:cs="Arial" w:eastAsia="Arial" w:hAnsi="Arial"/>
                <w:sz w:val="14"/>
                <w:szCs w:val="14"/>
                <w:color w:val="0E2A35"/>
              </w:rPr>
              <w:t>Advisory approval of executive</w:t>
            </w:r>
          </w:p>
        </w:tc>
        <w:tc>
          <w:tcPr>
            <w:tcW w:w="1380" w:type="dxa"/>
            <w:vAlign w:val="bottom"/>
          </w:tcPr>
          <w:p>
            <w:pPr>
              <w:jc w:val="center"/>
              <w:spacing w:after="0"/>
              <w:rPr>
                <w:sz w:val="20"/>
                <w:szCs w:val="20"/>
                <w:color w:val="auto"/>
              </w:rPr>
            </w:pPr>
            <w:r>
              <w:rPr>
                <w:rFonts w:ascii="Arial" w:cs="Arial" w:eastAsia="Arial" w:hAnsi="Arial"/>
                <w:sz w:val="14"/>
                <w:szCs w:val="14"/>
                <w:color w:val="0E2A35"/>
              </w:rPr>
              <w:t>Majority of the</w:t>
            </w:r>
          </w:p>
        </w:tc>
        <w:tc>
          <w:tcPr>
            <w:tcW w:w="1120" w:type="dxa"/>
            <w:vAlign w:val="bottom"/>
          </w:tcPr>
          <w:p>
            <w:pPr>
              <w:jc w:val="center"/>
              <w:ind w:right="30"/>
              <w:spacing w:after="0"/>
              <w:rPr>
                <w:sz w:val="20"/>
                <w:szCs w:val="20"/>
                <w:color w:val="auto"/>
              </w:rPr>
            </w:pPr>
            <w:r>
              <w:rPr>
                <w:rFonts w:ascii="Arial" w:cs="Arial" w:eastAsia="Arial" w:hAnsi="Arial"/>
                <w:sz w:val="14"/>
                <w:szCs w:val="14"/>
                <w:color w:val="0E2A35"/>
              </w:rPr>
              <w:t>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180" w:type="dxa"/>
            <w:vAlign w:val="bottom"/>
          </w:tcPr>
          <w:p>
            <w:pPr>
              <w:jc w:val="center"/>
              <w:ind w:left="13"/>
              <w:spacing w:after="0"/>
              <w:rPr>
                <w:sz w:val="20"/>
                <w:szCs w:val="20"/>
                <w:color w:val="auto"/>
              </w:rPr>
            </w:pPr>
            <w:r>
              <w:rPr>
                <w:rFonts w:ascii="Arial" w:cs="Arial" w:eastAsia="Arial" w:hAnsi="Arial"/>
                <w:sz w:val="14"/>
                <w:szCs w:val="14"/>
                <w:color w:val="0E2A35"/>
              </w:rPr>
              <w:t>No</w:t>
            </w:r>
          </w:p>
        </w:tc>
        <w:tc>
          <w:tcPr>
            <w:tcW w:w="940" w:type="dxa"/>
            <w:vAlign w:val="bottom"/>
          </w:tcPr>
          <w:p>
            <w:pPr>
              <w:jc w:val="center"/>
              <w:ind w:left="12"/>
              <w:spacing w:after="0"/>
              <w:rPr>
                <w:sz w:val="20"/>
                <w:szCs w:val="20"/>
                <w:color w:val="auto"/>
              </w:rPr>
            </w:pPr>
            <w:r>
              <w:rPr>
                <w:rFonts w:ascii="Arial" w:cs="Arial" w:eastAsia="Arial" w:hAnsi="Arial"/>
                <w:sz w:val="14"/>
                <w:szCs w:val="14"/>
                <w:color w:val="0E2A35"/>
              </w:rPr>
              <w:t>None</w:t>
            </w:r>
          </w:p>
        </w:tc>
        <w:tc>
          <w:tcPr>
            <w:tcW w:w="760" w:type="dxa"/>
            <w:vAlign w:val="bottom"/>
            <w:gridSpan w:val="3"/>
          </w:tcPr>
          <w:p>
            <w:pPr>
              <w:jc w:val="center"/>
              <w:ind w:left="12"/>
              <w:spacing w:after="0"/>
              <w:rPr>
                <w:sz w:val="20"/>
                <w:szCs w:val="20"/>
                <w:color w:val="auto"/>
              </w:rPr>
            </w:pPr>
            <w:r>
              <w:rPr>
                <w:rFonts w:ascii="Arial" w:cs="Arial" w:eastAsia="Arial" w:hAnsi="Arial"/>
                <w:sz w:val="14"/>
                <w:szCs w:val="14"/>
                <w:color w:val="0000EE"/>
              </w:rPr>
              <w:t>31</w:t>
            </w:r>
          </w:p>
        </w:tc>
        <w:tc>
          <w:tcPr>
            <w:tcW w:w="0" w:type="dxa"/>
            <w:vAlign w:val="bottom"/>
          </w:tcPr>
          <w:p>
            <w:pPr>
              <w:spacing w:after="0"/>
              <w:rPr>
                <w:sz w:val="1"/>
                <w:szCs w:val="1"/>
                <w:color w:val="auto"/>
              </w:rPr>
            </w:pPr>
          </w:p>
        </w:tc>
      </w:tr>
      <w:tr>
        <w:trPr>
          <w:trHeight w:val="147"/>
        </w:trPr>
        <w:tc>
          <w:tcPr>
            <w:tcW w:w="260" w:type="dxa"/>
            <w:vAlign w:val="bottom"/>
          </w:tcPr>
          <w:p>
            <w:pPr>
              <w:spacing w:after="0"/>
              <w:rPr>
                <w:sz w:val="12"/>
                <w:szCs w:val="12"/>
                <w:color w:val="auto"/>
              </w:rPr>
            </w:pPr>
          </w:p>
        </w:tc>
        <w:tc>
          <w:tcPr>
            <w:tcW w:w="2480" w:type="dxa"/>
            <w:vAlign w:val="bottom"/>
          </w:tcPr>
          <w:p>
            <w:pPr>
              <w:ind w:left="20"/>
              <w:spacing w:after="0" w:line="147" w:lineRule="exact"/>
              <w:rPr>
                <w:sz w:val="20"/>
                <w:szCs w:val="20"/>
                <w:color w:val="auto"/>
              </w:rPr>
            </w:pPr>
            <w:r>
              <w:rPr>
                <w:rFonts w:ascii="Arial" w:cs="Arial" w:eastAsia="Arial" w:hAnsi="Arial"/>
                <w:sz w:val="14"/>
                <w:szCs w:val="14"/>
                <w:color w:val="0E2A35"/>
              </w:rPr>
              <w:t>compensation</w:t>
            </w:r>
          </w:p>
        </w:tc>
        <w:tc>
          <w:tcPr>
            <w:tcW w:w="1380" w:type="dxa"/>
            <w:vAlign w:val="bottom"/>
          </w:tcPr>
          <w:p>
            <w:pPr>
              <w:jc w:val="center"/>
              <w:spacing w:after="0" w:line="147" w:lineRule="exact"/>
              <w:rPr>
                <w:sz w:val="20"/>
                <w:szCs w:val="20"/>
                <w:color w:val="auto"/>
              </w:rPr>
            </w:pPr>
            <w:r>
              <w:rPr>
                <w:rFonts w:ascii="Arial" w:cs="Arial" w:eastAsia="Arial" w:hAnsi="Arial"/>
                <w:sz w:val="11"/>
                <w:szCs w:val="11"/>
                <w:color w:val="0E2A35"/>
              </w:rPr>
              <w:t>votes cast</w:t>
            </w:r>
            <w:r>
              <w:rPr>
                <w:rFonts w:ascii="Arial" w:cs="Arial" w:eastAsia="Arial" w:hAnsi="Arial"/>
                <w:sz w:val="17"/>
                <w:szCs w:val="17"/>
                <w:color w:val="0E2A35"/>
                <w:vertAlign w:val="superscript"/>
              </w:rPr>
              <w:t>(4)</w:t>
            </w:r>
          </w:p>
        </w:tc>
        <w:tc>
          <w:tcPr>
            <w:tcW w:w="1120" w:type="dxa"/>
            <w:vAlign w:val="bottom"/>
          </w:tcPr>
          <w:p>
            <w:pPr>
              <w:jc w:val="center"/>
              <w:ind w:right="30"/>
              <w:spacing w:after="0" w:line="147" w:lineRule="exact"/>
              <w:rPr>
                <w:sz w:val="20"/>
                <w:szCs w:val="20"/>
                <w:color w:val="auto"/>
              </w:rPr>
            </w:pPr>
            <w:r>
              <w:rPr>
                <w:rFonts w:ascii="Arial" w:cs="Arial" w:eastAsia="Arial" w:hAnsi="Arial"/>
                <w:sz w:val="14"/>
                <w:szCs w:val="14"/>
                <w:color w:val="0E2A35"/>
              </w:rPr>
              <w:t>AGAINST</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0E2A35"/>
              </w:rPr>
              <w:t>ABSTAIN</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0E2A35"/>
            </w:tcBorders>
          </w:tcPr>
          <w:p>
            <w:pPr>
              <w:spacing w:after="0"/>
              <w:rPr>
                <w:sz w:val="7"/>
                <w:szCs w:val="7"/>
                <w:color w:val="auto"/>
              </w:rPr>
            </w:pPr>
          </w:p>
        </w:tc>
        <w:tc>
          <w:tcPr>
            <w:tcW w:w="248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tcPr>
          <w:p>
            <w:pPr>
              <w:spacing w:after="0"/>
              <w:rPr>
                <w:sz w:val="7"/>
                <w:szCs w:val="7"/>
                <w:color w:val="auto"/>
              </w:rPr>
            </w:pPr>
          </w:p>
        </w:tc>
        <w:tc>
          <w:tcPr>
            <w:tcW w:w="940" w:type="dxa"/>
            <w:vAlign w:val="bottom"/>
            <w:tcBorders>
              <w:bottom w:val="single" w:sz="8" w:color="0E2A35"/>
            </w:tcBorders>
          </w:tcPr>
          <w:p>
            <w:pPr>
              <w:spacing w:after="0"/>
              <w:rPr>
                <w:sz w:val="7"/>
                <w:szCs w:val="7"/>
                <w:color w:val="auto"/>
              </w:rPr>
            </w:pPr>
          </w:p>
        </w:tc>
        <w:tc>
          <w:tcPr>
            <w:tcW w:w="34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0" w:type="dxa"/>
            <w:vAlign w:val="bottom"/>
          </w:tcPr>
          <w:p>
            <w:pPr>
              <w:ind w:left="60"/>
              <w:spacing w:after="0"/>
              <w:rPr>
                <w:sz w:val="20"/>
                <w:szCs w:val="20"/>
                <w:color w:val="auto"/>
              </w:rPr>
            </w:pPr>
            <w:r>
              <w:rPr>
                <w:rFonts w:ascii="Arial" w:cs="Arial" w:eastAsia="Arial" w:hAnsi="Arial"/>
                <w:sz w:val="20"/>
                <w:szCs w:val="20"/>
                <w:b w:val="1"/>
                <w:bCs w:val="1"/>
                <w:color w:val="0E2A35"/>
              </w:rPr>
              <w:t>3.</w:t>
            </w:r>
          </w:p>
        </w:tc>
        <w:tc>
          <w:tcPr>
            <w:tcW w:w="2480" w:type="dxa"/>
            <w:vAlign w:val="bottom"/>
          </w:tcPr>
          <w:p>
            <w:pPr>
              <w:ind w:left="20"/>
              <w:spacing w:after="0"/>
              <w:rPr>
                <w:sz w:val="20"/>
                <w:szCs w:val="20"/>
                <w:color w:val="auto"/>
              </w:rPr>
            </w:pPr>
            <w:r>
              <w:rPr>
                <w:rFonts w:ascii="Arial" w:cs="Arial" w:eastAsia="Arial" w:hAnsi="Arial"/>
                <w:sz w:val="14"/>
                <w:szCs w:val="14"/>
                <w:color w:val="0E2A35"/>
              </w:rPr>
              <w:t>Ratification of the appointment of</w:t>
            </w:r>
          </w:p>
        </w:tc>
        <w:tc>
          <w:tcPr>
            <w:tcW w:w="1380" w:type="dxa"/>
            <w:vAlign w:val="bottom"/>
          </w:tcPr>
          <w:p>
            <w:pPr>
              <w:jc w:val="center"/>
              <w:spacing w:after="0"/>
              <w:rPr>
                <w:sz w:val="20"/>
                <w:szCs w:val="20"/>
                <w:color w:val="auto"/>
              </w:rPr>
            </w:pPr>
            <w:r>
              <w:rPr>
                <w:rFonts w:ascii="Arial" w:cs="Arial" w:eastAsia="Arial" w:hAnsi="Arial"/>
                <w:sz w:val="14"/>
                <w:szCs w:val="14"/>
                <w:color w:val="0E2A35"/>
              </w:rPr>
              <w:t>Majority of the</w:t>
            </w:r>
          </w:p>
        </w:tc>
        <w:tc>
          <w:tcPr>
            <w:tcW w:w="1120" w:type="dxa"/>
            <w:vAlign w:val="bottom"/>
          </w:tcPr>
          <w:p>
            <w:pPr>
              <w:jc w:val="center"/>
              <w:ind w:right="30"/>
              <w:spacing w:after="0"/>
              <w:rPr>
                <w:sz w:val="20"/>
                <w:szCs w:val="20"/>
                <w:color w:val="auto"/>
              </w:rPr>
            </w:pPr>
            <w:r>
              <w:rPr>
                <w:rFonts w:ascii="Arial" w:cs="Arial" w:eastAsia="Arial" w:hAnsi="Arial"/>
                <w:sz w:val="14"/>
                <w:szCs w:val="14"/>
                <w:color w:val="0E2A35"/>
              </w:rPr>
              <w:t>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180" w:type="dxa"/>
            <w:vAlign w:val="bottom"/>
          </w:tcPr>
          <w:p>
            <w:pPr>
              <w:jc w:val="center"/>
              <w:spacing w:after="0"/>
              <w:rPr>
                <w:sz w:val="20"/>
                <w:szCs w:val="20"/>
                <w:color w:val="auto"/>
              </w:rPr>
            </w:pPr>
            <w:r>
              <w:rPr>
                <w:rFonts w:ascii="Arial" w:cs="Arial" w:eastAsia="Arial" w:hAnsi="Arial"/>
                <w:sz w:val="14"/>
                <w:szCs w:val="14"/>
                <w:color w:val="0E2A35"/>
                <w:w w:val="99"/>
              </w:rPr>
              <w:t>Yes</w:t>
            </w:r>
          </w:p>
        </w:tc>
        <w:tc>
          <w:tcPr>
            <w:tcW w:w="940" w:type="dxa"/>
            <w:vAlign w:val="bottom"/>
          </w:tcPr>
          <w:p>
            <w:pPr>
              <w:jc w:val="center"/>
              <w:spacing w:after="0"/>
              <w:rPr>
                <w:sz w:val="20"/>
                <w:szCs w:val="20"/>
                <w:color w:val="auto"/>
              </w:rPr>
            </w:pPr>
            <w:r>
              <w:rPr>
                <w:rFonts w:ascii="Arial" w:cs="Arial" w:eastAsia="Arial" w:hAnsi="Arial"/>
                <w:sz w:val="14"/>
                <w:szCs w:val="14"/>
                <w:color w:val="0E2A35"/>
              </w:rPr>
              <w:t>Against</w:t>
            </w:r>
          </w:p>
        </w:tc>
        <w:tc>
          <w:tcPr>
            <w:tcW w:w="760" w:type="dxa"/>
            <w:vAlign w:val="bottom"/>
            <w:gridSpan w:val="3"/>
          </w:tcPr>
          <w:p>
            <w:pPr>
              <w:jc w:val="center"/>
              <w:ind w:left="12"/>
              <w:spacing w:after="0"/>
              <w:rPr>
                <w:sz w:val="20"/>
                <w:szCs w:val="20"/>
                <w:color w:val="auto"/>
              </w:rPr>
            </w:pPr>
            <w:r>
              <w:rPr>
                <w:rFonts w:ascii="Arial" w:cs="Arial" w:eastAsia="Arial" w:hAnsi="Arial"/>
                <w:sz w:val="14"/>
                <w:szCs w:val="14"/>
                <w:color w:val="0000EE"/>
              </w:rPr>
              <w:t>65</w:t>
            </w:r>
          </w:p>
        </w:tc>
        <w:tc>
          <w:tcPr>
            <w:tcW w:w="0" w:type="dxa"/>
            <w:vAlign w:val="bottom"/>
          </w:tcPr>
          <w:p>
            <w:pPr>
              <w:spacing w:after="0"/>
              <w:rPr>
                <w:sz w:val="1"/>
                <w:szCs w:val="1"/>
                <w:color w:val="auto"/>
              </w:rPr>
            </w:pPr>
          </w:p>
        </w:tc>
      </w:tr>
      <w:tr>
        <w:trPr>
          <w:trHeight w:val="147"/>
        </w:trPr>
        <w:tc>
          <w:tcPr>
            <w:tcW w:w="260" w:type="dxa"/>
            <w:vAlign w:val="bottom"/>
          </w:tcPr>
          <w:p>
            <w:pPr>
              <w:spacing w:after="0"/>
              <w:rPr>
                <w:sz w:val="12"/>
                <w:szCs w:val="12"/>
                <w:color w:val="auto"/>
              </w:rPr>
            </w:pPr>
          </w:p>
        </w:tc>
        <w:tc>
          <w:tcPr>
            <w:tcW w:w="2480" w:type="dxa"/>
            <w:vAlign w:val="bottom"/>
          </w:tcPr>
          <w:p>
            <w:pPr>
              <w:ind w:left="20"/>
              <w:spacing w:after="0" w:line="147" w:lineRule="exact"/>
              <w:rPr>
                <w:sz w:val="20"/>
                <w:szCs w:val="20"/>
                <w:color w:val="auto"/>
              </w:rPr>
            </w:pPr>
            <w:r>
              <w:rPr>
                <w:rFonts w:ascii="Arial" w:cs="Arial" w:eastAsia="Arial" w:hAnsi="Arial"/>
                <w:sz w:val="14"/>
                <w:szCs w:val="14"/>
                <w:color w:val="0E2A35"/>
              </w:rPr>
              <w:t>Deloitte &amp; Touche LLP as our</w:t>
            </w:r>
          </w:p>
        </w:tc>
        <w:tc>
          <w:tcPr>
            <w:tcW w:w="1380" w:type="dxa"/>
            <w:vAlign w:val="bottom"/>
          </w:tcPr>
          <w:p>
            <w:pPr>
              <w:jc w:val="center"/>
              <w:spacing w:after="0" w:line="147" w:lineRule="exact"/>
              <w:rPr>
                <w:sz w:val="20"/>
                <w:szCs w:val="20"/>
                <w:color w:val="auto"/>
              </w:rPr>
            </w:pPr>
            <w:r>
              <w:rPr>
                <w:rFonts w:ascii="Arial" w:cs="Arial" w:eastAsia="Arial" w:hAnsi="Arial"/>
                <w:sz w:val="11"/>
                <w:szCs w:val="11"/>
                <w:color w:val="0E2A35"/>
              </w:rPr>
              <w:t>shares present</w:t>
            </w:r>
            <w:r>
              <w:rPr>
                <w:rFonts w:ascii="Arial" w:cs="Arial" w:eastAsia="Arial" w:hAnsi="Arial"/>
                <w:sz w:val="17"/>
                <w:szCs w:val="17"/>
                <w:color w:val="0E2A35"/>
                <w:vertAlign w:val="superscript"/>
              </w:rPr>
              <w:t>(5)</w:t>
            </w:r>
          </w:p>
        </w:tc>
        <w:tc>
          <w:tcPr>
            <w:tcW w:w="1120" w:type="dxa"/>
            <w:vAlign w:val="bottom"/>
          </w:tcPr>
          <w:p>
            <w:pPr>
              <w:jc w:val="center"/>
              <w:ind w:right="30"/>
              <w:spacing w:after="0" w:line="147" w:lineRule="exact"/>
              <w:rPr>
                <w:sz w:val="20"/>
                <w:szCs w:val="20"/>
                <w:color w:val="auto"/>
              </w:rPr>
            </w:pPr>
            <w:r>
              <w:rPr>
                <w:rFonts w:ascii="Arial" w:cs="Arial" w:eastAsia="Arial" w:hAnsi="Arial"/>
                <w:sz w:val="14"/>
                <w:szCs w:val="14"/>
                <w:color w:val="0E2A35"/>
              </w:rPr>
              <w:t>AGAINST</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0E2A35"/>
              </w:rPr>
              <w:t>independent registered public</w:t>
            </w:r>
          </w:p>
        </w:tc>
        <w:tc>
          <w:tcPr>
            <w:tcW w:w="1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0E2A35"/>
              </w:rPr>
              <w:t>ABSTAIN</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0E2A35"/>
              </w:rPr>
              <w:t>accountant for the fiscal year ending</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0E2A35"/>
              </w:rPr>
              <w:t>August 26, 2023</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3" w:lineRule="exact"/>
        <w:rPr>
          <w:sz w:val="20"/>
          <w:szCs w:val="20"/>
          <w:color w:val="auto"/>
        </w:rPr>
      </w:pPr>
    </w:p>
    <w:p>
      <w:pPr>
        <w:ind w:left="360" w:hanging="360"/>
        <w:spacing w:after="0"/>
        <w:tabs>
          <w:tab w:leader="none" w:pos="360" w:val="left"/>
        </w:tabs>
        <w:numPr>
          <w:ilvl w:val="0"/>
          <w:numId w:val="5"/>
        </w:numPr>
        <w:rPr>
          <w:rFonts w:ascii="Arial" w:cs="Arial" w:eastAsia="Arial" w:hAnsi="Arial"/>
          <w:sz w:val="13"/>
          <w:szCs w:val="13"/>
          <w:color w:val="0E2A35"/>
        </w:rPr>
      </w:pPr>
      <w:r>
        <w:rPr>
          <w:rFonts w:ascii="Arial" w:cs="Arial" w:eastAsia="Arial" w:hAnsi="Arial"/>
          <w:sz w:val="13"/>
          <w:szCs w:val="13"/>
          <w:color w:val="0E2A35"/>
        </w:rPr>
        <w:t>If you submit a proxy without giving specific voting instructions, your shares will be voted in accordance with the Board's recommendations.</w:t>
      </w:r>
    </w:p>
    <w:p>
      <w:pPr>
        <w:spacing w:after="0" w:line="39" w:lineRule="exact"/>
        <w:rPr>
          <w:rFonts w:ascii="Arial" w:cs="Arial" w:eastAsia="Arial" w:hAnsi="Arial"/>
          <w:sz w:val="13"/>
          <w:szCs w:val="13"/>
          <w:color w:val="0E2A35"/>
        </w:rPr>
      </w:pPr>
    </w:p>
    <w:p>
      <w:pPr>
        <w:ind w:left="360" w:right="280" w:hanging="360"/>
        <w:spacing w:after="0" w:line="243" w:lineRule="auto"/>
        <w:tabs>
          <w:tab w:leader="none" w:pos="360" w:val="left"/>
        </w:tabs>
        <w:numPr>
          <w:ilvl w:val="0"/>
          <w:numId w:val="5"/>
        </w:numPr>
        <w:rPr>
          <w:rFonts w:ascii="Arial" w:cs="Arial" w:eastAsia="Arial" w:hAnsi="Arial"/>
          <w:sz w:val="13"/>
          <w:szCs w:val="13"/>
          <w:color w:val="0E2A35"/>
        </w:rPr>
      </w:pPr>
      <w:r>
        <w:rPr>
          <w:rFonts w:ascii="Arial" w:cs="Arial" w:eastAsia="Arial" w:hAnsi="Arial"/>
          <w:sz w:val="13"/>
          <w:szCs w:val="13"/>
          <w:color w:val="0E2A35"/>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21" w:lineRule="exact"/>
        <w:rPr>
          <w:rFonts w:ascii="Arial" w:cs="Arial" w:eastAsia="Arial" w:hAnsi="Arial"/>
          <w:sz w:val="13"/>
          <w:szCs w:val="13"/>
          <w:color w:val="0E2A35"/>
        </w:rPr>
      </w:pPr>
    </w:p>
    <w:p>
      <w:pPr>
        <w:ind w:left="360" w:hanging="360"/>
        <w:spacing w:after="0" w:line="229" w:lineRule="auto"/>
        <w:tabs>
          <w:tab w:leader="none" w:pos="360" w:val="left"/>
        </w:tabs>
        <w:numPr>
          <w:ilvl w:val="0"/>
          <w:numId w:val="5"/>
        </w:numPr>
        <w:rPr>
          <w:rFonts w:ascii="Arial" w:cs="Arial" w:eastAsia="Arial" w:hAnsi="Arial"/>
          <w:sz w:val="13"/>
          <w:szCs w:val="13"/>
          <w:color w:val="0E2A35"/>
        </w:rPr>
      </w:pPr>
      <w:r>
        <w:rPr>
          <w:rFonts w:ascii="Arial" w:cs="Arial" w:eastAsia="Arial" w:hAnsi="Arial"/>
          <w:sz w:val="13"/>
          <w:szCs w:val="13"/>
          <w:color w:val="0E2A35"/>
        </w:rPr>
        <w:t>Our Board of Directors has adopted a majority voting policy for the election of directors in uncontested elections. Under this policy, in any uncontested election of directors of the Company, if any nominee receives less than a majority of the votes cast for the nominee, that nominee will still be elected, but must tender his or her resignation to the Board for consideration at the next regularly scheduled meeting of the Board. The Board will only not accept the tendered resignation for, in its judgment, a compelling reason.</w:t>
      </w:r>
    </w:p>
    <w:p>
      <w:pPr>
        <w:spacing w:after="0" w:line="23" w:lineRule="exact"/>
        <w:rPr>
          <w:rFonts w:ascii="Arial" w:cs="Arial" w:eastAsia="Arial" w:hAnsi="Arial"/>
          <w:sz w:val="13"/>
          <w:szCs w:val="13"/>
          <w:color w:val="0E2A35"/>
        </w:rPr>
      </w:pPr>
    </w:p>
    <w:p>
      <w:pPr>
        <w:ind w:left="360" w:right="140" w:hanging="360"/>
        <w:spacing w:after="0" w:line="233" w:lineRule="auto"/>
        <w:tabs>
          <w:tab w:leader="none" w:pos="360" w:val="left"/>
        </w:tabs>
        <w:numPr>
          <w:ilvl w:val="0"/>
          <w:numId w:val="5"/>
        </w:numPr>
        <w:rPr>
          <w:rFonts w:ascii="Arial" w:cs="Arial" w:eastAsia="Arial" w:hAnsi="Arial"/>
          <w:sz w:val="13"/>
          <w:szCs w:val="13"/>
          <w:color w:val="0E2A35"/>
        </w:rPr>
      </w:pPr>
      <w:r>
        <w:rPr>
          <w:rFonts w:ascii="Arial" w:cs="Arial" w:eastAsia="Arial" w:hAnsi="Arial"/>
          <w:sz w:val="13"/>
          <w:szCs w:val="13"/>
          <w:color w:val="0E2A35"/>
        </w:rPr>
        <w:t>The vote of shareholders on this proposal is not binding, but rather is advisory in nature; however, the Board intends to carefully consider the result of the vote on this proposal. The Board will consider shareholders to have approved our executive compensation if more shares are voted “FOR” than “AGAINST” this proposal.</w:t>
      </w:r>
    </w:p>
    <w:p>
      <w:pPr>
        <w:spacing w:after="0" w:line="23" w:lineRule="exact"/>
        <w:rPr>
          <w:rFonts w:ascii="Arial" w:cs="Arial" w:eastAsia="Arial" w:hAnsi="Arial"/>
          <w:sz w:val="13"/>
          <w:szCs w:val="13"/>
          <w:color w:val="0E2A35"/>
        </w:rPr>
      </w:pPr>
    </w:p>
    <w:p>
      <w:pPr>
        <w:ind w:left="360" w:right="120" w:hanging="360"/>
        <w:spacing w:after="0" w:line="283" w:lineRule="auto"/>
        <w:tabs>
          <w:tab w:leader="none" w:pos="360" w:val="left"/>
        </w:tabs>
        <w:numPr>
          <w:ilvl w:val="0"/>
          <w:numId w:val="5"/>
        </w:numPr>
        <w:rPr>
          <w:rFonts w:ascii="Arial" w:cs="Arial" w:eastAsia="Arial" w:hAnsi="Arial"/>
          <w:sz w:val="12"/>
          <w:szCs w:val="12"/>
          <w:color w:val="0E2A35"/>
        </w:rPr>
      </w:pPr>
      <w:r>
        <w:rPr>
          <w:rFonts w:ascii="Arial" w:cs="Arial" w:eastAsia="Arial" w:hAnsi="Arial"/>
          <w:sz w:val="12"/>
          <w:szCs w:val="12"/>
          <w:color w:val="0E2A35"/>
        </w:rPr>
        <w:t>Assuming that the number of shares voted in favor of this proposal constitute more than 25% of the outstanding shares of our common stock, this proposal will be approved if a majority of the shares present in person (i.e., virtually) or by proxy and entitled to vote on this proposal vote “FOR” this proposal.</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Nominees and Continuing Directors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8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880" w:type="dxa"/>
            <w:vAlign w:val="bottom"/>
            <w:vMerge w:val="restart"/>
            <w:shd w:val="clear" w:color="auto" w:fill="0E2A35"/>
          </w:tcPr>
          <w:p>
            <w:pPr>
              <w:jc w:val="center"/>
              <w:ind w:left="289"/>
              <w:spacing w:after="0"/>
              <w:rPr>
                <w:sz w:val="20"/>
                <w:szCs w:val="20"/>
                <w:color w:val="auto"/>
              </w:rPr>
            </w:pPr>
            <w:r>
              <w:rPr>
                <w:rFonts w:ascii="Arial" w:cs="Arial" w:eastAsia="Arial" w:hAnsi="Arial"/>
                <w:sz w:val="13"/>
                <w:szCs w:val="13"/>
                <w:b w:val="1"/>
                <w:bCs w:val="1"/>
                <w:color w:val="FFFFFF"/>
                <w:w w:val="97"/>
              </w:rPr>
              <w:t>Age​</w:t>
            </w:r>
          </w:p>
        </w:tc>
        <w:tc>
          <w:tcPr>
            <w:tcW w:w="660" w:type="dxa"/>
            <w:vAlign w:val="bottom"/>
            <w:vMerge w:val="restart"/>
            <w:shd w:val="clear" w:color="auto" w:fill="0E2A35"/>
          </w:tcPr>
          <w:p>
            <w:pPr>
              <w:ind w:left="160"/>
              <w:spacing w:after="0"/>
              <w:rPr>
                <w:sz w:val="20"/>
                <w:szCs w:val="20"/>
                <w:color w:val="auto"/>
              </w:rPr>
            </w:pPr>
            <w:r>
              <w:rPr>
                <w:rFonts w:ascii="Arial" w:cs="Arial" w:eastAsia="Arial" w:hAnsi="Arial"/>
                <w:sz w:val="13"/>
                <w:szCs w:val="13"/>
                <w:b w:val="1"/>
                <w:bCs w:val="1"/>
                <w:color w:val="FFFFFF"/>
                <w:w w:val="96"/>
              </w:rPr>
              <w:t>Director​</w:t>
            </w:r>
          </w:p>
        </w:tc>
        <w:tc>
          <w:tcPr>
            <w:tcW w:w="540" w:type="dxa"/>
            <w:vAlign w:val="bottom"/>
            <w:vMerge w:val="restart"/>
            <w:shd w:val="clear" w:color="auto" w:fill="0E2A35"/>
          </w:tcPr>
          <w:p>
            <w:pPr>
              <w:ind w:left="20"/>
              <w:spacing w:after="0"/>
              <w:rPr>
                <w:sz w:val="20"/>
                <w:szCs w:val="20"/>
                <w:color w:val="auto"/>
              </w:rPr>
            </w:pPr>
            <w:r>
              <w:rPr>
                <w:rFonts w:ascii="Arial" w:cs="Arial" w:eastAsia="Arial" w:hAnsi="Arial"/>
                <w:sz w:val="13"/>
                <w:szCs w:val="13"/>
                <w:b w:val="1"/>
                <w:bCs w:val="1"/>
                <w:color w:val="FFFFFF"/>
              </w:rPr>
              <w:t>since</w:t>
            </w:r>
          </w:p>
        </w:tc>
        <w:tc>
          <w:tcPr>
            <w:tcW w:w="104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w w:val="93"/>
              </w:rPr>
              <w:t>Current​</w:t>
            </w:r>
          </w:p>
        </w:tc>
        <w:tc>
          <w:tcPr>
            <w:tcW w:w="1080" w:type="dxa"/>
            <w:vAlign w:val="bottom"/>
            <w:shd w:val="clear" w:color="auto" w:fill="0E2A35"/>
          </w:tcPr>
          <w:p>
            <w:pPr>
              <w:ind w:left="20"/>
              <w:spacing w:after="0"/>
              <w:rPr>
                <w:sz w:val="20"/>
                <w:szCs w:val="20"/>
                <w:color w:val="auto"/>
              </w:rPr>
            </w:pPr>
            <w:r>
              <w:rPr>
                <w:rFonts w:ascii="Arial" w:cs="Arial" w:eastAsia="Arial" w:hAnsi="Arial"/>
                <w:sz w:val="13"/>
                <w:szCs w:val="13"/>
                <w:b w:val="1"/>
                <w:bCs w:val="1"/>
                <w:color w:val="FFFFFF"/>
              </w:rPr>
              <w:t>or most</w:t>
            </w:r>
          </w:p>
        </w:tc>
        <w:tc>
          <w:tcPr>
            <w:tcW w:w="212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Title​</w:t>
            </w:r>
          </w:p>
        </w:tc>
        <w:tc>
          <w:tcPr>
            <w:tcW w:w="980" w:type="dxa"/>
            <w:vAlign w:val="bottom"/>
            <w:vMerge w:val="restart"/>
            <w:shd w:val="clear" w:color="auto" w:fill="0E2A35"/>
          </w:tcPr>
          <w:p>
            <w:pPr>
              <w:jc w:val="center"/>
              <w:ind w:left="29"/>
              <w:spacing w:after="0"/>
              <w:rPr>
                <w:sz w:val="20"/>
                <w:szCs w:val="20"/>
                <w:color w:val="auto"/>
              </w:rPr>
            </w:pPr>
            <w:r>
              <w:rPr>
                <w:rFonts w:ascii="Arial" w:cs="Arial" w:eastAsia="Arial" w:hAnsi="Arial"/>
                <w:sz w:val="13"/>
                <w:szCs w:val="13"/>
                <w:b w:val="1"/>
                <w:bCs w:val="1"/>
                <w:color w:val="FFFFFF"/>
                <w:w w:val="98"/>
              </w:rPr>
              <w:t>Independent</w:t>
            </w:r>
          </w:p>
        </w:tc>
        <w:tc>
          <w:tcPr>
            <w:tcW w:w="0" w:type="dxa"/>
            <w:vAlign w:val="bottom"/>
          </w:tcPr>
          <w:p>
            <w:pPr>
              <w:spacing w:after="0"/>
              <w:rPr>
                <w:sz w:val="1"/>
                <w:szCs w:val="1"/>
                <w:color w:val="auto"/>
              </w:rPr>
            </w:pPr>
          </w:p>
        </w:tc>
      </w:tr>
      <w:tr>
        <w:trPr>
          <w:trHeight w:val="172"/>
        </w:trPr>
        <w:tc>
          <w:tcPr>
            <w:tcW w:w="1980" w:type="dxa"/>
            <w:vAlign w:val="bottom"/>
            <w:vMerge w:val="continue"/>
            <w:shd w:val="clear" w:color="auto" w:fill="0E2A35"/>
          </w:tcPr>
          <w:p>
            <w:pPr>
              <w:spacing w:after="0"/>
              <w:rPr>
                <w:sz w:val="14"/>
                <w:szCs w:val="14"/>
                <w:color w:val="auto"/>
              </w:rPr>
            </w:pPr>
          </w:p>
        </w:tc>
        <w:tc>
          <w:tcPr>
            <w:tcW w:w="880" w:type="dxa"/>
            <w:vAlign w:val="bottom"/>
            <w:vMerge w:val="continue"/>
            <w:shd w:val="clear" w:color="auto" w:fill="0E2A35"/>
          </w:tcPr>
          <w:p>
            <w:pPr>
              <w:spacing w:after="0"/>
              <w:rPr>
                <w:sz w:val="14"/>
                <w:szCs w:val="14"/>
                <w:color w:val="auto"/>
              </w:rPr>
            </w:pPr>
          </w:p>
        </w:tc>
        <w:tc>
          <w:tcPr>
            <w:tcW w:w="660" w:type="dxa"/>
            <w:vAlign w:val="bottom"/>
            <w:vMerge w:val="continue"/>
            <w:shd w:val="clear" w:color="auto" w:fill="0E2A35"/>
          </w:tcPr>
          <w:p>
            <w:pPr>
              <w:spacing w:after="0"/>
              <w:rPr>
                <w:sz w:val="14"/>
                <w:szCs w:val="14"/>
                <w:color w:val="auto"/>
              </w:rPr>
            </w:pPr>
          </w:p>
        </w:tc>
        <w:tc>
          <w:tcPr>
            <w:tcW w:w="540" w:type="dxa"/>
            <w:vAlign w:val="bottom"/>
            <w:vMerge w:val="continue"/>
            <w:shd w:val="clear" w:color="auto" w:fill="0E2A35"/>
          </w:tcPr>
          <w:p>
            <w:pPr>
              <w:spacing w:after="0"/>
              <w:rPr>
                <w:sz w:val="14"/>
                <w:szCs w:val="14"/>
                <w:color w:val="auto"/>
              </w:rPr>
            </w:pPr>
          </w:p>
        </w:tc>
        <w:tc>
          <w:tcPr>
            <w:tcW w:w="212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recent company</w:t>
            </w:r>
          </w:p>
        </w:tc>
        <w:tc>
          <w:tcPr>
            <w:tcW w:w="2120" w:type="dxa"/>
            <w:vAlign w:val="bottom"/>
            <w:gridSpan w:val="2"/>
            <w:vMerge w:val="continue"/>
            <w:shd w:val="clear" w:color="auto" w:fill="0E2A35"/>
          </w:tcPr>
          <w:p>
            <w:pPr>
              <w:spacing w:after="0"/>
              <w:rPr>
                <w:sz w:val="14"/>
                <w:szCs w:val="14"/>
                <w:color w:val="auto"/>
              </w:rPr>
            </w:pPr>
          </w:p>
        </w:tc>
        <w:tc>
          <w:tcPr>
            <w:tcW w:w="980" w:type="dxa"/>
            <w:vAlign w:val="bottom"/>
            <w:vMerge w:val="continue"/>
            <w:shd w:val="clear" w:color="auto" w:fill="0E2A35"/>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980" w:type="dxa"/>
            <w:vAlign w:val="bottom"/>
            <w:shd w:val="clear" w:color="auto" w:fill="0E2A35"/>
          </w:tcPr>
          <w:p>
            <w:pPr>
              <w:spacing w:after="0"/>
              <w:rPr>
                <w:sz w:val="7"/>
                <w:szCs w:val="7"/>
                <w:color w:val="auto"/>
              </w:rPr>
            </w:pPr>
          </w:p>
        </w:tc>
        <w:tc>
          <w:tcPr>
            <w:tcW w:w="880" w:type="dxa"/>
            <w:vAlign w:val="bottom"/>
            <w:shd w:val="clear" w:color="auto" w:fill="0E2A35"/>
          </w:tcPr>
          <w:p>
            <w:pPr>
              <w:spacing w:after="0"/>
              <w:rPr>
                <w:sz w:val="7"/>
                <w:szCs w:val="7"/>
                <w:color w:val="auto"/>
              </w:rPr>
            </w:pPr>
          </w:p>
        </w:tc>
        <w:tc>
          <w:tcPr>
            <w:tcW w:w="1200" w:type="dxa"/>
            <w:vAlign w:val="bottom"/>
            <w:gridSpan w:val="2"/>
            <w:shd w:val="clear" w:color="auto" w:fill="0E2A35"/>
          </w:tcPr>
          <w:p>
            <w:pPr>
              <w:spacing w:after="0"/>
              <w:rPr>
                <w:sz w:val="7"/>
                <w:szCs w:val="7"/>
                <w:color w:val="auto"/>
              </w:rPr>
            </w:pPr>
          </w:p>
        </w:tc>
        <w:tc>
          <w:tcPr>
            <w:tcW w:w="2120" w:type="dxa"/>
            <w:vAlign w:val="bottom"/>
            <w:gridSpan w:val="2"/>
            <w:shd w:val="clear" w:color="auto" w:fill="0E2A35"/>
          </w:tcPr>
          <w:p>
            <w:pPr>
              <w:spacing w:after="0"/>
              <w:rPr>
                <w:sz w:val="7"/>
                <w:szCs w:val="7"/>
                <w:color w:val="auto"/>
              </w:rPr>
            </w:pPr>
          </w:p>
        </w:tc>
        <w:tc>
          <w:tcPr>
            <w:tcW w:w="108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98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51</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2019​</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Steelcase Inc.</w:t>
            </w:r>
          </w:p>
        </w:tc>
        <w:tc>
          <w:tcPr>
            <w:tcW w:w="1080" w:type="dxa"/>
            <w:vAlign w:val="bottom"/>
          </w:tcPr>
          <w:p>
            <w:pPr>
              <w:ind w:left="440"/>
              <w:spacing w:after="0"/>
              <w:rPr>
                <w:sz w:val="20"/>
                <w:szCs w:val="20"/>
                <w:color w:val="auto"/>
              </w:rPr>
            </w:pPr>
            <w:r>
              <w:rPr>
                <w:rFonts w:ascii="Arial" w:cs="Arial" w:eastAsia="Arial" w:hAnsi="Arial"/>
                <w:sz w:val="14"/>
                <w:szCs w:val="14"/>
                <w:color w:val="0E2A35"/>
              </w:rPr>
              <w:t>President​</w:t>
            </w:r>
          </w:p>
        </w:tc>
        <w:tc>
          <w:tcPr>
            <w:tcW w:w="1040" w:type="dxa"/>
            <w:vAlign w:val="bottom"/>
          </w:tcPr>
          <w:p>
            <w:pPr>
              <w:ind w:left="20"/>
              <w:spacing w:after="0"/>
              <w:rPr>
                <w:sz w:val="20"/>
                <w:szCs w:val="20"/>
                <w:color w:val="auto"/>
              </w:rPr>
            </w:pPr>
            <w:r>
              <w:rPr>
                <w:rFonts w:ascii="Arial" w:cs="Arial" w:eastAsia="Arial" w:hAnsi="Arial"/>
                <w:sz w:val="14"/>
                <w:szCs w:val="14"/>
                <w:color w:val="0E2A35"/>
              </w:rPr>
              <w:t>and Chief</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Christopher J. Braun</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62</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2015</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Teton Buildings, LLC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Chief Executive</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47</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2021</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Evergy</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Vice President</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and Chief Operating 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68</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2015</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Polaris,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Chief Information</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51</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2016</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Winnebago Industries,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President and Chief</w:t>
            </w:r>
          </w:p>
        </w:tc>
        <w:tc>
          <w:tcPr>
            <w:tcW w:w="980" w:type="dxa"/>
            <w:vAlign w:val="bottom"/>
          </w:tcPr>
          <w:p>
            <w:pPr>
              <w:jc w:val="center"/>
              <w:ind w:left="49"/>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David W. Miles (Chair)</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65</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2015</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ManchesterStory Group</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Co-Founder and Managing</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Principal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64</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2017</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Hanesbrands,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Chief Financial</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63</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2017</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Cigna Corporation</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Executive Vice</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President and Chief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Administrative 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2120" w:type="dxa"/>
            <w:vAlign w:val="bottom"/>
            <w:tcBorders>
              <w:bottom w:val="single" w:sz="8" w:color="0E2A35"/>
            </w:tcBorders>
            <w:gridSpan w:val="2"/>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8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60</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2021</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w w:val="99"/>
              </w:rPr>
              <w:t>Teradata</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Chief Marketing Officer</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89"/>
        </w:trPr>
        <w:tc>
          <w:tcPr>
            <w:tcW w:w="198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660" w:type="dxa"/>
            <w:vAlign w:val="bottom"/>
            <w:tcBorders>
              <w:bottom w:val="single" w:sz="8" w:color="0E2A35"/>
            </w:tcBorders>
          </w:tcPr>
          <w:p>
            <w:pPr>
              <w:spacing w:after="0"/>
              <w:rPr>
                <w:sz w:val="7"/>
                <w:szCs w:val="7"/>
                <w:color w:val="auto"/>
              </w:rPr>
            </w:pPr>
          </w:p>
        </w:tc>
        <w:tc>
          <w:tcPr>
            <w:tcW w:w="540" w:type="dxa"/>
            <w:vAlign w:val="bottom"/>
            <w:tcBorders>
              <w:bottom w:val="single" w:sz="8" w:color="0E2A35"/>
            </w:tcBorders>
          </w:tcPr>
          <w:p>
            <w:pPr>
              <w:spacing w:after="0"/>
              <w:rPr>
                <w:sz w:val="7"/>
                <w:szCs w:val="7"/>
                <w:color w:val="auto"/>
              </w:rPr>
            </w:pPr>
          </w:p>
        </w:tc>
        <w:tc>
          <w:tcPr>
            <w:tcW w:w="104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104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27"/>
          <w:szCs w:val="27"/>
          <w:b w:val="1"/>
          <w:bCs w:val="1"/>
          <w:color w:val="0E2A35"/>
        </w:rPr>
        <w:t>Fiscal 2022 Performance Highlights</w:t>
      </w:r>
    </w:p>
    <w:p>
      <w:pPr>
        <w:spacing w:after="0" w:line="191" w:lineRule="exact"/>
        <w:rPr>
          <w:sz w:val="20"/>
          <w:szCs w:val="20"/>
          <w:color w:val="auto"/>
        </w:rPr>
      </w:pPr>
    </w:p>
    <w:p>
      <w:pPr>
        <w:jc w:val="both"/>
        <w:ind w:left="440" w:right="120"/>
        <w:spacing w:after="0" w:line="256" w:lineRule="auto"/>
        <w:rPr>
          <w:sz w:val="20"/>
          <w:szCs w:val="20"/>
          <w:color w:val="auto"/>
        </w:rPr>
      </w:pPr>
      <w:r>
        <w:rPr>
          <w:rFonts w:ascii="Arial" w:cs="Arial" w:eastAsia="Arial" w:hAnsi="Arial"/>
          <w:sz w:val="16"/>
          <w:szCs w:val="16"/>
          <w:color w:val="0E2A35"/>
        </w:rPr>
        <w:t>The strength of our portfolio of premium brands – Winnebago, Grand Design, Chris-Craft, Newmar, and Barletta – and the talent of our 7,400+ employees helped drive Winnebago Industries to reach a record $5.0 billion in annual revenue in fiscal 2022. Our strong growth in fiscal 2022 resulted in revenues growing 37% over fiscal 2021 and more than two times since 2018. In addition, because of the enhanced appeal of our product offerings and our commitment to quality, innovation and service, our RV market share has grown from 8.7% in fiscal 2018 to 12.7% at the end of fiscal 2022.</w:t>
      </w:r>
    </w:p>
    <w:p>
      <w:pPr>
        <w:spacing w:after="0" w:line="153" w:lineRule="exact"/>
        <w:rPr>
          <w:sz w:val="20"/>
          <w:szCs w:val="20"/>
          <w:color w:val="auto"/>
        </w:rPr>
      </w:pPr>
    </w:p>
    <w:p>
      <w:pPr>
        <w:ind w:left="440" w:right="80"/>
        <w:spacing w:after="0" w:line="256" w:lineRule="auto"/>
        <w:rPr>
          <w:sz w:val="20"/>
          <w:szCs w:val="20"/>
          <w:color w:val="auto"/>
        </w:rPr>
      </w:pPr>
      <w:r>
        <w:rPr>
          <w:rFonts w:ascii="Arial" w:cs="Arial" w:eastAsia="Arial" w:hAnsi="Arial"/>
          <w:sz w:val="16"/>
          <w:szCs w:val="16"/>
          <w:color w:val="0E2A35"/>
        </w:rPr>
        <w:t>As we continue to grow, we remain committed to strong financial management. Maintaining a highly variable cost structure and a holistic capital allocation philosophy has allowed us to invest in our businesses, optimize our capital structure, and return cash to shareholders. Operating cash flow has grown four-fold since 2018 to $401 million during fiscal 2022. This significant increase in operating cash flow has enabled us to maintain an appropriate level of liquidity and return $233 million to our shareholders in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54610</wp:posOffset>
            </wp:positionV>
            <wp:extent cx="6420485" cy="1988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2048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126"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C7D265"/>
        </w:rPr>
        <w:t>5 Year Performance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29210</wp:posOffset>
            </wp:positionV>
            <wp:extent cx="5897880" cy="2606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978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Arial" w:cs="Arial" w:eastAsia="Arial" w:hAnsi="Arial"/>
          <w:sz w:val="16"/>
          <w:szCs w:val="16"/>
          <w:color w:val="0E2A35"/>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190500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720"/>
          </w:cols>
          <w:pgMar w:left="860" w:top="263" w:right="1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Corporate Responsibility</w:t>
      </w:r>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0E2A35"/>
        </w:rPr>
        <w:t>Corporate Responsibility is integrated with our enterprise strategy and our commitment to Be Great, Outdoors. An important part of how we live our purpose, corporate responsibility plans for sustainable, profitable business for the long term. We provide collaborative, enterprise leadership across environmental, social and governance pillars to build reputation, engage stakeholders and grow inclusive culture.</w:t>
      </w:r>
    </w:p>
    <w:p>
      <w:pPr>
        <w:spacing w:after="0" w:line="11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0E2A35"/>
        </w:rPr>
        <w:t>In 2021, we released our third annual corporate responsibility report, highlighting the environmental, social and governance (ESG) issues that impact our world and most directly affect the long-term sustainability of our business. Our fourth annual report will be available in December 2022.</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Environment</w:t>
      </w:r>
    </w:p>
    <w:p>
      <w:pPr>
        <w:spacing w:after="0" w:line="16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0E2A35"/>
        </w:rPr>
        <w:t>As an outdoor lifestyle company, we care deeply about our world. The long-term sustainability of our business is linked to the environment. Winnebago Industries is committed to doing our part to ensure that the outdoor destinations we love are accessible for generations.</w:t>
      </w:r>
    </w:p>
    <w:p>
      <w:pPr>
        <w:spacing w:after="0" w:line="111"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0E2A35"/>
        </w:rPr>
        <w:t>From product innovation to operational efficiencies, we have implemented leading practices throughout our history. As we continue to grow and transform, we leverage data to establish meaningful sustainability goals and metrics while staying focused on managing energy and greenhouse gas (GHG) emissions, minimizing waste, reducing reliance on fresh water, and product sustainability. In January 2022, we revealed an all-electric concept motorhome, demonstrating our commitment to innovation and sustainability with product electrification.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Social</w:t>
      </w:r>
    </w:p>
    <w:p>
      <w:pPr>
        <w:spacing w:after="0" w:line="167"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0E2A35"/>
        </w:rPr>
        <w:t>Enabling extraordinary outdoor experiences for our customers begins with our team, our culture, and our communities. We seek talented people with diverse backgrounds and perspectives who work together to deliver results.</w:t>
      </w:r>
    </w:p>
    <w:p>
      <w:pPr>
        <w:spacing w:after="0" w:line="8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0E2A35"/>
        </w:rPr>
        <w:t>At Winnebago Industries, we embrace the ideals of inclusion, diversity, equity, and action (IDEA). We believe in the value of building a company and community where every person feels welcome, is treated fairly, and has an equal opportunity to succeed while bringing their authentic self to work. “All In, Outdoors” is a deliberate approach to how we act and treat each other at Winnebago Industries, and a roadmap for creating a better sense of belonging in our workplace, our communities and the outdoors. We advance our strategy by listening and learning, including by establishing an IDEA Speaker series, where subject matter experts provide inspiration, tools, and resources to create an inclusive culture.</w:t>
      </w:r>
    </w:p>
    <w:p>
      <w:pPr>
        <w:spacing w:after="0" w:line="121"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0E2A35"/>
        </w:rPr>
        <w:t>In April 2022, we partnered with Make-A-Wish and RV Retailer to provide outdoor adventures to wishers across the country. The partnership and inaugural program will fulfill wishes and enhance experiences for children with critical illnesses.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Governance</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0E2A35"/>
        </w:rPr>
        <w:t>Our Board of Directors oversees our ESG performance, and our cross-functional Corporate Responsibility Advisory Team informs ESG strategy and implementation throughout the Company. We live by our Code of Conduct, which is foundational to our efforts to be the trusted leader in outdoor lifestyle solutions by conducting our business with the utmost integrity. We expect our employees to share this commitment and require that all employees complete training on our Code of Conduct on a regular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0E2A35"/>
        </w:rPr>
        <w:t xml:space="preserve">Follow our corporate responsibility journey at </w:t>
      </w:r>
      <w:r>
        <w:rPr>
          <w:rFonts w:ascii="Arial" w:cs="Arial" w:eastAsia="Arial" w:hAnsi="Arial"/>
          <w:sz w:val="16"/>
          <w:szCs w:val="16"/>
          <w:b w:val="1"/>
          <w:bCs w:val="1"/>
          <w:color w:val="0E2A35"/>
        </w:rPr>
        <w:t>www.winnebago.com/responsibility</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11" w:name="page12"/>
    <w:bookmarkEnd w:id="11"/>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7"/>
          <w:szCs w:val="27"/>
          <w:b w:val="1"/>
          <w:bCs w:val="1"/>
          <w:color w:val="0E2A35"/>
        </w:rPr>
        <w:t>Corporate Governance Highlights</w:t>
      </w:r>
    </w:p>
    <w:p>
      <w:pPr>
        <w:spacing w:after="0" w:line="62" w:lineRule="exact"/>
        <w:rPr>
          <w:sz w:val="20"/>
          <w:szCs w:val="20"/>
          <w:color w:val="auto"/>
        </w:rPr>
      </w:pPr>
    </w:p>
    <w:p>
      <w:pPr>
        <w:ind w:left="860" w:right="900"/>
        <w:spacing w:after="0" w:line="234" w:lineRule="auto"/>
        <w:rPr>
          <w:sz w:val="20"/>
          <w:szCs w:val="20"/>
          <w:color w:val="auto"/>
        </w:rPr>
      </w:pPr>
      <w:r>
        <w:rPr>
          <w:rFonts w:ascii="Arial" w:cs="Arial" w:eastAsia="Arial" w:hAnsi="Arial"/>
          <w:sz w:val="22"/>
          <w:szCs w:val="22"/>
          <w:color w:val="0E2A35"/>
        </w:rPr>
        <w:t>We are committed to a strong corporate governance structure that promotes long-term value for our shareholders. Our Board of Directors (Board) believes that having a mix of directors with complementary qualifications, experience and expertise strengthens its oversight ability, provides diverse perspectives, and represents the best interests of our shareholders. The following graphs reflect our Board membership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165100</wp:posOffset>
            </wp:positionV>
            <wp:extent cx="13284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422275</wp:posOffset>
            </wp:positionV>
            <wp:extent cx="5837555" cy="2185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755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 xml:space="preserve">  </w:t>
      </w:r>
    </w:p>
    <w:p>
      <w:pPr>
        <w:spacing w:after="0" w:line="123" w:lineRule="exact"/>
        <w:rPr>
          <w:sz w:val="20"/>
          <w:szCs w:val="20"/>
          <w:color w:val="auto"/>
        </w:rPr>
      </w:pPr>
    </w:p>
    <w:p>
      <w:pPr>
        <w:ind w:left="1220" w:hanging="360"/>
        <w:spacing w:after="0"/>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Our racially or ethnically diverse directors are Mr. Bryant and Ms. Woods, both of whom identify as African American/Black.</w:t>
      </w:r>
    </w:p>
    <w:p>
      <w:pPr>
        <w:spacing w:after="0" w:line="200" w:lineRule="exact"/>
        <w:rPr>
          <w:sz w:val="20"/>
          <w:szCs w:val="20"/>
          <w:color w:val="auto"/>
        </w:rPr>
      </w:pPr>
    </w:p>
    <w:p>
      <w:pPr>
        <w:spacing w:after="0" w:line="24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C7D265"/>
        </w:rPr>
        <w:t>Corporate Governance Practices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860" w:type="dxa"/>
            <w:vAlign w:val="bottom"/>
          </w:tcPr>
          <w:p>
            <w:pPr>
              <w:spacing w:after="0"/>
              <w:rPr>
                <w:sz w:val="24"/>
                <w:szCs w:val="24"/>
                <w:color w:val="auto"/>
              </w:rPr>
            </w:pPr>
          </w:p>
        </w:tc>
        <w:tc>
          <w:tcPr>
            <w:tcW w:w="2900" w:type="dxa"/>
            <w:vAlign w:val="bottom"/>
            <w:tcBorders>
              <w:top w:val="single" w:sz="8" w:color="0E2A35"/>
            </w:tcBorders>
            <w:shd w:val="clear" w:color="auto" w:fill="E6E6E6"/>
          </w:tcPr>
          <w:p>
            <w:pPr>
              <w:ind w:left="80"/>
              <w:spacing w:after="0"/>
              <w:rPr>
                <w:sz w:val="20"/>
                <w:szCs w:val="20"/>
                <w:color w:val="auto"/>
              </w:rPr>
            </w:pPr>
            <w:r>
              <w:rPr>
                <w:rFonts w:ascii="Arial" w:cs="Arial" w:eastAsia="Arial" w:hAnsi="Arial"/>
                <w:sz w:val="14"/>
                <w:szCs w:val="14"/>
                <w:b w:val="1"/>
                <w:bCs w:val="1"/>
                <w:color w:val="0E2A35"/>
              </w:rPr>
              <w:t>Independent leadership</w:t>
            </w:r>
          </w:p>
        </w:tc>
        <w:tc>
          <w:tcPr>
            <w:tcW w:w="360" w:type="dxa"/>
            <w:vAlign w:val="bottom"/>
            <w:tcBorders>
              <w:top w:val="single" w:sz="8" w:color="0E2A35"/>
            </w:tcBorders>
          </w:tcPr>
          <w:p>
            <w:pPr>
              <w:ind w:left="220"/>
              <w:spacing w:after="0"/>
              <w:rPr>
                <w:sz w:val="20"/>
                <w:szCs w:val="20"/>
                <w:color w:val="auto"/>
              </w:rPr>
            </w:pPr>
            <w:r>
              <w:rPr>
                <w:rFonts w:ascii="Arial" w:cs="Arial" w:eastAsia="Arial" w:hAnsi="Arial"/>
                <w:sz w:val="10"/>
                <w:szCs w:val="10"/>
                <w:color w:val="C7D265"/>
                <w:w w:val="74"/>
              </w:rPr>
              <w:t>■ </w:t>
            </w:r>
          </w:p>
        </w:tc>
        <w:tc>
          <w:tcPr>
            <w:tcW w:w="6020" w:type="dxa"/>
            <w:vAlign w:val="bottom"/>
            <w:tcBorders>
              <w:top w:val="single" w:sz="8" w:color="0E2A35"/>
            </w:tcBorders>
          </w:tcPr>
          <w:p>
            <w:pPr>
              <w:ind w:left="40"/>
              <w:spacing w:after="0"/>
              <w:rPr>
                <w:sz w:val="20"/>
                <w:szCs w:val="20"/>
                <w:color w:val="auto"/>
              </w:rPr>
            </w:pPr>
            <w:r>
              <w:rPr>
                <w:rFonts w:ascii="Arial" w:cs="Arial" w:eastAsia="Arial" w:hAnsi="Arial"/>
                <w:sz w:val="14"/>
                <w:szCs w:val="14"/>
                <w:color w:val="0E2A35"/>
              </w:rPr>
              <w:t>8 of 9 directors are independent (all except the Chief Executive Officer)</w:t>
            </w:r>
          </w:p>
        </w:tc>
        <w:tc>
          <w:tcPr>
            <w:tcW w:w="880" w:type="dxa"/>
            <w:vAlign w:val="bottom"/>
          </w:tcPr>
          <w:p>
            <w:pPr>
              <w:spacing w:after="0"/>
              <w:rPr>
                <w:sz w:val="24"/>
                <w:szCs w:val="24"/>
                <w:color w:val="auto"/>
              </w:rPr>
            </w:pPr>
          </w:p>
        </w:tc>
      </w:tr>
      <w:tr>
        <w:trPr>
          <w:trHeight w:val="35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Independent non-employee chairman</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All Board committee members are independent</w:t>
            </w:r>
          </w:p>
        </w:tc>
      </w:tr>
      <w:tr>
        <w:trPr>
          <w:trHeight w:val="392"/>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Executive sessions of independent directors before and/or after each regular Board meeting</w:t>
            </w:r>
          </w:p>
        </w:tc>
      </w:tr>
      <w:tr>
        <w:trPr>
          <w:trHeight w:val="203"/>
        </w:trPr>
        <w:tc>
          <w:tcPr>
            <w:tcW w:w="860" w:type="dxa"/>
            <w:vAlign w:val="bottom"/>
          </w:tcPr>
          <w:p>
            <w:pPr>
              <w:spacing w:after="0"/>
              <w:rPr>
                <w:sz w:val="17"/>
                <w:szCs w:val="17"/>
                <w:color w:val="auto"/>
              </w:rPr>
            </w:pPr>
          </w:p>
        </w:tc>
        <w:tc>
          <w:tcPr>
            <w:tcW w:w="2900" w:type="dxa"/>
            <w:vAlign w:val="bottom"/>
            <w:shd w:val="clear" w:color="auto" w:fill="E6E6E6"/>
          </w:tcPr>
          <w:p>
            <w:pPr>
              <w:spacing w:after="0"/>
              <w:rPr>
                <w:sz w:val="17"/>
                <w:szCs w:val="17"/>
                <w:color w:val="auto"/>
              </w:rPr>
            </w:pPr>
          </w:p>
        </w:tc>
        <w:tc>
          <w:tcPr>
            <w:tcW w:w="360" w:type="dxa"/>
            <w:vAlign w:val="bottom"/>
          </w:tcPr>
          <w:p>
            <w:pPr>
              <w:ind w:left="220"/>
              <w:spacing w:after="0"/>
              <w:rPr>
                <w:sz w:val="20"/>
                <w:szCs w:val="20"/>
                <w:color w:val="auto"/>
              </w:rPr>
            </w:pPr>
            <w:r>
              <w:rPr>
                <w:rFonts w:ascii="Arial" w:cs="Arial" w:eastAsia="Arial" w:hAnsi="Arial"/>
                <w:sz w:val="14"/>
                <w:szCs w:val="14"/>
                <w:color w:val="0E2A35"/>
                <w:w w:val="85"/>
              </w:rPr>
              <w:t> </w:t>
            </w:r>
          </w:p>
        </w:tc>
        <w:tc>
          <w:tcPr>
            <w:tcW w:w="60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9"/>
        </w:trPr>
        <w:tc>
          <w:tcPr>
            <w:tcW w:w="860" w:type="dxa"/>
            <w:vAlign w:val="bottom"/>
          </w:tcPr>
          <w:p>
            <w:pPr>
              <w:spacing w:after="0"/>
              <w:rPr>
                <w:sz w:val="7"/>
                <w:szCs w:val="7"/>
                <w:color w:val="auto"/>
              </w:rPr>
            </w:pPr>
          </w:p>
        </w:tc>
        <w:tc>
          <w:tcPr>
            <w:tcW w:w="2900" w:type="dxa"/>
            <w:vAlign w:val="bottom"/>
            <w:tcBorders>
              <w:bottom w:val="single" w:sz="8" w:color="0E2A35"/>
            </w:tcBorders>
            <w:shd w:val="clear" w:color="auto" w:fill="E6E6E6"/>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6020" w:type="dxa"/>
            <w:vAlign w:val="bottom"/>
            <w:tcBorders>
              <w:bottom w:val="single" w:sz="8" w:color="0E2A35"/>
            </w:tcBorders>
          </w:tcPr>
          <w:p>
            <w:pPr>
              <w:spacing w:after="0"/>
              <w:rPr>
                <w:sz w:val="7"/>
                <w:szCs w:val="7"/>
                <w:color w:val="auto"/>
              </w:rPr>
            </w:pPr>
          </w:p>
        </w:tc>
        <w:tc>
          <w:tcPr>
            <w:tcW w:w="880" w:type="dxa"/>
            <w:vAlign w:val="bottom"/>
          </w:tcPr>
          <w:p>
            <w:pPr>
              <w:spacing w:after="0"/>
              <w:rPr>
                <w:sz w:val="7"/>
                <w:szCs w:val="7"/>
                <w:color w:val="auto"/>
              </w:rPr>
            </w:pPr>
          </w:p>
        </w:tc>
      </w:tr>
      <w:tr>
        <w:trPr>
          <w:trHeight w:val="370"/>
        </w:trPr>
        <w:tc>
          <w:tcPr>
            <w:tcW w:w="860" w:type="dxa"/>
            <w:vAlign w:val="bottom"/>
          </w:tcPr>
          <w:p>
            <w:pPr>
              <w:spacing w:after="0"/>
              <w:rPr>
                <w:sz w:val="24"/>
                <w:szCs w:val="24"/>
                <w:color w:val="auto"/>
              </w:rPr>
            </w:pPr>
          </w:p>
        </w:tc>
        <w:tc>
          <w:tcPr>
            <w:tcW w:w="290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0E2A35"/>
              </w:rPr>
              <w:t>Board refreshment</w:t>
            </w: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Mix of tenure and diversity of directors</w:t>
            </w:r>
          </w:p>
        </w:tc>
      </w:tr>
      <w:tr>
        <w:trPr>
          <w:trHeight w:val="35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Age limit for directors (72)</w:t>
            </w:r>
          </w:p>
        </w:tc>
      </w:tr>
      <w:tr>
        <w:trPr>
          <w:trHeight w:val="350"/>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Annual Board and committee self-evaluations</w:t>
            </w:r>
          </w:p>
        </w:tc>
      </w:tr>
      <w:tr>
        <w:trPr>
          <w:trHeight w:val="190"/>
        </w:trPr>
        <w:tc>
          <w:tcPr>
            <w:tcW w:w="860" w:type="dxa"/>
            <w:vAlign w:val="bottom"/>
          </w:tcPr>
          <w:p>
            <w:pPr>
              <w:spacing w:after="0"/>
              <w:rPr>
                <w:sz w:val="16"/>
                <w:szCs w:val="16"/>
                <w:color w:val="auto"/>
              </w:rPr>
            </w:pPr>
          </w:p>
        </w:tc>
        <w:tc>
          <w:tcPr>
            <w:tcW w:w="2900" w:type="dxa"/>
            <w:vAlign w:val="bottom"/>
            <w:shd w:val="clear" w:color="auto" w:fill="E6E6E6"/>
          </w:tcPr>
          <w:p>
            <w:pPr>
              <w:spacing w:after="0"/>
              <w:rPr>
                <w:sz w:val="16"/>
                <w:szCs w:val="16"/>
                <w:color w:val="auto"/>
              </w:rPr>
            </w:pPr>
          </w:p>
        </w:tc>
        <w:tc>
          <w:tcPr>
            <w:tcW w:w="360" w:type="dxa"/>
            <w:vAlign w:val="bottom"/>
          </w:tcPr>
          <w:p>
            <w:pPr>
              <w:ind w:left="220"/>
              <w:spacing w:after="0"/>
              <w:rPr>
                <w:sz w:val="20"/>
                <w:szCs w:val="20"/>
                <w:color w:val="auto"/>
              </w:rPr>
            </w:pPr>
            <w:r>
              <w:rPr>
                <w:rFonts w:ascii="Arial" w:cs="Arial" w:eastAsia="Arial" w:hAnsi="Arial"/>
                <w:sz w:val="14"/>
                <w:szCs w:val="14"/>
                <w:color w:val="0E2A35"/>
                <w:w w:val="85"/>
              </w:rPr>
              <w:t> </w:t>
            </w:r>
          </w:p>
        </w:tc>
        <w:tc>
          <w:tcPr>
            <w:tcW w:w="6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89"/>
        </w:trPr>
        <w:tc>
          <w:tcPr>
            <w:tcW w:w="860" w:type="dxa"/>
            <w:vAlign w:val="bottom"/>
          </w:tcPr>
          <w:p>
            <w:pPr>
              <w:spacing w:after="0"/>
              <w:rPr>
                <w:sz w:val="7"/>
                <w:szCs w:val="7"/>
                <w:color w:val="auto"/>
              </w:rPr>
            </w:pPr>
          </w:p>
        </w:tc>
        <w:tc>
          <w:tcPr>
            <w:tcW w:w="2900" w:type="dxa"/>
            <w:vAlign w:val="bottom"/>
            <w:tcBorders>
              <w:bottom w:val="single" w:sz="8" w:color="0E2A35"/>
            </w:tcBorders>
            <w:shd w:val="clear" w:color="auto" w:fill="E6E6E6"/>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6020" w:type="dxa"/>
            <w:vAlign w:val="bottom"/>
            <w:tcBorders>
              <w:bottom w:val="single" w:sz="8" w:color="0E2A35"/>
            </w:tcBorders>
          </w:tcPr>
          <w:p>
            <w:pPr>
              <w:spacing w:after="0"/>
              <w:rPr>
                <w:sz w:val="7"/>
                <w:szCs w:val="7"/>
                <w:color w:val="auto"/>
              </w:rPr>
            </w:pPr>
          </w:p>
        </w:tc>
        <w:tc>
          <w:tcPr>
            <w:tcW w:w="880" w:type="dxa"/>
            <w:vAlign w:val="bottom"/>
          </w:tcPr>
          <w:p>
            <w:pPr>
              <w:spacing w:after="0"/>
              <w:rPr>
                <w:sz w:val="7"/>
                <w:szCs w:val="7"/>
                <w:color w:val="auto"/>
              </w:rPr>
            </w:pPr>
          </w:p>
        </w:tc>
      </w:tr>
      <w:tr>
        <w:trPr>
          <w:trHeight w:val="370"/>
        </w:trPr>
        <w:tc>
          <w:tcPr>
            <w:tcW w:w="860" w:type="dxa"/>
            <w:vAlign w:val="bottom"/>
          </w:tcPr>
          <w:p>
            <w:pPr>
              <w:spacing w:after="0"/>
              <w:rPr>
                <w:sz w:val="24"/>
                <w:szCs w:val="24"/>
                <w:color w:val="auto"/>
              </w:rPr>
            </w:pPr>
          </w:p>
        </w:tc>
        <w:tc>
          <w:tcPr>
            <w:tcW w:w="290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0E2A35"/>
              </w:rPr>
              <w:t>Other strong governance practices</w:t>
            </w: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Single class of outstanding shares with equal voting rights</w:t>
            </w:r>
          </w:p>
        </w:tc>
      </w:tr>
      <w:tr>
        <w:trPr>
          <w:trHeight w:val="35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Code of Conduct applicable to all directors, officers and employees</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Non-employee director and executive stock ownership guidelines</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All employees and Board members prohibited from hedging and pledging Company stock</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Routine engagement with shareholders</w:t>
            </w:r>
          </w:p>
        </w:tc>
      </w:tr>
      <w:tr>
        <w:trPr>
          <w:trHeight w:val="350"/>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C7D265"/>
                <w:w w:val="74"/>
              </w:rPr>
              <w:t>■ </w:t>
            </w:r>
          </w:p>
        </w:tc>
        <w:tc>
          <w:tcPr>
            <w:tcW w:w="6900" w:type="dxa"/>
            <w:vAlign w:val="bottom"/>
            <w:gridSpan w:val="2"/>
          </w:tcPr>
          <w:p>
            <w:pPr>
              <w:ind w:left="40"/>
              <w:spacing w:after="0"/>
              <w:rPr>
                <w:sz w:val="20"/>
                <w:szCs w:val="20"/>
                <w:color w:val="auto"/>
              </w:rPr>
            </w:pPr>
            <w:r>
              <w:rPr>
                <w:rFonts w:ascii="Arial" w:cs="Arial" w:eastAsia="Arial" w:hAnsi="Arial"/>
                <w:sz w:val="14"/>
                <w:szCs w:val="14"/>
                <w:color w:val="0E2A35"/>
              </w:rPr>
              <w:t>Excellent meeting attendance</w:t>
            </w:r>
          </w:p>
        </w:tc>
      </w:tr>
      <w:tr>
        <w:trPr>
          <w:trHeight w:val="190"/>
        </w:trPr>
        <w:tc>
          <w:tcPr>
            <w:tcW w:w="860" w:type="dxa"/>
            <w:vAlign w:val="bottom"/>
          </w:tcPr>
          <w:p>
            <w:pPr>
              <w:spacing w:after="0"/>
              <w:rPr>
                <w:sz w:val="16"/>
                <w:szCs w:val="16"/>
                <w:color w:val="auto"/>
              </w:rPr>
            </w:pPr>
          </w:p>
        </w:tc>
        <w:tc>
          <w:tcPr>
            <w:tcW w:w="2900" w:type="dxa"/>
            <w:vAlign w:val="bottom"/>
            <w:shd w:val="clear" w:color="auto" w:fill="E6E6E6"/>
          </w:tcPr>
          <w:p>
            <w:pPr>
              <w:spacing w:after="0"/>
              <w:rPr>
                <w:sz w:val="16"/>
                <w:szCs w:val="16"/>
                <w:color w:val="auto"/>
              </w:rPr>
            </w:pPr>
          </w:p>
        </w:tc>
        <w:tc>
          <w:tcPr>
            <w:tcW w:w="360" w:type="dxa"/>
            <w:vAlign w:val="bottom"/>
          </w:tcPr>
          <w:p>
            <w:pPr>
              <w:ind w:left="220"/>
              <w:spacing w:after="0"/>
              <w:rPr>
                <w:sz w:val="20"/>
                <w:szCs w:val="20"/>
                <w:color w:val="auto"/>
              </w:rPr>
            </w:pPr>
            <w:r>
              <w:rPr>
                <w:rFonts w:ascii="Arial" w:cs="Arial" w:eastAsia="Arial" w:hAnsi="Arial"/>
                <w:sz w:val="14"/>
                <w:szCs w:val="14"/>
                <w:color w:val="0E2A35"/>
                <w:w w:val="85"/>
              </w:rPr>
              <w:t> </w:t>
            </w:r>
          </w:p>
        </w:tc>
        <w:tc>
          <w:tcPr>
            <w:tcW w:w="6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89"/>
        </w:trPr>
        <w:tc>
          <w:tcPr>
            <w:tcW w:w="860" w:type="dxa"/>
            <w:vAlign w:val="bottom"/>
          </w:tcPr>
          <w:p>
            <w:pPr>
              <w:spacing w:after="0"/>
              <w:rPr>
                <w:sz w:val="7"/>
                <w:szCs w:val="7"/>
                <w:color w:val="auto"/>
              </w:rPr>
            </w:pPr>
          </w:p>
        </w:tc>
        <w:tc>
          <w:tcPr>
            <w:tcW w:w="2900" w:type="dxa"/>
            <w:vAlign w:val="bottom"/>
            <w:tcBorders>
              <w:bottom w:val="single" w:sz="8" w:color="0E2A35"/>
            </w:tcBorders>
            <w:shd w:val="clear" w:color="auto" w:fill="E6E6E6"/>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6020" w:type="dxa"/>
            <w:vAlign w:val="bottom"/>
            <w:tcBorders>
              <w:bottom w:val="single" w:sz="8" w:color="0E2A35"/>
            </w:tcBorders>
          </w:tcPr>
          <w:p>
            <w:pPr>
              <w:spacing w:after="0"/>
              <w:rPr>
                <w:sz w:val="7"/>
                <w:szCs w:val="7"/>
                <w:color w:val="auto"/>
              </w:rPr>
            </w:pPr>
          </w:p>
        </w:tc>
        <w:tc>
          <w:tcPr>
            <w:tcW w:w="880" w:type="dxa"/>
            <w:vAlign w:val="bottom"/>
          </w:tcPr>
          <w:p>
            <w:pPr>
              <w:spacing w:after="0"/>
              <w:rPr>
                <w:sz w:val="7"/>
                <w:szCs w:val="7"/>
                <w:color w:val="auto"/>
              </w:rPr>
            </w:pPr>
          </w:p>
        </w:tc>
      </w:tr>
      <w:tr>
        <w:trPr>
          <w:trHeight w:val="471"/>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gridSpan w:val="2"/>
          </w:tcPr>
          <w:p>
            <w:pPr>
              <w:ind w:left="3360"/>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8</w:t>
            </w:r>
          </w:p>
        </w:tc>
      </w:tr>
      <w:tr>
        <w:trPr>
          <w:trHeight w:val="299"/>
        </w:trPr>
        <w:tc>
          <w:tcPr>
            <w:tcW w:w="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-299720</wp:posOffset>
            </wp:positionV>
            <wp:extent cx="1465580" cy="93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33655</wp:posOffset>
            </wp:positionV>
            <wp:extent cx="6900545" cy="894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00545" cy="89408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161925</wp:posOffset>
            </wp:positionV>
            <wp:extent cx="6900545" cy="894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00545" cy="89408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Corporate Governance</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Leadership Structure</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Our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E2A35"/>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and key issues related to strategy and risk. Mr. David W. Miles, an independent director, has served as Chair since June 2019.</w:t>
      </w:r>
    </w:p>
    <w:p>
      <w:pPr>
        <w:spacing w:after="0" w:line="15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0E2A35"/>
        </w:rPr>
        <w:t>The Board recognizes that, depending on the specific characteristics and circumstances of the Company, other leadership structures might also be appropriate. We are committed to reviewing this determination on an annual basis.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Skills and Experiences</w:t>
      </w:r>
    </w:p>
    <w:p>
      <w:pPr>
        <w:spacing w:after="0" w:line="180"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0E2A35"/>
        </w:rPr>
        <w:t>The following chart shows the specific experiences and skills the Board currently believes are important for our directors to collectively possess for effective governance of Winnebago Industries. The matrix also provides a high level summary of the important experiences and skills of each of our directors. We seek to achieve a balance of knowledge, experience and perspective on the Board to contribute to the sound governance of Winnebago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897880" cy="3651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15" w:name="page16"/>
    <w:bookmarkEnd w:id="15"/>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C7D265"/>
        </w:rPr>
        <w:t>Executive Leadership</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C7D265"/>
        </w:rPr>
        <w:t>Experience Criteria: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56515</wp:posOffset>
            </wp:positionV>
            <wp:extent cx="589788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159" w:lineRule="exact"/>
        <w:rPr>
          <w:sz w:val="20"/>
          <w:szCs w:val="20"/>
          <w:color w:val="auto"/>
        </w:rPr>
      </w:pPr>
    </w:p>
    <w:p>
      <w:pPr>
        <w:ind w:left="920"/>
        <w:spacing w:after="0"/>
        <w:tabs>
          <w:tab w:leader="none" w:pos="3240" w:val="left"/>
        </w:tabs>
        <w:rPr>
          <w:sz w:val="20"/>
          <w:szCs w:val="20"/>
          <w:color w:val="auto"/>
        </w:rPr>
      </w:pPr>
      <w:r>
        <w:rPr>
          <w:rFonts w:ascii="Arial" w:cs="Arial" w:eastAsia="Arial" w:hAnsi="Arial"/>
          <w:sz w:val="13"/>
          <w:szCs w:val="13"/>
          <w:b w:val="1"/>
          <w:bCs w:val="1"/>
          <w:color w:val="FFFFFF"/>
        </w:rPr>
        <w:t>Area of Expertise</w:t>
      </w:r>
      <w:r>
        <w:rPr>
          <w:sz w:val="20"/>
          <w:szCs w:val="20"/>
          <w:color w:val="auto"/>
        </w:rPr>
        <w:tab/>
      </w:r>
      <w:r>
        <w:rPr>
          <w:rFonts w:ascii="Arial" w:cs="Arial" w:eastAsia="Arial" w:hAnsi="Arial"/>
          <w:sz w:val="12"/>
          <w:szCs w:val="12"/>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70485</wp:posOffset>
            </wp:positionV>
            <wp:extent cx="1465580" cy="78524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5580" cy="785241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1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0E2A35"/>
        </w:rPr>
        <w:t>Public/Private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0E2A35"/>
        </w:rPr>
        <w:t>Company CEO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000" w:hanging="333"/>
        <w:spacing w:after="0" w:line="289" w:lineRule="auto"/>
        <w:rPr>
          <w:sz w:val="20"/>
          <w:szCs w:val="20"/>
          <w:color w:val="auto"/>
        </w:rPr>
      </w:pPr>
      <w:r>
        <w:rPr>
          <w:rFonts w:ascii="Arial" w:cs="Arial" w:eastAsia="Arial" w:hAnsi="Arial"/>
          <w:sz w:val="11"/>
          <w:szCs w:val="11"/>
          <w:color w:val="C7D265"/>
        </w:rPr>
        <w:t xml:space="preserve">■  </w:t>
      </w:r>
      <w:r>
        <w:rPr>
          <w:rFonts w:ascii="Arial" w:cs="Arial" w:eastAsia="Arial" w:hAnsi="Arial"/>
          <w:sz w:val="14"/>
          <w:szCs w:val="14"/>
          <w:color w:val="0E2A35"/>
        </w:rPr>
        <w:t xml:space="preserve"> </w:t>
      </w:r>
      <w:r>
        <w:rPr>
          <w:sz w:val="20"/>
          <w:szCs w:val="20"/>
          <w:color w:val="auto"/>
        </w:rPr>
        <w:t xml:space="preserve"> </w:t>
      </w:r>
      <w:r>
        <w:rPr>
          <w:rFonts w:ascii="Arial" w:cs="Arial" w:eastAsia="Arial" w:hAnsi="Arial"/>
          <w:sz w:val="14"/>
          <w:szCs w:val="14"/>
          <w:color w:val="0E2A35"/>
        </w:rPr>
        <w:t>Current or recently retired Chief Executive Officer of an organization of a comparable scale and complexity to Winnebago and, ideally a public company; prefer an organization with a strong manufacturing base and an individual with expertise growing a business organically and inorganically (specifically via M&amp;A activity).</w:t>
      </w:r>
    </w:p>
    <w:p>
      <w:pPr>
        <w:spacing w:after="0" w:line="51" w:lineRule="exact"/>
        <w:rPr>
          <w:sz w:val="20"/>
          <w:szCs w:val="20"/>
          <w:color w:val="auto"/>
        </w:rPr>
      </w:pPr>
    </w:p>
    <w:p>
      <w:pPr>
        <w:sectPr>
          <w:pgSz w:w="11900" w:h="16838" w:orient="portrait"/>
          <w:cols w:equalWidth="0" w:num="2">
            <w:col w:w="2860" w:space="720"/>
            <w:col w:w="744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308"/>
        </w:trPr>
        <w:tc>
          <w:tcPr>
            <w:tcW w:w="860" w:type="dxa"/>
            <w:vAlign w:val="bottom"/>
          </w:tcPr>
          <w:p>
            <w:pPr>
              <w:spacing w:after="0"/>
              <w:rPr>
                <w:sz w:val="24"/>
                <w:szCs w:val="24"/>
                <w:color w:val="auto"/>
              </w:rPr>
            </w:pPr>
          </w:p>
        </w:tc>
        <w:tc>
          <w:tcPr>
            <w:tcW w:w="2220" w:type="dxa"/>
            <w:vAlign w:val="bottom"/>
            <w:tcBorders>
              <w:top w:val="single" w:sz="8" w:color="0E2A35"/>
            </w:tcBorders>
          </w:tcPr>
          <w:p>
            <w:pPr>
              <w:ind w:left="60"/>
              <w:spacing w:after="0"/>
              <w:rPr>
                <w:sz w:val="20"/>
                <w:szCs w:val="20"/>
                <w:color w:val="auto"/>
              </w:rPr>
            </w:pPr>
            <w:r>
              <w:rPr>
                <w:rFonts w:ascii="Arial" w:cs="Arial" w:eastAsia="Arial" w:hAnsi="Arial"/>
                <w:sz w:val="14"/>
                <w:szCs w:val="14"/>
                <w:b w:val="1"/>
                <w:bCs w:val="1"/>
                <w:color w:val="0E2A35"/>
              </w:rPr>
              <w:t>Financial Expert</w:t>
            </w:r>
          </w:p>
        </w:tc>
        <w:tc>
          <w:tcPr>
            <w:tcW w:w="80" w:type="dxa"/>
            <w:vAlign w:val="bottom"/>
            <w:tcBorders>
              <w:top w:val="single" w:sz="8" w:color="0E2A35"/>
            </w:tcBorders>
            <w:shd w:val="clear" w:color="auto" w:fill="E6E6E6"/>
          </w:tcPr>
          <w:p>
            <w:pPr>
              <w:spacing w:after="0"/>
              <w:rPr>
                <w:sz w:val="24"/>
                <w:szCs w:val="24"/>
                <w:color w:val="auto"/>
              </w:rPr>
            </w:pPr>
          </w:p>
        </w:tc>
        <w:tc>
          <w:tcPr>
            <w:tcW w:w="240" w:type="dxa"/>
            <w:vAlign w:val="bottom"/>
            <w:tcBorders>
              <w:top w:val="single" w:sz="8" w:color="0E2A35"/>
            </w:tcBorders>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Borders>
              <w:top w:val="single" w:sz="8" w:color="0E2A35"/>
            </w:tcBorders>
          </w:tcPr>
          <w:p>
            <w:pPr>
              <w:ind w:left="40"/>
              <w:spacing w:after="0"/>
              <w:rPr>
                <w:sz w:val="20"/>
                <w:szCs w:val="20"/>
                <w:color w:val="auto"/>
              </w:rPr>
            </w:pPr>
            <w:r>
              <w:rPr>
                <w:rFonts w:ascii="Arial" w:cs="Arial" w:eastAsia="Arial" w:hAnsi="Arial"/>
                <w:sz w:val="8"/>
                <w:szCs w:val="8"/>
                <w:color w:val="0E2A35"/>
                <w:w w:val="74"/>
              </w:rPr>
              <w:t> </w:t>
            </w:r>
          </w:p>
        </w:tc>
        <w:tc>
          <w:tcPr>
            <w:tcW w:w="6620" w:type="dxa"/>
            <w:vAlign w:val="bottom"/>
            <w:tcBorders>
              <w:top w:val="single" w:sz="8" w:color="0E2A35"/>
            </w:tcBorders>
          </w:tcPr>
          <w:p>
            <w:pPr>
              <w:ind w:left="60"/>
              <w:spacing w:after="0"/>
              <w:rPr>
                <w:sz w:val="20"/>
                <w:szCs w:val="20"/>
                <w:color w:val="auto"/>
              </w:rPr>
            </w:pPr>
            <w:r>
              <w:rPr>
                <w:rFonts w:ascii="Arial" w:cs="Arial" w:eastAsia="Arial" w:hAnsi="Arial"/>
                <w:sz w:val="14"/>
                <w:szCs w:val="14"/>
                <w:color w:val="0E2A35"/>
              </w:rPr>
              <w:t>Audit committee financial expert according to SEC.</w:t>
            </w:r>
          </w:p>
        </w:tc>
        <w:tc>
          <w:tcPr>
            <w:tcW w:w="880" w:type="dxa"/>
            <w:vAlign w:val="bottom"/>
          </w:tcPr>
          <w:p>
            <w:pPr>
              <w:spacing w:after="0"/>
              <w:rPr>
                <w:sz w:val="24"/>
                <w:szCs w:val="24"/>
                <w:color w:val="auto"/>
              </w:rPr>
            </w:pPr>
          </w:p>
        </w:tc>
      </w:tr>
      <w:tr>
        <w:trPr>
          <w:trHeight w:val="371"/>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Brings strong financial acumen through experience in senior financial leadership role (e.g., CFO, audit,</w:t>
            </w:r>
          </w:p>
        </w:tc>
      </w:tr>
      <w:tr>
        <w:trPr>
          <w:trHeight w:val="176"/>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treasurer, accounting) or other significant and broad financial expertise in audit, financial planning,</w:t>
            </w:r>
          </w:p>
        </w:tc>
      </w:tr>
      <w:tr>
        <w:trPr>
          <w:trHeight w:val="189"/>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forecasting, and investing. Preference for CFO experience within public company or experience as an</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audit partner in an accounting firm.</w:t>
            </w:r>
          </w:p>
        </w:tc>
      </w:tr>
      <w:tr>
        <w:trPr>
          <w:trHeight w:val="103"/>
        </w:trPr>
        <w:tc>
          <w:tcPr>
            <w:tcW w:w="860" w:type="dxa"/>
            <w:vAlign w:val="bottom"/>
          </w:tcPr>
          <w:p>
            <w:pPr>
              <w:spacing w:after="0"/>
              <w:rPr>
                <w:sz w:val="8"/>
                <w:szCs w:val="8"/>
                <w:color w:val="auto"/>
              </w:rPr>
            </w:pPr>
          </w:p>
        </w:tc>
        <w:tc>
          <w:tcPr>
            <w:tcW w:w="22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shd w:val="clear" w:color="auto" w:fill="E6E6E6"/>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662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81"/>
        </w:trPr>
        <w:tc>
          <w:tcPr>
            <w:tcW w:w="86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Global Experience</w:t>
            </w: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Experience successfully leading a global business or significant regional division as a P&amp;L or functional</w:t>
            </w:r>
          </w:p>
        </w:tc>
      </w:tr>
      <w:tr>
        <w:trPr>
          <w:trHeight w:val="176"/>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C-Suite executive or as a leader in the management of a global supply chain; understanding the</w:t>
            </w:r>
          </w:p>
        </w:tc>
      </w:tr>
      <w:tr>
        <w:trPr>
          <w:trHeight w:val="189"/>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challenges of entering new markets, developing new customer relationships, and navigating the</w:t>
            </w:r>
          </w:p>
        </w:tc>
      </w:tr>
      <w:tr>
        <w:trPr>
          <w:trHeight w:val="175"/>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complexities of local and regional geopolitical and cultural sensitivities, as well as a diverse employee</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base.</w:t>
            </w:r>
          </w:p>
        </w:tc>
      </w:tr>
      <w:tr>
        <w:trPr>
          <w:trHeight w:val="116"/>
        </w:trPr>
        <w:tc>
          <w:tcPr>
            <w:tcW w:w="860" w:type="dxa"/>
            <w:vAlign w:val="bottom"/>
          </w:tcPr>
          <w:p>
            <w:pPr>
              <w:spacing w:after="0"/>
              <w:rPr>
                <w:sz w:val="10"/>
                <w:szCs w:val="10"/>
                <w:color w:val="auto"/>
              </w:rPr>
            </w:pPr>
          </w:p>
        </w:tc>
        <w:tc>
          <w:tcPr>
            <w:tcW w:w="2220" w:type="dxa"/>
            <w:vAlign w:val="bottom"/>
            <w:tcBorders>
              <w:bottom w:val="single" w:sz="8" w:color="0E2A35"/>
            </w:tcBorders>
          </w:tcPr>
          <w:p>
            <w:pPr>
              <w:spacing w:after="0"/>
              <w:rPr>
                <w:sz w:val="10"/>
                <w:szCs w:val="10"/>
                <w:color w:val="auto"/>
              </w:rPr>
            </w:pPr>
          </w:p>
        </w:tc>
        <w:tc>
          <w:tcPr>
            <w:tcW w:w="80" w:type="dxa"/>
            <w:vAlign w:val="bottom"/>
            <w:tcBorders>
              <w:bottom w:val="single" w:sz="8" w:color="0E2A35"/>
            </w:tcBorders>
            <w:shd w:val="clear" w:color="auto" w:fill="E6E6E6"/>
          </w:tcPr>
          <w:p>
            <w:pPr>
              <w:spacing w:after="0"/>
              <w:rPr>
                <w:sz w:val="10"/>
                <w:szCs w:val="10"/>
                <w:color w:val="auto"/>
              </w:rPr>
            </w:pPr>
          </w:p>
        </w:tc>
        <w:tc>
          <w:tcPr>
            <w:tcW w:w="240" w:type="dxa"/>
            <w:vAlign w:val="bottom"/>
            <w:tcBorders>
              <w:bottom w:val="single" w:sz="8" w:color="0E2A35"/>
            </w:tcBorders>
          </w:tcPr>
          <w:p>
            <w:pPr>
              <w:spacing w:after="0"/>
              <w:rPr>
                <w:sz w:val="10"/>
                <w:szCs w:val="10"/>
                <w:color w:val="auto"/>
              </w:rPr>
            </w:pPr>
          </w:p>
        </w:tc>
        <w:tc>
          <w:tcPr>
            <w:tcW w:w="120" w:type="dxa"/>
            <w:vAlign w:val="bottom"/>
            <w:tcBorders>
              <w:bottom w:val="single" w:sz="8" w:color="0E2A35"/>
            </w:tcBorders>
          </w:tcPr>
          <w:p>
            <w:pPr>
              <w:spacing w:after="0"/>
              <w:rPr>
                <w:sz w:val="10"/>
                <w:szCs w:val="10"/>
                <w:color w:val="auto"/>
              </w:rPr>
            </w:pPr>
          </w:p>
        </w:tc>
        <w:tc>
          <w:tcPr>
            <w:tcW w:w="6620" w:type="dxa"/>
            <w:vAlign w:val="bottom"/>
            <w:tcBorders>
              <w:bottom w:val="single" w:sz="8" w:color="0E2A35"/>
            </w:tcBorders>
          </w:tcPr>
          <w:p>
            <w:pPr>
              <w:spacing w:after="0"/>
              <w:rPr>
                <w:sz w:val="10"/>
                <w:szCs w:val="10"/>
                <w:color w:val="auto"/>
              </w:rPr>
            </w:pPr>
          </w:p>
        </w:tc>
        <w:tc>
          <w:tcPr>
            <w:tcW w:w="880" w:type="dxa"/>
            <w:vAlign w:val="bottom"/>
          </w:tcPr>
          <w:p>
            <w:pPr>
              <w:spacing w:after="0"/>
              <w:rPr>
                <w:sz w:val="10"/>
                <w:szCs w:val="10"/>
                <w:color w:val="auto"/>
              </w:rPr>
            </w:pPr>
          </w:p>
        </w:tc>
      </w:tr>
      <w:tr>
        <w:trPr>
          <w:trHeight w:val="254"/>
        </w:trPr>
        <w:tc>
          <w:tcPr>
            <w:tcW w:w="8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Technology Leader/</w:t>
            </w:r>
          </w:p>
        </w:tc>
        <w:tc>
          <w:tcPr>
            <w:tcW w:w="80" w:type="dxa"/>
            <w:vAlign w:val="bottom"/>
            <w:shd w:val="clear" w:color="auto" w:fill="E6E6E6"/>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Executive who has built/scaled business-to-consumer or business-to-business-to-consumer</w:t>
            </w:r>
          </w:p>
        </w:tc>
      </w:tr>
      <w:tr>
        <w:trPr>
          <w:trHeight w:val="203"/>
        </w:trPr>
        <w:tc>
          <w:tcPr>
            <w:tcW w:w="860" w:type="dxa"/>
            <w:vAlign w:val="bottom"/>
          </w:tcPr>
          <w:p>
            <w:pPr>
              <w:spacing w:after="0"/>
              <w:rPr>
                <w:sz w:val="17"/>
                <w:szCs w:val="17"/>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Data &amp; Analytics</w:t>
            </w:r>
          </w:p>
        </w:tc>
        <w:tc>
          <w:tcPr>
            <w:tcW w:w="80" w:type="dxa"/>
            <w:vAlign w:val="bottom"/>
            <w:shd w:val="clear" w:color="auto" w:fill="E6E6E6"/>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businesses focused on disruption or technology-driven change leveraging innovative digital</w:t>
            </w:r>
          </w:p>
        </w:tc>
      </w:tr>
      <w:tr>
        <w:trPr>
          <w:trHeight w:val="189"/>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technologies and data analytics with a focus on customer experience and connectivity solutions for</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products and services.</w:t>
            </w:r>
          </w:p>
        </w:tc>
      </w:tr>
      <w:tr>
        <w:trPr>
          <w:trHeight w:val="103"/>
        </w:trPr>
        <w:tc>
          <w:tcPr>
            <w:tcW w:w="860" w:type="dxa"/>
            <w:vAlign w:val="bottom"/>
          </w:tcPr>
          <w:p>
            <w:pPr>
              <w:spacing w:after="0"/>
              <w:rPr>
                <w:sz w:val="8"/>
                <w:szCs w:val="8"/>
                <w:color w:val="auto"/>
              </w:rPr>
            </w:pPr>
          </w:p>
        </w:tc>
        <w:tc>
          <w:tcPr>
            <w:tcW w:w="22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shd w:val="clear" w:color="auto" w:fill="E6E6E6"/>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662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81"/>
        </w:trPr>
        <w:tc>
          <w:tcPr>
            <w:tcW w:w="86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Mobility Ecosystem</w:t>
            </w: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Business or technology leader who has current insights into developments within the on and off-</w:t>
            </w:r>
          </w:p>
        </w:tc>
      </w:tr>
      <w:tr>
        <w:trPr>
          <w:trHeight w:val="176"/>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highway transportation and/or mobility ecosystem. Brings view on broader technology applications</w:t>
            </w:r>
          </w:p>
        </w:tc>
      </w:tr>
      <w:tr>
        <w:trPr>
          <w:trHeight w:val="189"/>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within the markets served by Winnebago. Has vision on technology-driven advancements in EV</w:t>
            </w:r>
          </w:p>
        </w:tc>
      </w:tr>
      <w:tr>
        <w:trPr>
          <w:trHeight w:val="175"/>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powertrain, vehicle architecture, infotainment, connectivity, and customer services in those relevant</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markets.</w:t>
            </w:r>
          </w:p>
        </w:tc>
      </w:tr>
      <w:tr>
        <w:trPr>
          <w:trHeight w:val="116"/>
        </w:trPr>
        <w:tc>
          <w:tcPr>
            <w:tcW w:w="860" w:type="dxa"/>
            <w:vAlign w:val="bottom"/>
          </w:tcPr>
          <w:p>
            <w:pPr>
              <w:spacing w:after="0"/>
              <w:rPr>
                <w:sz w:val="10"/>
                <w:szCs w:val="10"/>
                <w:color w:val="auto"/>
              </w:rPr>
            </w:pPr>
          </w:p>
        </w:tc>
        <w:tc>
          <w:tcPr>
            <w:tcW w:w="2220" w:type="dxa"/>
            <w:vAlign w:val="bottom"/>
            <w:tcBorders>
              <w:bottom w:val="single" w:sz="8" w:color="0E2A35"/>
            </w:tcBorders>
          </w:tcPr>
          <w:p>
            <w:pPr>
              <w:spacing w:after="0"/>
              <w:rPr>
                <w:sz w:val="10"/>
                <w:szCs w:val="10"/>
                <w:color w:val="auto"/>
              </w:rPr>
            </w:pPr>
          </w:p>
        </w:tc>
        <w:tc>
          <w:tcPr>
            <w:tcW w:w="80" w:type="dxa"/>
            <w:vAlign w:val="bottom"/>
            <w:tcBorders>
              <w:bottom w:val="single" w:sz="8" w:color="0E2A35"/>
            </w:tcBorders>
            <w:shd w:val="clear" w:color="auto" w:fill="E6E6E6"/>
          </w:tcPr>
          <w:p>
            <w:pPr>
              <w:spacing w:after="0"/>
              <w:rPr>
                <w:sz w:val="10"/>
                <w:szCs w:val="10"/>
                <w:color w:val="auto"/>
              </w:rPr>
            </w:pPr>
          </w:p>
        </w:tc>
        <w:tc>
          <w:tcPr>
            <w:tcW w:w="240" w:type="dxa"/>
            <w:vAlign w:val="bottom"/>
            <w:tcBorders>
              <w:bottom w:val="single" w:sz="8" w:color="0E2A35"/>
            </w:tcBorders>
          </w:tcPr>
          <w:p>
            <w:pPr>
              <w:spacing w:after="0"/>
              <w:rPr>
                <w:sz w:val="10"/>
                <w:szCs w:val="10"/>
                <w:color w:val="auto"/>
              </w:rPr>
            </w:pPr>
          </w:p>
        </w:tc>
        <w:tc>
          <w:tcPr>
            <w:tcW w:w="120" w:type="dxa"/>
            <w:vAlign w:val="bottom"/>
            <w:tcBorders>
              <w:bottom w:val="single" w:sz="8" w:color="0E2A35"/>
            </w:tcBorders>
          </w:tcPr>
          <w:p>
            <w:pPr>
              <w:spacing w:after="0"/>
              <w:rPr>
                <w:sz w:val="10"/>
                <w:szCs w:val="10"/>
                <w:color w:val="auto"/>
              </w:rPr>
            </w:pPr>
          </w:p>
        </w:tc>
        <w:tc>
          <w:tcPr>
            <w:tcW w:w="6620" w:type="dxa"/>
            <w:vAlign w:val="bottom"/>
            <w:tcBorders>
              <w:bottom w:val="single" w:sz="8" w:color="0E2A35"/>
            </w:tcBorders>
          </w:tcPr>
          <w:p>
            <w:pPr>
              <w:spacing w:after="0"/>
              <w:rPr>
                <w:sz w:val="10"/>
                <w:szCs w:val="10"/>
                <w:color w:val="auto"/>
              </w:rPr>
            </w:pPr>
          </w:p>
        </w:tc>
        <w:tc>
          <w:tcPr>
            <w:tcW w:w="880" w:type="dxa"/>
            <w:vAlign w:val="bottom"/>
          </w:tcPr>
          <w:p>
            <w:pPr>
              <w:spacing w:after="0"/>
              <w:rPr>
                <w:sz w:val="10"/>
                <w:szCs w:val="10"/>
                <w:color w:val="auto"/>
              </w:rPr>
            </w:pPr>
          </w:p>
        </w:tc>
      </w:tr>
      <w:tr>
        <w:trPr>
          <w:trHeight w:val="254"/>
        </w:trPr>
        <w:tc>
          <w:tcPr>
            <w:tcW w:w="8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Marketing/Sales/</w:t>
            </w:r>
          </w:p>
        </w:tc>
        <w:tc>
          <w:tcPr>
            <w:tcW w:w="80" w:type="dxa"/>
            <w:vAlign w:val="bottom"/>
            <w:shd w:val="clear" w:color="auto" w:fill="E6E6E6"/>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Expertise creating, evolving or maintaining a portfolio of brands across a variety of consumer-centric</w:t>
            </w:r>
          </w:p>
        </w:tc>
      </w:tr>
      <w:tr>
        <w:trPr>
          <w:trHeight w:val="203"/>
        </w:trPr>
        <w:tc>
          <w:tcPr>
            <w:tcW w:w="860" w:type="dxa"/>
            <w:vAlign w:val="bottom"/>
          </w:tcPr>
          <w:p>
            <w:pPr>
              <w:spacing w:after="0"/>
              <w:rPr>
                <w:sz w:val="17"/>
                <w:szCs w:val="17"/>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Branding</w:t>
            </w:r>
          </w:p>
        </w:tc>
        <w:tc>
          <w:tcPr>
            <w:tcW w:w="80" w:type="dxa"/>
            <w:vAlign w:val="bottom"/>
            <w:shd w:val="clear" w:color="auto" w:fill="E6E6E6"/>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channels, in a data and digital focused manner. Building complementary brands around a core group</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of truly iconic brands.</w:t>
            </w:r>
          </w:p>
        </w:tc>
      </w:tr>
      <w:tr>
        <w:trPr>
          <w:trHeight w:val="404"/>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Seasoned leader in customer or user experience, with current view on consumer trends, behaviors,</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and marketing/sales strategies within B2B and/or B2C environment.</w:t>
            </w:r>
          </w:p>
        </w:tc>
      </w:tr>
      <w:tr>
        <w:trPr>
          <w:trHeight w:val="116"/>
        </w:trPr>
        <w:tc>
          <w:tcPr>
            <w:tcW w:w="860" w:type="dxa"/>
            <w:vAlign w:val="bottom"/>
          </w:tcPr>
          <w:p>
            <w:pPr>
              <w:spacing w:after="0"/>
              <w:rPr>
                <w:sz w:val="10"/>
                <w:szCs w:val="10"/>
                <w:color w:val="auto"/>
              </w:rPr>
            </w:pPr>
          </w:p>
        </w:tc>
        <w:tc>
          <w:tcPr>
            <w:tcW w:w="2220" w:type="dxa"/>
            <w:vAlign w:val="bottom"/>
            <w:tcBorders>
              <w:bottom w:val="single" w:sz="8" w:color="0E2A35"/>
            </w:tcBorders>
          </w:tcPr>
          <w:p>
            <w:pPr>
              <w:spacing w:after="0"/>
              <w:rPr>
                <w:sz w:val="10"/>
                <w:szCs w:val="10"/>
                <w:color w:val="auto"/>
              </w:rPr>
            </w:pPr>
          </w:p>
        </w:tc>
        <w:tc>
          <w:tcPr>
            <w:tcW w:w="80" w:type="dxa"/>
            <w:vAlign w:val="bottom"/>
            <w:tcBorders>
              <w:bottom w:val="single" w:sz="8" w:color="0E2A35"/>
            </w:tcBorders>
            <w:shd w:val="clear" w:color="auto" w:fill="E6E6E6"/>
          </w:tcPr>
          <w:p>
            <w:pPr>
              <w:spacing w:after="0"/>
              <w:rPr>
                <w:sz w:val="10"/>
                <w:szCs w:val="10"/>
                <w:color w:val="auto"/>
              </w:rPr>
            </w:pPr>
          </w:p>
        </w:tc>
        <w:tc>
          <w:tcPr>
            <w:tcW w:w="240" w:type="dxa"/>
            <w:vAlign w:val="bottom"/>
            <w:tcBorders>
              <w:bottom w:val="single" w:sz="8" w:color="0E2A35"/>
            </w:tcBorders>
          </w:tcPr>
          <w:p>
            <w:pPr>
              <w:spacing w:after="0"/>
              <w:rPr>
                <w:sz w:val="10"/>
                <w:szCs w:val="10"/>
                <w:color w:val="auto"/>
              </w:rPr>
            </w:pPr>
          </w:p>
        </w:tc>
        <w:tc>
          <w:tcPr>
            <w:tcW w:w="120" w:type="dxa"/>
            <w:vAlign w:val="bottom"/>
            <w:tcBorders>
              <w:bottom w:val="single" w:sz="8" w:color="0E2A35"/>
            </w:tcBorders>
          </w:tcPr>
          <w:p>
            <w:pPr>
              <w:spacing w:after="0"/>
              <w:rPr>
                <w:sz w:val="10"/>
                <w:szCs w:val="10"/>
                <w:color w:val="auto"/>
              </w:rPr>
            </w:pPr>
          </w:p>
        </w:tc>
        <w:tc>
          <w:tcPr>
            <w:tcW w:w="6620" w:type="dxa"/>
            <w:vAlign w:val="bottom"/>
            <w:tcBorders>
              <w:bottom w:val="single" w:sz="8" w:color="0E2A35"/>
            </w:tcBorders>
          </w:tcPr>
          <w:p>
            <w:pPr>
              <w:spacing w:after="0"/>
              <w:rPr>
                <w:sz w:val="10"/>
                <w:szCs w:val="10"/>
                <w:color w:val="auto"/>
              </w:rPr>
            </w:pPr>
          </w:p>
        </w:tc>
        <w:tc>
          <w:tcPr>
            <w:tcW w:w="880" w:type="dxa"/>
            <w:vAlign w:val="bottom"/>
          </w:tcPr>
          <w:p>
            <w:pPr>
              <w:spacing w:after="0"/>
              <w:rPr>
                <w:sz w:val="10"/>
                <w:szCs w:val="10"/>
                <w:color w:val="auto"/>
              </w:rPr>
            </w:pPr>
          </w:p>
        </w:tc>
      </w:tr>
      <w:tr>
        <w:trPr>
          <w:trHeight w:val="281"/>
        </w:trPr>
        <w:tc>
          <w:tcPr>
            <w:tcW w:w="86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Strategic Transformation</w:t>
            </w: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Significant executive experience creating and driving an enterprise-wide strategic transformation at</w:t>
            </w:r>
          </w:p>
        </w:tc>
      </w:tr>
      <w:tr>
        <w:trPr>
          <w:trHeight w:val="175"/>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scale. Has navigated industry disruption and has experience guiding a business through organic and</w:t>
            </w:r>
          </w:p>
        </w:tc>
      </w:tr>
      <w:tr>
        <w:trPr>
          <w:trHeight w:val="189"/>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inorganic growth. Experience with the development of a strategic acquisition pipeline and business</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integration.</w:t>
            </w:r>
          </w:p>
        </w:tc>
      </w:tr>
      <w:tr>
        <w:trPr>
          <w:trHeight w:val="103"/>
        </w:trPr>
        <w:tc>
          <w:tcPr>
            <w:tcW w:w="860" w:type="dxa"/>
            <w:vAlign w:val="bottom"/>
          </w:tcPr>
          <w:p>
            <w:pPr>
              <w:spacing w:after="0"/>
              <w:rPr>
                <w:sz w:val="8"/>
                <w:szCs w:val="8"/>
                <w:color w:val="auto"/>
              </w:rPr>
            </w:pPr>
          </w:p>
        </w:tc>
        <w:tc>
          <w:tcPr>
            <w:tcW w:w="22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shd w:val="clear" w:color="auto" w:fill="E6E6E6"/>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662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81"/>
        </w:trPr>
        <w:tc>
          <w:tcPr>
            <w:tcW w:w="86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Operations Optimization</w:t>
            </w: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A successful track record of operations optimization and/or improvement achieving results such as</w:t>
            </w:r>
          </w:p>
        </w:tc>
      </w:tr>
      <w:tr>
        <w:trPr>
          <w:trHeight w:val="175"/>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simplification or diversification of product offerings, capacity expansion, or cost reduction or continuous</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improvement.</w:t>
            </w:r>
          </w:p>
        </w:tc>
      </w:tr>
      <w:tr>
        <w:trPr>
          <w:trHeight w:val="404"/>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Well versed in continuous improvement and operational automation and technology that includes</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factory operations as well as broader supply chain and purchasing.</w:t>
            </w:r>
          </w:p>
        </w:tc>
      </w:tr>
      <w:tr>
        <w:trPr>
          <w:trHeight w:val="116"/>
        </w:trPr>
        <w:tc>
          <w:tcPr>
            <w:tcW w:w="860" w:type="dxa"/>
            <w:vAlign w:val="bottom"/>
          </w:tcPr>
          <w:p>
            <w:pPr>
              <w:spacing w:after="0"/>
              <w:rPr>
                <w:sz w:val="10"/>
                <w:szCs w:val="10"/>
                <w:color w:val="auto"/>
              </w:rPr>
            </w:pPr>
          </w:p>
        </w:tc>
        <w:tc>
          <w:tcPr>
            <w:tcW w:w="2220" w:type="dxa"/>
            <w:vAlign w:val="bottom"/>
            <w:tcBorders>
              <w:bottom w:val="single" w:sz="8" w:color="0E2A35"/>
            </w:tcBorders>
          </w:tcPr>
          <w:p>
            <w:pPr>
              <w:spacing w:after="0"/>
              <w:rPr>
                <w:sz w:val="10"/>
                <w:szCs w:val="10"/>
                <w:color w:val="auto"/>
              </w:rPr>
            </w:pPr>
          </w:p>
        </w:tc>
        <w:tc>
          <w:tcPr>
            <w:tcW w:w="80" w:type="dxa"/>
            <w:vAlign w:val="bottom"/>
            <w:tcBorders>
              <w:bottom w:val="single" w:sz="8" w:color="0E2A35"/>
            </w:tcBorders>
            <w:shd w:val="clear" w:color="auto" w:fill="E6E6E6"/>
          </w:tcPr>
          <w:p>
            <w:pPr>
              <w:spacing w:after="0"/>
              <w:rPr>
                <w:sz w:val="10"/>
                <w:szCs w:val="10"/>
                <w:color w:val="auto"/>
              </w:rPr>
            </w:pPr>
          </w:p>
        </w:tc>
        <w:tc>
          <w:tcPr>
            <w:tcW w:w="240" w:type="dxa"/>
            <w:vAlign w:val="bottom"/>
            <w:tcBorders>
              <w:bottom w:val="single" w:sz="8" w:color="0E2A35"/>
            </w:tcBorders>
          </w:tcPr>
          <w:p>
            <w:pPr>
              <w:spacing w:after="0"/>
              <w:rPr>
                <w:sz w:val="10"/>
                <w:szCs w:val="10"/>
                <w:color w:val="auto"/>
              </w:rPr>
            </w:pPr>
          </w:p>
        </w:tc>
        <w:tc>
          <w:tcPr>
            <w:tcW w:w="120" w:type="dxa"/>
            <w:vAlign w:val="bottom"/>
            <w:tcBorders>
              <w:bottom w:val="single" w:sz="8" w:color="0E2A35"/>
            </w:tcBorders>
          </w:tcPr>
          <w:p>
            <w:pPr>
              <w:spacing w:after="0"/>
              <w:rPr>
                <w:sz w:val="10"/>
                <w:szCs w:val="10"/>
                <w:color w:val="auto"/>
              </w:rPr>
            </w:pPr>
          </w:p>
        </w:tc>
        <w:tc>
          <w:tcPr>
            <w:tcW w:w="6620" w:type="dxa"/>
            <w:vAlign w:val="bottom"/>
            <w:tcBorders>
              <w:bottom w:val="single" w:sz="8" w:color="0E2A35"/>
            </w:tcBorders>
          </w:tcPr>
          <w:p>
            <w:pPr>
              <w:spacing w:after="0"/>
              <w:rPr>
                <w:sz w:val="10"/>
                <w:szCs w:val="10"/>
                <w:color w:val="auto"/>
              </w:rPr>
            </w:pPr>
          </w:p>
        </w:tc>
        <w:tc>
          <w:tcPr>
            <w:tcW w:w="880" w:type="dxa"/>
            <w:vAlign w:val="bottom"/>
          </w:tcPr>
          <w:p>
            <w:pPr>
              <w:spacing w:after="0"/>
              <w:rPr>
                <w:sz w:val="10"/>
                <w:szCs w:val="10"/>
                <w:color w:val="auto"/>
              </w:rPr>
            </w:pPr>
          </w:p>
        </w:tc>
      </w:tr>
      <w:tr>
        <w:trPr>
          <w:trHeight w:val="254"/>
        </w:trPr>
        <w:tc>
          <w:tcPr>
            <w:tcW w:w="8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Human Capital Mgmt/</w:t>
            </w:r>
          </w:p>
        </w:tc>
        <w:tc>
          <w:tcPr>
            <w:tcW w:w="80" w:type="dxa"/>
            <w:vAlign w:val="bottom"/>
            <w:shd w:val="clear" w:color="auto" w:fill="E6E6E6"/>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Deep expertise recruiting, developing and retaining a diverse workforce with a strong diversity, equity &amp;</w:t>
            </w:r>
          </w:p>
        </w:tc>
      </w:tr>
      <w:tr>
        <w:trPr>
          <w:trHeight w:val="217"/>
        </w:trPr>
        <w:tc>
          <w:tcPr>
            <w:tcW w:w="860" w:type="dxa"/>
            <w:vAlign w:val="bottom"/>
          </w:tcPr>
          <w:p>
            <w:pPr>
              <w:spacing w:after="0"/>
              <w:rPr>
                <w:sz w:val="18"/>
                <w:szCs w:val="18"/>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Compensation/DE&amp;I</w:t>
            </w:r>
          </w:p>
        </w:tc>
        <w:tc>
          <w:tcPr>
            <w:tcW w:w="80" w:type="dxa"/>
            <w:vAlign w:val="bottom"/>
            <w:shd w:val="clear" w:color="auto" w:fill="E6E6E6"/>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inclusion track record as well as evidence driving a high-performing culture.</w:t>
            </w:r>
          </w:p>
        </w:tc>
      </w:tr>
      <w:tr>
        <w:trPr>
          <w:trHeight w:val="404"/>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Demonstrated track record across a range of strategic human capital topics, including (non-</w:t>
            </w:r>
          </w:p>
        </w:tc>
      </w:tr>
      <w:tr>
        <w:trPr>
          <w:trHeight w:val="176"/>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exhaustive): compensation programs, change management initiatives, succession planning, executive</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development and employee engagement models.</w:t>
            </w:r>
          </w:p>
        </w:tc>
      </w:tr>
      <w:tr>
        <w:trPr>
          <w:trHeight w:val="116"/>
        </w:trPr>
        <w:tc>
          <w:tcPr>
            <w:tcW w:w="860" w:type="dxa"/>
            <w:vAlign w:val="bottom"/>
          </w:tcPr>
          <w:p>
            <w:pPr>
              <w:spacing w:after="0"/>
              <w:rPr>
                <w:sz w:val="10"/>
                <w:szCs w:val="10"/>
                <w:color w:val="auto"/>
              </w:rPr>
            </w:pPr>
          </w:p>
        </w:tc>
        <w:tc>
          <w:tcPr>
            <w:tcW w:w="2220" w:type="dxa"/>
            <w:vAlign w:val="bottom"/>
            <w:tcBorders>
              <w:bottom w:val="single" w:sz="8" w:color="0E2A35"/>
            </w:tcBorders>
          </w:tcPr>
          <w:p>
            <w:pPr>
              <w:spacing w:after="0"/>
              <w:rPr>
                <w:sz w:val="10"/>
                <w:szCs w:val="10"/>
                <w:color w:val="auto"/>
              </w:rPr>
            </w:pPr>
          </w:p>
        </w:tc>
        <w:tc>
          <w:tcPr>
            <w:tcW w:w="80" w:type="dxa"/>
            <w:vAlign w:val="bottom"/>
            <w:tcBorders>
              <w:bottom w:val="single" w:sz="8" w:color="0E2A35"/>
            </w:tcBorders>
            <w:shd w:val="clear" w:color="auto" w:fill="E6E6E6"/>
          </w:tcPr>
          <w:p>
            <w:pPr>
              <w:spacing w:after="0"/>
              <w:rPr>
                <w:sz w:val="10"/>
                <w:szCs w:val="10"/>
                <w:color w:val="auto"/>
              </w:rPr>
            </w:pPr>
          </w:p>
        </w:tc>
        <w:tc>
          <w:tcPr>
            <w:tcW w:w="240" w:type="dxa"/>
            <w:vAlign w:val="bottom"/>
            <w:tcBorders>
              <w:bottom w:val="single" w:sz="8" w:color="0E2A35"/>
            </w:tcBorders>
          </w:tcPr>
          <w:p>
            <w:pPr>
              <w:spacing w:after="0"/>
              <w:rPr>
                <w:sz w:val="10"/>
                <w:szCs w:val="10"/>
                <w:color w:val="auto"/>
              </w:rPr>
            </w:pPr>
          </w:p>
        </w:tc>
        <w:tc>
          <w:tcPr>
            <w:tcW w:w="120" w:type="dxa"/>
            <w:vAlign w:val="bottom"/>
            <w:tcBorders>
              <w:bottom w:val="single" w:sz="8" w:color="0E2A35"/>
            </w:tcBorders>
          </w:tcPr>
          <w:p>
            <w:pPr>
              <w:spacing w:after="0"/>
              <w:rPr>
                <w:sz w:val="10"/>
                <w:szCs w:val="10"/>
                <w:color w:val="auto"/>
              </w:rPr>
            </w:pPr>
          </w:p>
        </w:tc>
        <w:tc>
          <w:tcPr>
            <w:tcW w:w="6620" w:type="dxa"/>
            <w:vAlign w:val="bottom"/>
            <w:tcBorders>
              <w:bottom w:val="single" w:sz="8" w:color="0E2A35"/>
            </w:tcBorders>
          </w:tcPr>
          <w:p>
            <w:pPr>
              <w:spacing w:after="0"/>
              <w:rPr>
                <w:sz w:val="10"/>
                <w:szCs w:val="10"/>
                <w:color w:val="auto"/>
              </w:rPr>
            </w:pPr>
          </w:p>
        </w:tc>
        <w:tc>
          <w:tcPr>
            <w:tcW w:w="880" w:type="dxa"/>
            <w:vAlign w:val="bottom"/>
          </w:tcPr>
          <w:p>
            <w:pPr>
              <w:spacing w:after="0"/>
              <w:rPr>
                <w:sz w:val="10"/>
                <w:szCs w:val="10"/>
                <w:color w:val="auto"/>
              </w:rPr>
            </w:pPr>
          </w:p>
        </w:tc>
      </w:tr>
      <w:tr>
        <w:trPr>
          <w:trHeight w:val="281"/>
        </w:trPr>
        <w:tc>
          <w:tcPr>
            <w:tcW w:w="860" w:type="dxa"/>
            <w:vAlign w:val="bottom"/>
          </w:tcPr>
          <w:p>
            <w:pPr>
              <w:spacing w:after="0"/>
              <w:rPr>
                <w:sz w:val="24"/>
                <w:szCs w:val="24"/>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Channel Development</w:t>
            </w:r>
          </w:p>
        </w:tc>
        <w:tc>
          <w:tcPr>
            <w:tcW w:w="80" w:type="dxa"/>
            <w:vAlign w:val="bottom"/>
            <w:shd w:val="clear" w:color="auto" w:fill="E6E6E6"/>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Experience working with independent dealers and/or complex go-to-market models. Leadership in a</w:t>
            </w:r>
          </w:p>
        </w:tc>
      </w:tr>
      <w:tr>
        <w:trPr>
          <w:trHeight w:val="175"/>
        </w:trPr>
        <w:tc>
          <w:tcPr>
            <w:tcW w:w="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business characterized by significant aftermarket parts and services contribution. Experience with</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omnichannel market and channel development/conflict.</w:t>
            </w:r>
          </w:p>
        </w:tc>
      </w:tr>
      <w:tr>
        <w:trPr>
          <w:trHeight w:val="116"/>
        </w:trPr>
        <w:tc>
          <w:tcPr>
            <w:tcW w:w="860" w:type="dxa"/>
            <w:vAlign w:val="bottom"/>
          </w:tcPr>
          <w:p>
            <w:pPr>
              <w:spacing w:after="0"/>
              <w:rPr>
                <w:sz w:val="10"/>
                <w:szCs w:val="10"/>
                <w:color w:val="auto"/>
              </w:rPr>
            </w:pPr>
          </w:p>
        </w:tc>
        <w:tc>
          <w:tcPr>
            <w:tcW w:w="2220" w:type="dxa"/>
            <w:vAlign w:val="bottom"/>
            <w:tcBorders>
              <w:bottom w:val="single" w:sz="8" w:color="0E2A35"/>
            </w:tcBorders>
          </w:tcPr>
          <w:p>
            <w:pPr>
              <w:spacing w:after="0"/>
              <w:rPr>
                <w:sz w:val="10"/>
                <w:szCs w:val="10"/>
                <w:color w:val="auto"/>
              </w:rPr>
            </w:pPr>
          </w:p>
        </w:tc>
        <w:tc>
          <w:tcPr>
            <w:tcW w:w="80" w:type="dxa"/>
            <w:vAlign w:val="bottom"/>
            <w:tcBorders>
              <w:bottom w:val="single" w:sz="8" w:color="0E2A35"/>
            </w:tcBorders>
            <w:shd w:val="clear" w:color="auto" w:fill="E6E6E6"/>
          </w:tcPr>
          <w:p>
            <w:pPr>
              <w:spacing w:after="0"/>
              <w:rPr>
                <w:sz w:val="10"/>
                <w:szCs w:val="10"/>
                <w:color w:val="auto"/>
              </w:rPr>
            </w:pPr>
          </w:p>
        </w:tc>
        <w:tc>
          <w:tcPr>
            <w:tcW w:w="240" w:type="dxa"/>
            <w:vAlign w:val="bottom"/>
            <w:tcBorders>
              <w:bottom w:val="single" w:sz="8" w:color="0E2A35"/>
            </w:tcBorders>
          </w:tcPr>
          <w:p>
            <w:pPr>
              <w:spacing w:after="0"/>
              <w:rPr>
                <w:sz w:val="10"/>
                <w:szCs w:val="10"/>
                <w:color w:val="auto"/>
              </w:rPr>
            </w:pPr>
          </w:p>
        </w:tc>
        <w:tc>
          <w:tcPr>
            <w:tcW w:w="120" w:type="dxa"/>
            <w:vAlign w:val="bottom"/>
            <w:tcBorders>
              <w:bottom w:val="single" w:sz="8" w:color="0E2A35"/>
            </w:tcBorders>
          </w:tcPr>
          <w:p>
            <w:pPr>
              <w:spacing w:after="0"/>
              <w:rPr>
                <w:sz w:val="10"/>
                <w:szCs w:val="10"/>
                <w:color w:val="auto"/>
              </w:rPr>
            </w:pPr>
          </w:p>
        </w:tc>
        <w:tc>
          <w:tcPr>
            <w:tcW w:w="6620" w:type="dxa"/>
            <w:vAlign w:val="bottom"/>
            <w:tcBorders>
              <w:bottom w:val="single" w:sz="8" w:color="0E2A35"/>
            </w:tcBorders>
          </w:tcPr>
          <w:p>
            <w:pPr>
              <w:spacing w:after="0"/>
              <w:rPr>
                <w:sz w:val="10"/>
                <w:szCs w:val="10"/>
                <w:color w:val="auto"/>
              </w:rPr>
            </w:pPr>
          </w:p>
        </w:tc>
        <w:tc>
          <w:tcPr>
            <w:tcW w:w="880" w:type="dxa"/>
            <w:vAlign w:val="bottom"/>
          </w:tcPr>
          <w:p>
            <w:pPr>
              <w:spacing w:after="0"/>
              <w:rPr>
                <w:sz w:val="10"/>
                <w:szCs w:val="10"/>
                <w:color w:val="auto"/>
              </w:rPr>
            </w:pPr>
          </w:p>
        </w:tc>
      </w:tr>
      <w:tr>
        <w:trPr>
          <w:trHeight w:val="254"/>
        </w:trPr>
        <w:tc>
          <w:tcPr>
            <w:tcW w:w="8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Public Affairs/Stakeholder</w:t>
            </w:r>
          </w:p>
        </w:tc>
        <w:tc>
          <w:tcPr>
            <w:tcW w:w="80" w:type="dxa"/>
            <w:vAlign w:val="bottom"/>
            <w:shd w:val="clear" w:color="auto" w:fill="E6E6E6"/>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C7D265"/>
                <w:w w:val="74"/>
              </w:rPr>
              <w:t>■ </w:t>
            </w:r>
          </w:p>
        </w:tc>
        <w:tc>
          <w:tcPr>
            <w:tcW w:w="120" w:type="dxa"/>
            <w:vAlign w:val="bottom"/>
          </w:tcPr>
          <w:p>
            <w:pPr>
              <w:ind w:left="40"/>
              <w:spacing w:after="0"/>
              <w:rPr>
                <w:sz w:val="20"/>
                <w:szCs w:val="20"/>
                <w:color w:val="auto"/>
              </w:rPr>
            </w:pPr>
            <w:r>
              <w:rPr>
                <w:rFonts w:ascii="Arial" w:cs="Arial" w:eastAsia="Arial" w:hAnsi="Arial"/>
                <w:sz w:val="8"/>
                <w:szCs w:val="8"/>
                <w:color w:val="0E2A35"/>
                <w:w w:val="74"/>
              </w:rPr>
              <w:t> </w:t>
            </w:r>
          </w:p>
        </w:tc>
        <w:tc>
          <w:tcPr>
            <w:tcW w:w="7500" w:type="dxa"/>
            <w:vAlign w:val="bottom"/>
            <w:gridSpan w:val="2"/>
          </w:tcPr>
          <w:p>
            <w:pPr>
              <w:ind w:left="60"/>
              <w:spacing w:after="0"/>
              <w:rPr>
                <w:sz w:val="20"/>
                <w:szCs w:val="20"/>
                <w:color w:val="auto"/>
              </w:rPr>
            </w:pPr>
            <w:r>
              <w:rPr>
                <w:rFonts w:ascii="Arial" w:cs="Arial" w:eastAsia="Arial" w:hAnsi="Arial"/>
                <w:sz w:val="14"/>
                <w:szCs w:val="14"/>
                <w:color w:val="0E2A35"/>
              </w:rPr>
              <w:t>Experience managing relationships with company stakeholders and external communications.</w:t>
            </w:r>
          </w:p>
        </w:tc>
      </w:tr>
      <w:tr>
        <w:trPr>
          <w:trHeight w:val="203"/>
        </w:trPr>
        <w:tc>
          <w:tcPr>
            <w:tcW w:w="860" w:type="dxa"/>
            <w:vAlign w:val="bottom"/>
          </w:tcPr>
          <w:p>
            <w:pPr>
              <w:spacing w:after="0"/>
              <w:rPr>
                <w:sz w:val="17"/>
                <w:szCs w:val="17"/>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0E2A35"/>
              </w:rPr>
              <w:t>Mgmt</w:t>
            </w:r>
          </w:p>
        </w:tc>
        <w:tc>
          <w:tcPr>
            <w:tcW w:w="80" w:type="dxa"/>
            <w:vAlign w:val="bottom"/>
            <w:shd w:val="clear" w:color="auto" w:fill="E6E6E6"/>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Appreciation for the expectations of the investor base (for example on topics such as ESG and</w:t>
            </w:r>
          </w:p>
        </w:tc>
      </w:tr>
      <w:tr>
        <w:trPr>
          <w:trHeight w:val="189"/>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Sustainability) and is broadly networked across relevant stakeholder groups, including the government,</w:t>
            </w:r>
          </w:p>
        </w:tc>
      </w:tr>
      <w:tr>
        <w:trPr>
          <w:trHeight w:val="190"/>
        </w:trPr>
        <w:tc>
          <w:tcPr>
            <w:tcW w:w="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gridSpan w:val="2"/>
          </w:tcPr>
          <w:p>
            <w:pPr>
              <w:ind w:left="80"/>
              <w:spacing w:after="0"/>
              <w:rPr>
                <w:sz w:val="20"/>
                <w:szCs w:val="20"/>
                <w:color w:val="auto"/>
              </w:rPr>
            </w:pPr>
            <w:r>
              <w:rPr>
                <w:rFonts w:ascii="Arial" w:cs="Arial" w:eastAsia="Arial" w:hAnsi="Arial"/>
                <w:sz w:val="14"/>
                <w:szCs w:val="14"/>
                <w:color w:val="0E2A35"/>
              </w:rPr>
              <w:t>industry associations and the Investor/venture capital/private equity community (as relevant).</w:t>
            </w:r>
          </w:p>
        </w:tc>
      </w:tr>
      <w:tr>
        <w:trPr>
          <w:trHeight w:val="103"/>
        </w:trPr>
        <w:tc>
          <w:tcPr>
            <w:tcW w:w="860" w:type="dxa"/>
            <w:vAlign w:val="bottom"/>
          </w:tcPr>
          <w:p>
            <w:pPr>
              <w:spacing w:after="0"/>
              <w:rPr>
                <w:sz w:val="8"/>
                <w:szCs w:val="8"/>
                <w:color w:val="auto"/>
              </w:rPr>
            </w:pPr>
          </w:p>
        </w:tc>
        <w:tc>
          <w:tcPr>
            <w:tcW w:w="22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shd w:val="clear" w:color="auto" w:fill="E6E6E6"/>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662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471"/>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gridSpan w:val="2"/>
          </w:tcPr>
          <w:p>
            <w:pPr>
              <w:ind w:left="3900"/>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12</w:t>
            </w:r>
          </w:p>
        </w:tc>
      </w:tr>
      <w:tr>
        <w:trPr>
          <w:trHeight w:val="285"/>
        </w:trPr>
        <w:tc>
          <w:tcPr>
            <w:tcW w:w="8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-290830</wp:posOffset>
            </wp:positionV>
            <wp:extent cx="146558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and Shareholder Meeting Attendance</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During fiscal 2022, the Board met six times. Each director who served on the Board during fiscal 2022 attended at least 75% of the meetings of the Board and the committees on which he or she served that were held during his or her tenure on the Board or relevant committee. It is the Board’s policy that directors are encouraged, but are not required, to attend the annual meeting. All of our then-serving directors attended the 2021 annual meeting. During the year, our independent directors held executive sessions without the CEO or other management as a routinely scheduled agenda item for every regular Board meeting.</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Committees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E2A35"/>
        </w:rPr>
        <w:t xml:space="preserve">The Board has established the Audit, Human Resources, Nominating and Governance, and Finance Committees to assist it in discharging its responsibilities. Each committee operates under a written charter, each of which is available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The current membership of each committee and its primary responsibilities, as well as the number of meetings held by each of these committees during fiscal 2022, are described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0" w:type="dxa"/>
            <w:vAlign w:val="bottom"/>
            <w:shd w:val="clear" w:color="auto" w:fill="0E2A35"/>
          </w:tcPr>
          <w:p>
            <w:pPr>
              <w:spacing w:after="0"/>
              <w:rPr>
                <w:sz w:val="22"/>
                <w:szCs w:val="22"/>
                <w:color w:val="auto"/>
              </w:rPr>
            </w:pPr>
          </w:p>
        </w:tc>
        <w:tc>
          <w:tcPr>
            <w:tcW w:w="2680" w:type="dxa"/>
            <w:vAlign w:val="bottom"/>
            <w:shd w:val="clear" w:color="auto" w:fill="0E2A35"/>
          </w:tcPr>
          <w:p>
            <w:pPr>
              <w:spacing w:after="0"/>
              <w:rPr>
                <w:sz w:val="22"/>
                <w:szCs w:val="22"/>
                <w:color w:val="auto"/>
              </w:rPr>
            </w:pPr>
          </w:p>
        </w:tc>
        <w:tc>
          <w:tcPr>
            <w:tcW w:w="1360" w:type="dxa"/>
            <w:vAlign w:val="bottom"/>
            <w:shd w:val="clear" w:color="auto" w:fill="0E2A35"/>
          </w:tcPr>
          <w:p>
            <w:pPr>
              <w:spacing w:after="0"/>
              <w:rPr>
                <w:sz w:val="22"/>
                <w:szCs w:val="22"/>
                <w:color w:val="auto"/>
              </w:rPr>
            </w:pPr>
          </w:p>
        </w:tc>
        <w:tc>
          <w:tcPr>
            <w:tcW w:w="3620" w:type="dxa"/>
            <w:vAlign w:val="bottom"/>
            <w:gridSpan w:val="2"/>
            <w:shd w:val="clear" w:color="auto" w:fill="0E2A35"/>
          </w:tcPr>
          <w:p>
            <w:pPr>
              <w:ind w:left="1160"/>
              <w:spacing w:after="0"/>
              <w:rPr>
                <w:sz w:val="20"/>
                <w:szCs w:val="20"/>
                <w:color w:val="auto"/>
              </w:rPr>
            </w:pPr>
            <w:r>
              <w:rPr>
                <w:rFonts w:ascii="Arial" w:cs="Arial" w:eastAsia="Arial" w:hAnsi="Arial"/>
                <w:sz w:val="13"/>
                <w:szCs w:val="13"/>
                <w:b w:val="1"/>
                <w:bCs w:val="1"/>
                <w:color w:val="FFFFFF"/>
              </w:rPr>
              <w:t>Committees of the Board</w:t>
            </w:r>
          </w:p>
        </w:tc>
        <w:tc>
          <w:tcPr>
            <w:tcW w:w="1380" w:type="dxa"/>
            <w:vAlign w:val="bottom"/>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40" w:type="dxa"/>
            <w:vAlign w:val="bottom"/>
            <w:shd w:val="clear" w:color="auto" w:fill="0E2A35"/>
          </w:tcPr>
          <w:p>
            <w:pPr>
              <w:spacing w:after="0"/>
              <w:rPr>
                <w:sz w:val="23"/>
                <w:szCs w:val="23"/>
                <w:color w:val="auto"/>
              </w:rPr>
            </w:pPr>
          </w:p>
        </w:tc>
        <w:tc>
          <w:tcPr>
            <w:tcW w:w="2680" w:type="dxa"/>
            <w:vAlign w:val="bottom"/>
            <w:shd w:val="clear" w:color="auto" w:fill="0E2A35"/>
          </w:tcPr>
          <w:p>
            <w:pPr>
              <w:spacing w:after="0"/>
              <w:rPr>
                <w:sz w:val="23"/>
                <w:szCs w:val="23"/>
                <w:color w:val="auto"/>
              </w:rPr>
            </w:pPr>
          </w:p>
        </w:tc>
        <w:tc>
          <w:tcPr>
            <w:tcW w:w="1360" w:type="dxa"/>
            <w:vAlign w:val="bottom"/>
            <w:vMerge w:val="restart"/>
            <w:shd w:val="clear" w:color="auto" w:fill="0E2A35"/>
          </w:tcPr>
          <w:p>
            <w:pPr>
              <w:jc w:val="center"/>
              <w:ind w:left="210"/>
              <w:spacing w:after="0"/>
              <w:rPr>
                <w:sz w:val="20"/>
                <w:szCs w:val="20"/>
                <w:color w:val="auto"/>
              </w:rPr>
            </w:pPr>
            <w:r>
              <w:rPr>
                <w:rFonts w:ascii="Arial" w:cs="Arial" w:eastAsia="Arial" w:hAnsi="Arial"/>
                <w:sz w:val="13"/>
                <w:szCs w:val="13"/>
                <w:b w:val="1"/>
                <w:bCs w:val="1"/>
                <w:color w:val="FFFFFF"/>
                <w:w w:val="96"/>
              </w:rPr>
              <w:t>Audit</w:t>
            </w:r>
          </w:p>
        </w:tc>
        <w:tc>
          <w:tcPr>
            <w:tcW w:w="18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Human Resources</w:t>
            </w:r>
          </w:p>
        </w:tc>
        <w:tc>
          <w:tcPr>
            <w:tcW w:w="1820" w:type="dxa"/>
            <w:vAlign w:val="bottom"/>
            <w:shd w:val="clear" w:color="auto" w:fill="0E2A35"/>
          </w:tcPr>
          <w:p>
            <w:pPr>
              <w:jc w:val="center"/>
              <w:ind w:right="110"/>
              <w:spacing w:after="0"/>
              <w:rPr>
                <w:sz w:val="20"/>
                <w:szCs w:val="20"/>
                <w:color w:val="auto"/>
              </w:rPr>
            </w:pPr>
            <w:r>
              <w:rPr>
                <w:rFonts w:ascii="Arial" w:cs="Arial" w:eastAsia="Arial" w:hAnsi="Arial"/>
                <w:sz w:val="13"/>
                <w:szCs w:val="13"/>
                <w:b w:val="1"/>
                <w:bCs w:val="1"/>
                <w:color w:val="FFFFFF"/>
                <w:w w:val="97"/>
              </w:rPr>
              <w:t>Nominating and</w:t>
            </w:r>
          </w:p>
        </w:tc>
        <w:tc>
          <w:tcPr>
            <w:tcW w:w="1380" w:type="dxa"/>
            <w:vAlign w:val="bottom"/>
            <w:vMerge w:val="restart"/>
            <w:shd w:val="clear" w:color="auto" w:fill="0E2A35"/>
          </w:tcPr>
          <w:p>
            <w:pPr>
              <w:ind w:left="500"/>
              <w:spacing w:after="0"/>
              <w:rPr>
                <w:sz w:val="20"/>
                <w:szCs w:val="20"/>
                <w:color w:val="auto"/>
              </w:rPr>
            </w:pPr>
            <w:r>
              <w:rPr>
                <w:rFonts w:ascii="Arial" w:cs="Arial" w:eastAsia="Arial" w:hAnsi="Arial"/>
                <w:sz w:val="13"/>
                <w:szCs w:val="13"/>
                <w:b w:val="1"/>
                <w:bCs w:val="1"/>
                <w:color w:val="FFFFFF"/>
              </w:rPr>
              <w:t>Finance</w:t>
            </w:r>
          </w:p>
        </w:tc>
        <w:tc>
          <w:tcPr>
            <w:tcW w:w="0" w:type="dxa"/>
            <w:vAlign w:val="bottom"/>
          </w:tcPr>
          <w:p>
            <w:pPr>
              <w:spacing w:after="0"/>
              <w:rPr>
                <w:sz w:val="1"/>
                <w:szCs w:val="1"/>
                <w:color w:val="auto"/>
              </w:rPr>
            </w:pPr>
          </w:p>
        </w:tc>
      </w:tr>
      <w:tr>
        <w:trPr>
          <w:trHeight w:val="172"/>
        </w:trPr>
        <w:tc>
          <w:tcPr>
            <w:tcW w:w="240" w:type="dxa"/>
            <w:vAlign w:val="bottom"/>
            <w:shd w:val="clear" w:color="auto" w:fill="0E2A35"/>
          </w:tcPr>
          <w:p>
            <w:pPr>
              <w:spacing w:after="0"/>
              <w:rPr>
                <w:sz w:val="14"/>
                <w:szCs w:val="14"/>
                <w:color w:val="auto"/>
              </w:rPr>
            </w:pPr>
          </w:p>
        </w:tc>
        <w:tc>
          <w:tcPr>
            <w:tcW w:w="2680" w:type="dxa"/>
            <w:vAlign w:val="bottom"/>
            <w:shd w:val="clear" w:color="auto" w:fill="0E2A35"/>
          </w:tcPr>
          <w:p>
            <w:pPr>
              <w:spacing w:after="0"/>
              <w:rPr>
                <w:sz w:val="14"/>
                <w:szCs w:val="14"/>
                <w:color w:val="auto"/>
              </w:rPr>
            </w:pPr>
          </w:p>
        </w:tc>
        <w:tc>
          <w:tcPr>
            <w:tcW w:w="1360" w:type="dxa"/>
            <w:vAlign w:val="bottom"/>
            <w:vMerge w:val="continue"/>
            <w:shd w:val="clear" w:color="auto" w:fill="0E2A35"/>
          </w:tcPr>
          <w:p>
            <w:pPr>
              <w:spacing w:after="0"/>
              <w:rPr>
                <w:sz w:val="14"/>
                <w:szCs w:val="14"/>
                <w:color w:val="auto"/>
              </w:rPr>
            </w:pPr>
          </w:p>
        </w:tc>
        <w:tc>
          <w:tcPr>
            <w:tcW w:w="1800" w:type="dxa"/>
            <w:vAlign w:val="bottom"/>
            <w:vMerge w:val="continue"/>
            <w:shd w:val="clear" w:color="auto" w:fill="0E2A35"/>
          </w:tcPr>
          <w:p>
            <w:pPr>
              <w:spacing w:after="0"/>
              <w:rPr>
                <w:sz w:val="14"/>
                <w:szCs w:val="14"/>
                <w:color w:val="auto"/>
              </w:rPr>
            </w:pPr>
          </w:p>
        </w:tc>
        <w:tc>
          <w:tcPr>
            <w:tcW w:w="1820" w:type="dxa"/>
            <w:vAlign w:val="bottom"/>
            <w:shd w:val="clear" w:color="auto" w:fill="0E2A35"/>
          </w:tcPr>
          <w:p>
            <w:pPr>
              <w:jc w:val="center"/>
              <w:ind w:right="70"/>
              <w:spacing w:after="0"/>
              <w:rPr>
                <w:sz w:val="20"/>
                <w:szCs w:val="20"/>
                <w:color w:val="auto"/>
              </w:rPr>
            </w:pPr>
            <w:r>
              <w:rPr>
                <w:rFonts w:ascii="Arial" w:cs="Arial" w:eastAsia="Arial" w:hAnsi="Arial"/>
                <w:sz w:val="13"/>
                <w:szCs w:val="13"/>
                <w:b w:val="1"/>
                <w:bCs w:val="1"/>
                <w:color w:val="FFFFFF"/>
                <w:w w:val="95"/>
              </w:rPr>
              <w:t>Governance</w:t>
            </w:r>
          </w:p>
        </w:tc>
        <w:tc>
          <w:tcPr>
            <w:tcW w:w="1380" w:type="dxa"/>
            <w:vAlign w:val="bottom"/>
            <w:vMerge w:val="continue"/>
            <w:shd w:val="clear" w:color="auto" w:fill="0E2A35"/>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920" w:type="dxa"/>
            <w:vAlign w:val="bottom"/>
            <w:gridSpan w:val="2"/>
            <w:shd w:val="clear" w:color="auto" w:fill="0E2A35"/>
          </w:tcPr>
          <w:p>
            <w:pPr>
              <w:spacing w:after="0"/>
              <w:rPr>
                <w:sz w:val="5"/>
                <w:szCs w:val="5"/>
                <w:color w:val="auto"/>
              </w:rPr>
            </w:pPr>
          </w:p>
        </w:tc>
        <w:tc>
          <w:tcPr>
            <w:tcW w:w="1360" w:type="dxa"/>
            <w:vAlign w:val="bottom"/>
            <w:shd w:val="clear" w:color="auto" w:fill="0E2A35"/>
          </w:tcPr>
          <w:p>
            <w:pPr>
              <w:spacing w:after="0"/>
              <w:rPr>
                <w:sz w:val="5"/>
                <w:szCs w:val="5"/>
                <w:color w:val="auto"/>
              </w:rPr>
            </w:pPr>
          </w:p>
        </w:tc>
        <w:tc>
          <w:tcPr>
            <w:tcW w:w="1800" w:type="dxa"/>
            <w:vAlign w:val="bottom"/>
            <w:shd w:val="clear" w:color="auto" w:fill="0E2A35"/>
          </w:tcPr>
          <w:p>
            <w:pPr>
              <w:spacing w:after="0"/>
              <w:rPr>
                <w:sz w:val="5"/>
                <w:szCs w:val="5"/>
                <w:color w:val="auto"/>
              </w:rPr>
            </w:pPr>
          </w:p>
        </w:tc>
        <w:tc>
          <w:tcPr>
            <w:tcW w:w="1820" w:type="dxa"/>
            <w:vAlign w:val="bottom"/>
            <w:shd w:val="clear" w:color="auto" w:fill="0E2A35"/>
          </w:tcPr>
          <w:p>
            <w:pPr>
              <w:spacing w:after="0"/>
              <w:rPr>
                <w:sz w:val="5"/>
                <w:szCs w:val="5"/>
                <w:color w:val="auto"/>
              </w:rPr>
            </w:pPr>
          </w:p>
        </w:tc>
        <w:tc>
          <w:tcPr>
            <w:tcW w:w="1380" w:type="dxa"/>
            <w:vAlign w:val="bottom"/>
            <w:shd w:val="clear" w:color="auto" w:fill="0E2A35"/>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Sara E. Armbruster</w:t>
            </w:r>
          </w:p>
        </w:tc>
        <w:tc>
          <w:tcPr>
            <w:tcW w:w="136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Arial" w:cs="Arial" w:eastAsia="Arial" w:hAnsi="Arial"/>
                <w:sz w:val="14"/>
                <w:szCs w:val="14"/>
                <w:color w:val="0E2A35"/>
              </w:rPr>
              <w:t>​</w:t>
            </w:r>
          </w:p>
        </w:tc>
        <w:tc>
          <w:tcPr>
            <w:tcW w:w="1820" w:type="dxa"/>
            <w:vAlign w:val="bottom"/>
          </w:tcPr>
          <w:p>
            <w:pPr>
              <w:ind w:left="840"/>
              <w:spacing w:after="0"/>
              <w:rPr>
                <w:sz w:val="20"/>
                <w:szCs w:val="20"/>
                <w:color w:val="auto"/>
              </w:rPr>
            </w:pPr>
            <w:r>
              <w:rPr>
                <w:rFonts w:ascii="Arial" w:cs="Arial" w:eastAsia="Arial" w:hAnsi="Arial"/>
                <w:sz w:val="14"/>
                <w:szCs w:val="14"/>
                <w:color w:val="0E2A35"/>
              </w:rPr>
              <w: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920" w:type="dxa"/>
            <w:vAlign w:val="bottom"/>
            <w:tcBorders>
              <w:bottom w:val="single" w:sz="8" w:color="0E2A35"/>
            </w:tcBorders>
            <w:gridSpan w:val="2"/>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820" w:type="dxa"/>
            <w:vAlign w:val="bottom"/>
            <w:tcBorders>
              <w:bottom w:val="single" w:sz="8" w:color="0E2A35"/>
            </w:tcBorders>
          </w:tcPr>
          <w:p>
            <w:pPr>
              <w:spacing w:after="0"/>
              <w:rPr>
                <w:sz w:val="5"/>
                <w:szCs w:val="5"/>
                <w:color w:val="auto"/>
              </w:rPr>
            </w:pPr>
          </w:p>
        </w:tc>
        <w:tc>
          <w:tcPr>
            <w:tcW w:w="138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Christopher J. Braun</w:t>
            </w:r>
          </w:p>
        </w:tc>
        <w:tc>
          <w:tcPr>
            <w:tcW w:w="1360" w:type="dxa"/>
            <w:vAlign w:val="bottom"/>
          </w:tcPr>
          <w:p>
            <w:pPr>
              <w:ind w:left="740"/>
              <w:spacing w:after="0"/>
              <w:rPr>
                <w:sz w:val="20"/>
                <w:szCs w:val="20"/>
                <w:color w:val="auto"/>
              </w:rPr>
            </w:pPr>
            <w:r>
              <w:rPr>
                <w:rFonts w:ascii="Arial" w:cs="Arial" w:eastAsia="Arial" w:hAnsi="Arial"/>
                <w:sz w:val="14"/>
                <w:szCs w:val="14"/>
                <w:color w:val="0E2A35"/>
              </w:rPr>
              <w:t>​</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ind w:left="74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62"/>
        </w:trPr>
        <w:tc>
          <w:tcPr>
            <w:tcW w:w="2920" w:type="dxa"/>
            <w:vAlign w:val="bottom"/>
            <w:tcBorders>
              <w:bottom w:val="single" w:sz="8" w:color="0E2A35"/>
            </w:tcBorders>
            <w:gridSpan w:val="2"/>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820" w:type="dxa"/>
            <w:vAlign w:val="bottom"/>
            <w:tcBorders>
              <w:bottom w:val="single" w:sz="8" w:color="0E2A35"/>
            </w:tcBorders>
          </w:tcPr>
          <w:p>
            <w:pPr>
              <w:spacing w:after="0"/>
              <w:rPr>
                <w:sz w:val="5"/>
                <w:szCs w:val="5"/>
                <w:color w:val="auto"/>
              </w:rPr>
            </w:pPr>
          </w:p>
        </w:tc>
        <w:tc>
          <w:tcPr>
            <w:tcW w:w="138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Kevin E. Bryant*</w:t>
            </w:r>
          </w:p>
        </w:tc>
        <w:tc>
          <w:tcPr>
            <w:tcW w:w="1360" w:type="dxa"/>
            <w:vAlign w:val="bottom"/>
          </w:tcPr>
          <w:p>
            <w:pPr>
              <w:ind w:left="740"/>
              <w:spacing w:after="0"/>
              <w:rPr>
                <w:sz w:val="20"/>
                <w:szCs w:val="20"/>
                <w:color w:val="auto"/>
              </w:rPr>
            </w:pPr>
            <w:r>
              <w:rPr>
                <w:rFonts w:ascii="Arial" w:cs="Arial" w:eastAsia="Arial" w:hAnsi="Arial"/>
                <w:sz w:val="14"/>
                <w:szCs w:val="14"/>
                <w:color w:val="0E2A35"/>
              </w:rPr>
              <w:t>​</w:t>
            </w:r>
          </w:p>
        </w:tc>
        <w:tc>
          <w:tcPr>
            <w:tcW w:w="1800" w:type="dxa"/>
            <w:vAlign w:val="bottom"/>
          </w:tcPr>
          <w:p>
            <w:pPr>
              <w:spacing w:after="0"/>
              <w:rPr>
                <w:sz w:val="24"/>
                <w:szCs w:val="24"/>
                <w:color w:val="auto"/>
              </w:rPr>
            </w:pPr>
          </w:p>
        </w:tc>
        <w:tc>
          <w:tcPr>
            <w:tcW w:w="1820" w:type="dxa"/>
            <w:vAlign w:val="bottom"/>
          </w:tcPr>
          <w:p>
            <w:pPr>
              <w:ind w:left="840"/>
              <w:spacing w:after="0"/>
              <w:rPr>
                <w:sz w:val="20"/>
                <w:szCs w:val="20"/>
                <w:color w:val="auto"/>
              </w:rPr>
            </w:pPr>
            <w:r>
              <w:rPr>
                <w:rFonts w:ascii="Arial" w:cs="Arial" w:eastAsia="Arial" w:hAnsi="Arial"/>
                <w:sz w:val="14"/>
                <w:szCs w:val="14"/>
                <w:color w:val="0E2A35"/>
              </w:rPr>
              <w:t>​</w:t>
            </w:r>
          </w:p>
        </w:tc>
        <w:tc>
          <w:tcPr>
            <w:tcW w:w="1380" w:type="dxa"/>
            <w:vAlign w:val="bottom"/>
          </w:tcPr>
          <w:p>
            <w:pPr>
              <w:ind w:left="700"/>
              <w:spacing w:after="0"/>
              <w:rPr>
                <w:sz w:val="20"/>
                <w:szCs w:val="20"/>
                <w:color w:val="auto"/>
              </w:rPr>
            </w:pPr>
            <w:r>
              <w:rPr>
                <w:rFonts w:ascii="Arial" w:cs="Arial" w:eastAsia="Arial" w:hAnsi="Arial"/>
                <w:sz w:val="14"/>
                <w:szCs w:val="14"/>
                <w:b w:val="1"/>
                <w:bCs w:val="1"/>
                <w:color w:val="0E2A35"/>
              </w:rPr>
              <w:t>C</w:t>
            </w: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gridSpan w:val="2"/>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820" w:type="dxa"/>
            <w:vAlign w:val="bottom"/>
            <w:tcBorders>
              <w:bottom w:val="single" w:sz="8" w:color="0E2A35"/>
            </w:tcBorders>
          </w:tcPr>
          <w:p>
            <w:pPr>
              <w:spacing w:after="0"/>
              <w:rPr>
                <w:sz w:val="4"/>
                <w:szCs w:val="4"/>
                <w:color w:val="auto"/>
              </w:rPr>
            </w:pPr>
          </w:p>
        </w:tc>
        <w:tc>
          <w:tcPr>
            <w:tcW w:w="138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Robert M. Chiusano</w:t>
            </w:r>
          </w:p>
        </w:tc>
        <w:tc>
          <w:tcPr>
            <w:tcW w:w="136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Arial" w:cs="Arial" w:eastAsia="Arial" w:hAnsi="Arial"/>
                <w:sz w:val="14"/>
                <w:szCs w:val="14"/>
                <w:color w:val="0E2A35"/>
              </w:rPr>
              <w:t>​</w:t>
            </w:r>
          </w:p>
        </w:tc>
        <w:tc>
          <w:tcPr>
            <w:tcW w:w="1820" w:type="dxa"/>
            <w:vAlign w:val="bottom"/>
          </w:tcPr>
          <w:p>
            <w:pPr>
              <w:spacing w:after="0"/>
              <w:rPr>
                <w:sz w:val="24"/>
                <w:szCs w:val="24"/>
                <w:color w:val="auto"/>
              </w:rPr>
            </w:pPr>
          </w:p>
        </w:tc>
        <w:tc>
          <w:tcPr>
            <w:tcW w:w="1380" w:type="dxa"/>
            <w:vAlign w:val="bottom"/>
          </w:tcPr>
          <w:p>
            <w:pPr>
              <w:ind w:left="74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62"/>
        </w:trPr>
        <w:tc>
          <w:tcPr>
            <w:tcW w:w="2920" w:type="dxa"/>
            <w:vAlign w:val="bottom"/>
            <w:tcBorders>
              <w:bottom w:val="single" w:sz="8" w:color="0E2A35"/>
            </w:tcBorders>
            <w:gridSpan w:val="2"/>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820" w:type="dxa"/>
            <w:vAlign w:val="bottom"/>
            <w:tcBorders>
              <w:bottom w:val="single" w:sz="8" w:color="0E2A35"/>
            </w:tcBorders>
          </w:tcPr>
          <w:p>
            <w:pPr>
              <w:spacing w:after="0"/>
              <w:rPr>
                <w:sz w:val="5"/>
                <w:szCs w:val="5"/>
                <w:color w:val="auto"/>
              </w:rPr>
            </w:pPr>
          </w:p>
        </w:tc>
        <w:tc>
          <w:tcPr>
            <w:tcW w:w="138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William C. Fisher</w:t>
            </w:r>
          </w:p>
        </w:tc>
        <w:tc>
          <w:tcPr>
            <w:tcW w:w="1360" w:type="dxa"/>
            <w:vAlign w:val="bottom"/>
          </w:tcPr>
          <w:p>
            <w:pPr>
              <w:ind w:left="740"/>
              <w:spacing w:after="0"/>
              <w:rPr>
                <w:sz w:val="20"/>
                <w:szCs w:val="20"/>
                <w:color w:val="auto"/>
              </w:rPr>
            </w:pPr>
            <w:r>
              <w:rPr>
                <w:rFonts w:ascii="Arial" w:cs="Arial" w:eastAsia="Arial" w:hAnsi="Arial"/>
                <w:sz w:val="14"/>
                <w:szCs w:val="14"/>
                <w:color w:val="0E2A35"/>
              </w:rPr>
              <w:t>​</w:t>
            </w:r>
          </w:p>
        </w:tc>
        <w:tc>
          <w:tcPr>
            <w:tcW w:w="1800" w:type="dxa"/>
            <w:vAlign w:val="bottom"/>
          </w:tcPr>
          <w:p>
            <w:pPr>
              <w:spacing w:after="0"/>
              <w:rPr>
                <w:sz w:val="24"/>
                <w:szCs w:val="24"/>
                <w:color w:val="auto"/>
              </w:rPr>
            </w:pPr>
          </w:p>
        </w:tc>
        <w:tc>
          <w:tcPr>
            <w:tcW w:w="1820" w:type="dxa"/>
            <w:vAlign w:val="bottom"/>
          </w:tcPr>
          <w:p>
            <w:pPr>
              <w:jc w:val="center"/>
              <w:ind w:right="70"/>
              <w:spacing w:after="0"/>
              <w:rPr>
                <w:sz w:val="20"/>
                <w:szCs w:val="20"/>
                <w:color w:val="auto"/>
              </w:rPr>
            </w:pPr>
            <w:r>
              <w:rPr>
                <w:rFonts w:ascii="Arial" w:cs="Arial" w:eastAsia="Arial" w:hAnsi="Arial"/>
                <w:sz w:val="14"/>
                <w:szCs w:val="14"/>
                <w:b w:val="1"/>
                <w:bCs w:val="1"/>
                <w:color w:val="0E2A35"/>
              </w:rPr>
              <w:t>C</w:t>
            </w:r>
          </w:p>
        </w:tc>
        <w:tc>
          <w:tcPr>
            <w:tcW w:w="1380" w:type="dxa"/>
            <w:vAlign w:val="bottom"/>
          </w:tcPr>
          <w:p>
            <w:pPr>
              <w:ind w:left="74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gridSpan w:val="2"/>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820" w:type="dxa"/>
            <w:vAlign w:val="bottom"/>
            <w:tcBorders>
              <w:bottom w:val="single" w:sz="8" w:color="0E2A35"/>
            </w:tcBorders>
          </w:tcPr>
          <w:p>
            <w:pPr>
              <w:spacing w:after="0"/>
              <w:rPr>
                <w:sz w:val="4"/>
                <w:szCs w:val="4"/>
                <w:color w:val="auto"/>
              </w:rPr>
            </w:pPr>
          </w:p>
        </w:tc>
        <w:tc>
          <w:tcPr>
            <w:tcW w:w="138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Michael J. Happe</w:t>
            </w:r>
          </w:p>
        </w:tc>
        <w:tc>
          <w:tcPr>
            <w:tcW w:w="1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820" w:type="dxa"/>
            <w:vAlign w:val="bottom"/>
          </w:tcPr>
          <w:p>
            <w:pPr>
              <w:ind w:left="840"/>
              <w:spacing w:after="0"/>
              <w:rPr>
                <w:sz w:val="20"/>
                <w:szCs w:val="20"/>
                <w:color w:val="auto"/>
              </w:rPr>
            </w:pPr>
            <w:r>
              <w:rPr>
                <w:rFonts w:ascii="Arial" w:cs="Arial" w:eastAsia="Arial" w:hAnsi="Arial"/>
                <w:sz w:val="14"/>
                <w:szCs w:val="14"/>
                <w:color w:val="0E2A35"/>
              </w:rPr>
              <w:t>​</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920" w:type="dxa"/>
            <w:vAlign w:val="bottom"/>
            <w:tcBorders>
              <w:bottom w:val="single" w:sz="8" w:color="0E2A35"/>
            </w:tcBorders>
            <w:gridSpan w:val="2"/>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820" w:type="dxa"/>
            <w:vAlign w:val="bottom"/>
            <w:tcBorders>
              <w:bottom w:val="single" w:sz="8" w:color="0E2A35"/>
            </w:tcBorders>
          </w:tcPr>
          <w:p>
            <w:pPr>
              <w:spacing w:after="0"/>
              <w:rPr>
                <w:sz w:val="5"/>
                <w:szCs w:val="5"/>
                <w:color w:val="auto"/>
              </w:rPr>
            </w:pPr>
          </w:p>
        </w:tc>
        <w:tc>
          <w:tcPr>
            <w:tcW w:w="138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David W. Miles (Chair)</w:t>
            </w:r>
          </w:p>
        </w:tc>
        <w:tc>
          <w:tcPr>
            <w:tcW w:w="1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820" w:type="dxa"/>
            <w:vAlign w:val="bottom"/>
          </w:tcPr>
          <w:p>
            <w:pPr>
              <w:ind w:left="840"/>
              <w:spacing w:after="0"/>
              <w:rPr>
                <w:sz w:val="20"/>
                <w:szCs w:val="20"/>
                <w:color w:val="auto"/>
              </w:rPr>
            </w:pPr>
            <w:r>
              <w:rPr>
                <w:rFonts w:ascii="Arial" w:cs="Arial" w:eastAsia="Arial" w:hAnsi="Arial"/>
                <w:sz w:val="14"/>
                <w:szCs w:val="14"/>
                <w:color w:val="0E2A35"/>
              </w:rPr>
              <w:t>​</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40" w:type="dxa"/>
            <w:vAlign w:val="bottom"/>
            <w:tcBorders>
              <w:bottom w:val="single" w:sz="8" w:color="0E2A35"/>
            </w:tcBorders>
          </w:tcPr>
          <w:p>
            <w:pPr>
              <w:spacing w:after="0"/>
              <w:rPr>
                <w:sz w:val="5"/>
                <w:szCs w:val="5"/>
                <w:color w:val="auto"/>
              </w:rPr>
            </w:pPr>
          </w:p>
        </w:tc>
        <w:tc>
          <w:tcPr>
            <w:tcW w:w="2680" w:type="dxa"/>
            <w:vAlign w:val="bottom"/>
            <w:tcBorders>
              <w:bottom w:val="single" w:sz="8" w:color="0E2A35"/>
            </w:tcBorders>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820" w:type="dxa"/>
            <w:vAlign w:val="bottom"/>
            <w:tcBorders>
              <w:bottom w:val="single" w:sz="8" w:color="0E2A35"/>
            </w:tcBorders>
          </w:tcPr>
          <w:p>
            <w:pPr>
              <w:spacing w:after="0"/>
              <w:rPr>
                <w:sz w:val="5"/>
                <w:szCs w:val="5"/>
                <w:color w:val="auto"/>
              </w:rPr>
            </w:pPr>
          </w:p>
        </w:tc>
        <w:tc>
          <w:tcPr>
            <w:tcW w:w="138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920" w:type="dxa"/>
            <w:vAlign w:val="bottom"/>
            <w:gridSpan w:val="2"/>
            <w:vMerge w:val="restart"/>
          </w:tcPr>
          <w:p>
            <w:pPr>
              <w:ind w:left="60"/>
              <w:spacing w:after="0"/>
              <w:rPr>
                <w:sz w:val="20"/>
                <w:szCs w:val="20"/>
                <w:color w:val="auto"/>
              </w:rPr>
            </w:pPr>
            <w:r>
              <w:rPr>
                <w:rFonts w:ascii="Arial" w:cs="Arial" w:eastAsia="Arial" w:hAnsi="Arial"/>
                <w:sz w:val="14"/>
                <w:szCs w:val="14"/>
                <w:color w:val="0E2A35"/>
              </w:rPr>
              <w:t>Richard D. Moss*</w:t>
            </w:r>
          </w:p>
        </w:tc>
        <w:tc>
          <w:tcPr>
            <w:tcW w:w="1360" w:type="dxa"/>
            <w:vAlign w:val="bottom"/>
            <w:vMerge w:val="restart"/>
          </w:tcPr>
          <w:p>
            <w:pPr>
              <w:jc w:val="center"/>
              <w:ind w:left="210"/>
              <w:spacing w:after="0"/>
              <w:rPr>
                <w:sz w:val="20"/>
                <w:szCs w:val="20"/>
                <w:color w:val="auto"/>
              </w:rPr>
            </w:pPr>
            <w:r>
              <w:rPr>
                <w:rFonts w:ascii="Arial" w:cs="Arial" w:eastAsia="Arial" w:hAnsi="Arial"/>
                <w:sz w:val="14"/>
                <w:szCs w:val="14"/>
                <w:b w:val="1"/>
                <w:bCs w:val="1"/>
                <w:color w:val="0E2A35"/>
              </w:rPr>
              <w:t>C</w:t>
            </w:r>
          </w:p>
        </w:tc>
        <w:tc>
          <w:tcPr>
            <w:tcW w:w="1800" w:type="dxa"/>
            <w:vAlign w:val="bottom"/>
          </w:tcPr>
          <w:p>
            <w:pPr>
              <w:spacing w:after="0"/>
              <w:rPr>
                <w:sz w:val="15"/>
                <w:szCs w:val="15"/>
                <w:color w:val="auto"/>
              </w:rPr>
            </w:pPr>
          </w:p>
        </w:tc>
        <w:tc>
          <w:tcPr>
            <w:tcW w:w="1820" w:type="dxa"/>
            <w:vAlign w:val="bottom"/>
            <w:vMerge w:val="restart"/>
          </w:tcPr>
          <w:p>
            <w:pPr>
              <w:ind w:left="840"/>
              <w:spacing w:after="0"/>
              <w:rPr>
                <w:sz w:val="20"/>
                <w:szCs w:val="20"/>
                <w:color w:val="auto"/>
              </w:rPr>
            </w:pPr>
            <w:r>
              <w:rPr>
                <w:rFonts w:ascii="Arial" w:cs="Arial" w:eastAsia="Arial" w:hAnsi="Arial"/>
                <w:sz w:val="14"/>
                <w:szCs w:val="14"/>
                <w:color w:val="0E2A35"/>
              </w:rPr>
              <w:t>​</w:t>
            </w:r>
          </w:p>
        </w:tc>
        <w:tc>
          <w:tcPr>
            <w:tcW w:w="1380" w:type="dxa"/>
            <w:vAlign w:val="bottom"/>
          </w:tcPr>
          <w:p>
            <w:pPr>
              <w:ind w:left="1080"/>
              <w:spacing w:after="0"/>
              <w:rPr>
                <w:sz w:val="20"/>
                <w:szCs w:val="20"/>
                <w:color w:val="auto"/>
              </w:rPr>
            </w:pPr>
            <w:r>
              <w:rPr>
                <w:rFonts w:ascii="Arial" w:cs="Arial" w:eastAsia="Arial" w:hAnsi="Arial"/>
                <w:sz w:val="14"/>
                <w:szCs w:val="14"/>
                <w:color w:val="0E2A35"/>
              </w:rPr>
              <w:t> </w:t>
            </w:r>
          </w:p>
        </w:tc>
        <w:tc>
          <w:tcPr>
            <w:tcW w:w="0" w:type="dxa"/>
            <w:vAlign w:val="bottom"/>
          </w:tcPr>
          <w:p>
            <w:pPr>
              <w:spacing w:after="0"/>
              <w:rPr>
                <w:sz w:val="1"/>
                <w:szCs w:val="1"/>
                <w:color w:val="auto"/>
              </w:rPr>
            </w:pPr>
          </w:p>
        </w:tc>
      </w:tr>
      <w:tr>
        <w:trPr>
          <w:trHeight w:val="118"/>
        </w:trPr>
        <w:tc>
          <w:tcPr>
            <w:tcW w:w="292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gridSpan w:val="2"/>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820" w:type="dxa"/>
            <w:vAlign w:val="bottom"/>
            <w:tcBorders>
              <w:bottom w:val="single" w:sz="8" w:color="0E2A35"/>
            </w:tcBorders>
          </w:tcPr>
          <w:p>
            <w:pPr>
              <w:spacing w:after="0"/>
              <w:rPr>
                <w:sz w:val="4"/>
                <w:szCs w:val="4"/>
                <w:color w:val="auto"/>
              </w:rPr>
            </w:pPr>
          </w:p>
        </w:tc>
        <w:tc>
          <w:tcPr>
            <w:tcW w:w="138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John M. Murabito</w:t>
            </w:r>
          </w:p>
        </w:tc>
        <w:tc>
          <w:tcPr>
            <w:tcW w:w="13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E2A35"/>
                <w:w w:val="98"/>
              </w:rPr>
              <w:t>C</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gridSpan w:val="2"/>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820" w:type="dxa"/>
            <w:vAlign w:val="bottom"/>
            <w:tcBorders>
              <w:bottom w:val="single" w:sz="8" w:color="0E2A35"/>
            </w:tcBorders>
          </w:tcPr>
          <w:p>
            <w:pPr>
              <w:spacing w:after="0"/>
              <w:rPr>
                <w:sz w:val="4"/>
                <w:szCs w:val="4"/>
                <w:color w:val="auto"/>
              </w:rPr>
            </w:pPr>
          </w:p>
        </w:tc>
        <w:tc>
          <w:tcPr>
            <w:tcW w:w="138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920" w:type="dxa"/>
            <w:vAlign w:val="bottom"/>
            <w:gridSpan w:val="2"/>
          </w:tcPr>
          <w:p>
            <w:pPr>
              <w:ind w:left="60"/>
              <w:spacing w:after="0"/>
              <w:rPr>
                <w:sz w:val="20"/>
                <w:szCs w:val="20"/>
                <w:color w:val="auto"/>
              </w:rPr>
            </w:pPr>
            <w:r>
              <w:rPr>
                <w:rFonts w:ascii="Arial" w:cs="Arial" w:eastAsia="Arial" w:hAnsi="Arial"/>
                <w:sz w:val="14"/>
                <w:szCs w:val="14"/>
                <w:color w:val="0E2A35"/>
              </w:rPr>
              <w:t>Jacqueline D. Woods</w:t>
            </w:r>
          </w:p>
        </w:tc>
        <w:tc>
          <w:tcPr>
            <w:tcW w:w="136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Arial" w:cs="Arial" w:eastAsia="Arial" w:hAnsi="Arial"/>
                <w:sz w:val="14"/>
                <w:szCs w:val="14"/>
                <w:color w:val="0E2A35"/>
              </w:rPr>
              <w:t>​</w:t>
            </w:r>
          </w:p>
        </w:tc>
        <w:tc>
          <w:tcPr>
            <w:tcW w:w="1820" w:type="dxa"/>
            <w:vAlign w:val="bottom"/>
          </w:tcPr>
          <w:p>
            <w:pPr>
              <w:spacing w:after="0"/>
              <w:rPr>
                <w:sz w:val="24"/>
                <w:szCs w:val="24"/>
                <w:color w:val="auto"/>
              </w:rPr>
            </w:pPr>
          </w:p>
        </w:tc>
        <w:tc>
          <w:tcPr>
            <w:tcW w:w="1380" w:type="dxa"/>
            <w:vAlign w:val="bottom"/>
          </w:tcPr>
          <w:p>
            <w:pPr>
              <w:ind w:left="74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240" w:type="dxa"/>
            <w:vAlign w:val="bottom"/>
            <w:tcBorders>
              <w:bottom w:val="single" w:sz="8" w:color="0E2A35"/>
            </w:tcBorders>
          </w:tcPr>
          <w:p>
            <w:pPr>
              <w:spacing w:after="0"/>
              <w:rPr>
                <w:sz w:val="7"/>
                <w:szCs w:val="7"/>
                <w:color w:val="auto"/>
              </w:rPr>
            </w:pPr>
          </w:p>
        </w:tc>
        <w:tc>
          <w:tcPr>
            <w:tcW w:w="2680" w:type="dxa"/>
            <w:vAlign w:val="bottom"/>
            <w:tcBorders>
              <w:bottom w:val="single" w:sz="8" w:color="0E2A35"/>
            </w:tcBorders>
          </w:tcPr>
          <w:p>
            <w:pPr>
              <w:spacing w:after="0"/>
              <w:rPr>
                <w:sz w:val="7"/>
                <w:szCs w:val="7"/>
                <w:color w:val="auto"/>
              </w:rPr>
            </w:pPr>
          </w:p>
        </w:tc>
        <w:tc>
          <w:tcPr>
            <w:tcW w:w="1360" w:type="dxa"/>
            <w:vAlign w:val="bottom"/>
            <w:tcBorders>
              <w:bottom w:val="single" w:sz="8" w:color="0E2A35"/>
            </w:tcBorders>
          </w:tcPr>
          <w:p>
            <w:pPr>
              <w:spacing w:after="0"/>
              <w:rPr>
                <w:sz w:val="7"/>
                <w:szCs w:val="7"/>
                <w:color w:val="auto"/>
              </w:rPr>
            </w:pPr>
          </w:p>
        </w:tc>
        <w:tc>
          <w:tcPr>
            <w:tcW w:w="1800" w:type="dxa"/>
            <w:vAlign w:val="bottom"/>
            <w:tcBorders>
              <w:bottom w:val="single" w:sz="8" w:color="0E2A35"/>
            </w:tcBorders>
          </w:tcPr>
          <w:p>
            <w:pPr>
              <w:spacing w:after="0"/>
              <w:rPr>
                <w:sz w:val="7"/>
                <w:szCs w:val="7"/>
                <w:color w:val="auto"/>
              </w:rPr>
            </w:pPr>
          </w:p>
        </w:tc>
        <w:tc>
          <w:tcPr>
            <w:tcW w:w="182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0"/>
                <w:szCs w:val="20"/>
                <w:color w:val="auto"/>
              </w:rPr>
            </w:pPr>
            <w:r>
              <w:rPr>
                <w:rFonts w:ascii="Arial" w:cs="Arial" w:eastAsia="Arial" w:hAnsi="Arial"/>
                <w:sz w:val="13"/>
                <w:szCs w:val="13"/>
                <w:b w:val="1"/>
                <w:bCs w:val="1"/>
                <w:color w:val="0E2A35"/>
              </w:rPr>
              <w:t>C</w:t>
            </w:r>
          </w:p>
        </w:tc>
        <w:tc>
          <w:tcPr>
            <w:tcW w:w="2680" w:type="dxa"/>
            <w:vAlign w:val="bottom"/>
          </w:tcPr>
          <w:p>
            <w:pPr>
              <w:ind w:left="120"/>
              <w:spacing w:after="0"/>
              <w:rPr>
                <w:sz w:val="20"/>
                <w:szCs w:val="20"/>
                <w:color w:val="auto"/>
              </w:rPr>
            </w:pPr>
            <w:r>
              <w:rPr>
                <w:rFonts w:ascii="Arial" w:cs="Arial" w:eastAsia="Arial" w:hAnsi="Arial"/>
                <w:sz w:val="13"/>
                <w:szCs w:val="13"/>
                <w:color w:val="0E2A35"/>
              </w:rPr>
              <w:t>Chair</w:t>
            </w:r>
          </w:p>
        </w:tc>
        <w:tc>
          <w:tcPr>
            <w:tcW w:w="1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line="150" w:lineRule="exact"/>
              <w:rPr>
                <w:sz w:val="20"/>
                <w:szCs w:val="20"/>
                <w:color w:val="auto"/>
              </w:rPr>
            </w:pPr>
            <w:r>
              <w:rPr>
                <w:rFonts w:ascii="MS PGothic" w:cs="MS PGothic" w:eastAsia="MS PGothic" w:hAnsi="MS PGothic"/>
                <w:sz w:val="13"/>
                <w:szCs w:val="13"/>
                <w:color w:val="0E2A35"/>
              </w:rPr>
              <w:t>✔</w:t>
            </w:r>
            <w:r>
              <w:rPr>
                <w:rFonts w:ascii="Arial" w:cs="Arial" w:eastAsia="Arial" w:hAnsi="Arial"/>
                <w:sz w:val="13"/>
                <w:szCs w:val="13"/>
                <w:color w:val="0E2A35"/>
              </w:rPr>
              <w:t xml:space="preserve">  </w:t>
            </w:r>
          </w:p>
        </w:tc>
        <w:tc>
          <w:tcPr>
            <w:tcW w:w="2680" w:type="dxa"/>
            <w:vAlign w:val="bottom"/>
          </w:tcPr>
          <w:p>
            <w:pPr>
              <w:ind w:left="120"/>
              <w:spacing w:after="0"/>
              <w:rPr>
                <w:sz w:val="20"/>
                <w:szCs w:val="20"/>
                <w:color w:val="auto"/>
              </w:rPr>
            </w:pPr>
            <w:r>
              <w:rPr>
                <w:rFonts w:ascii="Arial" w:cs="Arial" w:eastAsia="Arial" w:hAnsi="Arial"/>
                <w:sz w:val="13"/>
                <w:szCs w:val="13"/>
                <w:color w:val="0E2A35"/>
              </w:rPr>
              <w:t>Member</w:t>
            </w: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-2947035</wp:posOffset>
            </wp:positionV>
            <wp:extent cx="3986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86530"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-2612390</wp:posOffset>
            </wp:positionV>
            <wp:extent cx="11112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-2612390</wp:posOffset>
            </wp:positionV>
            <wp:extent cx="11112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-2372995</wp:posOffset>
            </wp:positionV>
            <wp:extent cx="111760"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-2372995</wp:posOffset>
            </wp:positionV>
            <wp:extent cx="11112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-2132965</wp:posOffset>
            </wp:positionV>
            <wp:extent cx="11176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-1892300</wp:posOffset>
            </wp:positionV>
            <wp:extent cx="11112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-1892300</wp:posOffset>
            </wp:positionV>
            <wp:extent cx="11112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-1652905</wp:posOffset>
            </wp:positionV>
            <wp:extent cx="11176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-983615</wp:posOffset>
            </wp:positionV>
            <wp:extent cx="111125"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-744220</wp:posOffset>
            </wp:positionV>
            <wp:extent cx="111125"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-504190</wp:posOffset>
            </wp:positionV>
            <wp:extent cx="111125"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-504190</wp:posOffset>
            </wp:positionV>
            <wp:extent cx="11112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ind w:left="360" w:hanging="360"/>
        <w:spacing w:after="0"/>
        <w:tabs>
          <w:tab w:leader="none" w:pos="36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Designated as an “audit committee financial expert” as that term has been defined by the Securities and Exchange Commission (SEC).</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1482725" cy="1851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82725" cy="1851660"/>
                    </a:xfrm>
                    <a:prstGeom prst="rect">
                      <a:avLst/>
                    </a:prstGeom>
                    <a:noFill/>
                  </pic:spPr>
                </pic:pic>
              </a:graphicData>
            </a:graphic>
          </wp:anchor>
        </w:drawing>
      </w:r>
    </w:p>
    <w:p>
      <w:pPr>
        <w:spacing w:after="0" w:line="230" w:lineRule="exact"/>
        <w:rPr>
          <w:sz w:val="20"/>
          <w:szCs w:val="20"/>
          <w:color w:val="auto"/>
        </w:rPr>
      </w:pPr>
    </w:p>
    <w:p>
      <w:pPr>
        <w:ind w:left="100" w:right="160"/>
        <w:spacing w:after="0" w:line="189" w:lineRule="auto"/>
        <w:rPr>
          <w:sz w:val="20"/>
          <w:szCs w:val="20"/>
          <w:color w:val="auto"/>
        </w:rPr>
      </w:pPr>
      <w:r>
        <w:rPr>
          <w:rFonts w:ascii="Arial" w:cs="Arial" w:eastAsia="Arial" w:hAnsi="Arial"/>
          <w:sz w:val="22"/>
          <w:szCs w:val="22"/>
          <w:b w:val="1"/>
          <w:bCs w:val="1"/>
          <w:color w:val="FFFFFF"/>
        </w:rPr>
        <w:t>Audit Committee</w:t>
      </w:r>
      <w:r>
        <w:rPr>
          <w:rFonts w:ascii="Arial" w:cs="Arial" w:eastAsia="Arial" w:hAnsi="Arial"/>
          <w:sz w:val="35"/>
          <w:szCs w:val="35"/>
          <w:b w:val="1"/>
          <w:bCs w:val="1"/>
          <w:color w:val="FFFFFF"/>
          <w:vertAlign w:val="superscript"/>
        </w:rPr>
        <w:t>1</w:t>
      </w:r>
      <w:r>
        <w:rPr>
          <w:rFonts w:ascii="Arial" w:cs="Arial" w:eastAsia="Arial" w:hAnsi="Arial"/>
          <w:sz w:val="22"/>
          <w:szCs w:val="22"/>
          <w:b w:val="1"/>
          <w:bCs w:val="1"/>
          <w:color w:val="FFFFFF"/>
        </w:rPr>
        <w:t xml:space="preserve">  </w:t>
      </w:r>
    </w:p>
    <w:p>
      <w:pPr>
        <w:ind w:left="100"/>
        <w:spacing w:after="0" w:line="236" w:lineRule="auto"/>
        <w:rPr>
          <w:sz w:val="20"/>
          <w:szCs w:val="20"/>
          <w:color w:val="auto"/>
        </w:rPr>
      </w:pPr>
      <w:r>
        <w:rPr>
          <w:rFonts w:ascii="Arial" w:cs="Arial" w:eastAsia="Arial" w:hAnsi="Arial"/>
          <w:sz w:val="18"/>
          <w:szCs w:val="18"/>
          <w:color w:val="FFFFFF"/>
        </w:rPr>
        <w:t>Members</w:t>
      </w:r>
    </w:p>
    <w:p>
      <w:pPr>
        <w:ind w:left="100" w:right="60"/>
        <w:spacing w:after="0"/>
        <w:rPr>
          <w:sz w:val="20"/>
          <w:szCs w:val="20"/>
          <w:color w:val="auto"/>
        </w:rPr>
      </w:pPr>
      <w:r>
        <w:rPr>
          <w:rFonts w:ascii="Arial" w:cs="Arial" w:eastAsia="Arial" w:hAnsi="Arial"/>
          <w:sz w:val="18"/>
          <w:szCs w:val="18"/>
          <w:color w:val="FFFFFF"/>
        </w:rPr>
        <w:t>Richard D. Moss (</w:t>
      </w:r>
      <w:r>
        <w:rPr>
          <w:rFonts w:ascii="Arial" w:cs="Arial" w:eastAsia="Arial" w:hAnsi="Arial"/>
          <w:sz w:val="18"/>
          <w:szCs w:val="18"/>
          <w:i w:val="1"/>
          <w:iCs w:val="1"/>
          <w:color w:val="FFFFFF"/>
        </w:rPr>
        <w:t>Chair</w:t>
      </w:r>
      <w:r>
        <w:rPr>
          <w:rFonts w:ascii="Arial" w:cs="Arial" w:eastAsia="Arial" w:hAnsi="Arial"/>
          <w:sz w:val="18"/>
          <w:szCs w:val="18"/>
          <w:color w:val="FFFFFF"/>
        </w:rPr>
        <w:t>) Christopher J. Braun Kevin E. Bryant William C. Fisher  </w:t>
      </w:r>
    </w:p>
    <w:p>
      <w:pPr>
        <w:spacing w:after="0" w:line="185"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332105</wp:posOffset>
            </wp:positionV>
            <wp:extent cx="1482725" cy="2074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272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right="360"/>
        <w:spacing w:after="0" w:line="237" w:lineRule="auto"/>
        <w:rPr>
          <w:sz w:val="20"/>
          <w:szCs w:val="20"/>
          <w:color w:val="auto"/>
        </w:rPr>
      </w:pPr>
      <w:r>
        <w:rPr>
          <w:rFonts w:ascii="Arial" w:cs="Arial" w:eastAsia="Arial" w:hAnsi="Arial"/>
          <w:sz w:val="22"/>
          <w:szCs w:val="22"/>
          <w:b w:val="1"/>
          <w:bCs w:val="1"/>
          <w:color w:val="FFFFFF"/>
        </w:rPr>
        <w:t>Nominating and Governance Committee  </w:t>
      </w:r>
    </w:p>
    <w:p>
      <w:pPr>
        <w:ind w:left="100"/>
        <w:spacing w:after="0" w:line="235" w:lineRule="auto"/>
        <w:rPr>
          <w:sz w:val="20"/>
          <w:szCs w:val="20"/>
          <w:color w:val="auto"/>
        </w:rPr>
      </w:pPr>
      <w:r>
        <w:rPr>
          <w:rFonts w:ascii="Arial" w:cs="Arial" w:eastAsia="Arial" w:hAnsi="Arial"/>
          <w:sz w:val="18"/>
          <w:szCs w:val="18"/>
          <w:color w:val="FFFFFF"/>
        </w:rPr>
        <w:t>Members</w:t>
      </w:r>
    </w:p>
    <w:p>
      <w:pPr>
        <w:ind w:left="100" w:right="40"/>
        <w:spacing w:after="0" w:line="234" w:lineRule="auto"/>
        <w:rPr>
          <w:sz w:val="20"/>
          <w:szCs w:val="20"/>
          <w:color w:val="auto"/>
        </w:rPr>
      </w:pPr>
      <w:r>
        <w:rPr>
          <w:rFonts w:ascii="Arial" w:cs="Arial" w:eastAsia="Arial" w:hAnsi="Arial"/>
          <w:sz w:val="18"/>
          <w:szCs w:val="18"/>
          <w:color w:val="FFFFFF"/>
        </w:rPr>
        <w:t>William C. Fisher (</w:t>
      </w:r>
      <w:r>
        <w:rPr>
          <w:rFonts w:ascii="Arial" w:cs="Arial" w:eastAsia="Arial" w:hAnsi="Arial"/>
          <w:sz w:val="18"/>
          <w:szCs w:val="18"/>
          <w:i w:val="1"/>
          <w:iCs w:val="1"/>
          <w:color w:val="FFFFFF"/>
        </w:rPr>
        <w:t>Chair</w:t>
      </w:r>
      <w:r>
        <w:rPr>
          <w:rFonts w:ascii="Arial" w:cs="Arial" w:eastAsia="Arial" w:hAnsi="Arial"/>
          <w:sz w:val="18"/>
          <w:szCs w:val="18"/>
          <w:color w:val="FFFFFF"/>
        </w:rPr>
        <w:t>) Christopher J. Braun Robert M. Chiusano John M. Murabito Jacqueline D. Woods  </w:t>
      </w:r>
    </w:p>
    <w:p>
      <w:pPr>
        <w:spacing w:after="0" w:line="4"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482725" cy="1508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2725" cy="1508760"/>
                    </a:xfrm>
                    <a:prstGeom prst="rect">
                      <a:avLst/>
                    </a:prstGeom>
                    <a:noFill/>
                  </pic:spPr>
                </pic:pic>
              </a:graphicData>
            </a:graphic>
          </wp:anchor>
        </w:drawing>
      </w:r>
    </w:p>
    <w:p>
      <w:pPr>
        <w:spacing w:after="0" w:line="258" w:lineRule="exact"/>
        <w:rPr>
          <w:sz w:val="20"/>
          <w:szCs w:val="20"/>
          <w:color w:val="auto"/>
        </w:rPr>
      </w:pPr>
    </w:p>
    <w:p>
      <w:pPr>
        <w:ind w:left="100"/>
        <w:spacing w:after="0" w:line="243" w:lineRule="auto"/>
        <w:rPr>
          <w:sz w:val="20"/>
          <w:szCs w:val="20"/>
          <w:color w:val="auto"/>
        </w:rPr>
      </w:pPr>
      <w:r>
        <w:rPr>
          <w:rFonts w:ascii="Arial" w:cs="Arial" w:eastAsia="Arial" w:hAnsi="Arial"/>
          <w:sz w:val="22"/>
          <w:szCs w:val="22"/>
          <w:b w:val="1"/>
          <w:bCs w:val="1"/>
          <w:color w:val="FFFFFF"/>
        </w:rPr>
        <w:t>Finance Committee  </w:t>
      </w:r>
    </w:p>
    <w:p>
      <w:pPr>
        <w:ind w:left="100"/>
        <w:spacing w:after="0" w:line="236" w:lineRule="auto"/>
        <w:rPr>
          <w:sz w:val="20"/>
          <w:szCs w:val="20"/>
          <w:color w:val="auto"/>
        </w:rPr>
      </w:pPr>
      <w:r>
        <w:rPr>
          <w:rFonts w:ascii="Arial" w:cs="Arial" w:eastAsia="Arial" w:hAnsi="Arial"/>
          <w:sz w:val="18"/>
          <w:szCs w:val="18"/>
          <w:color w:val="FFFFFF"/>
        </w:rPr>
        <w:t>Members</w:t>
      </w:r>
    </w:p>
    <w:p>
      <w:pPr>
        <w:ind w:left="100" w:right="160"/>
        <w:spacing w:after="0" w:line="234" w:lineRule="auto"/>
        <w:rPr>
          <w:sz w:val="20"/>
          <w:szCs w:val="20"/>
          <w:color w:val="auto"/>
        </w:rPr>
      </w:pPr>
      <w:r>
        <w:rPr>
          <w:rFonts w:ascii="Arial" w:cs="Arial" w:eastAsia="Arial" w:hAnsi="Arial"/>
          <w:sz w:val="18"/>
          <w:szCs w:val="18"/>
          <w:color w:val="FFFFFF"/>
        </w:rPr>
        <w:t xml:space="preserve">Kevin E. Bryant </w:t>
      </w:r>
      <w:r>
        <w:rPr>
          <w:rFonts w:ascii="Arial" w:cs="Arial" w:eastAsia="Arial" w:hAnsi="Arial"/>
          <w:sz w:val="18"/>
          <w:szCs w:val="18"/>
          <w:i w:val="1"/>
          <w:iCs w:val="1"/>
          <w:color w:val="FFFFFF"/>
        </w:rPr>
        <w:t>(Chair</w:t>
      </w:r>
      <w:r>
        <w:rPr>
          <w:rFonts w:ascii="Arial" w:cs="Arial" w:eastAsia="Arial" w:hAnsi="Arial"/>
          <w:sz w:val="18"/>
          <w:szCs w:val="18"/>
          <w:color w:val="FFFFFF"/>
        </w:rPr>
        <w:t>) Sara E. Armbruster Richard D. Moss  </w:t>
      </w:r>
    </w:p>
    <w:p>
      <w:pPr>
        <w:spacing w:after="0" w:line="3"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822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Each​ year, the Audit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committee meeting typically include: the Board Chair; the CEO; the Chief Financial Officer (CFO); the Senior Vice President, General Counsel, Secretary and Corporate Responsibility; and the Corporate Controller.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-1167130</wp:posOffset>
            </wp:positionV>
            <wp:extent cx="4415155" cy="1851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15155" cy="1851660"/>
                    </a:xfrm>
                    <a:prstGeom prst="rect">
                      <a:avLst/>
                    </a:prstGeom>
                    <a:noFill/>
                  </pic:spPr>
                </pic:pic>
              </a:graphicData>
            </a:graphic>
          </wp:anchor>
        </w:drawing>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125095</wp:posOffset>
            </wp:positionV>
            <wp:extent cx="4415155" cy="2074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15155" cy="2074545"/>
                    </a:xfrm>
                    <a:prstGeom prst="rect">
                      <a:avLst/>
                    </a:prstGeom>
                    <a:noFill/>
                  </pic:spPr>
                </pic:pic>
              </a:graphicData>
            </a:graphic>
          </wp:anchor>
        </w:drawing>
      </w:r>
    </w:p>
    <w:p>
      <w:pPr>
        <w:spacing w:after="0" w:line="29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(5) reviewing and approving related person transactions; and (6) overseeing the Company’s commitment to corporate responsibility matters, including environmental, social and governance matters.  </w:t>
      </w:r>
    </w:p>
    <w:p>
      <w:pPr>
        <w:spacing w:after="0" w:line="18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219710</wp:posOffset>
            </wp:positionV>
            <wp:extent cx="4415155" cy="1508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15155" cy="150876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Finance Committee is responsible for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  </w:t>
      </w:r>
    </w:p>
    <w:p>
      <w:pPr>
        <w:spacing w:after="0" w:line="182"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427" w:lineRule="exact"/>
        <w:rPr>
          <w:sz w:val="20"/>
          <w:szCs w:val="20"/>
          <w:color w:val="auto"/>
        </w:rPr>
      </w:pPr>
    </w:p>
    <w:p>
      <w:pPr>
        <w:sectPr>
          <w:pgSz w:w="11900" w:h="16838" w:orient="portrait"/>
          <w:cols w:equalWidth="0" w:num="2">
            <w:col w:w="2100" w:space="340"/>
            <w:col w:w="6840"/>
          </w:cols>
          <w:pgMar w:left="1300" w:top="263" w:right="1319" w:bottom="1440" w:gutter="0" w:footer="0" w:header="0"/>
        </w:sectPr>
      </w:pPr>
    </w:p>
    <w:p>
      <w:pPr>
        <w:spacing w:after="0" w:line="10" w:lineRule="exact"/>
        <w:rPr>
          <w:sz w:val="20"/>
          <w:szCs w:val="20"/>
          <w:color w:val="auto"/>
        </w:rPr>
      </w:pPr>
    </w:p>
    <w:p>
      <w:pPr>
        <w:ind w:left="360" w:right="120" w:hanging="360"/>
        <w:spacing w:after="0"/>
        <w:tabs>
          <w:tab w:leader="none" w:pos="360" w:val="left"/>
        </w:tabs>
        <w:numPr>
          <w:ilvl w:val="0"/>
          <w:numId w:val="8"/>
        </w:numPr>
        <w:rPr>
          <w:rFonts w:ascii="Arial" w:cs="Arial" w:eastAsia="Arial" w:hAnsi="Arial"/>
          <w:sz w:val="13"/>
          <w:szCs w:val="13"/>
          <w:color w:val="0E2A35"/>
        </w:rPr>
      </w:pPr>
      <w:r>
        <w:rPr>
          <w:rFonts w:ascii="Arial" w:cs="Arial" w:eastAsia="Arial" w:hAnsi="Arial"/>
          <w:sz w:val="13"/>
          <w:szCs w:val="13"/>
          <w:i w:val="1"/>
          <w:iCs w:val="1"/>
          <w:color w:val="0E2A35"/>
        </w:rPr>
        <w:t>All members of the Audit Committee are non-employee directors who have been determined to be “independent” under applicable listing standards of the New York Stock Exchange (NYSE).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1482725" cy="29317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82725" cy="2931795"/>
                    </a:xfrm>
                    <a:prstGeom prst="rect">
                      <a:avLst/>
                    </a:prstGeom>
                    <a:noFill/>
                  </pic:spPr>
                </pic:pic>
              </a:graphicData>
            </a:graphic>
          </wp:anchor>
        </w:drawing>
      </w:r>
    </w:p>
    <w:p>
      <w:pPr>
        <w:spacing w:after="0" w:line="234" w:lineRule="exact"/>
        <w:rPr>
          <w:sz w:val="20"/>
          <w:szCs w:val="20"/>
          <w:color w:val="auto"/>
        </w:rPr>
      </w:pPr>
    </w:p>
    <w:p>
      <w:pPr>
        <w:ind w:left="100" w:right="100"/>
        <w:spacing w:after="0" w:line="239" w:lineRule="auto"/>
        <w:rPr>
          <w:sz w:val="20"/>
          <w:szCs w:val="20"/>
          <w:color w:val="auto"/>
        </w:rPr>
      </w:pPr>
      <w:r>
        <w:rPr>
          <w:rFonts w:ascii="Arial" w:cs="Arial" w:eastAsia="Arial" w:hAnsi="Arial"/>
          <w:sz w:val="22"/>
          <w:szCs w:val="22"/>
          <w:b w:val="1"/>
          <w:bCs w:val="1"/>
          <w:color w:val="FFFFFF"/>
        </w:rPr>
        <w:t>Human Resources Committee  </w:t>
      </w:r>
    </w:p>
    <w:p>
      <w:pPr>
        <w:ind w:left="100"/>
        <w:spacing w:after="0" w:line="235" w:lineRule="auto"/>
        <w:rPr>
          <w:sz w:val="20"/>
          <w:szCs w:val="20"/>
          <w:color w:val="auto"/>
        </w:rPr>
      </w:pPr>
      <w:r>
        <w:rPr>
          <w:rFonts w:ascii="Arial" w:cs="Arial" w:eastAsia="Arial" w:hAnsi="Arial"/>
          <w:sz w:val="18"/>
          <w:szCs w:val="18"/>
          <w:color w:val="FFFFFF"/>
        </w:rPr>
        <w:t>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 Sara E. Armbruster Robert M. Chiusano Jacqueline D. Woods  </w:t>
      </w:r>
    </w:p>
    <w:p>
      <w:pPr>
        <w:spacing w:after="0" w:line="185"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2022: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Human Resources Committee’s duties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 including diversity, equity and inclusion.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-2128520</wp:posOffset>
            </wp:positionV>
            <wp:extent cx="4415155" cy="29317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15155" cy="2931795"/>
                    </a:xfrm>
                    <a:prstGeom prst="rect">
                      <a:avLst/>
                    </a:prstGeom>
                    <a:noFill/>
                  </pic:spPr>
                </pic:pic>
              </a:graphicData>
            </a:graphic>
          </wp:anchor>
        </w:drawing>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2022, the committee retained Semler Brossy Consulting Group LLC (Semler Brossy) to advise on certain executive compensation-related matters, as further described in the Compensation Discussion and Analysis section of this proxy statement.</w:t>
      </w:r>
    </w:p>
    <w:p>
      <w:pPr>
        <w:spacing w:after="0" w:line="200" w:lineRule="exact"/>
        <w:rPr>
          <w:sz w:val="20"/>
          <w:szCs w:val="20"/>
          <w:color w:val="auto"/>
        </w:rPr>
      </w:pPr>
    </w:p>
    <w:p>
      <w:pPr>
        <w:sectPr>
          <w:pgSz w:w="11900" w:h="16838" w:orient="portrait"/>
          <w:cols w:equalWidth="0" w:num="2">
            <w:col w:w="2100" w:space="340"/>
            <w:col w:w="6840"/>
          </w:cols>
          <w:pgMar w:left="1300" w:top="263" w:right="131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Independence</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E2A35"/>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The Board process was designed to identify any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w:t>
      </w:r>
    </w:p>
    <w:p>
      <w:pPr>
        <w:spacing w:after="0" w:line="15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E2A35"/>
        </w:rPr>
        <w:t>Based on this review, the Board affirmatively determined that all non-employee directors are independent. Mr. Happe is the only employee director and is not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Risk Management</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19" w:name="page20"/>
    <w:bookmarkEnd w:id="19"/>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860" w:right="880"/>
        <w:spacing w:after="0" w:line="250" w:lineRule="auto"/>
        <w:rPr>
          <w:sz w:val="20"/>
          <w:szCs w:val="20"/>
          <w:color w:val="auto"/>
        </w:rPr>
      </w:pPr>
      <w:r>
        <w:rPr>
          <w:rFonts w:ascii="Arial" w:cs="Arial" w:eastAsia="Arial" w:hAnsi="Arial"/>
          <w:sz w:val="16"/>
          <w:szCs w:val="16"/>
          <w:color w:val="0E2A35"/>
        </w:rPr>
        <w:t>While the Board and its committees oversee risk management, the Company's management is responsible for the day-to-day management of risks we face. The Board reviews and monitors our processes for identification, management and mitigation of risk by our management and assesses whether our processes are adequate and functioning as designed.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Board committees also receives reports from management regarding matters relevant to the work of that committee. These management reports are supplemented by information relating to risk from our advisors. 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147"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0E2A35"/>
        </w:rPr>
        <w:t> </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27"/>
          <w:szCs w:val="27"/>
          <w:b w:val="1"/>
          <w:bCs w:val="1"/>
          <w:color w:val="0E2A35"/>
        </w:rPr>
        <w:t>Board of Directors​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0E2A35"/>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532130</wp:posOffset>
            </wp:positionV>
            <wp:extent cx="4620260" cy="539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202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 </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55245</wp:posOffset>
            </wp:positionV>
            <wp:extent cx="8255" cy="23914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2391410"/>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55245</wp:posOffset>
            </wp:positionV>
            <wp:extent cx="8890" cy="23914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239141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55245</wp:posOffset>
            </wp:positionV>
            <wp:extent cx="8255" cy="23914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239141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516"/>
        </w:trPr>
        <w:tc>
          <w:tcPr>
            <w:tcW w:w="860" w:type="dxa"/>
            <w:vAlign w:val="bottom"/>
          </w:tcPr>
          <w:p>
            <w:pPr>
              <w:spacing w:after="0"/>
              <w:rPr>
                <w:sz w:val="24"/>
                <w:szCs w:val="24"/>
                <w:color w:val="auto"/>
              </w:rPr>
            </w:pPr>
          </w:p>
        </w:tc>
        <w:tc>
          <w:tcPr>
            <w:tcW w:w="1900" w:type="dxa"/>
            <w:vAlign w:val="bottom"/>
            <w:gridSpan w:val="2"/>
            <w:vMerge w:val="restart"/>
            <w:shd w:val="clear" w:color="auto" w:fill="0E2A35"/>
          </w:tcPr>
          <w:p>
            <w:pPr>
              <w:ind w:left="680"/>
              <w:spacing w:after="0"/>
              <w:rPr>
                <w:sz w:val="20"/>
                <w:szCs w:val="20"/>
                <w:color w:val="auto"/>
              </w:rPr>
            </w:pPr>
            <w:r>
              <w:rPr>
                <w:rFonts w:ascii="Arial" w:cs="Arial" w:eastAsia="Arial" w:hAnsi="Arial"/>
                <w:sz w:val="20"/>
                <w:szCs w:val="20"/>
                <w:b w:val="1"/>
                <w:bCs w:val="1"/>
                <w:color w:val="C7D265"/>
              </w:rPr>
              <w:t>Audit</w:t>
            </w:r>
          </w:p>
        </w:tc>
        <w:tc>
          <w:tcPr>
            <w:tcW w:w="2440" w:type="dxa"/>
            <w:vAlign w:val="bottom"/>
            <w:shd w:val="clear" w:color="auto" w:fill="0E2A35"/>
          </w:tcPr>
          <w:p>
            <w:pPr>
              <w:jc w:val="center"/>
              <w:ind w:left="481"/>
              <w:spacing w:after="0"/>
              <w:rPr>
                <w:sz w:val="20"/>
                <w:szCs w:val="20"/>
                <w:color w:val="auto"/>
              </w:rPr>
            </w:pPr>
            <w:r>
              <w:rPr>
                <w:rFonts w:ascii="Arial" w:cs="Arial" w:eastAsia="Arial" w:hAnsi="Arial"/>
                <w:sz w:val="20"/>
                <w:szCs w:val="20"/>
                <w:b w:val="1"/>
                <w:bCs w:val="1"/>
                <w:color w:val="C7D265"/>
                <w:w w:val="98"/>
              </w:rPr>
              <w:t>Nominating &amp;</w:t>
            </w:r>
          </w:p>
        </w:tc>
        <w:tc>
          <w:tcPr>
            <w:tcW w:w="2760" w:type="dxa"/>
            <w:vAlign w:val="bottom"/>
            <w:shd w:val="clear" w:color="auto" w:fill="0E2A35"/>
          </w:tcPr>
          <w:p>
            <w:pPr>
              <w:spacing w:after="0"/>
              <w:rPr>
                <w:sz w:val="24"/>
                <w:szCs w:val="24"/>
                <w:color w:val="auto"/>
              </w:rPr>
            </w:pPr>
          </w:p>
        </w:tc>
        <w:tc>
          <w:tcPr>
            <w:tcW w:w="2180" w:type="dxa"/>
            <w:vAlign w:val="bottom"/>
            <w:vMerge w:val="restart"/>
            <w:shd w:val="clear" w:color="auto" w:fill="0E2A35"/>
          </w:tcPr>
          <w:p>
            <w:pPr>
              <w:jc w:val="center"/>
              <w:ind w:left="204"/>
              <w:spacing w:after="0"/>
              <w:rPr>
                <w:sz w:val="20"/>
                <w:szCs w:val="20"/>
                <w:color w:val="auto"/>
              </w:rPr>
            </w:pPr>
            <w:r>
              <w:rPr>
                <w:rFonts w:ascii="Arial" w:cs="Arial" w:eastAsia="Arial" w:hAnsi="Arial"/>
                <w:sz w:val="20"/>
                <w:szCs w:val="20"/>
                <w:b w:val="1"/>
                <w:bCs w:val="1"/>
                <w:color w:val="C7D265"/>
                <w:w w:val="99"/>
              </w:rPr>
              <w:t>Human Resources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vMerge w:val="continue"/>
            <w:shd w:val="clear" w:color="auto" w:fill="0E2A35"/>
          </w:tcPr>
          <w:p>
            <w:pPr>
              <w:spacing w:after="0"/>
              <w:rPr>
                <w:sz w:val="18"/>
                <w:szCs w:val="18"/>
                <w:color w:val="auto"/>
              </w:rPr>
            </w:pPr>
          </w:p>
        </w:tc>
        <w:tc>
          <w:tcPr>
            <w:tcW w:w="2440" w:type="dxa"/>
            <w:vAlign w:val="bottom"/>
            <w:shd w:val="clear" w:color="auto" w:fill="0E2A35"/>
          </w:tcPr>
          <w:p>
            <w:pPr>
              <w:jc w:val="center"/>
              <w:ind w:left="501"/>
              <w:spacing w:after="0" w:line="216" w:lineRule="exact"/>
              <w:rPr>
                <w:sz w:val="20"/>
                <w:szCs w:val="20"/>
                <w:color w:val="auto"/>
              </w:rPr>
            </w:pPr>
            <w:r>
              <w:rPr>
                <w:rFonts w:ascii="Arial" w:cs="Arial" w:eastAsia="Arial" w:hAnsi="Arial"/>
                <w:sz w:val="20"/>
                <w:szCs w:val="20"/>
                <w:b w:val="1"/>
                <w:bCs w:val="1"/>
                <w:color w:val="C7D265"/>
                <w:w w:val="98"/>
              </w:rPr>
              <w:t>Governance</w:t>
            </w:r>
          </w:p>
        </w:tc>
        <w:tc>
          <w:tcPr>
            <w:tcW w:w="2760" w:type="dxa"/>
            <w:vAlign w:val="bottom"/>
            <w:vMerge w:val="restart"/>
            <w:shd w:val="clear" w:color="auto" w:fill="0E2A35"/>
          </w:tcPr>
          <w:p>
            <w:pPr>
              <w:ind w:left="620"/>
              <w:spacing w:after="0"/>
              <w:rPr>
                <w:sz w:val="20"/>
                <w:szCs w:val="20"/>
                <w:color w:val="auto"/>
              </w:rPr>
            </w:pPr>
            <w:r>
              <w:rPr>
                <w:rFonts w:ascii="Arial" w:cs="Arial" w:eastAsia="Arial" w:hAnsi="Arial"/>
                <w:sz w:val="20"/>
                <w:szCs w:val="20"/>
                <w:b w:val="1"/>
                <w:bCs w:val="1"/>
                <w:color w:val="C7D265"/>
              </w:rPr>
              <w:t>Finance Committee</w:t>
            </w:r>
          </w:p>
        </w:tc>
        <w:tc>
          <w:tcPr>
            <w:tcW w:w="2180" w:type="dxa"/>
            <w:vAlign w:val="bottom"/>
            <w:vMerge w:val="continue"/>
            <w:shd w:val="clear" w:color="auto" w:fill="0E2A35"/>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3"/>
                <w:szCs w:val="23"/>
                <w:color w:val="auto"/>
              </w:rPr>
            </w:pPr>
          </w:p>
        </w:tc>
        <w:tc>
          <w:tcPr>
            <w:tcW w:w="1900" w:type="dxa"/>
            <w:vAlign w:val="bottom"/>
            <w:gridSpan w:val="2"/>
            <w:shd w:val="clear" w:color="auto" w:fill="0E2A35"/>
          </w:tcPr>
          <w:p>
            <w:pPr>
              <w:ind w:left="440"/>
              <w:spacing w:after="0"/>
              <w:rPr>
                <w:sz w:val="20"/>
                <w:szCs w:val="20"/>
                <w:color w:val="auto"/>
              </w:rPr>
            </w:pPr>
            <w:r>
              <w:rPr>
                <w:rFonts w:ascii="Arial" w:cs="Arial" w:eastAsia="Arial" w:hAnsi="Arial"/>
                <w:sz w:val="20"/>
                <w:szCs w:val="20"/>
                <w:b w:val="1"/>
                <w:bCs w:val="1"/>
                <w:color w:val="C7D265"/>
              </w:rPr>
              <w:t>Committee</w:t>
            </w:r>
          </w:p>
        </w:tc>
        <w:tc>
          <w:tcPr>
            <w:tcW w:w="2440" w:type="dxa"/>
            <w:vAlign w:val="bottom"/>
            <w:shd w:val="clear" w:color="auto" w:fill="0E2A35"/>
          </w:tcPr>
          <w:p>
            <w:pPr>
              <w:jc w:val="center"/>
              <w:ind w:left="501"/>
              <w:spacing w:after="0"/>
              <w:rPr>
                <w:sz w:val="20"/>
                <w:szCs w:val="20"/>
                <w:color w:val="auto"/>
              </w:rPr>
            </w:pPr>
            <w:r>
              <w:rPr>
                <w:rFonts w:ascii="Arial" w:cs="Arial" w:eastAsia="Arial" w:hAnsi="Arial"/>
                <w:sz w:val="20"/>
                <w:szCs w:val="20"/>
                <w:b w:val="1"/>
                <w:bCs w:val="1"/>
                <w:color w:val="C7D265"/>
                <w:w w:val="98"/>
              </w:rPr>
              <w:t>Committee</w:t>
            </w:r>
          </w:p>
        </w:tc>
        <w:tc>
          <w:tcPr>
            <w:tcW w:w="2760" w:type="dxa"/>
            <w:vAlign w:val="bottom"/>
            <w:vMerge w:val="continue"/>
            <w:shd w:val="clear" w:color="auto" w:fill="0E2A35"/>
          </w:tcPr>
          <w:p>
            <w:pPr>
              <w:spacing w:after="0"/>
              <w:rPr>
                <w:sz w:val="23"/>
                <w:szCs w:val="23"/>
                <w:color w:val="auto"/>
              </w:rPr>
            </w:pPr>
          </w:p>
        </w:tc>
        <w:tc>
          <w:tcPr>
            <w:tcW w:w="2180" w:type="dxa"/>
            <w:vAlign w:val="bottom"/>
            <w:shd w:val="clear" w:color="auto" w:fill="0E2A35"/>
          </w:tcPr>
          <w:p>
            <w:pPr>
              <w:jc w:val="center"/>
              <w:ind w:left="204"/>
              <w:spacing w:after="0"/>
              <w:rPr>
                <w:sz w:val="20"/>
                <w:szCs w:val="20"/>
                <w:color w:val="auto"/>
              </w:rPr>
            </w:pPr>
            <w:r>
              <w:rPr>
                <w:rFonts w:ascii="Arial" w:cs="Arial" w:eastAsia="Arial" w:hAnsi="Arial"/>
                <w:sz w:val="20"/>
                <w:szCs w:val="20"/>
                <w:b w:val="1"/>
                <w:bCs w:val="1"/>
                <w:color w:val="C7D265"/>
                <w:w w:val="98"/>
              </w:rPr>
              <w:t>Committee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900" w:type="dxa"/>
            <w:vAlign w:val="bottom"/>
            <w:gridSpan w:val="2"/>
            <w:shd w:val="clear" w:color="auto" w:fill="0E2A35"/>
          </w:tcPr>
          <w:p>
            <w:pPr>
              <w:ind w:left="220"/>
              <w:spacing w:after="0"/>
              <w:rPr>
                <w:sz w:val="20"/>
                <w:szCs w:val="20"/>
                <w:color w:val="auto"/>
              </w:rPr>
            </w:pPr>
            <w:r>
              <w:rPr>
                <w:rFonts w:ascii="Arial" w:cs="Arial" w:eastAsia="Arial" w:hAnsi="Arial"/>
                <w:sz w:val="14"/>
                <w:szCs w:val="14"/>
                <w:color w:val="FFFFFF"/>
              </w:rPr>
              <w:t>Primary Risk Oversight</w:t>
            </w:r>
          </w:p>
        </w:tc>
        <w:tc>
          <w:tcPr>
            <w:tcW w:w="2440" w:type="dxa"/>
            <w:vAlign w:val="bottom"/>
            <w:shd w:val="clear" w:color="auto" w:fill="0E2A35"/>
          </w:tcPr>
          <w:p>
            <w:pPr>
              <w:jc w:val="center"/>
              <w:ind w:left="481"/>
              <w:spacing w:after="0"/>
              <w:rPr>
                <w:sz w:val="20"/>
                <w:szCs w:val="20"/>
                <w:color w:val="auto"/>
              </w:rPr>
            </w:pPr>
            <w:r>
              <w:rPr>
                <w:rFonts w:ascii="Arial" w:cs="Arial" w:eastAsia="Arial" w:hAnsi="Arial"/>
                <w:sz w:val="14"/>
                <w:szCs w:val="14"/>
                <w:color w:val="FFFFFF"/>
              </w:rPr>
              <w:t>Primary Risk Oversight</w:t>
            </w:r>
          </w:p>
        </w:tc>
        <w:tc>
          <w:tcPr>
            <w:tcW w:w="2760" w:type="dxa"/>
            <w:vAlign w:val="bottom"/>
            <w:shd w:val="clear" w:color="auto" w:fill="0E2A35"/>
          </w:tcPr>
          <w:p>
            <w:pPr>
              <w:ind w:left="800"/>
              <w:spacing w:after="0"/>
              <w:rPr>
                <w:sz w:val="20"/>
                <w:szCs w:val="20"/>
                <w:color w:val="auto"/>
              </w:rPr>
            </w:pPr>
            <w:r>
              <w:rPr>
                <w:rFonts w:ascii="Arial" w:cs="Arial" w:eastAsia="Arial" w:hAnsi="Arial"/>
                <w:sz w:val="14"/>
                <w:szCs w:val="14"/>
                <w:color w:val="FFFFFF"/>
              </w:rPr>
              <w:t>Primary Risk Oversight</w:t>
            </w:r>
          </w:p>
        </w:tc>
        <w:tc>
          <w:tcPr>
            <w:tcW w:w="2180" w:type="dxa"/>
            <w:vAlign w:val="bottom"/>
            <w:shd w:val="clear" w:color="auto" w:fill="0E2A35"/>
          </w:tcPr>
          <w:p>
            <w:pPr>
              <w:jc w:val="center"/>
              <w:ind w:left="224"/>
              <w:spacing w:after="0"/>
              <w:rPr>
                <w:sz w:val="20"/>
                <w:szCs w:val="20"/>
                <w:color w:val="auto"/>
              </w:rPr>
            </w:pPr>
            <w:r>
              <w:rPr>
                <w:rFonts w:ascii="Arial" w:cs="Arial" w:eastAsia="Arial" w:hAnsi="Arial"/>
                <w:sz w:val="14"/>
                <w:szCs w:val="14"/>
                <w:color w:val="FFFFFF"/>
              </w:rPr>
              <w:t>Primary Risk Oversight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740" w:type="dxa"/>
            <w:vAlign w:val="bottom"/>
            <w:shd w:val="clear" w:color="auto" w:fill="0E2A35"/>
          </w:tcPr>
          <w:p>
            <w:pPr>
              <w:ind w:left="400"/>
              <w:spacing w:after="0"/>
              <w:rPr>
                <w:sz w:val="20"/>
                <w:szCs w:val="20"/>
                <w:color w:val="auto"/>
              </w:rPr>
            </w:pPr>
            <w:r>
              <w:rPr>
                <w:rFonts w:ascii="Arial" w:cs="Arial" w:eastAsia="Arial" w:hAnsi="Arial"/>
                <w:sz w:val="14"/>
                <w:szCs w:val="14"/>
                <w:color w:val="FFFFFF"/>
              </w:rPr>
              <w:t>​</w:t>
            </w:r>
          </w:p>
        </w:tc>
        <w:tc>
          <w:tcPr>
            <w:tcW w:w="1160" w:type="dxa"/>
            <w:vAlign w:val="bottom"/>
            <w:shd w:val="clear" w:color="auto" w:fill="0E2A35"/>
          </w:tcPr>
          <w:p>
            <w:pPr>
              <w:spacing w:after="0"/>
              <w:rPr>
                <w:sz w:val="24"/>
                <w:szCs w:val="24"/>
                <w:color w:val="auto"/>
              </w:rPr>
            </w:pPr>
          </w:p>
        </w:tc>
        <w:tc>
          <w:tcPr>
            <w:tcW w:w="2440" w:type="dxa"/>
            <w:vAlign w:val="bottom"/>
            <w:shd w:val="clear" w:color="auto" w:fill="0E2A35"/>
          </w:tcPr>
          <w:p>
            <w:pPr>
              <w:ind w:left="940"/>
              <w:spacing w:after="0"/>
              <w:rPr>
                <w:sz w:val="20"/>
                <w:szCs w:val="20"/>
                <w:color w:val="auto"/>
              </w:rPr>
            </w:pPr>
            <w:r>
              <w:rPr>
                <w:rFonts w:ascii="Arial" w:cs="Arial" w:eastAsia="Arial" w:hAnsi="Arial"/>
                <w:sz w:val="14"/>
                <w:szCs w:val="14"/>
                <w:color w:val="FFFFFF"/>
              </w:rPr>
              <w:t>​</w:t>
            </w:r>
          </w:p>
        </w:tc>
        <w:tc>
          <w:tcPr>
            <w:tcW w:w="2760" w:type="dxa"/>
            <w:vAlign w:val="bottom"/>
            <w:shd w:val="clear" w:color="auto" w:fill="0E2A35"/>
          </w:tcPr>
          <w:p>
            <w:pPr>
              <w:ind w:left="960"/>
              <w:spacing w:after="0"/>
              <w:rPr>
                <w:sz w:val="20"/>
                <w:szCs w:val="20"/>
                <w:color w:val="auto"/>
              </w:rPr>
            </w:pPr>
            <w:r>
              <w:rPr>
                <w:rFonts w:ascii="Arial" w:cs="Arial" w:eastAsia="Arial" w:hAnsi="Arial"/>
                <w:sz w:val="14"/>
                <w:szCs w:val="14"/>
                <w:color w:val="FFFFFF"/>
              </w:rPr>
              <w:t>​</w:t>
            </w:r>
          </w:p>
        </w:tc>
        <w:tc>
          <w:tcPr>
            <w:tcW w:w="2180" w:type="dxa"/>
            <w:vAlign w:val="bottom"/>
            <w:shd w:val="clear" w:color="auto" w:fill="0E2A35"/>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860" w:type="dxa"/>
            <w:vAlign w:val="bottom"/>
          </w:tcPr>
          <w:p>
            <w:pPr>
              <w:spacing w:after="0"/>
              <w:rPr>
                <w:sz w:val="24"/>
                <w:szCs w:val="24"/>
                <w:color w:val="auto"/>
              </w:rPr>
            </w:pPr>
          </w:p>
        </w:tc>
        <w:tc>
          <w:tcPr>
            <w:tcW w:w="740" w:type="dxa"/>
            <w:vAlign w:val="bottom"/>
            <w:shd w:val="clear" w:color="auto" w:fill="0E2A35"/>
          </w:tcPr>
          <w:p>
            <w:pPr>
              <w:ind w:left="100"/>
              <w:spacing w:after="0"/>
              <w:rPr>
                <w:sz w:val="20"/>
                <w:szCs w:val="20"/>
                <w:color w:val="auto"/>
              </w:rPr>
            </w:pPr>
            <w:r>
              <w:rPr>
                <w:rFonts w:ascii="Arial" w:cs="Arial" w:eastAsia="Arial" w:hAnsi="Arial"/>
                <w:sz w:val="14"/>
                <w:szCs w:val="14"/>
                <w:color w:val="FFFFFF"/>
              </w:rPr>
              <w:t>Oversees​</w:t>
            </w:r>
          </w:p>
        </w:tc>
        <w:tc>
          <w:tcPr>
            <w:tcW w:w="1160" w:type="dxa"/>
            <w:vAlign w:val="bottom"/>
            <w:shd w:val="clear" w:color="auto" w:fill="0E2A35"/>
          </w:tcPr>
          <w:p>
            <w:pPr>
              <w:ind w:left="20"/>
              <w:spacing w:after="0"/>
              <w:rPr>
                <w:sz w:val="20"/>
                <w:szCs w:val="20"/>
                <w:color w:val="auto"/>
              </w:rPr>
            </w:pPr>
            <w:r>
              <w:rPr>
                <w:rFonts w:ascii="Arial" w:cs="Arial" w:eastAsia="Arial" w:hAnsi="Arial"/>
                <w:sz w:val="14"/>
                <w:szCs w:val="14"/>
                <w:color w:val="FFFFFF"/>
              </w:rPr>
              <w:t>the management</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Oversees the management</w:t>
            </w: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Oversees the management of</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Oversees the management of</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of risks related to financial</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of risks related to our</w:t>
            </w: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risks related to the</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risks related to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statement integrity and</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corporate governance</w:t>
            </w: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Company’s financial condition</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Company’s compensation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reporting, internal control</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structure; the Board’s</w:t>
            </w: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and capital structure; its</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policies and practices;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over financial reporting and</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succession plans; and ESG</w:t>
            </w: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financing, acquisition,</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executive compensation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the internal audit function;</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matters</w:t>
            </w: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divestiture and investment</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program; management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and information security</w:t>
            </w:r>
          </w:p>
        </w:tc>
        <w:tc>
          <w:tcPr>
            <w:tcW w:w="2440" w:type="dxa"/>
            <w:vAlign w:val="bottom"/>
            <w:shd w:val="clear" w:color="auto" w:fill="0E2A35"/>
          </w:tcPr>
          <w:p>
            <w:pPr>
              <w:spacing w:after="0"/>
              <w:rPr>
                <w:sz w:val="14"/>
                <w:szCs w:val="14"/>
                <w:color w:val="auto"/>
              </w:rPr>
            </w:pP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transactions; and related</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succession and development;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740" w:type="dxa"/>
            <w:vAlign w:val="bottom"/>
            <w:shd w:val="clear" w:color="auto" w:fill="0E2A35"/>
          </w:tcPr>
          <w:p>
            <w:pPr>
              <w:spacing w:after="0"/>
              <w:rPr>
                <w:sz w:val="14"/>
                <w:szCs w:val="14"/>
                <w:color w:val="auto"/>
              </w:rPr>
            </w:pPr>
          </w:p>
        </w:tc>
        <w:tc>
          <w:tcPr>
            <w:tcW w:w="1160" w:type="dxa"/>
            <w:vAlign w:val="bottom"/>
            <w:shd w:val="clear" w:color="auto" w:fill="0E2A35"/>
          </w:tcPr>
          <w:p>
            <w:pPr>
              <w:spacing w:after="0"/>
              <w:rPr>
                <w:sz w:val="14"/>
                <w:szCs w:val="14"/>
                <w:color w:val="auto"/>
              </w:rPr>
            </w:pPr>
          </w:p>
        </w:tc>
        <w:tc>
          <w:tcPr>
            <w:tcW w:w="2440" w:type="dxa"/>
            <w:vAlign w:val="bottom"/>
            <w:shd w:val="clear" w:color="auto" w:fill="0E2A35"/>
          </w:tcPr>
          <w:p>
            <w:pPr>
              <w:spacing w:after="0"/>
              <w:rPr>
                <w:sz w:val="14"/>
                <w:szCs w:val="14"/>
                <w:color w:val="auto"/>
              </w:rPr>
            </w:pPr>
          </w:p>
        </w:tc>
        <w:tc>
          <w:tcPr>
            <w:tcW w:w="276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matters</w:t>
            </w: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and human capital</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740" w:type="dxa"/>
            <w:vAlign w:val="bottom"/>
            <w:shd w:val="clear" w:color="auto" w:fill="0E2A35"/>
          </w:tcPr>
          <w:p>
            <w:pPr>
              <w:spacing w:after="0"/>
              <w:rPr>
                <w:sz w:val="16"/>
                <w:szCs w:val="16"/>
                <w:color w:val="auto"/>
              </w:rPr>
            </w:pPr>
          </w:p>
        </w:tc>
        <w:tc>
          <w:tcPr>
            <w:tcW w:w="1160" w:type="dxa"/>
            <w:vAlign w:val="bottom"/>
            <w:shd w:val="clear" w:color="auto" w:fill="0E2A35"/>
          </w:tcPr>
          <w:p>
            <w:pPr>
              <w:spacing w:after="0"/>
              <w:rPr>
                <w:sz w:val="16"/>
                <w:szCs w:val="16"/>
                <w:color w:val="auto"/>
              </w:rPr>
            </w:pPr>
          </w:p>
        </w:tc>
        <w:tc>
          <w:tcPr>
            <w:tcW w:w="2440" w:type="dxa"/>
            <w:vAlign w:val="bottom"/>
            <w:shd w:val="clear" w:color="auto" w:fill="0E2A35"/>
          </w:tcPr>
          <w:p>
            <w:pPr>
              <w:spacing w:after="0"/>
              <w:rPr>
                <w:sz w:val="16"/>
                <w:szCs w:val="16"/>
                <w:color w:val="auto"/>
              </w:rPr>
            </w:pPr>
          </w:p>
        </w:tc>
        <w:tc>
          <w:tcPr>
            <w:tcW w:w="2760" w:type="dxa"/>
            <w:vAlign w:val="bottom"/>
            <w:shd w:val="clear" w:color="auto" w:fill="0E2A35"/>
          </w:tcPr>
          <w:p>
            <w:pPr>
              <w:spacing w:after="0"/>
              <w:rPr>
                <w:sz w:val="16"/>
                <w:szCs w:val="16"/>
                <w:color w:val="auto"/>
              </w:rPr>
            </w:pPr>
          </w:p>
        </w:tc>
        <w:tc>
          <w:tcPr>
            <w:tcW w:w="2180" w:type="dxa"/>
            <w:vAlign w:val="bottom"/>
            <w:shd w:val="clear" w:color="auto" w:fill="0E2A35"/>
          </w:tcPr>
          <w:p>
            <w:pPr>
              <w:ind w:left="280"/>
              <w:spacing w:after="0"/>
              <w:rPr>
                <w:sz w:val="20"/>
                <w:szCs w:val="20"/>
                <w:color w:val="auto"/>
              </w:rPr>
            </w:pPr>
            <w:r>
              <w:rPr>
                <w:rFonts w:ascii="Arial" w:cs="Arial" w:eastAsia="Arial" w:hAnsi="Arial"/>
                <w:sz w:val="14"/>
                <w:szCs w:val="14"/>
                <w:color w:val="FFFFFF"/>
              </w:rPr>
              <w:t>management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60" w:type="dxa"/>
            <w:vAlign w:val="bottom"/>
          </w:tcPr>
          <w:p>
            <w:pPr>
              <w:spacing w:after="0"/>
              <w:rPr>
                <w:sz w:val="24"/>
                <w:szCs w:val="24"/>
                <w:color w:val="auto"/>
              </w:rPr>
            </w:pPr>
          </w:p>
        </w:tc>
        <w:tc>
          <w:tcPr>
            <w:tcW w:w="740" w:type="dxa"/>
            <w:vAlign w:val="bottom"/>
            <w:shd w:val="clear" w:color="auto" w:fill="0E2A35"/>
          </w:tcPr>
          <w:p>
            <w:pPr>
              <w:spacing w:after="0"/>
              <w:rPr>
                <w:sz w:val="24"/>
                <w:szCs w:val="24"/>
                <w:color w:val="auto"/>
              </w:rPr>
            </w:pPr>
          </w:p>
        </w:tc>
        <w:tc>
          <w:tcPr>
            <w:tcW w:w="1160" w:type="dxa"/>
            <w:vAlign w:val="bottom"/>
            <w:shd w:val="clear" w:color="auto" w:fill="0E2A35"/>
          </w:tcPr>
          <w:p>
            <w:pPr>
              <w:spacing w:after="0"/>
              <w:rPr>
                <w:sz w:val="24"/>
                <w:szCs w:val="24"/>
                <w:color w:val="auto"/>
              </w:rPr>
            </w:pPr>
          </w:p>
        </w:tc>
        <w:tc>
          <w:tcPr>
            <w:tcW w:w="2440" w:type="dxa"/>
            <w:vAlign w:val="bottom"/>
            <w:shd w:val="clear" w:color="auto" w:fill="0E2A35"/>
          </w:tcPr>
          <w:p>
            <w:pPr>
              <w:spacing w:after="0"/>
              <w:rPr>
                <w:sz w:val="24"/>
                <w:szCs w:val="24"/>
                <w:color w:val="auto"/>
              </w:rPr>
            </w:pPr>
          </w:p>
        </w:tc>
        <w:tc>
          <w:tcPr>
            <w:tcW w:w="4940" w:type="dxa"/>
            <w:vAlign w:val="bottom"/>
            <w:gridSpan w:val="2"/>
            <w:shd w:val="clear" w:color="auto" w:fill="0E2A35"/>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20" w:type="dxa"/>
            <w:vAlign w:val="bottom"/>
            <w:gridSpan w:val="3"/>
          </w:tcPr>
          <w:p>
            <w:pPr>
              <w:ind w:left="2220"/>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16</w:t>
            </w:r>
          </w:p>
        </w:tc>
        <w:tc>
          <w:tcPr>
            <w:tcW w:w="0" w:type="dxa"/>
            <w:vAlign w:val="bottom"/>
          </w:tcPr>
          <w:p>
            <w:pPr>
              <w:spacing w:after="0"/>
              <w:rPr>
                <w:sz w:val="1"/>
                <w:szCs w:val="1"/>
                <w:color w:val="auto"/>
              </w:rPr>
            </w:pPr>
          </w:p>
        </w:tc>
      </w:tr>
      <w:tr>
        <w:trPr>
          <w:trHeight w:val="285"/>
        </w:trPr>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-1885315</wp:posOffset>
            </wp:positionV>
            <wp:extent cx="685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-1885315</wp:posOffset>
            </wp:positionV>
            <wp:extent cx="685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-1885315</wp:posOffset>
            </wp:positionV>
            <wp:extent cx="6858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-1945005</wp:posOffset>
            </wp:positionV>
            <wp:extent cx="6858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-290830</wp:posOffset>
            </wp:positionV>
            <wp:extent cx="146558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Refreshment</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0E2A35"/>
        </w:rPr>
        <w:t>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0E2A35"/>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understands and fully appreciates the value of diversity and inclusion and has added three independent, diverse directors to the Board since 2019.</w:t>
      </w:r>
    </w:p>
    <w:p>
      <w:pPr>
        <w:spacing w:after="0" w:line="14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0E2A35"/>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Code of Conduct and Corporate Governance Documents</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E2A35"/>
        </w:rPr>
        <w:t>We have adopted a Code of Conduct applicable to all of our directors, officers, employees and business partners. A copy of the Code of Conduct is available on our website.</w:t>
      </w:r>
    </w:p>
    <w:p>
      <w:pPr>
        <w:spacing w:after="0" w:line="115"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0E2A35"/>
        </w:rPr>
        <w:t>Our human rights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w:t>
      </w:r>
    </w:p>
    <w:p>
      <w:pPr>
        <w:spacing w:after="0" w:line="13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0E2A35"/>
        </w:rPr>
        <w:t xml:space="preserve">Our Code of Conduct, human rights policy, committee charters, supplier code of conduct, and other governance documents are available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This website and the materials available through it are not incorporated by reference into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Policy on Transactions with Related Persons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We have adopted a written policy for review of transactions involving more than $120,000 in any calendar year in which Winnebago Industries is a participant and in which any executive officer, director, nominee for director,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6"/>
          <w:szCs w:val="16"/>
          <w:color w:val="0E2A35"/>
        </w:rPr>
        <w:t>In determining whether to approve or ratify any potential related-party transaction, the Nominating and Governance Committee considers the relevant facts and circumstances, including (if applicable) but not limited to: 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 The committee will not approve any related person transaction that is inconsistent with the interests of the Company and its shareholders.</w:t>
      </w:r>
    </w:p>
    <w:p>
      <w:pPr>
        <w:spacing w:after="0" w:line="14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0E2A35"/>
        </w:rPr>
        <w:t>During fiscal 2022, the only related party transactions involved Donald Clark, one of our executive officers. Mr. Clark has a 20% ownership interest in Three Oaks, LLC (Three Oaks), an entity which owns certain land and buildings that Grand Design RV, LLC (Grand Design) leases in order to operate its business. Grand Design paid $225,000 to Three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Oaks under its existing lease with Three Oaks, which was entered into on October 2, 2016 and amended on October 4, 2019. In addition, Mr. Clark held equity interests in Barletta Boat Company, LLC and Three Limes, LLC (together, Barletta), which the Company acquired in August 2021 for an upfront payment of $255,000,000 consisting of cash and shares of the Company’s common stock, plus potential contingent consideration of up to $50,000,000 in cash and $15,000,000 in the Company's common stock based on achievement of certain financial performance metrics during the earnout periods. Mr. Clark was entitled to approximately 24% of the total net proceeds paid to date, including the consideration paid at the closing of the transaction and the common stock contingent consideration, but Mr. Clark is not entitled to any portion of the $50,000,000 contingent cash consideration. In April 2022, Mr. Clark received 58,525 shares of the Company’s common stock, valued at $3,160,350, as payment for the portion of the contingent consideration that was earned during the first earnout period. Although Mr. Clark is a member of the Company's executive leadership team, he was excluded from the Company's initial consideration and proposal to acquire Barletta and did not participate in negotiation of the purchase agreement. Each of the transactions with Three Oaks and Barletta was approved or ratified by the Nominating and Governance Committee.</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Communications with Directors</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Shareholders and other interested parties seeking to communicate with our directors or a particular director may write to: Winnebago Industries, Inc., Attn: Senior Vice President, General Counsel, Secretary and Corporate Responsibility, 13200 Pioneer Trail, Eden Prairie, MN 55347 or email: SLBogart@winnebagoind.com. All communications must be accompanied by the following information: (1) if the person submitting the communication is a shareholder, a statement of the number of shares of common stock that the person holds; (2) if the person submitting the communication is not a shareholder and is submitting the communication to the non-employee directors as an interested party, the nature of the person’s interest in the Company; (3) any special interest, meaning an interest not in the capacity of a shareholder, of the person in the subject matter of the communication; and (4) the address, telephone number and e-mail address, if any, of the person submitting the communication. All communications received from shareholders and other interested parties will be reviewed by the Senior Vice President, General Counsel, Secretary and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Anti-Hedging and Anti-Pledging Policy</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We adopted a policy that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These restrictions also apply to family members of employees and directors and anyone designated to engage in securities transactions on their behalf.</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Proposal 1 – Election of Directors</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0E2A35"/>
        </w:rPr>
        <w:t>Our bylaws provide that our Board is comprised of between three and fifteen directors. The number of directors currently on the Board is ten. Mr. Robert M. Chiusano is not standing for re-election upon the expiration of his term at the Annual Meeting. Effective as of the Annual Meeting, the size of our Board will be reduced from ten to nine members.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4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0E2A35"/>
        </w:rPr>
        <w:t>Based on the recommendation of the Nominating and Governance Committee, our Board has nominated Mr. Kevin E. Bryant, Mr. Richard D. Moss, and Mr. John M. Murabito for election to serve as Class II directors for three-year terms expiring at the annual meeting following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23495</wp:posOffset>
            </wp:positionV>
            <wp:extent cx="4714875" cy="6261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14875" cy="626110"/>
                    </a:xfrm>
                    <a:prstGeom prst="rect">
                      <a:avLst/>
                    </a:prstGeom>
                    <a:noFill/>
                  </pic:spPr>
                </pic:pic>
              </a:graphicData>
            </a:graphic>
          </wp:anchor>
        </w:drawing>
      </w:r>
    </w:p>
    <w:p>
      <w:pPr>
        <w:spacing w:after="0" w:line="277" w:lineRule="exact"/>
        <w:rPr>
          <w:sz w:val="20"/>
          <w:szCs w:val="20"/>
          <w:color w:val="auto"/>
        </w:rPr>
      </w:pPr>
    </w:p>
    <w:p>
      <w:pPr>
        <w:ind w:left="1480" w:right="1500" w:hanging="616"/>
        <w:spacing w:after="0" w:line="181" w:lineRule="auto"/>
        <w:tabs>
          <w:tab w:leader="none" w:pos="1480" w:val="left"/>
        </w:tabs>
        <w:numPr>
          <w:ilvl w:val="0"/>
          <w:numId w:val="9"/>
        </w:numPr>
        <w:rPr>
          <w:rFonts w:ascii="MS PGothic" w:cs="MS PGothic" w:eastAsia="MS PGothic" w:hAnsi="MS PGothic"/>
          <w:sz w:val="44"/>
          <w:szCs w:val="44"/>
          <w:color w:val="FFFFFF"/>
        </w:rPr>
      </w:pPr>
      <w:r>
        <w:rPr>
          <w:rFonts w:ascii="Arial" w:cs="Arial" w:eastAsia="Arial" w:hAnsi="Arial"/>
          <w:sz w:val="18"/>
          <w:szCs w:val="18"/>
          <w:b w:val="1"/>
          <w:bCs w:val="1"/>
          <w:color w:val="FFFFFF"/>
        </w:rPr>
        <w:t>THE​ BOARD UNANIMOUSLY RECOMMENDS THAT YOU VOTE FOR THE ELECTION OF THE DIRECTOR NOMINEES.</w:t>
      </w:r>
      <w:r>
        <w:rPr>
          <w:rFonts w:ascii="Arial" w:cs="Arial" w:eastAsia="Arial" w:hAnsi="Arial"/>
          <w:sz w:val="18"/>
          <w:szCs w:val="18"/>
          <w:color w:val="FFFFFF"/>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FFFFFF"/>
        </w:rPr>
        <w:t xml:space="preserve">    </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Director Nominees - Class II (Term Ending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5897880" cy="24771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97880" cy="247713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Kevin E. Bryant</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47</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w:t>
      </w:r>
    </w:p>
    <w:p>
      <w:pPr>
        <w:ind w:left="100"/>
        <w:spacing w:after="0"/>
        <w:rPr>
          <w:sz w:val="20"/>
          <w:szCs w:val="20"/>
          <w:color w:val="auto"/>
        </w:rPr>
      </w:pPr>
      <w:r>
        <w:rPr>
          <w:rFonts w:ascii="Arial" w:cs="Arial" w:eastAsia="Arial" w:hAnsi="Arial"/>
          <w:sz w:val="13"/>
          <w:szCs w:val="13"/>
          <w:color w:val="FFFFFF"/>
        </w:rPr>
        <w:t>Finance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Richard (Rick) D.</w:t>
      </w:r>
    </w:p>
    <w:p>
      <w:pPr>
        <w:ind w:left="100"/>
        <w:spacing w:after="0" w:line="232" w:lineRule="auto"/>
        <w:rPr>
          <w:sz w:val="20"/>
          <w:szCs w:val="20"/>
          <w:color w:val="auto"/>
        </w:rPr>
      </w:pPr>
      <w:r>
        <w:rPr>
          <w:rFonts w:ascii="Arial" w:cs="Arial" w:eastAsia="Arial" w:hAnsi="Arial"/>
          <w:sz w:val="17"/>
          <w:szCs w:val="17"/>
          <w:b w:val="1"/>
          <w:bCs w:val="1"/>
          <w:color w:val="FFFFFF"/>
        </w:rPr>
        <w:t>Moss</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64</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 (Chair)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E2A35"/>
        </w:rPr>
        <w:t>Skills and Qualifications:</w:t>
      </w:r>
    </w:p>
    <w:p>
      <w:pPr>
        <w:spacing w:after="0" w:line="140" w:lineRule="exact"/>
        <w:rPr>
          <w:sz w:val="20"/>
          <w:szCs w:val="20"/>
          <w:color w:val="auto"/>
        </w:rPr>
      </w:pPr>
    </w:p>
    <w:p>
      <w:pPr>
        <w:ind w:left="269"/>
        <w:spacing w:after="0"/>
        <w:tabs>
          <w:tab w:leader="none" w:pos="648" w:val="left"/>
          <w:tab w:leader="none" w:pos="3569" w:val="left"/>
          <w:tab w:leader="none" w:pos="3969"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Financial Expert</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669" w:hanging="399"/>
        <w:spacing w:after="0"/>
        <w:tabs>
          <w:tab w:leader="none" w:pos="669" w:val="left"/>
        </w:tabs>
        <w:numPr>
          <w:ilvl w:val="0"/>
          <w:numId w:val="10"/>
        </w:numPr>
        <w:rPr>
          <w:rFonts w:ascii="Arial" w:cs="Arial" w:eastAsia="Arial" w:hAnsi="Arial"/>
          <w:sz w:val="16"/>
          <w:szCs w:val="16"/>
          <w:color w:val="0E2A35"/>
        </w:rPr>
      </w:pPr>
      <w:r>
        <w:rPr>
          <w:rFonts w:ascii="Arial" w:cs="Arial" w:eastAsia="Arial" w:hAnsi="Arial"/>
          <w:sz w:val="16"/>
          <w:szCs w:val="16"/>
          <w:color w:val="0E2A35"/>
        </w:rPr>
        <w:t>Operations Optimization</w:t>
      </w:r>
    </w:p>
    <w:p>
      <w:pPr>
        <w:spacing w:after="0" w:line="316" w:lineRule="exact"/>
        <w:rPr>
          <w:sz w:val="20"/>
          <w:szCs w:val="20"/>
          <w:color w:val="auto"/>
        </w:rPr>
      </w:pPr>
    </w:p>
    <w:p>
      <w:pPr>
        <w:ind w:left="9" w:right="40"/>
        <w:spacing w:after="0" w:line="248" w:lineRule="auto"/>
        <w:rPr>
          <w:sz w:val="20"/>
          <w:szCs w:val="20"/>
          <w:color w:val="auto"/>
        </w:rPr>
      </w:pPr>
      <w:r>
        <w:rPr>
          <w:rFonts w:ascii="Arial" w:cs="Arial" w:eastAsia="Arial" w:hAnsi="Arial"/>
          <w:sz w:val="16"/>
          <w:szCs w:val="16"/>
          <w:color w:val="0E2A35"/>
        </w:rPr>
        <w:t>Kevin E. Bryant is Executive Vice President and Chief Operating Officer of Evergy, an electric utility company, a position he has held since June 2018. In this role, Mr. Bryant has management responsibility for utility operations, including generation operations and generation services, transmission operations, transmission and delivery services, distribution operations, resource planning, safety and training. Since joining Evergy in 2003, Mr. Bryant has held several positions that have drawn on his strategic insight and finance/marketing experience. Prior to his current position, Mr. Bryant served as Vice President of Investor Relations and Treasurer, Vice President of Strategic Planning and President of KLT Inc., a subsidiary of Evergy. He was named Executive Vice President Finance &amp; Strategy and Chief Financial Officer in 2015. Before joining Evergy, Mr. Bryant held roles at THQ, Inc., UBS and Hallmark Cards, Inc. Mr. Bryant also serves on the board of directors of the Boys</w:t>
      </w:r>
    </w:p>
    <w:p>
      <w:pPr>
        <w:spacing w:after="0" w:line="5" w:lineRule="exact"/>
        <w:rPr>
          <w:sz w:val="20"/>
          <w:szCs w:val="20"/>
          <w:color w:val="auto"/>
        </w:rPr>
      </w:pPr>
    </w:p>
    <w:p>
      <w:pPr>
        <w:ind w:left="9" w:right="220" w:hanging="9"/>
        <w:spacing w:after="0" w:line="265" w:lineRule="auto"/>
        <w:tabs>
          <w:tab w:leader="none" w:pos="162" w:val="left"/>
        </w:tabs>
        <w:numPr>
          <w:ilvl w:val="0"/>
          <w:numId w:val="11"/>
        </w:numPr>
        <w:rPr>
          <w:rFonts w:ascii="Arial" w:cs="Arial" w:eastAsia="Arial" w:hAnsi="Arial"/>
          <w:sz w:val="16"/>
          <w:szCs w:val="16"/>
          <w:color w:val="0E2A35"/>
        </w:rPr>
      </w:pPr>
      <w:r>
        <w:rPr>
          <w:rFonts w:ascii="Arial" w:cs="Arial" w:eastAsia="Arial" w:hAnsi="Arial"/>
          <w:sz w:val="16"/>
          <w:szCs w:val="16"/>
          <w:color w:val="0E2A35"/>
        </w:rPr>
        <w:t>Girls Club of Greater Kansas City. Mr. Bryant brings financial, operational, business development and energy platform expertise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118110</wp:posOffset>
            </wp:positionV>
            <wp:extent cx="5897880" cy="25971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97880" cy="25971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E2A35"/>
        </w:rPr>
        <w:t>Skills and Qualifications:</w:t>
      </w:r>
    </w:p>
    <w:p>
      <w:pPr>
        <w:spacing w:after="0" w:line="140" w:lineRule="exact"/>
        <w:rPr>
          <w:sz w:val="20"/>
          <w:szCs w:val="20"/>
          <w:color w:val="auto"/>
        </w:rPr>
      </w:pPr>
    </w:p>
    <w:p>
      <w:pPr>
        <w:ind w:left="269"/>
        <w:spacing w:after="0"/>
        <w:tabs>
          <w:tab w:leader="none" w:pos="648" w:val="left"/>
          <w:tab w:leader="none" w:pos="3569" w:val="left"/>
          <w:tab w:leader="none" w:pos="3969"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Financial Expert</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669" w:hanging="399"/>
        <w:spacing w:after="0"/>
        <w:tabs>
          <w:tab w:leader="none" w:pos="669" w:val="left"/>
        </w:tabs>
        <w:numPr>
          <w:ilvl w:val="0"/>
          <w:numId w:val="12"/>
        </w:numPr>
        <w:rPr>
          <w:rFonts w:ascii="Arial" w:cs="Arial" w:eastAsia="Arial" w:hAnsi="Arial"/>
          <w:sz w:val="16"/>
          <w:szCs w:val="16"/>
          <w:color w:val="0E2A35"/>
        </w:rPr>
      </w:pPr>
      <w:r>
        <w:rPr>
          <w:rFonts w:ascii="Arial" w:cs="Arial" w:eastAsia="Arial" w:hAnsi="Arial"/>
          <w:sz w:val="16"/>
          <w:szCs w:val="16"/>
          <w:color w:val="0E2A35"/>
        </w:rPr>
        <w:t>Operations Optimization</w:t>
      </w:r>
    </w:p>
    <w:p>
      <w:pPr>
        <w:spacing w:after="0" w:line="316" w:lineRule="exact"/>
        <w:rPr>
          <w:sz w:val="20"/>
          <w:szCs w:val="20"/>
          <w:color w:val="auto"/>
        </w:rPr>
      </w:pPr>
    </w:p>
    <w:p>
      <w:pPr>
        <w:ind w:left="9" w:right="20"/>
        <w:spacing w:after="0" w:line="249" w:lineRule="auto"/>
        <w:rPr>
          <w:sz w:val="20"/>
          <w:szCs w:val="20"/>
          <w:color w:val="auto"/>
        </w:rPr>
      </w:pPr>
      <w:r>
        <w:rPr>
          <w:rFonts w:ascii="Arial" w:cs="Arial" w:eastAsia="Arial" w:hAnsi="Arial"/>
          <w:sz w:val="16"/>
          <w:szCs w:val="16"/>
          <w:color w:val="0E2A35"/>
        </w:rPr>
        <w:t>Richard​ (Rick) D. Moss most recently served as the Chief Financial Officer of Hanesbrands, Inc., a leading global basic apparel manufacturer, from 2011 until his retirement in December 2017. Mr. Moss joined Hanesbrands as Senior Vice President - Finance and Treasurer and had several roles increasing in scope and complexity prior to becoming Chief Financial Officer. Prior to his roles at Hanesbrands, Mr. Moss served as Chief Financial Officer of Chattem Inc., a consumer products company. Mr. Moss has been a director of Nature’s Sunshine Products, Inc. since May 2018 and was appointed as Chairman in May 2022. Mr. Moss been a director of Hydrofarm Holdings Group, Inc. since November 2020 and also serves on the board of a not-for-profit organization as Chairman of the Board of Trustees of The Arts Council of Winston-Salem/Forsyth County. 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200" w:lineRule="exact"/>
        <w:rPr>
          <w:sz w:val="20"/>
          <w:szCs w:val="20"/>
          <w:color w:val="auto"/>
        </w:rPr>
      </w:pPr>
    </w:p>
    <w:p>
      <w:pPr>
        <w:sectPr>
          <w:pgSz w:w="11900" w:h="16838" w:orient="portrait"/>
          <w:cols w:equalWidth="0" w:num="2">
            <w:col w:w="1480" w:space="491"/>
            <w:col w:w="7309"/>
          </w:cols>
          <w:pgMar w:left="1300" w:top="263" w:right="1319" w:bottom="1440" w:gutter="0" w:footer="0" w:header="0"/>
          <w:type w:val="continuous"/>
        </w:sectPr>
      </w:pPr>
    </w:p>
    <w:p>
      <w:pPr>
        <w:spacing w:after="0" w:line="244"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John M. Murabito</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63</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62" w:lineRule="auto"/>
        <w:rPr>
          <w:sz w:val="20"/>
          <w:szCs w:val="20"/>
          <w:color w:val="auto"/>
        </w:rPr>
      </w:pPr>
      <w:r>
        <w:rPr>
          <w:rFonts w:ascii="Arial" w:cs="Arial" w:eastAsia="Arial" w:hAnsi="Arial"/>
          <w:sz w:val="12"/>
          <w:szCs w:val="12"/>
          <w:color w:val="FFFFFF"/>
        </w:rPr>
        <w:t>Human Resources (Chair)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-321310</wp:posOffset>
            </wp:positionV>
            <wp:extent cx="5897880" cy="2837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97880" cy="2837180"/>
                    </a:xfrm>
                    <a:prstGeom prst="rect">
                      <a:avLst/>
                    </a:prstGeom>
                    <a:noFill/>
                  </pic:spPr>
                </pic:pic>
              </a:graphicData>
            </a:graphic>
          </wp:anchor>
        </w:drawing>
      </w:r>
    </w:p>
    <w:p>
      <w:pPr>
        <w:spacing w:after="0" w:line="12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660" w:right="4180" w:hanging="399"/>
        <w:spacing w:after="0" w:line="286" w:lineRule="auto"/>
        <w:tabs>
          <w:tab w:leader="none" w:pos="660" w:val="left"/>
        </w:tabs>
        <w:numPr>
          <w:ilvl w:val="0"/>
          <w:numId w:val="13"/>
        </w:numPr>
        <w:rPr>
          <w:rFonts w:ascii="Arial" w:cs="Arial" w:eastAsia="Arial" w:hAnsi="Arial"/>
          <w:sz w:val="16"/>
          <w:szCs w:val="16"/>
          <w:color w:val="0E2A35"/>
        </w:rPr>
      </w:pPr>
      <w:r>
        <w:rPr>
          <w:rFonts w:ascii="Arial" w:cs="Arial" w:eastAsia="Arial" w:hAnsi="Arial"/>
          <w:sz w:val="16"/>
          <w:szCs w:val="16"/>
          <w:color w:val="0E2A35"/>
        </w:rPr>
        <w:t>Human Capital Management/Compensation/DE&amp;I</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6"/>
          <w:szCs w:val="16"/>
          <w:color w:val="0E2A35"/>
        </w:rPr>
        <w:t>John M. Murabito most recently served as Executive Vice President at Cigna Corporation, a global healthcare services company, from 2003 until his retirement in April 2022. Mr. Murabito joined Cigna as its Chief Human Resources Officer and served in that role for 18 years before becoming Chief Administrative Officer in 2021. In that role, he had oversight of Human Resources, Enterprise Marketing, Security and Aviation, and Diversity, Equity &amp; Inclusion, Civic Affairs, and the Cigna Foundation, of which he was the president. Earlier in his career, he served as Senior Vice President of Human Resources and Corporate Services at Monsanto. His background includes over 40 years of extensive related experience with the Frito-Lay division of PepsiCo, Symbion, Inc., and The Trane Company. Mr. Murabito is a Fellow of the National Academy of Human Resources and serves as Chair of the Board. He also chairs the Board of Trustees for his alma mater, Augustana College.</w:t>
      </w:r>
    </w:p>
    <w:p>
      <w:pPr>
        <w:spacing w:after="0" w:line="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E2A35"/>
        </w:rPr>
        <w:t>Mr. Murabito brings strong executive business leadership and talent management expertise to our Board as a former senior executive of a Fortune 20 public company. He provides valuable insights on human capital, executive compensation, leadership development and succession planning to the Board.</w:t>
      </w:r>
    </w:p>
    <w:p>
      <w:pPr>
        <w:spacing w:after="0" w:line="200" w:lineRule="exact"/>
        <w:rPr>
          <w:sz w:val="20"/>
          <w:szCs w:val="20"/>
          <w:color w:val="auto"/>
        </w:rPr>
      </w:pPr>
    </w:p>
    <w:p>
      <w:pPr>
        <w:sectPr>
          <w:pgSz w:w="11900" w:h="16838" w:orient="portrait"/>
          <w:cols w:equalWidth="0" w:num="2">
            <w:col w:w="1720" w:space="260"/>
            <w:col w:w="7300"/>
          </w:cols>
          <w:pgMar w:left="130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Directors Continuing in Office - Class III (Term Ending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2837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97880" cy="28371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Sara E. Armbruster</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51</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2019</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Finance</w:t>
      </w:r>
    </w:p>
    <w:p>
      <w:pPr>
        <w:ind w:left="100"/>
        <w:spacing w:after="0"/>
        <w:rPr>
          <w:sz w:val="20"/>
          <w:szCs w:val="20"/>
          <w:color w:val="auto"/>
        </w:rPr>
      </w:pPr>
      <w:r>
        <w:rPr>
          <w:rFonts w:ascii="Arial" w:cs="Arial" w:eastAsia="Arial" w:hAnsi="Arial"/>
          <w:sz w:val="13"/>
          <w:szCs w:val="13"/>
          <w:color w:val="FFFFFF"/>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p>
    <w:p>
      <w:pPr>
        <w:spacing w:after="0" w:line="140" w:lineRule="exact"/>
        <w:rPr>
          <w:sz w:val="20"/>
          <w:szCs w:val="20"/>
          <w:color w:val="auto"/>
        </w:rPr>
      </w:pPr>
    </w:p>
    <w:p>
      <w:pPr>
        <w:ind w:left="660" w:hanging="399"/>
        <w:spacing w:after="0"/>
        <w:tabs>
          <w:tab w:leader="none" w:pos="660" w:val="left"/>
        </w:tabs>
        <w:numPr>
          <w:ilvl w:val="0"/>
          <w:numId w:val="14"/>
        </w:numPr>
        <w:rPr>
          <w:rFonts w:ascii="Arial" w:cs="Arial" w:eastAsia="Arial" w:hAnsi="Arial"/>
          <w:sz w:val="16"/>
          <w:szCs w:val="16"/>
          <w:color w:val="0E2A35"/>
        </w:rPr>
      </w:pPr>
      <w:r>
        <w:rPr>
          <w:rFonts w:ascii="Arial" w:cs="Arial" w:eastAsia="Arial" w:hAnsi="Arial"/>
          <w:sz w:val="16"/>
          <w:szCs w:val="16"/>
          <w:color w:val="0E2A35"/>
        </w:rPr>
        <w:t>Strategic Transformation</w:t>
      </w:r>
    </w:p>
    <w:p>
      <w:pPr>
        <w:spacing w:after="0" w:line="316"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Sara E. Armbruster is President and Chief Executive Officer of Steelcase Inc., a global office furniture manufacturer, a position she has held since October 2021. Ms. Armbruster also serves on the board of directors of Steelcase. Ms. Armbruster has held several leadership positions since joining Steelcase in 2007 as Vice President of Corporate Strategy, including as Vice President, Strategy, Research and Digital Transformation and Executive Vice President. In her roles, Ms. Armbruster oversaw Steelcase’s technology efforts and was responsible for advancing the embrace of digital technologies and for digital transformation of Steelcase. Ms. Armbruster also has had responsibility for a range of innovation activities, including global design research, the design and implementation of new business models, and the development of external growth opportunities, including acquisitions and partnerships.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200" w:lineRule="exact"/>
        <w:rPr>
          <w:sz w:val="20"/>
          <w:szCs w:val="20"/>
          <w:color w:val="auto"/>
        </w:rPr>
      </w:pPr>
    </w:p>
    <w:p>
      <w:pPr>
        <w:sectPr>
          <w:pgSz w:w="11900" w:h="16838" w:orient="portrait"/>
          <w:cols w:equalWidth="0" w:num="2">
            <w:col w:w="1660" w:space="320"/>
            <w:col w:w="7300"/>
          </w:cols>
          <w:pgMar w:left="1300" w:top="263" w:right="1319" w:bottom="1440" w:gutter="0" w:footer="0" w:header="0"/>
          <w:type w:val="continuous"/>
        </w:sectPr>
      </w:pPr>
    </w:p>
    <w:p>
      <w:pPr>
        <w:spacing w:after="0" w:line="240"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William C. Fisher</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68</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w:t>
      </w:r>
    </w:p>
    <w:p>
      <w:pPr>
        <w:ind w:left="100"/>
        <w:spacing w:after="0" w:line="231" w:lineRule="auto"/>
        <w:rPr>
          <w:sz w:val="20"/>
          <w:szCs w:val="20"/>
          <w:color w:val="auto"/>
        </w:rPr>
      </w:pPr>
      <w:r>
        <w:rPr>
          <w:rFonts w:ascii="Arial" w:cs="Arial" w:eastAsia="Arial" w:hAnsi="Arial"/>
          <w:sz w:val="13"/>
          <w:szCs w:val="13"/>
          <w:color w:val="FFFFFF"/>
        </w:rPr>
        <w:t>Nominating and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-321310</wp:posOffset>
            </wp:positionV>
            <wp:extent cx="5897880" cy="2802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97880" cy="2802890"/>
                    </a:xfrm>
                    <a:prstGeom prst="rect">
                      <a:avLst/>
                    </a:prstGeom>
                    <a:noFill/>
                  </pic:spPr>
                </pic:pic>
              </a:graphicData>
            </a:graphic>
          </wp:anchor>
        </w:drawing>
      </w:r>
    </w:p>
    <w:p>
      <w:pPr>
        <w:spacing w:after="0" w:line="12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Operations Optimization</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Mobility Ecosystem</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​Technology Leader/Data &amp; Analytics</w:t>
      </w:r>
    </w:p>
    <w:p>
      <w:pPr>
        <w:spacing w:after="0" w:line="140" w:lineRule="exact"/>
        <w:rPr>
          <w:sz w:val="20"/>
          <w:szCs w:val="20"/>
          <w:color w:val="auto"/>
        </w:rPr>
      </w:pPr>
    </w:p>
    <w:p>
      <w:pPr>
        <w:ind w:left="660" w:hanging="399"/>
        <w:spacing w:after="0"/>
        <w:tabs>
          <w:tab w:leader="none" w:pos="660" w:val="left"/>
        </w:tabs>
        <w:numPr>
          <w:ilvl w:val="0"/>
          <w:numId w:val="15"/>
        </w:numPr>
        <w:rPr>
          <w:rFonts w:ascii="Arial" w:cs="Arial" w:eastAsia="Arial" w:hAnsi="Arial"/>
          <w:sz w:val="16"/>
          <w:szCs w:val="16"/>
          <w:color w:val="0E2A35"/>
        </w:rPr>
      </w:pPr>
      <w:r>
        <w:rPr>
          <w:rFonts w:ascii="Arial" w:cs="Arial" w:eastAsia="Arial" w:hAnsi="Arial"/>
          <w:sz w:val="16"/>
          <w:szCs w:val="16"/>
          <w:color w:val="0E2A35"/>
        </w:rPr>
        <w:t>Channel Development</w:t>
      </w:r>
    </w:p>
    <w:p>
      <w:pPr>
        <w:spacing w:after="0" w:line="31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0E2A35"/>
        </w:rPr>
        <w:t>William C. Fisher was the Chief Information Officer of Polaris Industries Inc., a manufacturer of power sports products, from 1999 until his retirement in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Chief Information Officer at Polaris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139065</wp:posOffset>
            </wp:positionV>
            <wp:extent cx="5897880" cy="3282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97880" cy="3282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260"/>
            <w:col w:w="7300"/>
          </w:cols>
          <w:pgMar w:left="130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Michael J. Happe</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1691640</wp:posOffset>
            </wp:positionV>
            <wp:extent cx="1465580"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Marketing/Sales/Branding</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p>
    <w:p>
      <w:pPr>
        <w:spacing w:after="0" w:line="140" w:lineRule="exact"/>
        <w:rPr>
          <w:sz w:val="20"/>
          <w:szCs w:val="20"/>
          <w:color w:val="auto"/>
        </w:rPr>
      </w:pPr>
    </w:p>
    <w:p>
      <w:pPr>
        <w:ind w:left="660" w:hanging="399"/>
        <w:spacing w:after="0"/>
        <w:tabs>
          <w:tab w:leader="none" w:pos="660" w:val="left"/>
        </w:tabs>
        <w:numPr>
          <w:ilvl w:val="0"/>
          <w:numId w:val="16"/>
        </w:numPr>
        <w:rPr>
          <w:rFonts w:ascii="Arial" w:cs="Arial" w:eastAsia="Arial" w:hAnsi="Arial"/>
          <w:sz w:val="16"/>
          <w:szCs w:val="16"/>
          <w:color w:val="0E2A35"/>
        </w:rPr>
      </w:pPr>
      <w:r>
        <w:rPr>
          <w:rFonts w:ascii="Arial" w:cs="Arial" w:eastAsia="Arial" w:hAnsi="Arial"/>
          <w:sz w:val="16"/>
          <w:szCs w:val="16"/>
          <w:color w:val="0E2A35"/>
        </w:rPr>
        <w:t>Channel Development</w:t>
      </w:r>
    </w:p>
    <w:p>
      <w:pPr>
        <w:spacing w:after="0" w:line="31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E2A35"/>
        </w:rPr>
        <w:t>Michael J. Happe joined Winnebago Industries in January 2016, as the President, Chief Executive Officer and a director. Mr. Happe has led a transformation of the Company into an outdoor recreation / lifestyle enterprise. Under his leadership, Winnebago Industries has grown both organically and inorganically, completed four major acquisitions, including Grand Design RV, Chris-Craft, Newmar, and Barletta Boats, and expanded its industry and geographic footprint. Winnebago Industries’ net sales, net income, RV and marine market share, and total shareholder returns have all grown significantly under Mr. Happe’s leadership, as has the Company’s commitment to corporate responsibility. He worked previously at The Toro Company, a global manufacturer of turf and landscape maintenance and development solutions, where he most recently served as an Executive Officer and Group Vice President of Toro’s Residential and Contractor business until 2015. A 19-year veteran of The Toro Company, Mr. Happe held a series of senior leadership positions throughout his career across a variety of the company’s domestic and international divisions. Mr. Happe also serves as a director for H.B. Fuller. His knowledge of all aspects of the Winnebago Industries business positions him well to serve on the Board. Mr. Happe’s extensive experience and positions rising in complexity and breadth at Toro, including global business affairs, as well as his director position at H.B. Fuller, brings further expertise in corporate leadership and development and execution of profitable business growth strategy.</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190500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500" w:space="480"/>
            <w:col w:w="7300"/>
          </w:cols>
          <w:pgMar w:left="1300" w:top="263" w:right="1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Directors Continuing in Office - Class I (Term Ending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5897880" cy="2357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97880" cy="235775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Christopher J.</w:t>
      </w:r>
    </w:p>
    <w:p>
      <w:pPr>
        <w:ind w:left="100"/>
        <w:spacing w:after="0" w:line="232" w:lineRule="auto"/>
        <w:rPr>
          <w:sz w:val="20"/>
          <w:szCs w:val="20"/>
          <w:color w:val="auto"/>
        </w:rPr>
      </w:pPr>
      <w:r>
        <w:rPr>
          <w:rFonts w:ascii="Arial" w:cs="Arial" w:eastAsia="Arial" w:hAnsi="Arial"/>
          <w:sz w:val="17"/>
          <w:szCs w:val="17"/>
          <w:b w:val="1"/>
          <w:bCs w:val="1"/>
          <w:color w:val="FFFFFF"/>
        </w:rPr>
        <w:t>Braun</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62</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FFFFFF"/>
        </w:rPr>
        <w:t>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​Operations Optimization</w:t>
      </w:r>
    </w:p>
    <w:p>
      <w:pPr>
        <w:spacing w:after="0" w:line="140"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​Channel Development</w:t>
      </w:r>
    </w:p>
    <w:p>
      <w:pPr>
        <w:spacing w:after="0" w:line="316"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139065</wp:posOffset>
            </wp:positionV>
            <wp:extent cx="5897880" cy="2802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2802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Technology Leader/Data &amp; Analytics</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 Affairs/Stakeholder Management</w:t>
      </w:r>
    </w:p>
    <w:p>
      <w:pPr>
        <w:spacing w:after="0" w:line="200" w:lineRule="exact"/>
        <w:rPr>
          <w:sz w:val="20"/>
          <w:szCs w:val="20"/>
          <w:color w:val="auto"/>
        </w:rPr>
      </w:pPr>
    </w:p>
    <w:p>
      <w:pPr>
        <w:sectPr>
          <w:pgSz w:w="11900" w:h="16838" w:orient="portrait"/>
          <w:cols w:equalWidth="0" w:num="2">
            <w:col w:w="1720" w:space="260"/>
            <w:col w:w="7300"/>
          </w:cols>
          <w:pgMar w:left="1300" w:top="263" w:right="131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David W. Miles</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65</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rPr>
          <w:sz w:val="20"/>
          <w:szCs w:val="20"/>
          <w:color w:val="auto"/>
        </w:rPr>
      </w:pPr>
      <w:r>
        <w:rPr>
          <w:rFonts w:ascii="Arial" w:cs="Arial" w:eastAsia="Arial" w:hAnsi="Arial"/>
          <w:sz w:val="12"/>
          <w:szCs w:val="12"/>
          <w:color w:val="FFFFFF"/>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16"/>
          <w:szCs w:val="16"/>
          <w:color w:val="0E2A35"/>
        </w:rPr>
        <w:t>David W. Miles, a financial adviser, entrepreneur and investor, was elected as Chairman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&amp; endowments, and high net worth investors, where he worked for over twenty-three years. Mr. Miles served as Executive Vice President, Principal Mutual Funds, and Executive Vice President, AMCORE Financial, Inc., where he was responsible for asset management, trust, private banking, brokerage, employee benefits and insurance services. During his career,</w:t>
      </w:r>
    </w:p>
    <w:p>
      <w:pPr>
        <w:spacing w:after="0" w:line="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Mr. Miles has served as a director or officer of more than 60 public mutual funds with total assets exceeding $30 billion. Mr. Miles brings legal and investment transaction experience to the Board. He also brings significant expertise in financial reporting and capital allocation strategy.</w:t>
      </w:r>
    </w:p>
    <w:p>
      <w:pPr>
        <w:spacing w:after="0" w:line="200" w:lineRule="exact"/>
        <w:rPr>
          <w:sz w:val="20"/>
          <w:szCs w:val="20"/>
          <w:color w:val="auto"/>
        </w:rPr>
      </w:pPr>
    </w:p>
    <w:p>
      <w:pPr>
        <w:sectPr>
          <w:pgSz w:w="11900" w:h="16838" w:orient="portrait"/>
          <w:cols w:equalWidth="0" w:num="2">
            <w:col w:w="1380" w:space="600"/>
            <w:col w:w="7300"/>
          </w:cols>
          <w:pgMar w:left="1300" w:top="263" w:right="1319" w:bottom="1440" w:gutter="0" w:footer="0" w:header="0"/>
          <w:type w:val="continuous"/>
        </w:sectPr>
      </w:pPr>
    </w:p>
    <w:p>
      <w:pPr>
        <w:spacing w:after="0" w:line="231"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Jacqueline D.</w:t>
      </w:r>
    </w:p>
    <w:p>
      <w:pPr>
        <w:ind w:left="100"/>
        <w:spacing w:after="0" w:line="232" w:lineRule="auto"/>
        <w:rPr>
          <w:sz w:val="20"/>
          <w:szCs w:val="20"/>
          <w:color w:val="auto"/>
        </w:rPr>
      </w:pPr>
      <w:r>
        <w:rPr>
          <w:rFonts w:ascii="Arial" w:cs="Arial" w:eastAsia="Arial" w:hAnsi="Arial"/>
          <w:sz w:val="17"/>
          <w:szCs w:val="17"/>
          <w:b w:val="1"/>
          <w:bCs w:val="1"/>
          <w:color w:val="FFFFFF"/>
        </w:rPr>
        <w:t>Woods</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60</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Human Resources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FFFFFF"/>
        </w:rPr>
        <w:t>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670560</wp:posOffset>
            </wp:positionV>
            <wp:extent cx="1465580"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-321310</wp:posOffset>
            </wp:positionV>
            <wp:extent cx="5897880" cy="2717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2717165"/>
                    </a:xfrm>
                    <a:prstGeom prst="rect">
                      <a:avLst/>
                    </a:prstGeom>
                    <a:noFill/>
                  </pic:spPr>
                </pic:pic>
              </a:graphicData>
            </a:graphic>
          </wp:anchor>
        </w:drawing>
      </w:r>
    </w:p>
    <w:p>
      <w:pPr>
        <w:spacing w:after="0" w:line="12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​Technology Leader/Data &amp; Analytics</w:t>
      </w:r>
    </w:p>
    <w:p>
      <w:pPr>
        <w:spacing w:after="0" w:line="140" w:lineRule="exact"/>
        <w:rPr>
          <w:sz w:val="20"/>
          <w:szCs w:val="20"/>
          <w:color w:val="auto"/>
        </w:rPr>
      </w:pPr>
    </w:p>
    <w:p>
      <w:pPr>
        <w:ind w:left="660" w:hanging="399"/>
        <w:spacing w:after="0"/>
        <w:tabs>
          <w:tab w:leader="none" w:pos="660" w:val="left"/>
        </w:tabs>
        <w:numPr>
          <w:ilvl w:val="0"/>
          <w:numId w:val="17"/>
        </w:numPr>
        <w:rPr>
          <w:rFonts w:ascii="Arial" w:cs="Arial" w:eastAsia="Arial" w:hAnsi="Arial"/>
          <w:sz w:val="16"/>
          <w:szCs w:val="16"/>
          <w:color w:val="0E2A35"/>
        </w:rPr>
      </w:pPr>
      <w:r>
        <w:rPr>
          <w:rFonts w:ascii="Arial" w:cs="Arial" w:eastAsia="Arial" w:hAnsi="Arial"/>
          <w:sz w:val="16"/>
          <w:szCs w:val="16"/>
          <w:color w:val="0E2A35"/>
        </w:rPr>
        <w:t>Marketing/Sales/Branding​</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0E2A35"/>
        </w:rPr>
        <w:t>Jacqueline D. Woods is the Chief Marketing Officer at Teradata, a multi-cloud data platform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enterprise analytics, where she oversees strategic marketing planning and delivery, digital and social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properties, and customer experience enrichment. Ms. Woods joined Teradata from NielsenIQ,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industry leader in global measurement and data analytics, where she was the Chief Marketing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Communications Officer from 2019 to 2021. Prior to joining NielsenIQ, Ms. Woods held Chief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Marketing Officer roles at IBM from 2010 to 2019 and also held roles of increasing responsibility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Oracle for 10 years, helping lead the company’s e-business standardization. Ms. Woods serves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Board of Trustees for Community Reinvestment Fund USA, a not-for-profit organization dedicated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improving communities through innovative financial solutions. She also serves on board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Greater Fairfield County Foundation, Inc., a not-for-profit organization helping under-served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communities in southern Connecticut. Ms. Woods brings deep expertise in all aspects of marketing,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branding, pricing, customer insights and strategy.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199390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20" w:space="260"/>
            <w:col w:w="7300"/>
          </w:cols>
          <w:pgMar w:left="1300" w:top="263" w:right="1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24765</wp:posOffset>
            </wp:positionV>
            <wp:extent cx="6934835" cy="905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34835" cy="90525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Director Compensation</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E2A35"/>
        </w:rPr>
        <w:t>The Board approves non-employee director compensation based on recommendations of the Human Resources Committee.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 Based on the committee’s review of our director compensation program with Semler Brossy, the committee recommended, and the Board approved, an increase to the annual Board Chair cash retainer effective August 2022, as described below.</w:t>
      </w:r>
    </w:p>
    <w:p>
      <w:pPr>
        <w:spacing w:after="0" w:line="15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0E2A35"/>
        </w:rPr>
        <w:t>Employee directors receive no additional compensation for serving on the Board or its committees. Non-employee directors receive the following for their service on the Board: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60"/>
              <w:spacing w:after="0"/>
              <w:rPr>
                <w:sz w:val="20"/>
                <w:szCs w:val="20"/>
                <w:color w:val="auto"/>
              </w:rPr>
            </w:pPr>
            <w:r>
              <w:rPr>
                <w:rFonts w:ascii="Arial" w:cs="Arial" w:eastAsia="Arial" w:hAnsi="Arial"/>
                <w:sz w:val="14"/>
                <w:szCs w:val="14"/>
                <w:b w:val="1"/>
                <w:bCs w:val="1"/>
                <w:color w:val="0E2A35"/>
              </w:rPr>
              <w:t>Annual Board Cash Retainer</w:t>
            </w:r>
          </w:p>
        </w:tc>
        <w:tc>
          <w:tcPr>
            <w:tcW w:w="5180" w:type="dxa"/>
            <w:vAlign w:val="bottom"/>
          </w:tcPr>
          <w:p>
            <w:pPr>
              <w:ind w:left="620"/>
              <w:spacing w:after="0"/>
              <w:rPr>
                <w:sz w:val="20"/>
                <w:szCs w:val="20"/>
                <w:color w:val="auto"/>
              </w:rPr>
            </w:pPr>
            <w:r>
              <w:rPr>
                <w:rFonts w:ascii="Arial" w:cs="Arial" w:eastAsia="Arial" w:hAnsi="Arial"/>
                <w:sz w:val="14"/>
                <w:szCs w:val="14"/>
                <w:color w:val="0E2A35"/>
              </w:rPr>
              <w:t>$90,000, payable in quarterly installments</w:t>
            </w:r>
          </w:p>
        </w:tc>
      </w:tr>
      <w:tr>
        <w:trPr>
          <w:trHeight w:val="190"/>
        </w:trPr>
        <w:tc>
          <w:tcPr>
            <w:tcW w:w="4100" w:type="dxa"/>
            <w:vAlign w:val="bottom"/>
          </w:tcPr>
          <w:p>
            <w:pPr>
              <w:spacing w:after="0"/>
              <w:rPr>
                <w:sz w:val="16"/>
                <w:szCs w:val="16"/>
                <w:color w:val="auto"/>
              </w:rPr>
            </w:pPr>
          </w:p>
        </w:tc>
        <w:tc>
          <w:tcPr>
            <w:tcW w:w="5180" w:type="dxa"/>
            <w:vAlign w:val="bottom"/>
          </w:tcPr>
          <w:p>
            <w:pPr>
              <w:ind w:left="620"/>
              <w:spacing w:after="0"/>
              <w:rPr>
                <w:sz w:val="20"/>
                <w:szCs w:val="20"/>
                <w:color w:val="auto"/>
              </w:rPr>
            </w:pPr>
            <w:r>
              <w:rPr>
                <w:rFonts w:ascii="Arial" w:cs="Arial" w:eastAsia="Arial" w:hAnsi="Arial"/>
                <w:sz w:val="14"/>
                <w:szCs w:val="14"/>
                <w:color w:val="0E2A35"/>
              </w:rPr>
              <w:t> </w:t>
            </w:r>
          </w:p>
        </w:tc>
      </w:tr>
      <w:tr>
        <w:trPr>
          <w:trHeight w:val="89"/>
        </w:trPr>
        <w:tc>
          <w:tcPr>
            <w:tcW w:w="4100" w:type="dxa"/>
            <w:vAlign w:val="bottom"/>
            <w:tcBorders>
              <w:bottom w:val="single" w:sz="8" w:color="0E2A35"/>
            </w:tcBorders>
          </w:tcPr>
          <w:p>
            <w:pPr>
              <w:spacing w:after="0"/>
              <w:rPr>
                <w:sz w:val="7"/>
                <w:szCs w:val="7"/>
                <w:color w:val="auto"/>
              </w:rPr>
            </w:pPr>
          </w:p>
        </w:tc>
        <w:tc>
          <w:tcPr>
            <w:tcW w:w="5180" w:type="dxa"/>
            <w:vAlign w:val="bottom"/>
            <w:tcBorders>
              <w:bottom w:val="single" w:sz="8" w:color="0E2A35"/>
            </w:tcBorders>
          </w:tcPr>
          <w:p>
            <w:pPr>
              <w:spacing w:after="0"/>
              <w:rPr>
                <w:sz w:val="7"/>
                <w:szCs w:val="7"/>
                <w:color w:val="auto"/>
              </w:rPr>
            </w:pPr>
          </w:p>
        </w:tc>
      </w:tr>
      <w:tr>
        <w:trPr>
          <w:trHeight w:val="254"/>
        </w:trPr>
        <w:tc>
          <w:tcPr>
            <w:tcW w:w="4100" w:type="dxa"/>
            <w:vAlign w:val="bottom"/>
          </w:tcPr>
          <w:p>
            <w:pPr>
              <w:ind w:left="60"/>
              <w:spacing w:after="0"/>
              <w:rPr>
                <w:sz w:val="20"/>
                <w:szCs w:val="20"/>
                <w:color w:val="auto"/>
              </w:rPr>
            </w:pPr>
            <w:r>
              <w:rPr>
                <w:rFonts w:ascii="Arial" w:cs="Arial" w:eastAsia="Arial" w:hAnsi="Arial"/>
                <w:sz w:val="14"/>
                <w:szCs w:val="14"/>
                <w:b w:val="1"/>
                <w:bCs w:val="1"/>
                <w:color w:val="0E2A35"/>
              </w:rPr>
              <w:t>Annual Board/New Board Member Equity Retainer</w:t>
            </w:r>
          </w:p>
        </w:tc>
        <w:tc>
          <w:tcPr>
            <w:tcW w:w="5180" w:type="dxa"/>
            <w:vAlign w:val="bottom"/>
          </w:tcPr>
          <w:p>
            <w:pPr>
              <w:ind w:left="620"/>
              <w:spacing w:after="0"/>
              <w:rPr>
                <w:sz w:val="20"/>
                <w:szCs w:val="20"/>
                <w:color w:val="auto"/>
              </w:rPr>
            </w:pPr>
            <w:r>
              <w:rPr>
                <w:rFonts w:ascii="Arial" w:cs="Arial" w:eastAsia="Arial" w:hAnsi="Arial"/>
                <w:sz w:val="14"/>
                <w:szCs w:val="14"/>
                <w:color w:val="0E2A35"/>
              </w:rPr>
              <w:t>$125,000 value in restricted stock units granted prospectively for the</w:t>
            </w:r>
          </w:p>
        </w:tc>
      </w:tr>
      <w:tr>
        <w:trPr>
          <w:trHeight w:val="190"/>
        </w:trPr>
        <w:tc>
          <w:tcPr>
            <w:tcW w:w="4100" w:type="dxa"/>
            <w:vAlign w:val="bottom"/>
          </w:tcPr>
          <w:p>
            <w:pPr>
              <w:spacing w:after="0"/>
              <w:rPr>
                <w:sz w:val="16"/>
                <w:szCs w:val="16"/>
                <w:color w:val="auto"/>
              </w:rPr>
            </w:pPr>
          </w:p>
        </w:tc>
        <w:tc>
          <w:tcPr>
            <w:tcW w:w="5180" w:type="dxa"/>
            <w:vAlign w:val="bottom"/>
          </w:tcPr>
          <w:p>
            <w:pPr>
              <w:ind w:left="620"/>
              <w:spacing w:after="0"/>
              <w:rPr>
                <w:sz w:val="20"/>
                <w:szCs w:val="20"/>
                <w:color w:val="auto"/>
              </w:rPr>
            </w:pPr>
            <w:r>
              <w:rPr>
                <w:rFonts w:ascii="Arial" w:cs="Arial" w:eastAsia="Arial" w:hAnsi="Arial"/>
                <w:sz w:val="14"/>
                <w:szCs w:val="14"/>
                <w:color w:val="0E2A35"/>
              </w:rPr>
              <w:t>upcoming year</w:t>
            </w:r>
          </w:p>
        </w:tc>
      </w:tr>
      <w:tr>
        <w:trPr>
          <w:trHeight w:val="89"/>
        </w:trPr>
        <w:tc>
          <w:tcPr>
            <w:tcW w:w="4100" w:type="dxa"/>
            <w:vAlign w:val="bottom"/>
            <w:tcBorders>
              <w:bottom w:val="single" w:sz="8" w:color="0E2A35"/>
            </w:tcBorders>
          </w:tcPr>
          <w:p>
            <w:pPr>
              <w:spacing w:after="0"/>
              <w:rPr>
                <w:sz w:val="7"/>
                <w:szCs w:val="7"/>
                <w:color w:val="auto"/>
              </w:rPr>
            </w:pPr>
          </w:p>
        </w:tc>
        <w:tc>
          <w:tcPr>
            <w:tcW w:w="5180" w:type="dxa"/>
            <w:vAlign w:val="bottom"/>
            <w:tcBorders>
              <w:bottom w:val="single" w:sz="8" w:color="0E2A35"/>
            </w:tcBorders>
          </w:tcPr>
          <w:p>
            <w:pPr>
              <w:spacing w:after="0"/>
              <w:rPr>
                <w:sz w:val="7"/>
                <w:szCs w:val="7"/>
                <w:color w:val="auto"/>
              </w:rPr>
            </w:pPr>
          </w:p>
        </w:tc>
      </w:tr>
      <w:tr>
        <w:trPr>
          <w:trHeight w:val="288"/>
        </w:trPr>
        <w:tc>
          <w:tcPr>
            <w:tcW w:w="4100" w:type="dxa"/>
            <w:vAlign w:val="bottom"/>
          </w:tcPr>
          <w:p>
            <w:pPr>
              <w:ind w:left="60"/>
              <w:spacing w:after="0"/>
              <w:rPr>
                <w:sz w:val="20"/>
                <w:szCs w:val="20"/>
                <w:color w:val="auto"/>
              </w:rPr>
            </w:pPr>
            <w:r>
              <w:rPr>
                <w:rFonts w:ascii="Arial" w:cs="Arial" w:eastAsia="Arial" w:hAnsi="Arial"/>
                <w:sz w:val="14"/>
                <w:szCs w:val="14"/>
                <w:b w:val="1"/>
                <w:bCs w:val="1"/>
                <w:color w:val="0E2A35"/>
              </w:rPr>
              <w:t>Annual Board Chair Cash Retainer</w:t>
            </w:r>
          </w:p>
        </w:tc>
        <w:tc>
          <w:tcPr>
            <w:tcW w:w="5180" w:type="dxa"/>
            <w:vAlign w:val="bottom"/>
          </w:tcPr>
          <w:p>
            <w:pPr>
              <w:ind w:left="620"/>
              <w:spacing w:after="0"/>
              <w:rPr>
                <w:sz w:val="20"/>
                <w:szCs w:val="20"/>
                <w:color w:val="auto"/>
              </w:rPr>
            </w:pPr>
            <w:r>
              <w:rPr>
                <w:rFonts w:ascii="Arial" w:cs="Arial" w:eastAsia="Arial" w:hAnsi="Arial"/>
                <w:sz w:val="14"/>
                <w:szCs w:val="14"/>
                <w:color w:val="0E2A35"/>
              </w:rPr>
              <w:t>$125,000 (increased from $80,000), payable in quarterly installments</w:t>
            </w:r>
          </w:p>
        </w:tc>
      </w:tr>
      <w:tr>
        <w:trPr>
          <w:trHeight w:val="83"/>
        </w:trPr>
        <w:tc>
          <w:tcPr>
            <w:tcW w:w="4100" w:type="dxa"/>
            <w:vAlign w:val="bottom"/>
            <w:tcBorders>
              <w:bottom w:val="single" w:sz="8" w:color="0E2A35"/>
            </w:tcBorders>
          </w:tcPr>
          <w:p>
            <w:pPr>
              <w:spacing w:after="0"/>
              <w:rPr>
                <w:sz w:val="7"/>
                <w:szCs w:val="7"/>
                <w:color w:val="auto"/>
              </w:rPr>
            </w:pPr>
          </w:p>
        </w:tc>
        <w:tc>
          <w:tcPr>
            <w:tcW w:w="5180" w:type="dxa"/>
            <w:vAlign w:val="bottom"/>
            <w:tcBorders>
              <w:bottom w:val="single" w:sz="8" w:color="0E2A35"/>
            </w:tcBorders>
          </w:tcPr>
          <w:p>
            <w:pPr>
              <w:spacing w:after="0"/>
              <w:rPr>
                <w:sz w:val="7"/>
                <w:szCs w:val="7"/>
                <w:color w:val="auto"/>
              </w:rPr>
            </w:pPr>
          </w:p>
        </w:tc>
      </w:tr>
      <w:tr>
        <w:trPr>
          <w:trHeight w:val="254"/>
        </w:trPr>
        <w:tc>
          <w:tcPr>
            <w:tcW w:w="4100" w:type="dxa"/>
            <w:vAlign w:val="bottom"/>
          </w:tcPr>
          <w:p>
            <w:pPr>
              <w:ind w:left="60"/>
              <w:spacing w:after="0"/>
              <w:rPr>
                <w:sz w:val="20"/>
                <w:szCs w:val="20"/>
                <w:color w:val="auto"/>
              </w:rPr>
            </w:pPr>
            <w:r>
              <w:rPr>
                <w:rFonts w:ascii="Arial" w:cs="Arial" w:eastAsia="Arial" w:hAnsi="Arial"/>
                <w:sz w:val="14"/>
                <w:szCs w:val="14"/>
                <w:b w:val="1"/>
                <w:bCs w:val="1"/>
                <w:color w:val="0E2A35"/>
              </w:rPr>
              <w:t>Annual Committee Chair Cash Retainer</w:t>
            </w:r>
          </w:p>
        </w:tc>
        <w:tc>
          <w:tcPr>
            <w:tcW w:w="5180" w:type="dxa"/>
            <w:vAlign w:val="bottom"/>
          </w:tcPr>
          <w:p>
            <w:pPr>
              <w:ind w:left="620"/>
              <w:spacing w:after="0"/>
              <w:rPr>
                <w:sz w:val="20"/>
                <w:szCs w:val="20"/>
                <w:color w:val="auto"/>
              </w:rPr>
            </w:pPr>
            <w:r>
              <w:rPr>
                <w:rFonts w:ascii="Arial" w:cs="Arial" w:eastAsia="Arial" w:hAnsi="Arial"/>
                <w:sz w:val="14"/>
                <w:szCs w:val="14"/>
                <w:color w:val="0E2A35"/>
              </w:rPr>
              <w:t>$10,000, except $15,000 for the Audit Committee Chair, payable in</w:t>
            </w:r>
          </w:p>
        </w:tc>
      </w:tr>
      <w:tr>
        <w:trPr>
          <w:trHeight w:val="190"/>
        </w:trPr>
        <w:tc>
          <w:tcPr>
            <w:tcW w:w="4100" w:type="dxa"/>
            <w:vAlign w:val="bottom"/>
          </w:tcPr>
          <w:p>
            <w:pPr>
              <w:spacing w:after="0"/>
              <w:rPr>
                <w:sz w:val="16"/>
                <w:szCs w:val="16"/>
                <w:color w:val="auto"/>
              </w:rPr>
            </w:pPr>
          </w:p>
        </w:tc>
        <w:tc>
          <w:tcPr>
            <w:tcW w:w="5180" w:type="dxa"/>
            <w:vAlign w:val="bottom"/>
          </w:tcPr>
          <w:p>
            <w:pPr>
              <w:ind w:left="620"/>
              <w:spacing w:after="0"/>
              <w:rPr>
                <w:sz w:val="20"/>
                <w:szCs w:val="20"/>
                <w:color w:val="auto"/>
              </w:rPr>
            </w:pPr>
            <w:r>
              <w:rPr>
                <w:rFonts w:ascii="Arial" w:cs="Arial" w:eastAsia="Arial" w:hAnsi="Arial"/>
                <w:sz w:val="14"/>
                <w:szCs w:val="14"/>
                <w:color w:val="0E2A35"/>
              </w:rPr>
              <w:t>quarterly installments</w:t>
            </w:r>
          </w:p>
        </w:tc>
      </w:tr>
      <w:tr>
        <w:trPr>
          <w:trHeight w:val="89"/>
        </w:trPr>
        <w:tc>
          <w:tcPr>
            <w:tcW w:w="4100" w:type="dxa"/>
            <w:vAlign w:val="bottom"/>
            <w:tcBorders>
              <w:bottom w:val="single" w:sz="8" w:color="0E2A35"/>
            </w:tcBorders>
          </w:tcPr>
          <w:p>
            <w:pPr>
              <w:spacing w:after="0"/>
              <w:rPr>
                <w:sz w:val="7"/>
                <w:szCs w:val="7"/>
                <w:color w:val="auto"/>
              </w:rPr>
            </w:pPr>
          </w:p>
        </w:tc>
        <w:tc>
          <w:tcPr>
            <w:tcW w:w="5180" w:type="dxa"/>
            <w:vAlign w:val="bottom"/>
            <w:tcBorders>
              <w:bottom w:val="single" w:sz="8" w:color="0E2A35"/>
            </w:tcBorders>
          </w:tcPr>
          <w:p>
            <w:pPr>
              <w:spacing w:after="0"/>
              <w:rPr>
                <w:sz w:val="7"/>
                <w:szCs w:val="7"/>
                <w:color w:val="auto"/>
              </w:rPr>
            </w:pPr>
          </w:p>
        </w:tc>
      </w:tr>
      <w:tr>
        <w:trPr>
          <w:trHeight w:val="254"/>
        </w:trPr>
        <w:tc>
          <w:tcPr>
            <w:tcW w:w="4100" w:type="dxa"/>
            <w:vAlign w:val="bottom"/>
          </w:tcPr>
          <w:p>
            <w:pPr>
              <w:ind w:left="60"/>
              <w:spacing w:after="0"/>
              <w:rPr>
                <w:sz w:val="20"/>
                <w:szCs w:val="20"/>
                <w:color w:val="auto"/>
              </w:rPr>
            </w:pPr>
            <w:r>
              <w:rPr>
                <w:rFonts w:ascii="Arial" w:cs="Arial" w:eastAsia="Arial" w:hAnsi="Arial"/>
                <w:sz w:val="14"/>
                <w:szCs w:val="14"/>
                <w:b w:val="1"/>
                <w:bCs w:val="1"/>
                <w:color w:val="0E2A35"/>
              </w:rPr>
              <w:t>Expense Reimbursements</w:t>
            </w:r>
          </w:p>
        </w:tc>
        <w:tc>
          <w:tcPr>
            <w:tcW w:w="5180" w:type="dxa"/>
            <w:vAlign w:val="bottom"/>
          </w:tcPr>
          <w:p>
            <w:pPr>
              <w:ind w:left="620"/>
              <w:spacing w:after="0"/>
              <w:rPr>
                <w:sz w:val="20"/>
                <w:szCs w:val="20"/>
                <w:color w:val="auto"/>
              </w:rPr>
            </w:pPr>
            <w:r>
              <w:rPr>
                <w:rFonts w:ascii="Arial" w:cs="Arial" w:eastAsia="Arial" w:hAnsi="Arial"/>
                <w:sz w:val="14"/>
                <w:szCs w:val="14"/>
                <w:color w:val="0E2A35"/>
              </w:rPr>
              <w:t>Reimbursement of reasonable expenses incurred in attending Board</w:t>
            </w:r>
          </w:p>
        </w:tc>
      </w:tr>
      <w:tr>
        <w:trPr>
          <w:trHeight w:val="190"/>
        </w:trPr>
        <w:tc>
          <w:tcPr>
            <w:tcW w:w="4100" w:type="dxa"/>
            <w:vAlign w:val="bottom"/>
          </w:tcPr>
          <w:p>
            <w:pPr>
              <w:spacing w:after="0"/>
              <w:rPr>
                <w:sz w:val="16"/>
                <w:szCs w:val="16"/>
                <w:color w:val="auto"/>
              </w:rPr>
            </w:pPr>
          </w:p>
        </w:tc>
        <w:tc>
          <w:tcPr>
            <w:tcW w:w="5180" w:type="dxa"/>
            <w:vAlign w:val="bottom"/>
          </w:tcPr>
          <w:p>
            <w:pPr>
              <w:ind w:left="620"/>
              <w:spacing w:after="0"/>
              <w:rPr>
                <w:sz w:val="20"/>
                <w:szCs w:val="20"/>
                <w:color w:val="auto"/>
              </w:rPr>
            </w:pPr>
            <w:r>
              <w:rPr>
                <w:rFonts w:ascii="Arial" w:cs="Arial" w:eastAsia="Arial" w:hAnsi="Arial"/>
                <w:sz w:val="14"/>
                <w:szCs w:val="14"/>
                <w:color w:val="0E2A35"/>
              </w:rPr>
              <w:t>and committee meetings</w:t>
            </w:r>
          </w:p>
        </w:tc>
      </w:tr>
      <w:tr>
        <w:trPr>
          <w:trHeight w:val="89"/>
        </w:trPr>
        <w:tc>
          <w:tcPr>
            <w:tcW w:w="4100" w:type="dxa"/>
            <w:vAlign w:val="bottom"/>
            <w:tcBorders>
              <w:bottom w:val="single" w:sz="8" w:color="0E2A35"/>
            </w:tcBorders>
          </w:tcPr>
          <w:p>
            <w:pPr>
              <w:spacing w:after="0"/>
              <w:rPr>
                <w:sz w:val="7"/>
                <w:szCs w:val="7"/>
                <w:color w:val="auto"/>
              </w:rPr>
            </w:pPr>
          </w:p>
        </w:tc>
        <w:tc>
          <w:tcPr>
            <w:tcW w:w="5180" w:type="dxa"/>
            <w:vAlign w:val="bottom"/>
            <w:tcBorders>
              <w:bottom w:val="single" w:sz="8" w:color="0E2A35"/>
            </w:tcBorders>
          </w:tcPr>
          <w:p>
            <w:pPr>
              <w:spacing w:after="0"/>
              <w:rPr>
                <w:sz w:val="7"/>
                <w:szCs w:val="7"/>
                <w:color w:val="auto"/>
              </w:rPr>
            </w:pPr>
          </w:p>
        </w:tc>
      </w:tr>
    </w:tbl>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 that provides for accelerated vesting of the award upon retirement from the Board at the conclusion of his or her term.</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Compensation Table</w:t>
      </w:r>
    </w:p>
    <w:p>
      <w:pPr>
        <w:spacing w:after="0" w:line="193" w:lineRule="exact"/>
        <w:rPr>
          <w:sz w:val="20"/>
          <w:szCs w:val="20"/>
          <w:color w:val="auto"/>
        </w:rPr>
      </w:pPr>
    </w:p>
    <w:p>
      <w:pPr>
        <w:ind w:right="1080"/>
        <w:spacing w:after="0" w:line="286" w:lineRule="auto"/>
        <w:rPr>
          <w:sz w:val="20"/>
          <w:szCs w:val="20"/>
          <w:color w:val="auto"/>
        </w:rPr>
      </w:pPr>
      <w:r>
        <w:rPr>
          <w:rFonts w:ascii="Arial" w:cs="Arial" w:eastAsia="Arial" w:hAnsi="Arial"/>
          <w:sz w:val="16"/>
          <w:szCs w:val="16"/>
          <w:color w:val="0E2A35"/>
        </w:rPr>
        <w:t>The following table sets forth the total compensation paid to each non-employee director for fiscal 2022, other than reimbursement for travel expenses: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80" w:type="dxa"/>
            <w:vAlign w:val="bottom"/>
            <w:shd w:val="clear" w:color="auto" w:fill="0E2A35"/>
          </w:tcPr>
          <w:p>
            <w:pPr>
              <w:spacing w:after="0"/>
              <w:rPr>
                <w:sz w:val="19"/>
                <w:szCs w:val="19"/>
                <w:color w:val="auto"/>
              </w:rPr>
            </w:pPr>
          </w:p>
        </w:tc>
        <w:tc>
          <w:tcPr>
            <w:tcW w:w="2400" w:type="dxa"/>
            <w:vAlign w:val="bottom"/>
            <w:shd w:val="clear" w:color="auto" w:fill="0E2A35"/>
          </w:tcPr>
          <w:p>
            <w:pPr>
              <w:jc w:val="center"/>
              <w:ind w:left="852"/>
              <w:spacing w:after="0"/>
              <w:rPr>
                <w:sz w:val="20"/>
                <w:szCs w:val="20"/>
                <w:color w:val="auto"/>
              </w:rPr>
            </w:pPr>
            <w:r>
              <w:rPr>
                <w:rFonts w:ascii="Arial" w:cs="Arial" w:eastAsia="Arial" w:hAnsi="Arial"/>
                <w:sz w:val="13"/>
                <w:szCs w:val="13"/>
                <w:b w:val="1"/>
                <w:bCs w:val="1"/>
                <w:color w:val="FFFFFF"/>
                <w:w w:val="98"/>
              </w:rPr>
              <w:t>Fees Earned</w:t>
            </w:r>
          </w:p>
        </w:tc>
        <w:tc>
          <w:tcPr>
            <w:tcW w:w="12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16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All</w:t>
            </w:r>
          </w:p>
        </w:tc>
        <w:tc>
          <w:tcPr>
            <w:tcW w:w="130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680" w:type="dxa"/>
            <w:vAlign w:val="bottom"/>
            <w:shd w:val="clear" w:color="auto" w:fill="0E2A35"/>
          </w:tcPr>
          <w:p>
            <w:pPr>
              <w:spacing w:after="0"/>
              <w:rPr>
                <w:sz w:val="11"/>
                <w:szCs w:val="11"/>
                <w:color w:val="auto"/>
              </w:rPr>
            </w:pPr>
          </w:p>
        </w:tc>
        <w:tc>
          <w:tcPr>
            <w:tcW w:w="2400" w:type="dxa"/>
            <w:vAlign w:val="bottom"/>
            <w:shd w:val="clear" w:color="auto" w:fill="0E2A35"/>
          </w:tcPr>
          <w:p>
            <w:pPr>
              <w:jc w:val="center"/>
              <w:ind w:left="832"/>
              <w:spacing w:after="0" w:line="129" w:lineRule="exact"/>
              <w:rPr>
                <w:sz w:val="20"/>
                <w:szCs w:val="20"/>
                <w:color w:val="auto"/>
              </w:rPr>
            </w:pPr>
            <w:r>
              <w:rPr>
                <w:rFonts w:ascii="Arial" w:cs="Arial" w:eastAsia="Arial" w:hAnsi="Arial"/>
                <w:sz w:val="13"/>
                <w:szCs w:val="13"/>
                <w:b w:val="1"/>
                <w:bCs w:val="1"/>
                <w:color w:val="FFFFFF"/>
                <w:w w:val="97"/>
              </w:rPr>
              <w:t>or Paid in</w:t>
            </w:r>
          </w:p>
        </w:tc>
        <w:tc>
          <w:tcPr>
            <w:tcW w:w="1280" w:type="dxa"/>
            <w:vAlign w:val="bottom"/>
            <w:vMerge w:val="continue"/>
            <w:shd w:val="clear" w:color="auto" w:fill="0E2A35"/>
          </w:tcPr>
          <w:p>
            <w:pPr>
              <w:spacing w:after="0"/>
              <w:rPr>
                <w:sz w:val="11"/>
                <w:szCs w:val="11"/>
                <w:color w:val="auto"/>
              </w:rPr>
            </w:pPr>
          </w:p>
        </w:tc>
        <w:tc>
          <w:tcPr>
            <w:tcW w:w="162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7"/>
              </w:rPr>
              <w:t>Other</w:t>
            </w:r>
          </w:p>
        </w:tc>
        <w:tc>
          <w:tcPr>
            <w:tcW w:w="1300" w:type="dxa"/>
            <w:vAlign w:val="bottom"/>
            <w:vMerge w:val="restart"/>
            <w:shd w:val="clear" w:color="auto" w:fill="0E2A35"/>
          </w:tcPr>
          <w:p>
            <w:pPr>
              <w:ind w:left="46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1"/>
        </w:trPr>
        <w:tc>
          <w:tcPr>
            <w:tcW w:w="268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Director</w:t>
            </w:r>
          </w:p>
        </w:tc>
        <w:tc>
          <w:tcPr>
            <w:tcW w:w="2400" w:type="dxa"/>
            <w:vAlign w:val="bottom"/>
            <w:shd w:val="clear" w:color="auto" w:fill="0E2A35"/>
          </w:tcPr>
          <w:p>
            <w:pPr>
              <w:jc w:val="center"/>
              <w:ind w:left="852"/>
              <w:spacing w:after="0" w:line="141" w:lineRule="exact"/>
              <w:rPr>
                <w:sz w:val="20"/>
                <w:szCs w:val="20"/>
                <w:color w:val="auto"/>
              </w:rPr>
            </w:pPr>
            <w:r>
              <w:rPr>
                <w:rFonts w:ascii="Arial" w:cs="Arial" w:eastAsia="Arial" w:hAnsi="Arial"/>
                <w:sz w:val="16"/>
                <w:szCs w:val="16"/>
                <w:b w:val="1"/>
                <w:bCs w:val="1"/>
                <w:color w:val="FFFFFF"/>
                <w:vertAlign w:val="subscript"/>
              </w:rPr>
              <w:t>Cash</w:t>
            </w:r>
            <w:r>
              <w:rPr>
                <w:rFonts w:ascii="Arial" w:cs="Arial" w:eastAsia="Arial" w:hAnsi="Arial"/>
                <w:sz w:val="8"/>
                <w:szCs w:val="8"/>
                <w:b w:val="1"/>
                <w:bCs w:val="1"/>
                <w:color w:val="FFFFFF"/>
              </w:rPr>
              <w:t>(1)(2)</w:t>
            </w:r>
          </w:p>
        </w:tc>
        <w:tc>
          <w:tcPr>
            <w:tcW w:w="1280" w:type="dxa"/>
            <w:vAlign w:val="bottom"/>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1620" w:type="dxa"/>
            <w:vAlign w:val="bottom"/>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1300" w:type="dxa"/>
            <w:vAlign w:val="bottom"/>
            <w:vMerge w:val="continue"/>
            <w:shd w:val="clear" w:color="auto" w:fill="0E2A35"/>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vMerge w:val="continue"/>
            <w:shd w:val="clear" w:color="auto" w:fill="0E2A35"/>
          </w:tcPr>
          <w:p>
            <w:pPr>
              <w:spacing w:after="0"/>
              <w:rPr>
                <w:sz w:val="14"/>
                <w:szCs w:val="14"/>
                <w:color w:val="auto"/>
              </w:rPr>
            </w:pPr>
          </w:p>
        </w:tc>
        <w:tc>
          <w:tcPr>
            <w:tcW w:w="2400" w:type="dxa"/>
            <w:vAlign w:val="bottom"/>
            <w:shd w:val="clear" w:color="auto" w:fill="0E2A35"/>
          </w:tcPr>
          <w:p>
            <w:pPr>
              <w:jc w:val="center"/>
              <w:ind w:left="892"/>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E2A35"/>
          </w:tcPr>
          <w:p>
            <w:pPr>
              <w:jc w:val="center"/>
              <w:ind w:left="31"/>
              <w:spacing w:after="0"/>
              <w:rPr>
                <w:sz w:val="20"/>
                <w:szCs w:val="20"/>
                <w:color w:val="auto"/>
              </w:rPr>
            </w:pPr>
            <w:r>
              <w:rPr>
                <w:rFonts w:ascii="Arial" w:cs="Arial" w:eastAsia="Arial" w:hAnsi="Arial"/>
                <w:sz w:val="13"/>
                <w:szCs w:val="13"/>
                <w:b w:val="1"/>
                <w:bCs w:val="1"/>
                <w:color w:val="FFFFFF"/>
                <w:w w:val="87"/>
              </w:rPr>
              <w:t>($)</w:t>
            </w:r>
          </w:p>
        </w:tc>
        <w:tc>
          <w:tcPr>
            <w:tcW w:w="16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300" w:type="dxa"/>
            <w:vAlign w:val="bottom"/>
            <w:shd w:val="clear" w:color="auto" w:fill="0E2A35"/>
          </w:tcPr>
          <w:p>
            <w:pPr>
              <w:ind w:left="5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2680" w:type="dxa"/>
            <w:vAlign w:val="bottom"/>
            <w:shd w:val="clear" w:color="auto" w:fill="0E2A35"/>
          </w:tcPr>
          <w:p>
            <w:pPr>
              <w:spacing w:after="0"/>
              <w:rPr>
                <w:sz w:val="7"/>
                <w:szCs w:val="7"/>
                <w:color w:val="auto"/>
              </w:rPr>
            </w:pPr>
          </w:p>
        </w:tc>
        <w:tc>
          <w:tcPr>
            <w:tcW w:w="240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1620" w:type="dxa"/>
            <w:vAlign w:val="bottom"/>
            <w:shd w:val="clear" w:color="auto" w:fill="0E2A35"/>
          </w:tcPr>
          <w:p>
            <w:pPr>
              <w:spacing w:after="0"/>
              <w:rPr>
                <w:sz w:val="7"/>
                <w:szCs w:val="7"/>
                <w:color w:val="auto"/>
              </w:rPr>
            </w:pPr>
          </w:p>
        </w:tc>
        <w:tc>
          <w:tcPr>
            <w:tcW w:w="130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68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268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Maria F. Blase</w:t>
            </w:r>
            <w:r>
              <w:rPr>
                <w:rFonts w:ascii="Arial" w:cs="Arial" w:eastAsia="Arial" w:hAnsi="Arial"/>
                <w:sz w:val="23"/>
                <w:szCs w:val="23"/>
                <w:color w:val="0E2A35"/>
                <w:vertAlign w:val="superscript"/>
              </w:rPr>
              <w:t>(5)</w:t>
            </w:r>
          </w:p>
        </w:tc>
        <w:tc>
          <w:tcPr>
            <w:tcW w:w="2400" w:type="dxa"/>
            <w:vAlign w:val="bottom"/>
            <w:tcBorders>
              <w:bottom w:val="single" w:sz="8" w:color="0E2A35"/>
            </w:tcBorders>
          </w:tcPr>
          <w:p>
            <w:pPr>
              <w:jc w:val="right"/>
              <w:ind w:right="432"/>
              <w:spacing w:after="0"/>
              <w:rPr>
                <w:sz w:val="20"/>
                <w:szCs w:val="20"/>
                <w:color w:val="auto"/>
              </w:rPr>
            </w:pPr>
            <w:r>
              <w:rPr>
                <w:rFonts w:ascii="Arial" w:cs="Arial" w:eastAsia="Arial" w:hAnsi="Arial"/>
                <w:sz w:val="14"/>
                <w:szCs w:val="14"/>
                <w:color w:val="0E2A35"/>
              </w:rPr>
              <w:t>​87,634</w:t>
            </w:r>
          </w:p>
        </w:tc>
        <w:tc>
          <w:tcPr>
            <w:tcW w:w="128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212,634​</w:t>
            </w: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Christopher J. Braun</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68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90,833</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215,833</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Robert M. Chiusano</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100,000​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225,000​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David W. Miles</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181,254​</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306,254​</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68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105,000​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230,000​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100,000​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225,000​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2400" w:type="dxa"/>
            <w:vAlign w:val="bottom"/>
            <w:tcBorders>
              <w:bottom w:val="single" w:sz="8" w:color="0E2A35"/>
            </w:tcBorders>
          </w:tcPr>
          <w:p>
            <w:pPr>
              <w:spacing w:after="0"/>
              <w:rPr>
                <w:sz w:val="7"/>
                <w:szCs w:val="7"/>
                <w:color w:val="auto"/>
              </w:rPr>
            </w:pPr>
          </w:p>
        </w:tc>
        <w:tc>
          <w:tcPr>
            <w:tcW w:w="1280" w:type="dxa"/>
            <w:vAlign w:val="bottom"/>
            <w:tcBorders>
              <w:bottom w:val="single" w:sz="8" w:color="0E2A35"/>
            </w:tcBorders>
          </w:tcPr>
          <w:p>
            <w:pPr>
              <w:spacing w:after="0"/>
              <w:rPr>
                <w:sz w:val="7"/>
                <w:szCs w:val="7"/>
                <w:color w:val="auto"/>
              </w:rPr>
            </w:pPr>
          </w:p>
        </w:tc>
        <w:tc>
          <w:tcPr>
            <w:tcW w:w="162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2400" w:type="dxa"/>
            <w:vAlign w:val="bottom"/>
          </w:tcPr>
          <w:p>
            <w:pPr>
              <w:jc w:val="right"/>
              <w:ind w:right="43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300" w:type="dxa"/>
            <w:vAlign w:val="bottom"/>
          </w:tcPr>
          <w:p>
            <w:pPr>
              <w:ind w:left="32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3" w:lineRule="exact"/>
        <w:rPr>
          <w:sz w:val="20"/>
          <w:szCs w:val="20"/>
          <w:color w:val="auto"/>
        </w:rPr>
      </w:pPr>
    </w:p>
    <w:p>
      <w:pPr>
        <w:ind w:left="360" w:hanging="360"/>
        <w:spacing w:after="0"/>
        <w:tabs>
          <w:tab w:leader="none" w:pos="360" w:val="left"/>
        </w:tabs>
        <w:numPr>
          <w:ilvl w:val="0"/>
          <w:numId w:val="18"/>
        </w:numPr>
        <w:rPr>
          <w:rFonts w:ascii="Arial" w:cs="Arial" w:eastAsia="Arial" w:hAnsi="Arial"/>
          <w:sz w:val="13"/>
          <w:szCs w:val="13"/>
          <w:color w:val="0E2A35"/>
        </w:rPr>
      </w:pPr>
      <w:r>
        <w:rPr>
          <w:rFonts w:ascii="Arial" w:cs="Arial" w:eastAsia="Arial" w:hAnsi="Arial"/>
          <w:sz w:val="13"/>
          <w:szCs w:val="13"/>
          <w:color w:val="0E2A35"/>
        </w:rPr>
        <w:t>Our directors may elect to receive retainer fees in cash or may defer their retainer fees into the Directors’ Deferred Compensation Plan.</w:t>
      </w:r>
    </w:p>
    <w:p>
      <w:pPr>
        <w:spacing w:after="0" w:line="39" w:lineRule="exact"/>
        <w:rPr>
          <w:rFonts w:ascii="Arial" w:cs="Arial" w:eastAsia="Arial" w:hAnsi="Arial"/>
          <w:sz w:val="13"/>
          <w:szCs w:val="13"/>
          <w:color w:val="0E2A35"/>
        </w:rPr>
      </w:pPr>
    </w:p>
    <w:p>
      <w:pPr>
        <w:ind w:left="360" w:right="60" w:hanging="360"/>
        <w:spacing w:after="0" w:line="229" w:lineRule="auto"/>
        <w:tabs>
          <w:tab w:leader="none" w:pos="360" w:val="left"/>
        </w:tabs>
        <w:numPr>
          <w:ilvl w:val="0"/>
          <w:numId w:val="18"/>
        </w:numPr>
        <w:rPr>
          <w:rFonts w:ascii="Arial" w:cs="Arial" w:eastAsia="Arial" w:hAnsi="Arial"/>
          <w:sz w:val="13"/>
          <w:szCs w:val="13"/>
          <w:color w:val="0E2A35"/>
        </w:rPr>
      </w:pPr>
      <w:r>
        <w:rPr>
          <w:rFonts w:ascii="Arial" w:cs="Arial" w:eastAsia="Arial" w:hAnsi="Arial"/>
          <w:sz w:val="13"/>
          <w:szCs w:val="13"/>
          <w:color w:val="0E2A35"/>
        </w:rPr>
        <w:t>During fiscal 2022, the Chair of the Board received an additional $80,000 annual retainer, which was increased to $125,000 per year effective starting with the fourth quarterly payment in August, the Audit Committee Chair received an additional $15,000 annual retainer, and the Chairs of the other Board committees received an additional $10,000 annual retainer, each of which are reflected in these figures. Mr. Bryant received a pro-rated quarterly payment of the committee chair retainer following his election as Chair of the Finance Committee in August.</w:t>
      </w:r>
    </w:p>
    <w:p>
      <w:pPr>
        <w:spacing w:after="0" w:line="23" w:lineRule="exact"/>
        <w:rPr>
          <w:rFonts w:ascii="Arial" w:cs="Arial" w:eastAsia="Arial" w:hAnsi="Arial"/>
          <w:sz w:val="13"/>
          <w:szCs w:val="13"/>
          <w:color w:val="0E2A35"/>
        </w:rPr>
      </w:pPr>
    </w:p>
    <w:p>
      <w:pPr>
        <w:ind w:left="360" w:hanging="360"/>
        <w:spacing w:after="0"/>
        <w:tabs>
          <w:tab w:leader="none" w:pos="360" w:val="left"/>
        </w:tabs>
        <w:numPr>
          <w:ilvl w:val="0"/>
          <w:numId w:val="18"/>
        </w:numPr>
        <w:rPr>
          <w:rFonts w:ascii="Arial" w:cs="Arial" w:eastAsia="Arial" w:hAnsi="Arial"/>
          <w:sz w:val="13"/>
          <w:szCs w:val="13"/>
          <w:color w:val="0E2A35"/>
        </w:rPr>
      </w:pPr>
      <w:r>
        <w:rPr>
          <w:rFonts w:ascii="Arial" w:cs="Arial" w:eastAsia="Arial" w:hAnsi="Arial"/>
          <w:sz w:val="13"/>
          <w:szCs w:val="13"/>
          <w:color w:val="0E2A35"/>
        </w:rPr>
        <w:t>These awards are valued at $75.59 per share, the closing stock price on October 12, 2021, the date of the restricted stock unit grant.</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18"/>
        </w:numPr>
        <w:rPr>
          <w:rFonts w:ascii="Arial" w:cs="Arial" w:eastAsia="Arial" w:hAnsi="Arial"/>
          <w:sz w:val="13"/>
          <w:szCs w:val="13"/>
          <w:color w:val="0E2A35"/>
        </w:rPr>
      </w:pPr>
      <w:r>
        <w:rPr>
          <w:rFonts w:ascii="Arial" w:cs="Arial" w:eastAsia="Arial" w:hAnsi="Arial"/>
          <w:sz w:val="13"/>
          <w:szCs w:val="13"/>
          <w:color w:val="0E2A35"/>
        </w:rPr>
        <w:t>None of the directors received perquisites and other personal benefits in an aggregate amount of $10,000 or more.</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18"/>
        </w:numPr>
        <w:rPr>
          <w:rFonts w:ascii="Arial" w:cs="Arial" w:eastAsia="Arial" w:hAnsi="Arial"/>
          <w:sz w:val="13"/>
          <w:szCs w:val="13"/>
          <w:color w:val="0E2A35"/>
        </w:rPr>
      </w:pPr>
      <w:r>
        <w:rPr>
          <w:rFonts w:ascii="Arial" w:cs="Arial" w:eastAsia="Arial" w:hAnsi="Arial"/>
          <w:sz w:val="13"/>
          <w:szCs w:val="13"/>
          <w:color w:val="0E2A35"/>
        </w:rPr>
        <w:t>Ms. Blase served on the Board until her death on July 16, 2022.</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Non-Employee Director Equity Awards Outstanding as of August 27, 2022</w:t>
      </w:r>
    </w:p>
    <w:p>
      <w:pPr>
        <w:spacing w:after="0" w:line="19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0E2A35"/>
        </w:rPr>
        <w:t>As of August 27, 2022, our non-employee directors held the restricted stock awards and stock units set forth below. The stock units in the right column were granted under the Directors’ Deferred Compensation Plan described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shd w:val="clear" w:color="auto" w:fill="0E2A35"/>
          </w:tcPr>
          <w:p>
            <w:pPr>
              <w:spacing w:after="0"/>
              <w:rPr>
                <w:sz w:val="19"/>
                <w:szCs w:val="19"/>
                <w:color w:val="auto"/>
              </w:rPr>
            </w:pPr>
          </w:p>
        </w:tc>
        <w:tc>
          <w:tcPr>
            <w:tcW w:w="4100" w:type="dxa"/>
            <w:vAlign w:val="bottom"/>
            <w:shd w:val="clear" w:color="auto" w:fill="0E2A35"/>
          </w:tcPr>
          <w:p>
            <w:pPr>
              <w:jc w:val="center"/>
              <w:ind w:left="2290"/>
              <w:spacing w:after="0"/>
              <w:rPr>
                <w:sz w:val="20"/>
                <w:szCs w:val="20"/>
                <w:color w:val="auto"/>
              </w:rPr>
            </w:pPr>
            <w:r>
              <w:rPr>
                <w:rFonts w:ascii="Arial" w:cs="Arial" w:eastAsia="Arial" w:hAnsi="Arial"/>
                <w:sz w:val="13"/>
                <w:szCs w:val="13"/>
                <w:b w:val="1"/>
                <w:bCs w:val="1"/>
                <w:color w:val="FFFFFF"/>
                <w:w w:val="97"/>
              </w:rPr>
              <w:t>Restricted</w:t>
            </w:r>
          </w:p>
        </w:tc>
        <w:tc>
          <w:tcPr>
            <w:tcW w:w="980" w:type="dxa"/>
            <w:vAlign w:val="bottom"/>
            <w:shd w:val="clear" w:color="auto" w:fill="0E2A35"/>
          </w:tcPr>
          <w:p>
            <w:pPr>
              <w:jc w:val="center"/>
              <w:ind w:left="310"/>
              <w:spacing w:after="0"/>
              <w:rPr>
                <w:sz w:val="20"/>
                <w:szCs w:val="20"/>
                <w:color w:val="auto"/>
              </w:rPr>
            </w:pPr>
            <w:r>
              <w:rPr>
                <w:rFonts w:ascii="Arial" w:cs="Arial" w:eastAsia="Arial" w:hAnsi="Arial"/>
                <w:sz w:val="13"/>
                <w:szCs w:val="13"/>
                <w:b w:val="1"/>
                <w:bCs w:val="1"/>
                <w:color w:val="FFFFFF"/>
                <w:w w:val="97"/>
              </w:rPr>
              <w:t>Deferred</w:t>
            </w:r>
          </w:p>
        </w:tc>
        <w:tc>
          <w:tcPr>
            <w:tcW w:w="0" w:type="dxa"/>
            <w:vAlign w:val="bottom"/>
          </w:tcPr>
          <w:p>
            <w:pPr>
              <w:spacing w:after="0"/>
              <w:rPr>
                <w:sz w:val="1"/>
                <w:szCs w:val="1"/>
                <w:color w:val="auto"/>
              </w:rPr>
            </w:pPr>
          </w:p>
        </w:tc>
      </w:tr>
      <w:tr>
        <w:trPr>
          <w:trHeight w:val="135"/>
        </w:trPr>
        <w:tc>
          <w:tcPr>
            <w:tcW w:w="42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Director</w:t>
            </w:r>
          </w:p>
        </w:tc>
        <w:tc>
          <w:tcPr>
            <w:tcW w:w="4100" w:type="dxa"/>
            <w:vAlign w:val="bottom"/>
            <w:shd w:val="clear" w:color="auto" w:fill="0E2A35"/>
          </w:tcPr>
          <w:p>
            <w:pPr>
              <w:jc w:val="center"/>
              <w:ind w:left="229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980" w:type="dxa"/>
            <w:vAlign w:val="bottom"/>
            <w:shd w:val="clear" w:color="auto" w:fill="0E2A35"/>
          </w:tcPr>
          <w:p>
            <w:pPr>
              <w:jc w:val="center"/>
              <w:ind w:left="290"/>
              <w:spacing w:after="0" w:line="135" w:lineRule="exact"/>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72"/>
        </w:trPr>
        <w:tc>
          <w:tcPr>
            <w:tcW w:w="4200" w:type="dxa"/>
            <w:vAlign w:val="bottom"/>
            <w:vMerge w:val="continue"/>
            <w:shd w:val="clear" w:color="auto" w:fill="0E2A35"/>
          </w:tcPr>
          <w:p>
            <w:pPr>
              <w:spacing w:after="0"/>
              <w:rPr>
                <w:sz w:val="14"/>
                <w:szCs w:val="14"/>
                <w:color w:val="auto"/>
              </w:rPr>
            </w:pPr>
          </w:p>
        </w:tc>
        <w:tc>
          <w:tcPr>
            <w:tcW w:w="4100" w:type="dxa"/>
            <w:vAlign w:val="bottom"/>
            <w:shd w:val="clear" w:color="auto" w:fill="0E2A35"/>
          </w:tcPr>
          <w:p>
            <w:pPr>
              <w:jc w:val="center"/>
              <w:ind w:left="2310"/>
              <w:spacing w:after="0"/>
              <w:rPr>
                <w:sz w:val="20"/>
                <w:szCs w:val="20"/>
                <w:color w:val="auto"/>
              </w:rPr>
            </w:pPr>
            <w:r>
              <w:rPr>
                <w:rFonts w:ascii="Arial" w:cs="Arial" w:eastAsia="Arial" w:hAnsi="Arial"/>
                <w:sz w:val="13"/>
                <w:szCs w:val="13"/>
                <w:b w:val="1"/>
                <w:bCs w:val="1"/>
                <w:color w:val="FFFFFF"/>
                <w:w w:val="98"/>
              </w:rPr>
              <w:t>Units</w:t>
            </w:r>
          </w:p>
        </w:tc>
        <w:tc>
          <w:tcPr>
            <w:tcW w:w="980" w:type="dxa"/>
            <w:vAlign w:val="bottom"/>
            <w:shd w:val="clear" w:color="auto" w:fill="0E2A35"/>
          </w:tcPr>
          <w:p>
            <w:pPr>
              <w:jc w:val="center"/>
              <w:ind w:left="330"/>
              <w:spacing w:after="0"/>
              <w:rPr>
                <w:sz w:val="20"/>
                <w:szCs w:val="20"/>
                <w:color w:val="auto"/>
              </w:rPr>
            </w:pPr>
            <w:r>
              <w:rPr>
                <w:rFonts w:ascii="Arial" w:cs="Arial" w:eastAsia="Arial" w:hAnsi="Arial"/>
                <w:sz w:val="13"/>
                <w:szCs w:val="13"/>
                <w:b w:val="1"/>
                <w:bCs w:val="1"/>
                <w:color w:val="FFFFFF"/>
                <w:w w:val="92"/>
              </w:rPr>
              <w:t>Units</w:t>
            </w:r>
          </w:p>
        </w:tc>
        <w:tc>
          <w:tcPr>
            <w:tcW w:w="0" w:type="dxa"/>
            <w:vAlign w:val="bottom"/>
          </w:tcPr>
          <w:p>
            <w:pPr>
              <w:spacing w:after="0"/>
              <w:rPr>
                <w:sz w:val="1"/>
                <w:szCs w:val="1"/>
                <w:color w:val="auto"/>
              </w:rPr>
            </w:pPr>
          </w:p>
        </w:tc>
      </w:tr>
      <w:tr>
        <w:trPr>
          <w:trHeight w:val="89"/>
        </w:trPr>
        <w:tc>
          <w:tcPr>
            <w:tcW w:w="4200" w:type="dxa"/>
            <w:vAlign w:val="bottom"/>
            <w:shd w:val="clear" w:color="auto" w:fill="0E2A35"/>
          </w:tcPr>
          <w:p>
            <w:pPr>
              <w:spacing w:after="0"/>
              <w:rPr>
                <w:sz w:val="7"/>
                <w:szCs w:val="7"/>
                <w:color w:val="auto"/>
              </w:rPr>
            </w:pPr>
          </w:p>
        </w:tc>
        <w:tc>
          <w:tcPr>
            <w:tcW w:w="410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5,253​</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60"/>
              <w:spacing w:after="0"/>
              <w:rPr>
                <w:sz w:val="20"/>
                <w:szCs w:val="20"/>
                <w:color w:val="auto"/>
              </w:rPr>
            </w:pPr>
            <w:r>
              <w:rPr>
                <w:rFonts w:ascii="Arial" w:cs="Arial" w:eastAsia="Arial" w:hAnsi="Arial"/>
                <w:sz w:val="14"/>
                <w:szCs w:val="14"/>
                <w:color w:val="0E2A35"/>
              </w:rPr>
              <w:t>Christopher J. Braun</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14,357</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2,222</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4200" w:type="dxa"/>
            <w:vAlign w:val="bottom"/>
          </w:tcPr>
          <w:p>
            <w:pPr>
              <w:ind w:left="60"/>
              <w:spacing w:after="0"/>
              <w:rPr>
                <w:sz w:val="20"/>
                <w:szCs w:val="20"/>
                <w:color w:val="auto"/>
              </w:rPr>
            </w:pPr>
            <w:r>
              <w:rPr>
                <w:rFonts w:ascii="Arial" w:cs="Arial" w:eastAsia="Arial" w:hAnsi="Arial"/>
                <w:sz w:val="14"/>
                <w:szCs w:val="14"/>
                <w:color w:val="0E2A35"/>
              </w:rPr>
              <w:t>Robert M. Chiusano</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29,857​</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27,290</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17,410​</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7,851</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60"/>
              <w:spacing w:after="0"/>
              <w:rPr>
                <w:sz w:val="20"/>
                <w:szCs w:val="20"/>
                <w:color w:val="auto"/>
              </w:rPr>
            </w:pPr>
            <w:r>
              <w:rPr>
                <w:rFonts w:ascii="Arial" w:cs="Arial" w:eastAsia="Arial" w:hAnsi="Arial"/>
                <w:sz w:val="14"/>
                <w:szCs w:val="14"/>
                <w:color w:val="0E2A35"/>
              </w:rPr>
              <w:t>David W. Miles</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14,357​</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5,445​</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4100" w:type="dxa"/>
            <w:vAlign w:val="bottom"/>
          </w:tcPr>
          <w:p>
            <w:pPr>
              <w:jc w:val="center"/>
              <w:ind w:left="2290"/>
              <w:spacing w:after="0"/>
              <w:rPr>
                <w:sz w:val="20"/>
                <w:szCs w:val="20"/>
                <w:color w:val="auto"/>
              </w:rPr>
            </w:pPr>
            <w:r>
              <w:rPr>
                <w:rFonts w:ascii="Arial" w:cs="Arial" w:eastAsia="Arial" w:hAnsi="Arial"/>
                <w:sz w:val="14"/>
                <w:szCs w:val="14"/>
                <w:color w:val="0E2A35"/>
                <w:w w:val="97"/>
              </w:rPr>
              <w:t>11,757​</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420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4100" w:type="dxa"/>
            <w:vAlign w:val="bottom"/>
          </w:tcPr>
          <w:p>
            <w:pPr>
              <w:jc w:val="center"/>
              <w:ind w:left="2290"/>
              <w:spacing w:after="0"/>
              <w:rPr>
                <w:sz w:val="20"/>
                <w:szCs w:val="20"/>
                <w:color w:val="auto"/>
              </w:rPr>
            </w:pPr>
            <w:r>
              <w:rPr>
                <w:rFonts w:ascii="Arial" w:cs="Arial" w:eastAsia="Arial" w:hAnsi="Arial"/>
                <w:sz w:val="14"/>
                <w:szCs w:val="14"/>
                <w:color w:val="0E2A35"/>
                <w:w w:val="97"/>
              </w:rPr>
              <w:t>11,757​</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2,222</w:t>
            </w:r>
          </w:p>
        </w:tc>
        <w:tc>
          <w:tcPr>
            <w:tcW w:w="980" w:type="dxa"/>
            <w:vAlign w:val="bottom"/>
          </w:tcPr>
          <w:p>
            <w:pPr>
              <w:jc w:val="right"/>
              <w:ind w:right="10"/>
              <w:spacing w:after="0"/>
              <w:rPr>
                <w:sz w:val="20"/>
                <w:szCs w:val="20"/>
                <w:color w:val="auto"/>
              </w:rPr>
            </w:pPr>
            <w:r>
              <w:rPr>
                <w:rFonts w:ascii="Arial" w:cs="Arial" w:eastAsia="Arial" w:hAnsi="Arial"/>
                <w:sz w:val="14"/>
                <w:szCs w:val="14"/>
                <w:color w:val="0E2A35"/>
              </w:rPr>
              <w:t>1,508</w:t>
            </w:r>
          </w:p>
        </w:tc>
        <w:tc>
          <w:tcPr>
            <w:tcW w:w="0" w:type="dxa"/>
            <w:vAlign w:val="bottom"/>
          </w:tcPr>
          <w:p>
            <w:pPr>
              <w:spacing w:after="0"/>
              <w:rPr>
                <w:sz w:val="1"/>
                <w:szCs w:val="1"/>
                <w:color w:val="auto"/>
              </w:rPr>
            </w:pPr>
          </w:p>
        </w:tc>
      </w:tr>
      <w:tr>
        <w:trPr>
          <w:trHeight w:val="89"/>
        </w:trPr>
        <w:tc>
          <w:tcPr>
            <w:tcW w:w="4200" w:type="dxa"/>
            <w:vAlign w:val="bottom"/>
            <w:tcBorders>
              <w:bottom w:val="single" w:sz="8" w:color="0E2A35"/>
            </w:tcBorders>
          </w:tcPr>
          <w:p>
            <w:pPr>
              <w:spacing w:after="0"/>
              <w:rPr>
                <w:sz w:val="7"/>
                <w:szCs w:val="7"/>
                <w:color w:val="auto"/>
              </w:rPr>
            </w:pPr>
          </w:p>
        </w:tc>
        <w:tc>
          <w:tcPr>
            <w:tcW w:w="410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Ownership Guidelines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E2A35"/>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Directors’ Deferred Compensation Plan</w:t>
      </w:r>
    </w:p>
    <w:p>
      <w:pPr>
        <w:spacing w:after="0" w:line="19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E2A35"/>
        </w:rPr>
        <w:t>We maintain the Winnebago Industries, Inc. Directors’ Deferred Compensation Plan (the Directors’ Deferred Compensation Plan) for all non-employee directors. A non-employee director can defer 50% of 100% of the retainer and fee payments that would otherwise be paid to him or her in cash and can defer taxes on such compensation.</w:t>
      </w:r>
    </w:p>
    <w:p>
      <w:pPr>
        <w:spacing w:after="0" w:line="13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0E2A35"/>
        </w:rPr>
        <w:t>A participant may elect to apply his or her annual cash retainer amounts to either, but not both, money credits or Winnebago stock units.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0E2A35"/>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Winnebago Industries stock units are units credited in the form of the Company's common stock. The shares of our common stock issued in connection with our Directors’ Deferred Compensation Plan consist of our treasury shares and like all of our common stock, generally, will accrue dividends, if any, paid by us on our common stock. Winnebago Industries stock units will be recorded in a participant’s account based on the closing price of a share of our common stock on the NYSE on the date upon which the account is credited.</w:t>
      </w:r>
    </w:p>
    <w:p>
      <w:pPr>
        <w:spacing w:after="0" w:line="284"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A participant will generally receive payment of his or her Directors’ Deferred Compensation Plan account (either in a lump sum payment or annual installments, as elected by the participant) at the earlier of a “change in control” of the Company, as defined in the Directors’ Deferred Compensation plan, termination of service as a director, or, if elected by the participant, at the time elected by the participant; provided that a participant will receive a lump-sum distribution of his or her account within 30 days following his or her termination of service as a director after such change in control.</w:t>
      </w:r>
    </w:p>
    <w:p>
      <w:pPr>
        <w:spacing w:after="0" w:line="15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E2A35"/>
        </w:rPr>
        <w:t>The Winnebago Industries stock units credited to a participant’s account are included in the “Security Ownership of Certain Beneficial Owners and Management” table in this proxy statement. The directors, however, do not have any rights to vote or dispose of any shares of common stock underlying the Winnebago Industries stock units until their service as a director ends or when he or she reaches the age 69-1/2 while serving as a director.</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Annual Equity Grants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E2A35"/>
        </w:rPr>
        <w:t>The fiscal 2022 equity awards granted in October 2021 were made pursuant to the Winnebago Industries, Inc. 2019 Omnibus Incentive Plan, which limits the aggregate grant date fair value of all equity awards to a non-employee director during a calendar year to not more than $300,000, excluding awards granted at a director’s request in lieu of cash retainers or other fees payable in cash.</w:t>
      </w:r>
    </w:p>
    <w:p>
      <w:pPr>
        <w:spacing w:after="0" w:line="13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0E2A35"/>
        </w:rPr>
        <w:t>Beginning with the fiscal 2019 annual equity awards, we began to grant restricted stock units rather than restricted stock to our non-employee directors.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If a participant terminates his or her service as a director prior to the vesting of the underlying restricted stock unit award, the award will be forfeited by the director, except as follows: (i) in the event of the director’s death or disability prior to vesting, all unvested restricted stock units will vest as of the termination date and (ii) in the event of a change in control while the director is serving on the Board, all unvested restricted stock units will vest on the date of termination. Directors also may elect to defer settlement of their vested restricted stock units until the director’s service to the Company terminates or, if earlier, upon a change in control.</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24765</wp:posOffset>
            </wp:positionV>
            <wp:extent cx="6934835" cy="905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34835" cy="90525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Proposal 2 – Advisory Vote on Executive Compensation</w:t>
      </w:r>
    </w:p>
    <w:p>
      <w:pPr>
        <w:spacing w:after="0" w:line="19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As required by SEC rules, shareholders have the opportunity to vote, on an advisory and non-binding basis, on the compensation of our named executive officers (NEOs) as set forth in this proxy statement. This is commonly referred to as the “Say on Pay” vote. At the 2017 annual meeting, the shareholders determined that the Say on Pay vote would be held annually.</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0E2A35"/>
        </w:rPr>
        <w:t>As discussed in greater detail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0E2A35"/>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ind w:left="860"/>
        <w:spacing w:after="0" w:line="471" w:lineRule="exact"/>
        <w:tabs>
          <w:tab w:leader="none" w:pos="1460" w:val="left"/>
        </w:tabs>
        <w:rPr>
          <w:sz w:val="20"/>
          <w:szCs w:val="20"/>
          <w:color w:val="auto"/>
        </w:rPr>
      </w:pPr>
      <w:r>
        <w:rPr>
          <w:rFonts w:ascii="MS PGothic" w:cs="MS PGothic" w:eastAsia="MS PGothic" w:hAnsi="MS PGothic"/>
          <w:sz w:val="54"/>
          <w:szCs w:val="54"/>
          <w:color w:val="FFFFFF"/>
          <w:vertAlign w:val="subscript"/>
        </w:rPr>
        <w:t>✔</w:t>
      </w:r>
      <w:r>
        <w:rPr>
          <w:sz w:val="20"/>
          <w:szCs w:val="20"/>
          <w:color w:val="auto"/>
        </w:rPr>
        <w:tab/>
      </w:r>
      <w:r>
        <w:rPr>
          <w:rFonts w:ascii="Arial" w:cs="Arial" w:eastAsia="Arial" w:hAnsi="Arial"/>
          <w:sz w:val="19"/>
          <w:szCs w:val="19"/>
          <w:b w:val="1"/>
          <w:bCs w:val="1"/>
          <w:color w:val="FFFFFF"/>
        </w:rPr>
        <w:t>THE BOARD UNANIMOUSLY RECOMMENDS VOTING, ON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-261620</wp:posOffset>
            </wp:positionV>
            <wp:extent cx="4714875" cy="659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14875" cy="659765"/>
                    </a:xfrm>
                    <a:prstGeom prst="rect">
                      <a:avLst/>
                    </a:prstGeom>
                    <a:noFill/>
                  </pic:spPr>
                </pic:pic>
              </a:graphicData>
            </a:graphic>
          </wp:anchor>
        </w:drawing>
      </w:r>
    </w:p>
    <w:p>
      <w:pPr>
        <w:ind w:left="1480" w:right="2360"/>
        <w:spacing w:after="0" w:line="275" w:lineRule="auto"/>
        <w:rPr>
          <w:sz w:val="20"/>
          <w:szCs w:val="20"/>
          <w:color w:val="auto"/>
        </w:rPr>
      </w:pPr>
      <w:r>
        <w:rPr>
          <w:rFonts w:ascii="Arial" w:cs="Arial" w:eastAsia="Arial" w:hAnsi="Arial"/>
          <w:sz w:val="19"/>
          <w:szCs w:val="19"/>
          <w:b w:val="1"/>
          <w:bCs w:val="1"/>
          <w:color w:val="FFFFFF"/>
        </w:rPr>
        <w:t>BINDING, ADVISORY BASIS, FOR APPROVAL OF THE COMPENSATION OF THE NAMED EXECUTIVE OFFICERS.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281940</wp:posOffset>
            </wp:positionV>
            <wp:extent cx="6626225" cy="85807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26225" cy="858075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Compensation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0E2A35"/>
        </w:rPr>
        <w:t>The following Compensation Discussion and Analysis describes the material elements of our executive compensation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Throughout this discussion, we refer to NEOs. The following individuals are our NEOs for fiscal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460" w:type="dxa"/>
            <w:vAlign w:val="bottom"/>
            <w:shd w:val="clear" w:color="auto" w:fill="0E2A35"/>
          </w:tcPr>
          <w:p>
            <w:pPr>
              <w:spacing w:after="0"/>
              <w:rPr>
                <w:sz w:val="22"/>
                <w:szCs w:val="22"/>
                <w:color w:val="auto"/>
              </w:rPr>
            </w:pPr>
          </w:p>
        </w:tc>
        <w:tc>
          <w:tcPr>
            <w:tcW w:w="1360" w:type="dxa"/>
            <w:vAlign w:val="bottom"/>
            <w:gridSpan w:val="2"/>
            <w:shd w:val="clear" w:color="auto" w:fill="0E2A35"/>
          </w:tcPr>
          <w:p>
            <w:pPr>
              <w:ind w:left="680"/>
              <w:spacing w:after="0"/>
              <w:rPr>
                <w:sz w:val="20"/>
                <w:szCs w:val="20"/>
                <w:color w:val="auto"/>
              </w:rPr>
            </w:pPr>
            <w:r>
              <w:rPr>
                <w:rFonts w:ascii="Arial" w:cs="Arial" w:eastAsia="Arial" w:hAnsi="Arial"/>
                <w:sz w:val="13"/>
                <w:szCs w:val="13"/>
                <w:b w:val="1"/>
                <w:bCs w:val="1"/>
                <w:color w:val="FFFFFF"/>
              </w:rPr>
              <w:t>Position</w:t>
            </w:r>
          </w:p>
        </w:tc>
        <w:tc>
          <w:tcPr>
            <w:tcW w:w="6000" w:type="dxa"/>
            <w:vAlign w:val="bottom"/>
            <w:shd w:val="clear" w:color="auto" w:fill="0E2A35"/>
          </w:tcPr>
          <w:p>
            <w:pPr>
              <w:spacing w:after="0"/>
              <w:rPr>
                <w:sz w:val="22"/>
                <w:szCs w:val="22"/>
                <w:color w:val="auto"/>
              </w:rPr>
            </w:pPr>
          </w:p>
        </w:tc>
      </w:tr>
      <w:tr>
        <w:trPr>
          <w:trHeight w:val="116"/>
        </w:trPr>
        <w:tc>
          <w:tcPr>
            <w:tcW w:w="1920" w:type="dxa"/>
            <w:vAlign w:val="bottom"/>
            <w:gridSpan w:val="2"/>
            <w:shd w:val="clear" w:color="auto" w:fill="0E2A35"/>
          </w:tcPr>
          <w:p>
            <w:pPr>
              <w:spacing w:after="0"/>
              <w:rPr>
                <w:sz w:val="10"/>
                <w:szCs w:val="10"/>
                <w:color w:val="auto"/>
              </w:rPr>
            </w:pPr>
          </w:p>
        </w:tc>
        <w:tc>
          <w:tcPr>
            <w:tcW w:w="7360" w:type="dxa"/>
            <w:vAlign w:val="bottom"/>
            <w:gridSpan w:val="3"/>
            <w:shd w:val="clear" w:color="auto" w:fill="0E2A35"/>
          </w:tcPr>
          <w:p>
            <w:pPr>
              <w:spacing w:after="0"/>
              <w:rPr>
                <w:sz w:val="10"/>
                <w:szCs w:val="10"/>
                <w:color w:val="auto"/>
              </w:rPr>
            </w:pPr>
          </w:p>
        </w:tc>
      </w:tr>
      <w:tr>
        <w:trPr>
          <w:trHeight w:val="322"/>
        </w:trPr>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0E2A35"/>
              </w:rPr>
              <w:t>Michael J. Happe</w:t>
            </w:r>
          </w:p>
        </w:tc>
        <w:tc>
          <w:tcPr>
            <w:tcW w:w="7360" w:type="dxa"/>
            <w:vAlign w:val="bottom"/>
            <w:gridSpan w:val="3"/>
          </w:tcPr>
          <w:p>
            <w:pPr>
              <w:ind w:left="680"/>
              <w:spacing w:after="0"/>
              <w:rPr>
                <w:sz w:val="20"/>
                <w:szCs w:val="20"/>
                <w:color w:val="auto"/>
              </w:rPr>
            </w:pPr>
            <w:r>
              <w:rPr>
                <w:rFonts w:ascii="Arial" w:cs="Arial" w:eastAsia="Arial" w:hAnsi="Arial"/>
                <w:sz w:val="14"/>
                <w:szCs w:val="14"/>
                <w:color w:val="0E2A35"/>
              </w:rPr>
              <w:t>Chief Executive Officer and President</w:t>
            </w:r>
          </w:p>
        </w:tc>
      </w:tr>
      <w:tr>
        <w:trPr>
          <w:trHeight w:val="123"/>
        </w:trPr>
        <w:tc>
          <w:tcPr>
            <w:tcW w:w="1920" w:type="dxa"/>
            <w:vAlign w:val="bottom"/>
            <w:tcBorders>
              <w:bottom w:val="single" w:sz="8" w:color="0E2A35"/>
            </w:tcBorders>
            <w:gridSpan w:val="2"/>
          </w:tcPr>
          <w:p>
            <w:pPr>
              <w:spacing w:after="0"/>
              <w:rPr>
                <w:sz w:val="10"/>
                <w:szCs w:val="10"/>
                <w:color w:val="auto"/>
              </w:rPr>
            </w:pPr>
          </w:p>
        </w:tc>
        <w:tc>
          <w:tcPr>
            <w:tcW w:w="7360" w:type="dxa"/>
            <w:vAlign w:val="bottom"/>
            <w:tcBorders>
              <w:bottom w:val="single" w:sz="8" w:color="0E2A35"/>
            </w:tcBorders>
            <w:gridSpan w:val="3"/>
          </w:tcPr>
          <w:p>
            <w:pPr>
              <w:spacing w:after="0"/>
              <w:rPr>
                <w:sz w:val="10"/>
                <w:szCs w:val="10"/>
                <w:color w:val="auto"/>
              </w:rPr>
            </w:pPr>
          </w:p>
        </w:tc>
      </w:tr>
      <w:tr>
        <w:trPr>
          <w:trHeight w:val="329"/>
        </w:trPr>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0E2A35"/>
              </w:rPr>
              <w:t>Bryan L. Hughes</w:t>
            </w:r>
          </w:p>
        </w:tc>
        <w:tc>
          <w:tcPr>
            <w:tcW w:w="7360" w:type="dxa"/>
            <w:vAlign w:val="bottom"/>
            <w:gridSpan w:val="3"/>
          </w:tcPr>
          <w:p>
            <w:pPr>
              <w:ind w:left="680"/>
              <w:spacing w:after="0"/>
              <w:rPr>
                <w:sz w:val="20"/>
                <w:szCs w:val="20"/>
                <w:color w:val="auto"/>
              </w:rPr>
            </w:pPr>
            <w:r>
              <w:rPr>
                <w:rFonts w:ascii="Arial" w:cs="Arial" w:eastAsia="Arial" w:hAnsi="Arial"/>
                <w:sz w:val="14"/>
                <w:szCs w:val="14"/>
                <w:color w:val="0E2A35"/>
              </w:rPr>
              <w:t>Chief Financial Officer, Senior Vice President, Finance, IT and Strategic Planning</w:t>
            </w:r>
          </w:p>
        </w:tc>
      </w:tr>
      <w:tr>
        <w:trPr>
          <w:trHeight w:val="123"/>
        </w:trPr>
        <w:tc>
          <w:tcPr>
            <w:tcW w:w="460" w:type="dxa"/>
            <w:vAlign w:val="bottom"/>
            <w:tcBorders>
              <w:bottom w:val="single" w:sz="8" w:color="0E2A35"/>
            </w:tcBorders>
          </w:tcPr>
          <w:p>
            <w:pPr>
              <w:spacing w:after="0"/>
              <w:rPr>
                <w:sz w:val="10"/>
                <w:szCs w:val="10"/>
                <w:color w:val="auto"/>
              </w:rPr>
            </w:pPr>
          </w:p>
        </w:tc>
        <w:tc>
          <w:tcPr>
            <w:tcW w:w="146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6240" w:type="dxa"/>
            <w:vAlign w:val="bottom"/>
            <w:tcBorders>
              <w:bottom w:val="single" w:sz="8" w:color="0E2A35"/>
            </w:tcBorders>
            <w:gridSpan w:val="2"/>
          </w:tcPr>
          <w:p>
            <w:pPr>
              <w:spacing w:after="0"/>
              <w:rPr>
                <w:sz w:val="10"/>
                <w:szCs w:val="10"/>
                <w:color w:val="auto"/>
              </w:rPr>
            </w:pPr>
          </w:p>
        </w:tc>
      </w:tr>
      <w:tr>
        <w:trPr>
          <w:trHeight w:val="329"/>
        </w:trPr>
        <w:tc>
          <w:tcPr>
            <w:tcW w:w="460" w:type="dxa"/>
            <w:vAlign w:val="bottom"/>
          </w:tcPr>
          <w:p>
            <w:pPr>
              <w:ind w:left="60"/>
              <w:spacing w:after="0"/>
              <w:rPr>
                <w:sz w:val="20"/>
                <w:szCs w:val="20"/>
                <w:color w:val="auto"/>
              </w:rPr>
            </w:pPr>
            <w:r>
              <w:rPr>
                <w:rFonts w:ascii="Arial" w:cs="Arial" w:eastAsia="Arial" w:hAnsi="Arial"/>
                <w:sz w:val="14"/>
                <w:szCs w:val="14"/>
                <w:b w:val="1"/>
                <w:bCs w:val="1"/>
                <w:color w:val="0E2A35"/>
              </w:rPr>
              <w:t>Stacy​</w:t>
            </w:r>
          </w:p>
        </w:tc>
        <w:tc>
          <w:tcPr>
            <w:tcW w:w="1460" w:type="dxa"/>
            <w:vAlign w:val="bottom"/>
          </w:tcPr>
          <w:p>
            <w:pPr>
              <w:ind w:left="20"/>
              <w:spacing w:after="0"/>
              <w:rPr>
                <w:sz w:val="20"/>
                <w:szCs w:val="20"/>
                <w:color w:val="auto"/>
              </w:rPr>
            </w:pPr>
            <w:r>
              <w:rPr>
                <w:rFonts w:ascii="Arial" w:cs="Arial" w:eastAsia="Arial" w:hAnsi="Arial"/>
                <w:sz w:val="14"/>
                <w:szCs w:val="14"/>
                <w:b w:val="1"/>
                <w:bCs w:val="1"/>
                <w:color w:val="0E2A35"/>
              </w:rPr>
              <w:t>L. Bogart</w:t>
            </w:r>
          </w:p>
        </w:tc>
        <w:tc>
          <w:tcPr>
            <w:tcW w:w="1120" w:type="dxa"/>
            <w:vAlign w:val="bottom"/>
          </w:tcPr>
          <w:p>
            <w:pPr>
              <w:ind w:left="680"/>
              <w:spacing w:after="0"/>
              <w:rPr>
                <w:sz w:val="20"/>
                <w:szCs w:val="20"/>
                <w:color w:val="auto"/>
              </w:rPr>
            </w:pPr>
            <w:r>
              <w:rPr>
                <w:rFonts w:ascii="Arial" w:cs="Arial" w:eastAsia="Arial" w:hAnsi="Arial"/>
                <w:sz w:val="14"/>
                <w:szCs w:val="14"/>
                <w:color w:val="0E2A35"/>
              </w:rPr>
              <w:t>Senior​</w:t>
            </w:r>
          </w:p>
        </w:tc>
        <w:tc>
          <w:tcPr>
            <w:tcW w:w="6240" w:type="dxa"/>
            <w:vAlign w:val="bottom"/>
            <w:gridSpan w:val="2"/>
          </w:tcPr>
          <w:p>
            <w:pPr>
              <w:ind w:left="20"/>
              <w:spacing w:after="0"/>
              <w:rPr>
                <w:sz w:val="20"/>
                <w:szCs w:val="20"/>
                <w:color w:val="auto"/>
              </w:rPr>
            </w:pPr>
            <w:r>
              <w:rPr>
                <w:rFonts w:ascii="Arial" w:cs="Arial" w:eastAsia="Arial" w:hAnsi="Arial"/>
                <w:sz w:val="14"/>
                <w:szCs w:val="14"/>
                <w:color w:val="0E2A35"/>
              </w:rPr>
              <w:t>Vice President, General Counsel, Secretary and Corporate Responsibility</w:t>
            </w:r>
          </w:p>
        </w:tc>
      </w:tr>
      <w:tr>
        <w:trPr>
          <w:trHeight w:val="123"/>
        </w:trPr>
        <w:tc>
          <w:tcPr>
            <w:tcW w:w="1920" w:type="dxa"/>
            <w:vAlign w:val="bottom"/>
            <w:tcBorders>
              <w:bottom w:val="single" w:sz="8" w:color="0E2A35"/>
            </w:tcBorders>
            <w:gridSpan w:val="2"/>
          </w:tcPr>
          <w:p>
            <w:pPr>
              <w:spacing w:after="0"/>
              <w:rPr>
                <w:sz w:val="10"/>
                <w:szCs w:val="10"/>
                <w:color w:val="auto"/>
              </w:rPr>
            </w:pPr>
          </w:p>
        </w:tc>
        <w:tc>
          <w:tcPr>
            <w:tcW w:w="7360" w:type="dxa"/>
            <w:vAlign w:val="bottom"/>
            <w:tcBorders>
              <w:bottom w:val="single" w:sz="8" w:color="0E2A35"/>
            </w:tcBorders>
            <w:gridSpan w:val="3"/>
          </w:tcPr>
          <w:p>
            <w:pPr>
              <w:spacing w:after="0"/>
              <w:rPr>
                <w:sz w:val="10"/>
                <w:szCs w:val="10"/>
                <w:color w:val="auto"/>
              </w:rPr>
            </w:pPr>
          </w:p>
        </w:tc>
      </w:tr>
      <w:tr>
        <w:trPr>
          <w:trHeight w:val="329"/>
        </w:trPr>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0E2A35"/>
              </w:rPr>
              <w:t>Huw S. Bower</w:t>
            </w:r>
          </w:p>
        </w:tc>
        <w:tc>
          <w:tcPr>
            <w:tcW w:w="7360" w:type="dxa"/>
            <w:vAlign w:val="bottom"/>
            <w:gridSpan w:val="3"/>
          </w:tcPr>
          <w:p>
            <w:pPr>
              <w:ind w:left="680"/>
              <w:spacing w:after="0"/>
              <w:rPr>
                <w:sz w:val="20"/>
                <w:szCs w:val="20"/>
                <w:color w:val="auto"/>
              </w:rPr>
            </w:pPr>
            <w:r>
              <w:rPr>
                <w:rFonts w:ascii="Arial" w:cs="Arial" w:eastAsia="Arial" w:hAnsi="Arial"/>
                <w:sz w:val="14"/>
                <w:szCs w:val="14"/>
                <w:color w:val="0E2A35"/>
              </w:rPr>
              <w:t>President, Winnebago Outdoors</w:t>
            </w:r>
          </w:p>
        </w:tc>
      </w:tr>
      <w:tr>
        <w:trPr>
          <w:trHeight w:val="123"/>
        </w:trPr>
        <w:tc>
          <w:tcPr>
            <w:tcW w:w="1920" w:type="dxa"/>
            <w:vAlign w:val="bottom"/>
            <w:tcBorders>
              <w:bottom w:val="single" w:sz="8" w:color="0E2A35"/>
            </w:tcBorders>
            <w:gridSpan w:val="2"/>
          </w:tcPr>
          <w:p>
            <w:pPr>
              <w:spacing w:after="0"/>
              <w:rPr>
                <w:sz w:val="10"/>
                <w:szCs w:val="10"/>
                <w:color w:val="auto"/>
              </w:rPr>
            </w:pPr>
          </w:p>
        </w:tc>
        <w:tc>
          <w:tcPr>
            <w:tcW w:w="1360" w:type="dxa"/>
            <w:vAlign w:val="bottom"/>
            <w:tcBorders>
              <w:bottom w:val="single" w:sz="8" w:color="0E2A35"/>
            </w:tcBorders>
            <w:gridSpan w:val="2"/>
          </w:tcPr>
          <w:p>
            <w:pPr>
              <w:spacing w:after="0"/>
              <w:rPr>
                <w:sz w:val="10"/>
                <w:szCs w:val="10"/>
                <w:color w:val="auto"/>
              </w:rPr>
            </w:pPr>
          </w:p>
        </w:tc>
        <w:tc>
          <w:tcPr>
            <w:tcW w:w="6000" w:type="dxa"/>
            <w:vAlign w:val="bottom"/>
            <w:tcBorders>
              <w:bottom w:val="single" w:sz="8" w:color="0E2A35"/>
            </w:tcBorders>
          </w:tcPr>
          <w:p>
            <w:pPr>
              <w:spacing w:after="0"/>
              <w:rPr>
                <w:sz w:val="10"/>
                <w:szCs w:val="10"/>
                <w:color w:val="auto"/>
              </w:rPr>
            </w:pPr>
          </w:p>
        </w:tc>
      </w:tr>
      <w:tr>
        <w:trPr>
          <w:trHeight w:val="329"/>
        </w:trPr>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0E2A35"/>
              </w:rPr>
              <w:t>Donald J. Clark</w:t>
            </w:r>
          </w:p>
        </w:tc>
        <w:tc>
          <w:tcPr>
            <w:tcW w:w="1360" w:type="dxa"/>
            <w:vAlign w:val="bottom"/>
            <w:gridSpan w:val="2"/>
          </w:tcPr>
          <w:p>
            <w:pPr>
              <w:ind w:left="680"/>
              <w:spacing w:after="0"/>
              <w:rPr>
                <w:sz w:val="20"/>
                <w:szCs w:val="20"/>
                <w:color w:val="auto"/>
              </w:rPr>
            </w:pPr>
            <w:r>
              <w:rPr>
                <w:rFonts w:ascii="Arial" w:cs="Arial" w:eastAsia="Arial" w:hAnsi="Arial"/>
                <w:sz w:val="14"/>
                <w:szCs w:val="14"/>
                <w:color w:val="0E2A35"/>
              </w:rPr>
              <w:t>President,​</w:t>
            </w:r>
          </w:p>
        </w:tc>
        <w:tc>
          <w:tcPr>
            <w:tcW w:w="6000" w:type="dxa"/>
            <w:vAlign w:val="bottom"/>
          </w:tcPr>
          <w:p>
            <w:pPr>
              <w:ind w:left="20"/>
              <w:spacing w:after="0"/>
              <w:rPr>
                <w:sz w:val="20"/>
                <w:szCs w:val="20"/>
                <w:color w:val="auto"/>
              </w:rPr>
            </w:pPr>
            <w:r>
              <w:rPr>
                <w:rFonts w:ascii="Arial" w:cs="Arial" w:eastAsia="Arial" w:hAnsi="Arial"/>
                <w:sz w:val="14"/>
                <w:szCs w:val="14"/>
                <w:color w:val="0E2A35"/>
              </w:rPr>
              <w:t>Grand Design</w:t>
            </w:r>
          </w:p>
        </w:tc>
      </w:tr>
      <w:tr>
        <w:trPr>
          <w:trHeight w:val="83"/>
        </w:trPr>
        <w:tc>
          <w:tcPr>
            <w:tcW w:w="460" w:type="dxa"/>
            <w:vAlign w:val="bottom"/>
            <w:tcBorders>
              <w:bottom w:val="single" w:sz="8" w:color="0E2A35"/>
            </w:tcBorders>
          </w:tcPr>
          <w:p>
            <w:pPr>
              <w:spacing w:after="0"/>
              <w:rPr>
                <w:sz w:val="7"/>
                <w:szCs w:val="7"/>
                <w:color w:val="auto"/>
              </w:rPr>
            </w:pPr>
          </w:p>
        </w:tc>
        <w:tc>
          <w:tcPr>
            <w:tcW w:w="146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6000" w:type="dxa"/>
            <w:vAlign w:val="bottom"/>
            <w:tcBorders>
              <w:bottom w:val="single" w:sz="8" w:color="0E2A35"/>
            </w:tcBorders>
          </w:tcPr>
          <w:p>
            <w:pPr>
              <w:spacing w:after="0"/>
              <w:rPr>
                <w:sz w:val="7"/>
                <w:szCs w:val="7"/>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Executive Compensation Philosophy and Program Objectives</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E2A35"/>
        </w:rPr>
        <w:t>The Human Resources Committee believes that the most effective compensation program is one that is designed to reward the achievement of our specific annual, long-term and strategic goals, and which aligns executives’ interests with those of our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 group. Accordingly, the committee believes executive compensation packages provided to our executives, including the NEOs, should include both cash and stock-based compensation that reward performance as measured against established goals.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44" w:lineRule="exact"/>
        <w:rPr>
          <w:sz w:val="20"/>
          <w:szCs w:val="20"/>
          <w:color w:val="auto"/>
        </w:rPr>
      </w:pPr>
    </w:p>
    <w:p>
      <w:pPr>
        <w:ind w:left="720" w:hanging="360"/>
        <w:spacing w:after="0"/>
        <w:tabs>
          <w:tab w:leader="none" w:pos="720" w:val="left"/>
        </w:tabs>
        <w:numPr>
          <w:ilvl w:val="0"/>
          <w:numId w:val="19"/>
        </w:numPr>
        <w:rPr>
          <w:rFonts w:ascii="Arial" w:cs="Arial" w:eastAsia="Arial" w:hAnsi="Arial"/>
          <w:sz w:val="16"/>
          <w:szCs w:val="16"/>
          <w:color w:val="C7D265"/>
        </w:rPr>
      </w:pPr>
      <w:r>
        <w:rPr>
          <w:rFonts w:ascii="Arial" w:cs="Arial" w:eastAsia="Arial" w:hAnsi="Arial"/>
          <w:sz w:val="16"/>
          <w:szCs w:val="16"/>
          <w:color w:val="0E2A35"/>
        </w:rPr>
        <w:t>Align the interests of management with those of shareholders</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19"/>
        </w:numPr>
        <w:rPr>
          <w:rFonts w:ascii="Arial" w:cs="Arial" w:eastAsia="Arial" w:hAnsi="Arial"/>
          <w:sz w:val="16"/>
          <w:szCs w:val="16"/>
          <w:color w:val="C7D265"/>
        </w:rPr>
      </w:pPr>
      <w:r>
        <w:rPr>
          <w:rFonts w:ascii="Arial" w:cs="Arial" w:eastAsia="Arial" w:hAnsi="Arial"/>
          <w:sz w:val="16"/>
          <w:szCs w:val="16"/>
          <w:color w:val="0E2A35"/>
        </w:rPr>
        <w:t>Provide fair and competitive compensation</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19"/>
        </w:numPr>
        <w:rPr>
          <w:rFonts w:ascii="Arial" w:cs="Arial" w:eastAsia="Arial" w:hAnsi="Arial"/>
          <w:sz w:val="16"/>
          <w:szCs w:val="16"/>
          <w:color w:val="C7D265"/>
        </w:rPr>
      </w:pPr>
      <w:r>
        <w:rPr>
          <w:rFonts w:ascii="Arial" w:cs="Arial" w:eastAsia="Arial" w:hAnsi="Arial"/>
          <w:sz w:val="16"/>
          <w:szCs w:val="16"/>
          <w:color w:val="0E2A35"/>
        </w:rPr>
        <w:t>Integrate compensation with our business plans</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19"/>
        </w:numPr>
        <w:rPr>
          <w:rFonts w:ascii="Arial" w:cs="Arial" w:eastAsia="Arial" w:hAnsi="Arial"/>
          <w:sz w:val="16"/>
          <w:szCs w:val="16"/>
          <w:color w:val="C7D265"/>
        </w:rPr>
      </w:pPr>
      <w:r>
        <w:rPr>
          <w:rFonts w:ascii="Arial" w:cs="Arial" w:eastAsia="Arial" w:hAnsi="Arial"/>
          <w:sz w:val="16"/>
          <w:szCs w:val="16"/>
          <w:color w:val="0E2A35"/>
        </w:rPr>
        <w:t>Reward both business and individual performance</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19"/>
        </w:numPr>
        <w:rPr>
          <w:rFonts w:ascii="Arial" w:cs="Arial" w:eastAsia="Arial" w:hAnsi="Arial"/>
          <w:sz w:val="16"/>
          <w:szCs w:val="16"/>
          <w:color w:val="C7D265"/>
        </w:rPr>
      </w:pPr>
      <w:r>
        <w:rPr>
          <w:rFonts w:ascii="Arial" w:cs="Arial" w:eastAsia="Arial" w:hAnsi="Arial"/>
          <w:sz w:val="16"/>
          <w:szCs w:val="16"/>
          <w:color w:val="0E2A35"/>
        </w:rPr>
        <w:t>Attract and retain key executives critical to our success</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0E2A35"/>
        </w:rPr>
        <w:t>These objectives emphasize pay for performance by providing an incentive opportunity for performance that meets or exceeds Company objectives.</w:t>
      </w:r>
    </w:p>
    <w:p>
      <w:pPr>
        <w:spacing w:after="0" w:line="260"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206375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6694805" cy="3008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94805" cy="300863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Fiscal 2022 Performance Highlights</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are highlights of the Company’s financial performance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62"/>
        </w:trPr>
        <w:tc>
          <w:tcPr>
            <w:tcW w:w="640" w:type="dxa"/>
            <w:vAlign w:val="bottom"/>
            <w:shd w:val="clear" w:color="auto" w:fill="0E2A35"/>
          </w:tcPr>
          <w:p>
            <w:pPr>
              <w:spacing w:after="0"/>
              <w:rPr>
                <w:sz w:val="22"/>
                <w:szCs w:val="22"/>
                <w:color w:val="auto"/>
              </w:rPr>
            </w:pPr>
          </w:p>
        </w:tc>
        <w:tc>
          <w:tcPr>
            <w:tcW w:w="3900" w:type="dxa"/>
            <w:vAlign w:val="bottom"/>
            <w:shd w:val="clear" w:color="auto" w:fill="0E2A35"/>
          </w:tcPr>
          <w:p>
            <w:pPr>
              <w:spacing w:after="0"/>
              <w:rPr>
                <w:sz w:val="22"/>
                <w:szCs w:val="22"/>
                <w:color w:val="auto"/>
              </w:rPr>
            </w:pPr>
          </w:p>
        </w:tc>
        <w:tc>
          <w:tcPr>
            <w:tcW w:w="2100" w:type="dxa"/>
            <w:vAlign w:val="bottom"/>
            <w:gridSpan w:val="2"/>
            <w:shd w:val="clear" w:color="auto" w:fill="0E2A35"/>
          </w:tcPr>
          <w:p>
            <w:pPr>
              <w:ind w:left="720"/>
              <w:spacing w:after="0"/>
              <w:rPr>
                <w:sz w:val="20"/>
                <w:szCs w:val="20"/>
                <w:color w:val="auto"/>
              </w:rPr>
            </w:pPr>
            <w:r>
              <w:rPr>
                <w:rFonts w:ascii="Arial" w:cs="Arial" w:eastAsia="Arial" w:hAnsi="Arial"/>
                <w:sz w:val="13"/>
                <w:szCs w:val="13"/>
                <w:b w:val="1"/>
                <w:bCs w:val="1"/>
                <w:color w:val="FFFFFF"/>
              </w:rPr>
              <w:t>Incentive Plan</w:t>
            </w:r>
          </w:p>
        </w:tc>
        <w:tc>
          <w:tcPr>
            <w:tcW w:w="780" w:type="dxa"/>
            <w:vAlign w:val="bottom"/>
            <w:shd w:val="clear" w:color="auto" w:fill="0E2A35"/>
          </w:tcPr>
          <w:p>
            <w:pPr>
              <w:spacing w:after="0"/>
              <w:rPr>
                <w:sz w:val="22"/>
                <w:szCs w:val="22"/>
                <w:color w:val="auto"/>
              </w:rPr>
            </w:pPr>
          </w:p>
        </w:tc>
        <w:tc>
          <w:tcPr>
            <w:tcW w:w="1220" w:type="dxa"/>
            <w:vAlign w:val="bottom"/>
            <w:shd w:val="clear" w:color="auto" w:fill="0E2A35"/>
          </w:tcPr>
          <w:p>
            <w:pPr>
              <w:ind w:left="400"/>
              <w:spacing w:after="0"/>
              <w:rPr>
                <w:sz w:val="20"/>
                <w:szCs w:val="20"/>
                <w:color w:val="auto"/>
              </w:rPr>
            </w:pPr>
            <w:r>
              <w:rPr>
                <w:rFonts w:ascii="Arial" w:cs="Arial" w:eastAsia="Arial" w:hAnsi="Arial"/>
                <w:sz w:val="13"/>
                <w:szCs w:val="13"/>
                <w:b w:val="1"/>
                <w:bCs w:val="1"/>
                <w:color w:val="FFFFFF"/>
              </w:rPr>
              <w:t>Performance</w:t>
            </w:r>
          </w:p>
        </w:tc>
        <w:tc>
          <w:tcPr>
            <w:tcW w:w="640" w:type="dxa"/>
            <w:vAlign w:val="bottom"/>
            <w:shd w:val="clear" w:color="auto" w:fill="0E2A35"/>
          </w:tcPr>
          <w:p>
            <w:pPr>
              <w:spacing w:after="0"/>
              <w:rPr>
                <w:sz w:val="22"/>
                <w:szCs w:val="22"/>
                <w:color w:val="auto"/>
              </w:rPr>
            </w:pPr>
          </w:p>
        </w:tc>
      </w:tr>
      <w:tr>
        <w:trPr>
          <w:trHeight w:val="454"/>
        </w:trPr>
        <w:tc>
          <w:tcPr>
            <w:tcW w:w="64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Measure</w:t>
            </w:r>
          </w:p>
        </w:tc>
        <w:tc>
          <w:tcPr>
            <w:tcW w:w="3900" w:type="dxa"/>
            <w:vAlign w:val="bottom"/>
            <w:shd w:val="clear" w:color="auto" w:fill="0E2A35"/>
          </w:tcPr>
          <w:p>
            <w:pPr>
              <w:spacing w:after="0"/>
              <w:rPr>
                <w:sz w:val="24"/>
                <w:szCs w:val="24"/>
                <w:color w:val="auto"/>
              </w:rPr>
            </w:pPr>
          </w:p>
        </w:tc>
        <w:tc>
          <w:tcPr>
            <w:tcW w:w="1020" w:type="dxa"/>
            <w:vAlign w:val="bottom"/>
            <w:shd w:val="clear" w:color="auto" w:fill="0E2A35"/>
          </w:tcPr>
          <w:p>
            <w:pPr>
              <w:ind w:left="200"/>
              <w:spacing w:after="0"/>
              <w:rPr>
                <w:sz w:val="20"/>
                <w:szCs w:val="20"/>
                <w:color w:val="auto"/>
              </w:rPr>
            </w:pPr>
            <w:r>
              <w:rPr>
                <w:rFonts w:ascii="Arial" w:cs="Arial" w:eastAsia="Arial" w:hAnsi="Arial"/>
                <w:sz w:val="13"/>
                <w:szCs w:val="13"/>
                <w:b w:val="1"/>
                <w:bCs w:val="1"/>
                <w:color w:val="FFFFFF"/>
              </w:rPr>
              <w:t>Annual</w:t>
            </w:r>
            <w:r>
              <w:rPr>
                <w:rFonts w:ascii="Arial" w:cs="Arial" w:eastAsia="Arial" w:hAnsi="Arial"/>
                <w:sz w:val="20"/>
                <w:szCs w:val="20"/>
                <w:b w:val="1"/>
                <w:bCs w:val="1"/>
                <w:color w:val="FFFFFF"/>
                <w:vertAlign w:val="superscript"/>
              </w:rPr>
              <w:t>(3)</w:t>
            </w:r>
          </w:p>
        </w:tc>
        <w:tc>
          <w:tcPr>
            <w:tcW w:w="1080" w:type="dxa"/>
            <w:vAlign w:val="bottom"/>
            <w:shd w:val="clear" w:color="auto" w:fill="0E2A35"/>
          </w:tcPr>
          <w:p>
            <w:pPr>
              <w:jc w:val="center"/>
              <w:ind w:left="150"/>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(4)</w:t>
            </w:r>
          </w:p>
        </w:tc>
        <w:tc>
          <w:tcPr>
            <w:tcW w:w="780" w:type="dxa"/>
            <w:vAlign w:val="bottom"/>
            <w:shd w:val="clear" w:color="auto" w:fill="0E2A35"/>
          </w:tcPr>
          <w:p>
            <w:pPr>
              <w:spacing w:after="0"/>
              <w:rPr>
                <w:sz w:val="24"/>
                <w:szCs w:val="24"/>
                <w:color w:val="auto"/>
              </w:rPr>
            </w:pPr>
          </w:p>
        </w:tc>
        <w:tc>
          <w:tcPr>
            <w:tcW w:w="1220" w:type="dxa"/>
            <w:vAlign w:val="bottom"/>
            <w:shd w:val="clear" w:color="auto" w:fill="0E2A35"/>
          </w:tcPr>
          <w:p>
            <w:pPr>
              <w:ind w:left="40"/>
              <w:spacing w:after="0"/>
              <w:rPr>
                <w:sz w:val="20"/>
                <w:szCs w:val="20"/>
                <w:color w:val="auto"/>
              </w:rPr>
            </w:pPr>
            <w:r>
              <w:rPr>
                <w:rFonts w:ascii="Arial" w:cs="Arial" w:eastAsia="Arial" w:hAnsi="Arial"/>
                <w:sz w:val="13"/>
                <w:szCs w:val="13"/>
                <w:b w:val="1"/>
                <w:bCs w:val="1"/>
                <w:color w:val="FFFFFF"/>
              </w:rPr>
              <w:t>1-year</w:t>
            </w:r>
          </w:p>
        </w:tc>
        <w:tc>
          <w:tcPr>
            <w:tcW w:w="64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(5)</w:t>
            </w:r>
          </w:p>
        </w:tc>
      </w:tr>
      <w:tr>
        <w:trPr>
          <w:trHeight w:val="302"/>
        </w:trPr>
        <w:tc>
          <w:tcPr>
            <w:tcW w:w="4540" w:type="dxa"/>
            <w:vAlign w:val="bottom"/>
            <w:gridSpan w:val="2"/>
          </w:tcPr>
          <w:p>
            <w:pPr>
              <w:ind w:left="60"/>
              <w:spacing w:after="0"/>
              <w:rPr>
                <w:sz w:val="20"/>
                <w:szCs w:val="20"/>
                <w:color w:val="auto"/>
              </w:rPr>
            </w:pPr>
            <w:r>
              <w:rPr>
                <w:rFonts w:ascii="Arial" w:cs="Arial" w:eastAsia="Arial" w:hAnsi="Arial"/>
                <w:sz w:val="14"/>
                <w:szCs w:val="14"/>
                <w:color w:val="0E2A35"/>
              </w:rPr>
              <w:t xml:space="preserve">Net Revenue </w:t>
            </w:r>
            <w:r>
              <w:rPr>
                <w:rFonts w:ascii="Arial" w:cs="Arial" w:eastAsia="Arial" w:hAnsi="Arial"/>
                <w:sz w:val="14"/>
                <w:szCs w:val="14"/>
                <w:i w:val="1"/>
                <w:iCs w:val="1"/>
                <w:color w:val="0E2A35"/>
              </w:rPr>
              <w:t>($ in thousands)</w:t>
            </w:r>
          </w:p>
        </w:tc>
        <w:tc>
          <w:tcPr>
            <w:tcW w:w="1020" w:type="dxa"/>
            <w:vAlign w:val="bottom"/>
          </w:tcPr>
          <w:p>
            <w:pPr>
              <w:ind w:left="420"/>
              <w:spacing w:after="0" w:line="141" w:lineRule="exact"/>
              <w:rPr>
                <w:sz w:val="20"/>
                <w:szCs w:val="20"/>
                <w:color w:val="auto"/>
              </w:rPr>
            </w:pPr>
            <w:r>
              <w:rPr>
                <w:rFonts w:ascii="MS PGothic" w:cs="MS PGothic" w:eastAsia="MS PGothic" w:hAnsi="MS PGothic"/>
                <w:sz w:val="14"/>
                <w:szCs w:val="14"/>
                <w:color w:val="0E2A35"/>
              </w:rPr>
              <w:t>✔</w:t>
            </w:r>
          </w:p>
        </w:tc>
        <w:tc>
          <w:tcPr>
            <w:tcW w:w="1080" w:type="dxa"/>
            <w:vAlign w:val="bottom"/>
          </w:tcPr>
          <w:p>
            <w:pPr>
              <w:ind w:left="720"/>
              <w:spacing w:after="0"/>
              <w:rPr>
                <w:sz w:val="20"/>
                <w:szCs w:val="20"/>
                <w:color w:val="auto"/>
              </w:rPr>
            </w:pPr>
            <w:r>
              <w:rPr>
                <w:rFonts w:ascii="Arial" w:cs="Arial" w:eastAsia="Arial" w:hAnsi="Arial"/>
                <w:sz w:val="14"/>
                <w:szCs w:val="14"/>
                <w:color w:val="0E2A35"/>
              </w:rPr>
              <w:t>​</w:t>
            </w:r>
          </w:p>
        </w:tc>
        <w:tc>
          <w:tcPr>
            <w:tcW w:w="2000" w:type="dxa"/>
            <w:vAlign w:val="bottom"/>
            <w:gridSpan w:val="2"/>
          </w:tcPr>
          <w:p>
            <w:pPr>
              <w:jc w:val="right"/>
              <w:ind w:right="571"/>
              <w:spacing w:after="0"/>
              <w:rPr>
                <w:sz w:val="20"/>
                <w:szCs w:val="20"/>
                <w:color w:val="auto"/>
              </w:rPr>
            </w:pPr>
            <w:r>
              <w:rPr>
                <w:rFonts w:ascii="Arial" w:cs="Arial" w:eastAsia="Arial" w:hAnsi="Arial"/>
                <w:sz w:val="14"/>
                <w:szCs w:val="14"/>
                <w:color w:val="0E2A35"/>
              </w:rPr>
              <w:t>$4,957,730</w:t>
            </w:r>
          </w:p>
        </w:tc>
        <w:tc>
          <w:tcPr>
            <w:tcW w:w="640" w:type="dxa"/>
            <w:vAlign w:val="bottom"/>
          </w:tcPr>
          <w:p>
            <w:pPr>
              <w:jc w:val="center"/>
              <w:ind w:left="170"/>
              <w:spacing w:after="0"/>
              <w:rPr>
                <w:sz w:val="20"/>
                <w:szCs w:val="20"/>
                <w:color w:val="auto"/>
              </w:rPr>
            </w:pPr>
            <w:r>
              <w:rPr>
                <w:rFonts w:ascii="Arial" w:cs="Arial" w:eastAsia="Arial" w:hAnsi="Arial"/>
                <w:sz w:val="14"/>
                <w:szCs w:val="14"/>
                <w:color w:val="0E2A35"/>
              </w:rPr>
              <w:t>​N/A</w:t>
            </w:r>
          </w:p>
        </w:tc>
      </w:tr>
      <w:tr>
        <w:trPr>
          <w:trHeight w:val="89"/>
        </w:trPr>
        <w:tc>
          <w:tcPr>
            <w:tcW w:w="4540" w:type="dxa"/>
            <w:vAlign w:val="bottom"/>
            <w:tcBorders>
              <w:bottom w:val="single" w:sz="8" w:color="0E2A35"/>
            </w:tcBorders>
            <w:gridSpan w:val="2"/>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780" w:type="dxa"/>
            <w:vAlign w:val="bottom"/>
            <w:tcBorders>
              <w:bottom w:val="single" w:sz="8" w:color="0E2A35"/>
            </w:tcBorders>
          </w:tcPr>
          <w:p>
            <w:pPr>
              <w:spacing w:after="0"/>
              <w:rPr>
                <w:sz w:val="7"/>
                <w:szCs w:val="7"/>
                <w:color w:val="auto"/>
              </w:rPr>
            </w:pPr>
          </w:p>
        </w:tc>
        <w:tc>
          <w:tcPr>
            <w:tcW w:w="1220" w:type="dxa"/>
            <w:vAlign w:val="bottom"/>
            <w:tcBorders>
              <w:bottom w:val="single" w:sz="8" w:color="0E2A35"/>
            </w:tcBorders>
          </w:tcPr>
          <w:p>
            <w:pPr>
              <w:spacing w:after="0"/>
              <w:rPr>
                <w:sz w:val="7"/>
                <w:szCs w:val="7"/>
                <w:color w:val="auto"/>
              </w:rPr>
            </w:pPr>
          </w:p>
        </w:tc>
        <w:tc>
          <w:tcPr>
            <w:tcW w:w="640" w:type="dxa"/>
            <w:vAlign w:val="bottom"/>
            <w:tcBorders>
              <w:bottom w:val="single" w:sz="8" w:color="0E2A35"/>
            </w:tcBorders>
          </w:tcPr>
          <w:p>
            <w:pPr>
              <w:spacing w:after="0"/>
              <w:rPr>
                <w:sz w:val="7"/>
                <w:szCs w:val="7"/>
                <w:color w:val="auto"/>
              </w:rPr>
            </w:pPr>
          </w:p>
        </w:tc>
      </w:tr>
      <w:tr>
        <w:trPr>
          <w:trHeight w:val="385"/>
        </w:trPr>
        <w:tc>
          <w:tcPr>
            <w:tcW w:w="454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 xml:space="preserve">Operating Income </w:t>
            </w:r>
            <w:r>
              <w:rPr>
                <w:rFonts w:ascii="Arial" w:cs="Arial" w:eastAsia="Arial" w:hAnsi="Arial"/>
                <w:sz w:val="14"/>
                <w:szCs w:val="14"/>
                <w:i w:val="1"/>
                <w:iCs w:val="1"/>
                <w:color w:val="0E2A35"/>
              </w:rPr>
              <w:t>($ in thousands)</w:t>
            </w:r>
            <w:r>
              <w:rPr>
                <w:rFonts w:ascii="Arial" w:cs="Arial" w:eastAsia="Arial" w:hAnsi="Arial"/>
                <w:sz w:val="23"/>
                <w:szCs w:val="23"/>
                <w:color w:val="0E2A35"/>
                <w:vertAlign w:val="superscript"/>
              </w:rPr>
              <w:t>(1)</w:t>
            </w:r>
          </w:p>
        </w:tc>
        <w:tc>
          <w:tcPr>
            <w:tcW w:w="1020" w:type="dxa"/>
            <w:vAlign w:val="bottom"/>
            <w:tcBorders>
              <w:bottom w:val="single" w:sz="8" w:color="0E2A35"/>
            </w:tcBorders>
          </w:tcPr>
          <w:p>
            <w:pPr>
              <w:ind w:left="420"/>
              <w:spacing w:after="0" w:line="141" w:lineRule="exact"/>
              <w:rPr>
                <w:sz w:val="20"/>
                <w:szCs w:val="20"/>
                <w:color w:val="auto"/>
              </w:rPr>
            </w:pPr>
            <w:r>
              <w:rPr>
                <w:rFonts w:ascii="MS PGothic" w:cs="MS PGothic" w:eastAsia="MS PGothic" w:hAnsi="MS PGothic"/>
                <w:sz w:val="14"/>
                <w:szCs w:val="14"/>
                <w:color w:val="0E2A35"/>
              </w:rPr>
              <w:t>✔</w:t>
            </w:r>
          </w:p>
        </w:tc>
        <w:tc>
          <w:tcPr>
            <w:tcW w:w="1080" w:type="dxa"/>
            <w:vAlign w:val="bottom"/>
            <w:tcBorders>
              <w:bottom w:val="single" w:sz="8" w:color="0E2A35"/>
            </w:tcBorders>
          </w:tcPr>
          <w:p>
            <w:pPr>
              <w:ind w:left="720"/>
              <w:spacing w:after="0"/>
              <w:rPr>
                <w:sz w:val="20"/>
                <w:szCs w:val="20"/>
                <w:color w:val="auto"/>
              </w:rPr>
            </w:pPr>
            <w:r>
              <w:rPr>
                <w:rFonts w:ascii="Arial" w:cs="Arial" w:eastAsia="Arial" w:hAnsi="Arial"/>
                <w:sz w:val="14"/>
                <w:szCs w:val="14"/>
                <w:color w:val="0E2A35"/>
              </w:rPr>
              <w:t>​</w:t>
            </w:r>
          </w:p>
        </w:tc>
        <w:tc>
          <w:tcPr>
            <w:tcW w:w="780" w:type="dxa"/>
            <w:vAlign w:val="bottom"/>
            <w:tcBorders>
              <w:bottom w:val="single" w:sz="8" w:color="0E2A35"/>
            </w:tcBorders>
          </w:tcPr>
          <w:p>
            <w:pPr>
              <w:ind w:left="500"/>
              <w:spacing w:after="0"/>
              <w:rPr>
                <w:sz w:val="20"/>
                <w:szCs w:val="20"/>
                <w:color w:val="auto"/>
              </w:rPr>
            </w:pPr>
            <w:r>
              <w:rPr>
                <w:rFonts w:ascii="Arial" w:cs="Arial" w:eastAsia="Arial" w:hAnsi="Arial"/>
                <w:sz w:val="14"/>
                <w:szCs w:val="14"/>
                <w:color w:val="0E2A35"/>
              </w:rPr>
              <w:t>$  ​</w:t>
            </w:r>
          </w:p>
        </w:tc>
        <w:tc>
          <w:tcPr>
            <w:tcW w:w="1220" w:type="dxa"/>
            <w:vAlign w:val="bottom"/>
            <w:tcBorders>
              <w:bottom w:val="single" w:sz="8" w:color="0E2A35"/>
            </w:tcBorders>
          </w:tcPr>
          <w:p>
            <w:pPr>
              <w:jc w:val="right"/>
              <w:ind w:right="571"/>
              <w:spacing w:after="0"/>
              <w:rPr>
                <w:sz w:val="20"/>
                <w:szCs w:val="20"/>
                <w:color w:val="auto"/>
              </w:rPr>
            </w:pPr>
            <w:r>
              <w:rPr>
                <w:rFonts w:ascii="Arial" w:cs="Arial" w:eastAsia="Arial" w:hAnsi="Arial"/>
                <w:sz w:val="14"/>
                <w:szCs w:val="14"/>
                <w:color w:val="0E2A35"/>
              </w:rPr>
              <w:t>595,632</w:t>
            </w:r>
          </w:p>
        </w:tc>
        <w:tc>
          <w:tcPr>
            <w:tcW w:w="640" w:type="dxa"/>
            <w:vAlign w:val="bottom"/>
            <w:tcBorders>
              <w:bottom w:val="single" w:sz="8" w:color="0E2A35"/>
            </w:tcBorders>
          </w:tcPr>
          <w:p>
            <w:pPr>
              <w:jc w:val="center"/>
              <w:ind w:left="170"/>
              <w:spacing w:after="0"/>
              <w:rPr>
                <w:sz w:val="20"/>
                <w:szCs w:val="20"/>
                <w:color w:val="auto"/>
              </w:rPr>
            </w:pPr>
            <w:r>
              <w:rPr>
                <w:rFonts w:ascii="Arial" w:cs="Arial" w:eastAsia="Arial" w:hAnsi="Arial"/>
                <w:sz w:val="14"/>
                <w:szCs w:val="14"/>
                <w:color w:val="0E2A35"/>
              </w:rPr>
              <w:t>N/A​</w:t>
            </w:r>
          </w:p>
        </w:tc>
      </w:tr>
      <w:tr>
        <w:trPr>
          <w:trHeight w:val="296"/>
        </w:trPr>
        <w:tc>
          <w:tcPr>
            <w:tcW w:w="4540" w:type="dxa"/>
            <w:vAlign w:val="bottom"/>
            <w:gridSpan w:val="2"/>
          </w:tcPr>
          <w:p>
            <w:pPr>
              <w:ind w:left="60"/>
              <w:spacing w:after="0"/>
              <w:rPr>
                <w:sz w:val="20"/>
                <w:szCs w:val="20"/>
                <w:color w:val="auto"/>
              </w:rPr>
            </w:pPr>
            <w:r>
              <w:rPr>
                <w:rFonts w:ascii="Arial" w:cs="Arial" w:eastAsia="Arial" w:hAnsi="Arial"/>
                <w:sz w:val="14"/>
                <w:szCs w:val="14"/>
                <w:color w:val="0E2A35"/>
              </w:rPr>
              <w:t>Net Working Capital</w:t>
            </w:r>
          </w:p>
        </w:tc>
        <w:tc>
          <w:tcPr>
            <w:tcW w:w="1020" w:type="dxa"/>
            <w:vAlign w:val="bottom"/>
          </w:tcPr>
          <w:p>
            <w:pPr>
              <w:ind w:left="420"/>
              <w:spacing w:after="0" w:line="141" w:lineRule="exact"/>
              <w:rPr>
                <w:sz w:val="20"/>
                <w:szCs w:val="20"/>
                <w:color w:val="auto"/>
              </w:rPr>
            </w:pPr>
            <w:r>
              <w:rPr>
                <w:rFonts w:ascii="MS PGothic" w:cs="MS PGothic" w:eastAsia="MS PGothic" w:hAnsi="MS PGothic"/>
                <w:sz w:val="14"/>
                <w:szCs w:val="14"/>
                <w:color w:val="0E2A35"/>
              </w:rPr>
              <w:t>✔</w:t>
            </w:r>
          </w:p>
        </w:tc>
        <w:tc>
          <w:tcPr>
            <w:tcW w:w="1080" w:type="dxa"/>
            <w:vAlign w:val="bottom"/>
          </w:tcPr>
          <w:p>
            <w:pPr>
              <w:ind w:left="720"/>
              <w:spacing w:after="0"/>
              <w:rPr>
                <w:sz w:val="20"/>
                <w:szCs w:val="20"/>
                <w:color w:val="auto"/>
              </w:rPr>
            </w:pPr>
            <w:r>
              <w:rPr>
                <w:rFonts w:ascii="Arial" w:cs="Arial" w:eastAsia="Arial" w:hAnsi="Arial"/>
                <w:sz w:val="14"/>
                <w:szCs w:val="14"/>
                <w:color w:val="0E2A35"/>
              </w:rPr>
              <w:t>​</w:t>
            </w:r>
          </w:p>
        </w:tc>
        <w:tc>
          <w:tcPr>
            <w:tcW w:w="78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Arial" w:cs="Arial" w:eastAsia="Arial" w:hAnsi="Arial"/>
                <w:sz w:val="14"/>
                <w:szCs w:val="14"/>
                <w:color w:val="0E2A35"/>
              </w:rPr>
              <w:t>12​.9%</w:t>
            </w:r>
          </w:p>
        </w:tc>
        <w:tc>
          <w:tcPr>
            <w:tcW w:w="640" w:type="dxa"/>
            <w:vAlign w:val="bottom"/>
          </w:tcPr>
          <w:p>
            <w:pPr>
              <w:jc w:val="center"/>
              <w:ind w:left="170"/>
              <w:spacing w:after="0"/>
              <w:rPr>
                <w:sz w:val="20"/>
                <w:szCs w:val="20"/>
                <w:color w:val="auto"/>
              </w:rPr>
            </w:pPr>
            <w:r>
              <w:rPr>
                <w:rFonts w:ascii="Arial" w:cs="Arial" w:eastAsia="Arial" w:hAnsi="Arial"/>
                <w:sz w:val="14"/>
                <w:szCs w:val="14"/>
                <w:color w:val="0E2A35"/>
              </w:rPr>
              <w:t>N/A​</w:t>
            </w:r>
          </w:p>
        </w:tc>
      </w:tr>
      <w:tr>
        <w:trPr>
          <w:trHeight w:val="89"/>
        </w:trPr>
        <w:tc>
          <w:tcPr>
            <w:tcW w:w="4540" w:type="dxa"/>
            <w:vAlign w:val="bottom"/>
            <w:tcBorders>
              <w:bottom w:val="single" w:sz="8" w:color="0E2A35"/>
            </w:tcBorders>
            <w:gridSpan w:val="2"/>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780" w:type="dxa"/>
            <w:vAlign w:val="bottom"/>
            <w:tcBorders>
              <w:bottom w:val="single" w:sz="8" w:color="0E2A35"/>
            </w:tcBorders>
          </w:tcPr>
          <w:p>
            <w:pPr>
              <w:spacing w:after="0"/>
              <w:rPr>
                <w:sz w:val="7"/>
                <w:szCs w:val="7"/>
                <w:color w:val="auto"/>
              </w:rPr>
            </w:pPr>
          </w:p>
        </w:tc>
        <w:tc>
          <w:tcPr>
            <w:tcW w:w="1220" w:type="dxa"/>
            <w:vAlign w:val="bottom"/>
            <w:tcBorders>
              <w:bottom w:val="single" w:sz="8" w:color="0E2A35"/>
            </w:tcBorders>
          </w:tcPr>
          <w:p>
            <w:pPr>
              <w:spacing w:after="0"/>
              <w:rPr>
                <w:sz w:val="7"/>
                <w:szCs w:val="7"/>
                <w:color w:val="auto"/>
              </w:rPr>
            </w:pPr>
          </w:p>
        </w:tc>
        <w:tc>
          <w:tcPr>
            <w:tcW w:w="640" w:type="dxa"/>
            <w:vAlign w:val="bottom"/>
            <w:tcBorders>
              <w:bottom w:val="single" w:sz="8" w:color="0E2A35"/>
            </w:tcBorders>
          </w:tcPr>
          <w:p>
            <w:pPr>
              <w:spacing w:after="0"/>
              <w:rPr>
                <w:sz w:val="7"/>
                <w:szCs w:val="7"/>
                <w:color w:val="auto"/>
              </w:rPr>
            </w:pPr>
          </w:p>
        </w:tc>
      </w:tr>
      <w:tr>
        <w:trPr>
          <w:trHeight w:val="385"/>
        </w:trPr>
        <w:tc>
          <w:tcPr>
            <w:tcW w:w="454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​Average Return on Invested Capital (Incentive ROIC)</w:t>
            </w:r>
            <w:r>
              <w:rPr>
                <w:rFonts w:ascii="Arial" w:cs="Arial" w:eastAsia="Arial" w:hAnsi="Arial"/>
                <w:sz w:val="23"/>
                <w:szCs w:val="23"/>
                <w:color w:val="0E2A35"/>
                <w:vertAlign w:val="superscript"/>
              </w:rPr>
              <w:t>(2)</w:t>
            </w:r>
          </w:p>
        </w:tc>
        <w:tc>
          <w:tcPr>
            <w:tcW w:w="102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rPr>
              <w:t>​</w:t>
            </w:r>
          </w:p>
        </w:tc>
        <w:tc>
          <w:tcPr>
            <w:tcW w:w="1080" w:type="dxa"/>
            <w:vAlign w:val="bottom"/>
            <w:tcBorders>
              <w:bottom w:val="single" w:sz="8" w:color="0E2A35"/>
            </w:tcBorders>
          </w:tcPr>
          <w:p>
            <w:pPr>
              <w:jc w:val="center"/>
              <w:ind w:left="170"/>
              <w:spacing w:after="0" w:line="141" w:lineRule="exact"/>
              <w:rPr>
                <w:sz w:val="20"/>
                <w:szCs w:val="20"/>
                <w:color w:val="auto"/>
              </w:rPr>
            </w:pPr>
            <w:r>
              <w:rPr>
                <w:rFonts w:ascii="MS PGothic" w:cs="MS PGothic" w:eastAsia="MS PGothic" w:hAnsi="MS PGothic"/>
                <w:sz w:val="14"/>
                <w:szCs w:val="14"/>
                <w:color w:val="0E2A35"/>
                <w:w w:val="85"/>
              </w:rPr>
              <w:t>✔</w:t>
            </w:r>
          </w:p>
        </w:tc>
        <w:tc>
          <w:tcPr>
            <w:tcW w:w="78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N/A​</w:t>
            </w:r>
          </w:p>
        </w:tc>
        <w:tc>
          <w:tcPr>
            <w:tcW w:w="640" w:type="dxa"/>
            <w:vAlign w:val="bottom"/>
            <w:tcBorders>
              <w:bottom w:val="single" w:sz="8" w:color="0E2A35"/>
            </w:tcBorders>
          </w:tcPr>
          <w:p>
            <w:pPr>
              <w:jc w:val="center"/>
              <w:ind w:left="170"/>
              <w:spacing w:after="0"/>
              <w:rPr>
                <w:sz w:val="20"/>
                <w:szCs w:val="20"/>
                <w:color w:val="auto"/>
              </w:rPr>
            </w:pPr>
            <w:r>
              <w:rPr>
                <w:rFonts w:ascii="Arial" w:cs="Arial" w:eastAsia="Arial" w:hAnsi="Arial"/>
                <w:sz w:val="14"/>
                <w:szCs w:val="14"/>
                <w:color w:val="0E2A35"/>
              </w:rPr>
              <w:t>18​.0%</w:t>
            </w:r>
          </w:p>
        </w:tc>
      </w:tr>
      <w:tr>
        <w:trPr>
          <w:trHeight w:val="410"/>
        </w:trPr>
        <w:tc>
          <w:tcPr>
            <w:tcW w:w="640" w:type="dxa"/>
            <w:vAlign w:val="bottom"/>
          </w:tcPr>
          <w:p>
            <w:pPr>
              <w:ind w:left="60"/>
              <w:spacing w:after="0"/>
              <w:rPr>
                <w:sz w:val="20"/>
                <w:szCs w:val="20"/>
                <w:color w:val="auto"/>
              </w:rPr>
            </w:pPr>
            <w:r>
              <w:rPr>
                <w:rFonts w:ascii="Arial" w:cs="Arial" w:eastAsia="Arial" w:hAnsi="Arial"/>
                <w:sz w:val="14"/>
                <w:szCs w:val="14"/>
                <w:color w:val="0E2A35"/>
                <w:w w:val="99"/>
              </w:rPr>
              <w:t>Incentive​</w:t>
            </w:r>
          </w:p>
        </w:tc>
        <w:tc>
          <w:tcPr>
            <w:tcW w:w="3900" w:type="dxa"/>
            <w:vAlign w:val="bottom"/>
          </w:tcPr>
          <w:p>
            <w:pPr>
              <w:ind w:left="20"/>
              <w:spacing w:after="0"/>
              <w:rPr>
                <w:sz w:val="20"/>
                <w:szCs w:val="20"/>
                <w:color w:val="auto"/>
              </w:rPr>
            </w:pPr>
            <w:r>
              <w:rPr>
                <w:rFonts w:ascii="Arial" w:cs="Arial" w:eastAsia="Arial" w:hAnsi="Arial"/>
                <w:sz w:val="14"/>
                <w:szCs w:val="14"/>
                <w:color w:val="0E2A35"/>
              </w:rPr>
              <w:t>Earnings Per Share (Incentive EPS)</w:t>
            </w:r>
            <w:r>
              <w:rPr>
                <w:rFonts w:ascii="Arial" w:cs="Arial" w:eastAsia="Arial" w:hAnsi="Arial"/>
                <w:sz w:val="23"/>
                <w:szCs w:val="23"/>
                <w:color w:val="0E2A35"/>
                <w:vertAlign w:val="superscript"/>
              </w:rPr>
              <w:t>(2)</w:t>
            </w:r>
          </w:p>
        </w:tc>
        <w:tc>
          <w:tcPr>
            <w:tcW w:w="1020" w:type="dxa"/>
            <w:vAlign w:val="bottom"/>
          </w:tcPr>
          <w:p>
            <w:pPr>
              <w:ind w:left="420"/>
              <w:spacing w:after="0"/>
              <w:rPr>
                <w:sz w:val="20"/>
                <w:szCs w:val="20"/>
                <w:color w:val="auto"/>
              </w:rPr>
            </w:pPr>
            <w:r>
              <w:rPr>
                <w:rFonts w:ascii="Arial" w:cs="Arial" w:eastAsia="Arial" w:hAnsi="Arial"/>
                <w:sz w:val="14"/>
                <w:szCs w:val="14"/>
                <w:color w:val="0E2A35"/>
              </w:rPr>
              <w:t>​</w:t>
            </w:r>
          </w:p>
        </w:tc>
        <w:tc>
          <w:tcPr>
            <w:tcW w:w="1080" w:type="dxa"/>
            <w:vAlign w:val="bottom"/>
          </w:tcPr>
          <w:p>
            <w:pPr>
              <w:jc w:val="center"/>
              <w:ind w:left="170"/>
              <w:spacing w:after="0" w:line="141" w:lineRule="exact"/>
              <w:rPr>
                <w:sz w:val="20"/>
                <w:szCs w:val="20"/>
                <w:color w:val="auto"/>
              </w:rPr>
            </w:pPr>
            <w:r>
              <w:rPr>
                <w:rFonts w:ascii="MS PGothic" w:cs="MS PGothic" w:eastAsia="MS PGothic" w:hAnsi="MS PGothic"/>
                <w:sz w:val="14"/>
                <w:szCs w:val="14"/>
                <w:color w:val="0E2A35"/>
                <w:w w:val="85"/>
              </w:rPr>
              <w:t>✔</w:t>
            </w:r>
          </w:p>
        </w:tc>
        <w:tc>
          <w:tcPr>
            <w:tcW w:w="780" w:type="dxa"/>
            <w:vAlign w:val="bottom"/>
          </w:tcPr>
          <w:p>
            <w:pPr>
              <w:ind w:left="640"/>
              <w:spacing w:after="0"/>
              <w:rPr>
                <w:sz w:val="20"/>
                <w:szCs w:val="20"/>
                <w:color w:val="auto"/>
              </w:rPr>
            </w:pPr>
            <w:r>
              <w:rPr>
                <w:rFonts w:ascii="Arial" w:cs="Arial" w:eastAsia="Arial" w:hAnsi="Arial"/>
                <w:sz w:val="14"/>
                <w:szCs w:val="14"/>
                <w:color w:val="0E2A35"/>
              </w:rPr>
              <w:t>​</w:t>
            </w:r>
          </w:p>
        </w:tc>
        <w:tc>
          <w:tcPr>
            <w:tcW w:w="1220" w:type="dxa"/>
            <w:vAlign w:val="bottom"/>
          </w:tcPr>
          <w:p>
            <w:pPr>
              <w:ind w:left="340"/>
              <w:spacing w:after="0"/>
              <w:rPr>
                <w:sz w:val="20"/>
                <w:szCs w:val="20"/>
                <w:color w:val="auto"/>
              </w:rPr>
            </w:pPr>
            <w:r>
              <w:rPr>
                <w:rFonts w:ascii="Arial" w:cs="Arial" w:eastAsia="Arial" w:hAnsi="Arial"/>
                <w:sz w:val="14"/>
                <w:szCs w:val="14"/>
                <w:color w:val="0E2A35"/>
              </w:rPr>
              <w:t>N/A</w:t>
            </w:r>
          </w:p>
        </w:tc>
        <w:tc>
          <w:tcPr>
            <w:tcW w:w="640" w:type="dxa"/>
            <w:vAlign w:val="bottom"/>
          </w:tcPr>
          <w:p>
            <w:pPr>
              <w:jc w:val="right"/>
              <w:ind w:right="90"/>
              <w:spacing w:after="0"/>
              <w:rPr>
                <w:sz w:val="20"/>
                <w:szCs w:val="20"/>
                <w:color w:val="auto"/>
              </w:rPr>
            </w:pPr>
            <w:r>
              <w:rPr>
                <w:rFonts w:ascii="Arial" w:cs="Arial" w:eastAsia="Arial" w:hAnsi="Arial"/>
                <w:sz w:val="14"/>
                <w:szCs w:val="14"/>
                <w:color w:val="0E2A35"/>
              </w:rPr>
              <w:t>$23.47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-15240</wp:posOffset>
            </wp:positionV>
            <wp:extent cx="58978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-1524000</wp:posOffset>
            </wp:positionV>
            <wp:extent cx="28975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8" w:lineRule="exact"/>
        <w:rPr>
          <w:sz w:val="20"/>
          <w:szCs w:val="20"/>
          <w:color w:val="auto"/>
        </w:rPr>
      </w:pPr>
    </w:p>
    <w:p>
      <w:pPr>
        <w:ind w:left="800" w:right="320" w:hanging="360"/>
        <w:spacing w:after="0" w:line="233" w:lineRule="auto"/>
        <w:tabs>
          <w:tab w:leader="none" w:pos="80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the 2022 Officer Incentive Compensation Plan (also called the Annual Incentive Plan), the committee excluded the impact of certain events not contemplated when creating the initial targets. The Operating Income metric was adjusted for the impact of discretionary profit sharing awarded to employees for exceeding initial targets.</w:t>
      </w:r>
    </w:p>
    <w:p>
      <w:pPr>
        <w:spacing w:after="0" w:line="23" w:lineRule="exact"/>
        <w:rPr>
          <w:rFonts w:ascii="Arial" w:cs="Arial" w:eastAsia="Arial" w:hAnsi="Arial"/>
          <w:sz w:val="13"/>
          <w:szCs w:val="13"/>
          <w:color w:val="0E2A35"/>
        </w:rPr>
      </w:pPr>
    </w:p>
    <w:p>
      <w:pPr>
        <w:ind w:left="800" w:right="20" w:hanging="360"/>
        <w:spacing w:after="0" w:line="222" w:lineRule="auto"/>
        <w:tabs>
          <w:tab w:leader="none" w:pos="80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the Long-Term Incentive Program (LTIP), the committee excluded the impact of certain events not contemplated when creating the initial targets. The Incentive ROIC metric was adjusted for the LTIP to exclude the following: (i) the net financial impacts of the Barletta acquisition, (ii) the costs associated with the acquisition of Barletta, and (iii) restructuring expenses. The Incentive EPS metric was adjusted from diluted EPS to exclude the following: (i) the pretax net financial impacts of the Barletta acquisition, (ii) pretax acquisition-related costs related to the Newmar and Barletta acquisitions, (iii) pretax earnout valuation adjustments related to the Barletta acquisition, (iv) pretax inventory step-up costs related to the Newmar acquisition, (v) pretax non-cash interest expense, (vi) pretax restructuring expenses, (vii) pretax debt-issuance write-off, (viii) the dilution impact of convertible notes which is economically offset by a call/spread overlay that was put in place upon issuance, and (ix) the tax impact of the aforementioned adjustments, as applicable.</w:t>
      </w:r>
    </w:p>
    <w:p>
      <w:pPr>
        <w:spacing w:after="0" w:line="27" w:lineRule="exact"/>
        <w:rPr>
          <w:rFonts w:ascii="Arial" w:cs="Arial" w:eastAsia="Arial" w:hAnsi="Arial"/>
          <w:sz w:val="13"/>
          <w:szCs w:val="13"/>
          <w:color w:val="0E2A35"/>
        </w:rPr>
      </w:pPr>
    </w:p>
    <w:p>
      <w:pPr>
        <w:ind w:left="800" w:hanging="360"/>
        <w:spacing w:after="0"/>
        <w:tabs>
          <w:tab w:leader="none" w:pos="80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This column shows the metrics used for the Annual Incentive Plan, which consist of 50% operating income, 40% net revenue, and 10% net working capital.</w:t>
      </w:r>
    </w:p>
    <w:p>
      <w:pPr>
        <w:spacing w:after="0" w:line="39" w:lineRule="exact"/>
        <w:rPr>
          <w:rFonts w:ascii="Arial" w:cs="Arial" w:eastAsia="Arial" w:hAnsi="Arial"/>
          <w:sz w:val="13"/>
          <w:szCs w:val="13"/>
          <w:color w:val="0E2A35"/>
        </w:rPr>
      </w:pPr>
    </w:p>
    <w:p>
      <w:pPr>
        <w:ind w:left="800" w:right="60" w:hanging="360"/>
        <w:spacing w:after="0" w:line="243" w:lineRule="auto"/>
        <w:tabs>
          <w:tab w:leader="none" w:pos="80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This column shows the metrics used for the 2020-2022 LTIP, which consist of 50% average Incentive ROIC and 50% cumulative Incentive EPS. The metrics for the 2021-2023 LTIP and the 2022-2024 LTIP also consist of 50% average Incentive ROIC and 50% cumulative Incentive EPS.</w:t>
      </w:r>
    </w:p>
    <w:p>
      <w:pPr>
        <w:spacing w:after="0" w:line="21" w:lineRule="exact"/>
        <w:rPr>
          <w:rFonts w:ascii="Arial" w:cs="Arial" w:eastAsia="Arial" w:hAnsi="Arial"/>
          <w:sz w:val="13"/>
          <w:szCs w:val="13"/>
          <w:color w:val="0E2A35"/>
        </w:rPr>
      </w:pPr>
    </w:p>
    <w:p>
      <w:pPr>
        <w:ind w:left="800" w:hanging="360"/>
        <w:spacing w:after="0"/>
        <w:tabs>
          <w:tab w:leader="none" w:pos="80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This column shows performance for the period from fiscal 2020-2022.</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199390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-82550</wp:posOffset>
            </wp:positionV>
            <wp:extent cx="1465580"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720"/>
          </w:cols>
          <w:pgMar w:left="860" w:top="263" w:right="1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Impact of Performance on Fiscal 2022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0E2A35"/>
        </w:rPr>
        <w:t>The compensation of our NEOs in fiscal 2022 was directly impacted by our financial performance and total shareholder returns: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4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Performance Objective</w:t>
            </w:r>
          </w:p>
        </w:tc>
        <w:tc>
          <w:tcPr>
            <w:tcW w:w="7440" w:type="dxa"/>
            <w:vAlign w:val="bottom"/>
            <w:gridSpan w:val="3"/>
            <w:shd w:val="clear" w:color="auto" w:fill="0E2A35"/>
          </w:tcPr>
          <w:p>
            <w:pPr>
              <w:ind w:left="160"/>
              <w:spacing w:after="0"/>
              <w:rPr>
                <w:sz w:val="20"/>
                <w:szCs w:val="20"/>
                <w:color w:val="auto"/>
              </w:rPr>
            </w:pPr>
            <w:r>
              <w:rPr>
                <w:rFonts w:ascii="Arial" w:cs="Arial" w:eastAsia="Arial" w:hAnsi="Arial"/>
                <w:sz w:val="13"/>
                <w:szCs w:val="13"/>
                <w:b w:val="1"/>
                <w:bCs w:val="1"/>
                <w:color w:val="FFFFFF"/>
              </w:rPr>
              <w:t>​   Link to 2022 Compensation</w:t>
            </w:r>
          </w:p>
        </w:tc>
      </w:tr>
      <w:tr>
        <w:trPr>
          <w:trHeight w:val="89"/>
        </w:trPr>
        <w:tc>
          <w:tcPr>
            <w:tcW w:w="1840" w:type="dxa"/>
            <w:vAlign w:val="bottom"/>
            <w:shd w:val="clear" w:color="auto" w:fill="0E2A35"/>
          </w:tcPr>
          <w:p>
            <w:pPr>
              <w:spacing w:after="0"/>
              <w:rPr>
                <w:sz w:val="7"/>
                <w:szCs w:val="7"/>
                <w:color w:val="auto"/>
              </w:rPr>
            </w:pPr>
          </w:p>
        </w:tc>
        <w:tc>
          <w:tcPr>
            <w:tcW w:w="7440" w:type="dxa"/>
            <w:vAlign w:val="bottom"/>
            <w:gridSpan w:val="3"/>
            <w:shd w:val="clear" w:color="auto" w:fill="0E2A35"/>
          </w:tcPr>
          <w:p>
            <w:pPr>
              <w:spacing w:after="0"/>
              <w:rPr>
                <w:sz w:val="7"/>
                <w:szCs w:val="7"/>
                <w:color w:val="auto"/>
              </w:rPr>
            </w:pPr>
          </w:p>
        </w:tc>
      </w:tr>
      <w:tr>
        <w:trPr>
          <w:trHeight w:val="261"/>
        </w:trPr>
        <w:tc>
          <w:tcPr>
            <w:tcW w:w="1840" w:type="dxa"/>
            <w:vAlign w:val="bottom"/>
          </w:tcPr>
          <w:p>
            <w:pPr>
              <w:ind w:left="60"/>
              <w:spacing w:after="0"/>
              <w:rPr>
                <w:sz w:val="20"/>
                <w:szCs w:val="20"/>
                <w:color w:val="auto"/>
              </w:rPr>
            </w:pPr>
            <w:r>
              <w:rPr>
                <w:rFonts w:ascii="Arial" w:cs="Arial" w:eastAsia="Arial" w:hAnsi="Arial"/>
                <w:sz w:val="14"/>
                <w:szCs w:val="14"/>
                <w:color w:val="0E2A35"/>
              </w:rPr>
              <w:t>Financial</w:t>
            </w:r>
          </w:p>
        </w:tc>
        <w:tc>
          <w:tcPr>
            <w:tcW w:w="7440" w:type="dxa"/>
            <w:vAlign w:val="bottom"/>
            <w:gridSpan w:val="3"/>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For Messrs. Happe and Hughes and Ms. Bogart, 75% of the 2022 annual incentive awards was based on</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achieving targeted levels of net revenue (40%), operating income (50%), and net working capital (10%) at the</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enterprise level. For Mr. Bower, 75% of the 2022 annual incentive awards was based on achieving targeted</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levels of net revenue (40%), operating income (50%), and net working capital (10%) at the business unit level.</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The other 25% was tied to individual metrics aligned with goals deemed important to advancing business</w:t>
            </w:r>
          </w:p>
        </w:tc>
      </w:tr>
      <w:tr>
        <w:trPr>
          <w:trHeight w:val="190"/>
        </w:trPr>
        <w:tc>
          <w:tcPr>
            <w:tcW w:w="1840" w:type="dxa"/>
            <w:vAlign w:val="bottom"/>
          </w:tcPr>
          <w:p>
            <w:pPr>
              <w:spacing w:after="0"/>
              <w:rPr>
                <w:sz w:val="16"/>
                <w:szCs w:val="16"/>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objectives.</w:t>
            </w:r>
          </w:p>
        </w:tc>
      </w:tr>
      <w:tr>
        <w:trPr>
          <w:trHeight w:val="89"/>
        </w:trPr>
        <w:tc>
          <w:tcPr>
            <w:tcW w:w="1840" w:type="dxa"/>
            <w:vAlign w:val="bottom"/>
          </w:tcPr>
          <w:p>
            <w:pPr>
              <w:spacing w:after="0"/>
              <w:rPr>
                <w:sz w:val="7"/>
                <w:szCs w:val="7"/>
                <w:color w:val="auto"/>
              </w:rPr>
            </w:pPr>
          </w:p>
        </w:tc>
        <w:tc>
          <w:tcPr>
            <w:tcW w:w="7440" w:type="dxa"/>
            <w:vAlign w:val="bottom"/>
            <w:tcBorders>
              <w:bottom w:val="single" w:sz="8" w:color="0E2A35"/>
            </w:tcBorders>
            <w:gridSpan w:val="3"/>
          </w:tcPr>
          <w:p>
            <w:pPr>
              <w:spacing w:after="0"/>
              <w:rPr>
                <w:sz w:val="7"/>
                <w:szCs w:val="7"/>
                <w:color w:val="auto"/>
              </w:rPr>
            </w:pPr>
          </w:p>
        </w:tc>
      </w:tr>
      <w:tr>
        <w:trPr>
          <w:trHeight w:val="254"/>
        </w:trPr>
        <w:tc>
          <w:tcPr>
            <w:tcW w:w="1840" w:type="dxa"/>
            <w:vAlign w:val="bottom"/>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Pursuant to the terms of his employment agreement, Mr. Clark’s incentive compensation is tied 100% to the</w:t>
            </w:r>
          </w:p>
        </w:tc>
      </w:tr>
      <w:tr>
        <w:trPr>
          <w:trHeight w:val="190"/>
        </w:trPr>
        <w:tc>
          <w:tcPr>
            <w:tcW w:w="1840" w:type="dxa"/>
            <w:vAlign w:val="bottom"/>
          </w:tcPr>
          <w:p>
            <w:pPr>
              <w:spacing w:after="0"/>
              <w:rPr>
                <w:sz w:val="16"/>
                <w:szCs w:val="16"/>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pretax net income of the Grand Design business that is part of our Towable segment.</w:t>
            </w:r>
          </w:p>
        </w:tc>
      </w:tr>
      <w:tr>
        <w:trPr>
          <w:trHeight w:val="89"/>
        </w:trPr>
        <w:tc>
          <w:tcPr>
            <w:tcW w:w="1840" w:type="dxa"/>
            <w:vAlign w:val="bottom"/>
          </w:tcPr>
          <w:p>
            <w:pPr>
              <w:spacing w:after="0"/>
              <w:rPr>
                <w:sz w:val="7"/>
                <w:szCs w:val="7"/>
                <w:color w:val="auto"/>
              </w:rPr>
            </w:pPr>
          </w:p>
        </w:tc>
        <w:tc>
          <w:tcPr>
            <w:tcW w:w="860" w:type="dxa"/>
            <w:vAlign w:val="bottom"/>
            <w:tcBorders>
              <w:bottom w:val="single" w:sz="8" w:color="0E2A35"/>
            </w:tcBorders>
            <w:gridSpan w:val="2"/>
          </w:tcPr>
          <w:p>
            <w:pPr>
              <w:spacing w:after="0"/>
              <w:rPr>
                <w:sz w:val="7"/>
                <w:szCs w:val="7"/>
                <w:color w:val="auto"/>
              </w:rPr>
            </w:pPr>
          </w:p>
        </w:tc>
        <w:tc>
          <w:tcPr>
            <w:tcW w:w="6580" w:type="dxa"/>
            <w:vAlign w:val="bottom"/>
            <w:tcBorders>
              <w:bottom w:val="single" w:sz="8" w:color="0E2A35"/>
            </w:tcBorders>
          </w:tcPr>
          <w:p>
            <w:pPr>
              <w:spacing w:after="0"/>
              <w:rPr>
                <w:sz w:val="7"/>
                <w:szCs w:val="7"/>
                <w:color w:val="auto"/>
              </w:rPr>
            </w:pPr>
          </w:p>
        </w:tc>
      </w:tr>
      <w:tr>
        <w:trPr>
          <w:trHeight w:val="254"/>
        </w:trPr>
        <w:tc>
          <w:tcPr>
            <w:tcW w:w="184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Payout​</w:t>
            </w:r>
          </w:p>
        </w:tc>
        <w:tc>
          <w:tcPr>
            <w:tcW w:w="6580" w:type="dxa"/>
            <w:vAlign w:val="bottom"/>
          </w:tcPr>
          <w:p>
            <w:pPr>
              <w:ind w:left="20"/>
              <w:spacing w:after="0"/>
              <w:rPr>
                <w:sz w:val="20"/>
                <w:szCs w:val="20"/>
                <w:color w:val="auto"/>
              </w:rPr>
            </w:pPr>
            <w:r>
              <w:rPr>
                <w:rFonts w:ascii="Arial" w:cs="Arial" w:eastAsia="Arial" w:hAnsi="Arial"/>
                <w:sz w:val="14"/>
                <w:szCs w:val="14"/>
                <w:color w:val="0E2A35"/>
              </w:rPr>
              <w:t>for the fiscal 2020-2022 LTIP awards was tied 50% to our three-year average Incentive ROIC and 50%</w:t>
            </w:r>
          </w:p>
        </w:tc>
      </w:tr>
      <w:tr>
        <w:trPr>
          <w:trHeight w:val="190"/>
        </w:trPr>
        <w:tc>
          <w:tcPr>
            <w:tcW w:w="1840" w:type="dxa"/>
            <w:vAlign w:val="bottom"/>
          </w:tcPr>
          <w:p>
            <w:pPr>
              <w:spacing w:after="0"/>
              <w:rPr>
                <w:sz w:val="16"/>
                <w:szCs w:val="16"/>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to our three-year cumulative Incentive EPS.</w:t>
            </w:r>
          </w:p>
        </w:tc>
      </w:tr>
      <w:tr>
        <w:trPr>
          <w:trHeight w:val="89"/>
        </w:trPr>
        <w:tc>
          <w:tcPr>
            <w:tcW w:w="1840" w:type="dxa"/>
            <w:vAlign w:val="bottom"/>
            <w:tcBorders>
              <w:bottom w:val="single" w:sz="8" w:color="0E2A35"/>
            </w:tcBorders>
          </w:tcPr>
          <w:p>
            <w:pPr>
              <w:spacing w:after="0"/>
              <w:rPr>
                <w:sz w:val="7"/>
                <w:szCs w:val="7"/>
                <w:color w:val="auto"/>
              </w:rPr>
            </w:pPr>
          </w:p>
        </w:tc>
        <w:tc>
          <w:tcPr>
            <w:tcW w:w="7440" w:type="dxa"/>
            <w:vAlign w:val="bottom"/>
            <w:tcBorders>
              <w:bottom w:val="single" w:sz="8" w:color="0E2A35"/>
            </w:tcBorders>
            <w:gridSpan w:val="3"/>
          </w:tcPr>
          <w:p>
            <w:pPr>
              <w:spacing w:after="0"/>
              <w:rPr>
                <w:sz w:val="7"/>
                <w:szCs w:val="7"/>
                <w:color w:val="auto"/>
              </w:rPr>
            </w:pPr>
          </w:p>
        </w:tc>
      </w:tr>
      <w:tr>
        <w:trPr>
          <w:trHeight w:val="254"/>
        </w:trPr>
        <w:tc>
          <w:tcPr>
            <w:tcW w:w="1840" w:type="dxa"/>
            <w:vAlign w:val="bottom"/>
          </w:tcPr>
          <w:p>
            <w:pPr>
              <w:ind w:left="60"/>
              <w:spacing w:after="0"/>
              <w:rPr>
                <w:sz w:val="20"/>
                <w:szCs w:val="20"/>
                <w:color w:val="auto"/>
              </w:rPr>
            </w:pPr>
            <w:r>
              <w:rPr>
                <w:rFonts w:ascii="Arial" w:cs="Arial" w:eastAsia="Arial" w:hAnsi="Arial"/>
                <w:sz w:val="14"/>
                <w:szCs w:val="14"/>
                <w:color w:val="0E2A35"/>
              </w:rPr>
              <w:t>Total Shareholder Returns</w:t>
            </w:r>
          </w:p>
        </w:tc>
        <w:tc>
          <w:tcPr>
            <w:tcW w:w="7440" w:type="dxa"/>
            <w:vAlign w:val="bottom"/>
            <w:gridSpan w:val="3"/>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With the exception of Mr. Clark, 45% of our NEO compensation on average was delivered in the form of</w:t>
            </w:r>
          </w:p>
        </w:tc>
      </w:tr>
      <w:tr>
        <w:trPr>
          <w:trHeight w:val="190"/>
        </w:trPr>
        <w:tc>
          <w:tcPr>
            <w:tcW w:w="1840" w:type="dxa"/>
            <w:vAlign w:val="bottom"/>
          </w:tcPr>
          <w:p>
            <w:pPr>
              <w:spacing w:after="0"/>
              <w:rPr>
                <w:sz w:val="16"/>
                <w:szCs w:val="16"/>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Company equity awards (63% in the case of our CEO).</w:t>
            </w:r>
          </w:p>
        </w:tc>
      </w:tr>
      <w:tr>
        <w:trPr>
          <w:trHeight w:val="89"/>
        </w:trPr>
        <w:tc>
          <w:tcPr>
            <w:tcW w:w="1840" w:type="dxa"/>
            <w:vAlign w:val="bottom"/>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6740" w:type="dxa"/>
            <w:vAlign w:val="bottom"/>
            <w:tcBorders>
              <w:bottom w:val="single" w:sz="8" w:color="0E2A35"/>
            </w:tcBorders>
            <w:gridSpan w:val="2"/>
          </w:tcPr>
          <w:p>
            <w:pPr>
              <w:spacing w:after="0"/>
              <w:rPr>
                <w:sz w:val="7"/>
                <w:szCs w:val="7"/>
                <w:color w:val="auto"/>
              </w:rPr>
            </w:pPr>
          </w:p>
        </w:tc>
      </w:tr>
      <w:tr>
        <w:trPr>
          <w:trHeight w:val="254"/>
        </w:trPr>
        <w:tc>
          <w:tcPr>
            <w:tcW w:w="1840" w:type="dxa"/>
            <w:vAlign w:val="bottom"/>
          </w:tcPr>
          <w:p>
            <w:pPr>
              <w:spacing w:after="0"/>
              <w:rPr>
                <w:sz w:val="22"/>
                <w:szCs w:val="22"/>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15%​</w:t>
            </w:r>
          </w:p>
        </w:tc>
        <w:tc>
          <w:tcPr>
            <w:tcW w:w="6740" w:type="dxa"/>
            <w:vAlign w:val="bottom"/>
            <w:gridSpan w:val="2"/>
          </w:tcPr>
          <w:p>
            <w:pPr>
              <w:ind w:left="20"/>
              <w:spacing w:after="0"/>
              <w:rPr>
                <w:sz w:val="20"/>
                <w:szCs w:val="20"/>
                <w:color w:val="auto"/>
              </w:rPr>
            </w:pPr>
            <w:r>
              <w:rPr>
                <w:rFonts w:ascii="Arial" w:cs="Arial" w:eastAsia="Arial" w:hAnsi="Arial"/>
                <w:sz w:val="14"/>
                <w:szCs w:val="14"/>
                <w:color w:val="0E2A35"/>
              </w:rPr>
              <w:t>of the annual equity grants made in fiscal 2022 to all NEOs, excluding Mr. Clark, were in the form of stock</w:t>
            </w:r>
          </w:p>
        </w:tc>
      </w:tr>
      <w:tr>
        <w:trPr>
          <w:trHeight w:val="171"/>
        </w:trPr>
        <w:tc>
          <w:tcPr>
            <w:tcW w:w="1840" w:type="dxa"/>
            <w:vAlign w:val="bottom"/>
            <w:tcBorders>
              <w:bottom w:val="single" w:sz="8" w:color="0E2A35"/>
            </w:tcBorders>
          </w:tcPr>
          <w:p>
            <w:pPr>
              <w:spacing w:after="0"/>
              <w:rPr>
                <w:sz w:val="14"/>
                <w:szCs w:val="14"/>
                <w:color w:val="auto"/>
              </w:rPr>
            </w:pPr>
          </w:p>
        </w:tc>
        <w:tc>
          <w:tcPr>
            <w:tcW w:w="7440" w:type="dxa"/>
            <w:vAlign w:val="bottom"/>
            <w:tcBorders>
              <w:bottom w:val="single" w:sz="8" w:color="0E2A35"/>
            </w:tcBorders>
            <w:gridSpan w:val="3"/>
          </w:tcPr>
          <w:p>
            <w:pPr>
              <w:ind w:left="380"/>
              <w:spacing w:after="0"/>
              <w:rPr>
                <w:sz w:val="20"/>
                <w:szCs w:val="20"/>
                <w:color w:val="auto"/>
              </w:rPr>
            </w:pPr>
            <w:r>
              <w:rPr>
                <w:rFonts w:ascii="Arial" w:cs="Arial" w:eastAsia="Arial" w:hAnsi="Arial"/>
                <w:sz w:val="14"/>
                <w:szCs w:val="14"/>
                <w:color w:val="0E2A35"/>
              </w:rPr>
              <w:t>options, which only have value to the executive if the value of the Company grows for our shareholders.</w:t>
            </w:r>
          </w:p>
        </w:tc>
      </w:tr>
    </w:tbl>
    <w:p>
      <w:pPr>
        <w:spacing w:after="0" w:line="37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E2A35"/>
        </w:rPr>
        <w:t>Based on our performance as measured against predefined goals, the 2020-2022 LTIP paid out at 200.0% of target, and the fiscal 2022 Annual Incentive Plan paid out as follows for all NEOs, except for Mr. Clark: 120.0% of target for Mr. Happe, 120.0% of target for Mr. Hughes, 120.0% of target for Ms. Bogart, and 95.6% of target for Mr. Bower.</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0E2A35"/>
        </w:rPr>
        <w:t>Mr. Clark received a cash and stock incentive award of $13,057,292 for fiscal 2022, of which $11,098,698 was paid in cash and $1,958,594 was paid in restricted stock units for fiscal 2022 performance. This represents a 29% increase compared to fiscal 2021, based on the strong performance of Grand Design during fiscal 2022. The cash incentive was paid in four quarterly installments with respect to fiscal 2022, and the restricted stock units were issued in October 2022.</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Other Pay and Governance Practices</w:t>
      </w:r>
    </w:p>
    <w:p>
      <w:pPr>
        <w:spacing w:after="0" w:line="18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0E2A35"/>
        </w:rPr>
        <w:t>The Company has adopted the following key programs, policies and practices to respond to evolving best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897880"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97880" cy="25717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115"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FFFFFF"/>
        </w:rPr>
        <w:t>What we do</w:t>
      </w:r>
    </w:p>
    <w:p>
      <w:pPr>
        <w:spacing w:after="0" w:line="203" w:lineRule="exact"/>
        <w:rPr>
          <w:sz w:val="20"/>
          <w:szCs w:val="20"/>
          <w:color w:val="auto"/>
        </w:rPr>
      </w:pPr>
    </w:p>
    <w:p>
      <w:pPr>
        <w:ind w:left="60" w:right="320"/>
        <w:spacing w:after="0" w:line="194"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Tie the majority of target total compensation to performance </w:t>
      </w:r>
      <w:r>
        <w:rPr>
          <w:rFonts w:ascii="MS PGothic" w:cs="MS PGothic" w:eastAsia="MS PGothic" w:hAnsi="MS PGothic"/>
          <w:sz w:val="14"/>
          <w:szCs w:val="14"/>
          <w:color w:val="0E2A35"/>
        </w:rPr>
        <w:t>✔</w:t>
      </w:r>
      <w:r>
        <w:rPr>
          <w:rFonts w:ascii="Arial" w:cs="Arial" w:eastAsia="Arial" w:hAnsi="Arial"/>
          <w:sz w:val="14"/>
          <w:szCs w:val="14"/>
          <w:color w:val="0E2A35"/>
        </w:rPr>
        <w:t xml:space="preserve">  Provide appropriate mix of pay to reward Company, line of</w:t>
      </w:r>
    </w:p>
    <w:p>
      <w:pPr>
        <w:ind w:left="300"/>
        <w:spacing w:after="0" w:line="237" w:lineRule="auto"/>
        <w:rPr>
          <w:sz w:val="20"/>
          <w:szCs w:val="20"/>
          <w:color w:val="auto"/>
        </w:rPr>
      </w:pPr>
      <w:r>
        <w:rPr>
          <w:rFonts w:ascii="Arial" w:cs="Arial" w:eastAsia="Arial" w:hAnsi="Arial"/>
          <w:sz w:val="14"/>
          <w:szCs w:val="14"/>
          <w:color w:val="0E2A35"/>
        </w:rPr>
        <w:t>business, and individual performance</w:t>
      </w:r>
    </w:p>
    <w:p>
      <w:pPr>
        <w:ind w:left="300" w:right="180" w:hanging="252"/>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Align executive interests with the interests of the shareholders through equity-based awards</w:t>
      </w:r>
    </w:p>
    <w:p>
      <w:pPr>
        <w:spacing w:after="0" w:line="1" w:lineRule="exact"/>
        <w:rPr>
          <w:sz w:val="20"/>
          <w:szCs w:val="20"/>
          <w:color w:val="auto"/>
        </w:rPr>
      </w:pPr>
    </w:p>
    <w:p>
      <w:pPr>
        <w:ind w:left="300" w:right="20" w:hanging="252"/>
        <w:spacing w:after="0" w:line="166"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Maintain a clawback policy, applicable to our executive officers’ incentive awards, which provides for the recoupment of incentive compensation payouts following certain financial restatements or in the event of certain misconduct</w:t>
      </w:r>
    </w:p>
    <w:p>
      <w:pPr>
        <w:spacing w:after="0" w:line="1" w:lineRule="exact"/>
        <w:rPr>
          <w:sz w:val="20"/>
          <w:szCs w:val="20"/>
          <w:color w:val="auto"/>
        </w:rPr>
      </w:pPr>
    </w:p>
    <w:p>
      <w:pPr>
        <w:ind w:left="300" w:hanging="252"/>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Align our performance goals and measures with our strategy and operating plan</w:t>
      </w:r>
    </w:p>
    <w:p>
      <w:pPr>
        <w:spacing w:after="0" w:line="1" w:lineRule="exact"/>
        <w:rPr>
          <w:sz w:val="20"/>
          <w:szCs w:val="20"/>
          <w:color w:val="auto"/>
        </w:rPr>
      </w:pPr>
    </w:p>
    <w:p>
      <w:pPr>
        <w:ind w:left="300" w:right="320" w:hanging="252"/>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Maintain meaningful executive and director stock ownership guidelines</w:t>
      </w:r>
    </w:p>
    <w:p>
      <w:pPr>
        <w:spacing w:after="0" w:line="1" w:lineRule="exact"/>
        <w:rPr>
          <w:sz w:val="20"/>
          <w:szCs w:val="20"/>
          <w:color w:val="auto"/>
        </w:rPr>
      </w:pPr>
    </w:p>
    <w:p>
      <w:pPr>
        <w:ind w:left="60"/>
        <w:spacing w:after="0" w:line="161"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Conduct annual “say-on-pay” advisory votes</w:t>
      </w:r>
    </w:p>
    <w:p>
      <w:pPr>
        <w:spacing w:after="0" w:line="15" w:lineRule="exact"/>
        <w:rPr>
          <w:sz w:val="20"/>
          <w:szCs w:val="20"/>
          <w:color w:val="auto"/>
        </w:rPr>
      </w:pPr>
    </w:p>
    <w:p>
      <w:pPr>
        <w:ind w:left="300" w:right="420" w:hanging="252"/>
        <w:spacing w:after="0" w:line="178"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Use an outside, independent third-party advisor to provide objective compensation advice</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FFFFFF"/>
        </w:rPr>
        <w:t>What we don’t do</w:t>
      </w:r>
    </w:p>
    <w:p>
      <w:pPr>
        <w:spacing w:after="0" w:line="203" w:lineRule="exact"/>
        <w:rPr>
          <w:sz w:val="20"/>
          <w:szCs w:val="20"/>
          <w:color w:val="auto"/>
        </w:rPr>
      </w:pPr>
    </w:p>
    <w:p>
      <w:pPr>
        <w:ind w:right="320"/>
        <w:spacing w:after="0" w:line="192"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Provide excessive severance benefits to our executive officers </w:t>
      </w:r>
      <w:r>
        <w:rPr>
          <w:rFonts w:ascii="MS PGothic" w:cs="MS PGothic" w:eastAsia="MS PGothic" w:hAnsi="MS PGothic"/>
          <w:sz w:val="14"/>
          <w:szCs w:val="14"/>
          <w:color w:val="0E2A35"/>
        </w:rPr>
        <w:t>✘</w:t>
      </w:r>
      <w:r>
        <w:rPr>
          <w:rFonts w:ascii="Arial" w:cs="Arial" w:eastAsia="Arial" w:hAnsi="Arial"/>
          <w:sz w:val="14"/>
          <w:szCs w:val="14"/>
          <w:color w:val="0E2A35"/>
        </w:rPr>
        <w:t xml:space="preserve">  Provide excise tax gross-ups upon change in control</w:t>
      </w:r>
    </w:p>
    <w:p>
      <w:pPr>
        <w:spacing w:after="0" w:line="1" w:lineRule="exact"/>
        <w:rPr>
          <w:sz w:val="20"/>
          <w:szCs w:val="20"/>
          <w:color w:val="auto"/>
        </w:rPr>
      </w:pPr>
    </w:p>
    <w:p>
      <w:pPr>
        <w:jc w:val="center"/>
        <w:ind w:right="220"/>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Grant equity awards subject to automatic acceleration of vesting (i.e., single-trigger) upon change in control (as of fiscal 2019)</w:t>
      </w:r>
    </w:p>
    <w:p>
      <w:pPr>
        <w:spacing w:after="0" w:line="1" w:lineRule="exact"/>
        <w:rPr>
          <w:sz w:val="20"/>
          <w:szCs w:val="20"/>
          <w:color w:val="auto"/>
        </w:rPr>
      </w:pPr>
    </w:p>
    <w:p>
      <w:pPr>
        <w:ind w:left="240" w:right="140" w:hanging="240"/>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Allow for hedging or speculative trading of Company securities by executives or directors</w:t>
      </w:r>
    </w:p>
    <w:p>
      <w:pPr>
        <w:spacing w:after="0" w:line="1" w:lineRule="exact"/>
        <w:rPr>
          <w:sz w:val="20"/>
          <w:szCs w:val="20"/>
          <w:color w:val="auto"/>
        </w:rPr>
      </w:pPr>
    </w:p>
    <w:p>
      <w:pPr>
        <w:ind w:right="1400"/>
        <w:spacing w:after="0" w:line="176"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Reprice options without shareholder approval </w:t>
      </w:r>
      <w:r>
        <w:rPr>
          <w:rFonts w:ascii="MS PGothic" w:cs="MS PGothic" w:eastAsia="MS PGothic" w:hAnsi="MS PGothic"/>
          <w:sz w:val="14"/>
          <w:szCs w:val="14"/>
          <w:color w:val="0E2A35"/>
        </w:rPr>
        <w:t>✘</w:t>
      </w:r>
      <w:r>
        <w:rPr>
          <w:rFonts w:ascii="Arial" w:cs="Arial" w:eastAsia="Arial" w:hAnsi="Arial"/>
          <w:sz w:val="14"/>
          <w:szCs w:val="14"/>
          <w:color w:val="0E2A35"/>
        </w:rPr>
        <w:t xml:space="preserve">  Provide significant perquisites</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Allow for pledging by our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805815</wp:posOffset>
            </wp:positionV>
            <wp:extent cx="58978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78" w:lineRule="exact"/>
        <w:rPr>
          <w:sz w:val="20"/>
          <w:szCs w:val="20"/>
          <w:color w:val="auto"/>
        </w:rPr>
      </w:pPr>
    </w:p>
    <w:p>
      <w:pPr>
        <w:sectPr>
          <w:pgSz w:w="11900" w:h="16838" w:orient="portrait"/>
          <w:cols w:equalWidth="0" w:num="2">
            <w:col w:w="4440" w:space="280"/>
            <w:col w:w="4560"/>
          </w:cols>
          <w:pgMar w:left="1300" w:top="263" w:right="1319" w:bottom="1440" w:gutter="0" w:footer="0" w:header="0"/>
          <w:type w:val="continuous"/>
        </w:sectPr>
      </w:pPr>
    </w:p>
    <w:p>
      <w:pPr>
        <w:spacing w:after="0" w:line="209"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206375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Advisory Vote on Executive Compensation</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0E2A35"/>
        </w:rPr>
        <w:t>At our 2021 annual meeting of shareholders, our shareholders voted to approve on an advisory basis the compensation of our NEOs. 97.1% of the votes cast with respect to this proposal were cast for approval of our NEOs’ compensation. The Human Resources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Elements of Fiscal 2022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0E2A35"/>
        </w:rPr>
        <w:t>The table below lays out the fiscal 2022 compensation elements for all NEOs other than Mr. Clark.</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760" w:type="dxa"/>
            <w:vAlign w:val="bottom"/>
            <w:tcBorders>
              <w:top w:val="single" w:sz="8" w:color="0E2A35"/>
              <w:left w:val="single" w:sz="8" w:color="0E2A35"/>
              <w:right w:val="single" w:sz="8" w:color="0E2A35"/>
            </w:tcBorders>
          </w:tcPr>
          <w:p>
            <w:pPr>
              <w:spacing w:after="0"/>
              <w:rPr>
                <w:sz w:val="24"/>
                <w:szCs w:val="24"/>
                <w:color w:val="auto"/>
              </w:rPr>
            </w:pPr>
          </w:p>
        </w:tc>
        <w:tc>
          <w:tcPr>
            <w:tcW w:w="40" w:type="dxa"/>
            <w:vAlign w:val="bottom"/>
            <w:tcBorders>
              <w:top w:val="single" w:sz="8" w:color="0E2A35"/>
            </w:tcBorders>
          </w:tcPr>
          <w:p>
            <w:pPr>
              <w:spacing w:after="0"/>
              <w:rPr>
                <w:sz w:val="24"/>
                <w:szCs w:val="24"/>
                <w:color w:val="auto"/>
              </w:rPr>
            </w:pPr>
          </w:p>
        </w:tc>
        <w:tc>
          <w:tcPr>
            <w:tcW w:w="2260" w:type="dxa"/>
            <w:vAlign w:val="bottom"/>
            <w:tcBorders>
              <w:top w:val="single" w:sz="8" w:color="0E2A35"/>
              <w:right w:val="single" w:sz="8" w:color="0E2A35"/>
            </w:tcBorders>
            <w:gridSpan w:val="2"/>
          </w:tcPr>
          <w:p>
            <w:pPr>
              <w:ind w:left="820"/>
              <w:spacing w:after="0"/>
              <w:rPr>
                <w:sz w:val="20"/>
                <w:szCs w:val="20"/>
                <w:color w:val="auto"/>
              </w:rPr>
            </w:pPr>
            <w:r>
              <w:rPr>
                <w:rFonts w:ascii="Arial" w:cs="Arial" w:eastAsia="Arial" w:hAnsi="Arial"/>
                <w:sz w:val="14"/>
                <w:szCs w:val="14"/>
                <w:b w:val="1"/>
                <w:bCs w:val="1"/>
                <w:color w:val="0E2A35"/>
              </w:rPr>
              <w:t>Element</w:t>
            </w:r>
          </w:p>
        </w:tc>
        <w:tc>
          <w:tcPr>
            <w:tcW w:w="40" w:type="dxa"/>
            <w:vAlign w:val="bottom"/>
            <w:tcBorders>
              <w:top w:val="single" w:sz="8" w:color="0E2A35"/>
            </w:tcBorders>
          </w:tcPr>
          <w:p>
            <w:pPr>
              <w:spacing w:after="0"/>
              <w:rPr>
                <w:sz w:val="24"/>
                <w:szCs w:val="24"/>
                <w:color w:val="auto"/>
              </w:rPr>
            </w:pPr>
          </w:p>
        </w:tc>
        <w:tc>
          <w:tcPr>
            <w:tcW w:w="120" w:type="dxa"/>
            <w:vAlign w:val="bottom"/>
            <w:tcBorders>
              <w:top w:val="single" w:sz="8" w:color="0E2A35"/>
            </w:tcBorders>
          </w:tcPr>
          <w:p>
            <w:pPr>
              <w:spacing w:after="0"/>
              <w:rPr>
                <w:sz w:val="24"/>
                <w:szCs w:val="24"/>
                <w:color w:val="auto"/>
              </w:rPr>
            </w:pPr>
          </w:p>
        </w:tc>
        <w:tc>
          <w:tcPr>
            <w:tcW w:w="80" w:type="dxa"/>
            <w:vAlign w:val="bottom"/>
            <w:tcBorders>
              <w:top w:val="single" w:sz="8" w:color="0E2A35"/>
            </w:tcBorders>
          </w:tcPr>
          <w:p>
            <w:pPr>
              <w:spacing w:after="0"/>
              <w:rPr>
                <w:sz w:val="24"/>
                <w:szCs w:val="24"/>
                <w:color w:val="auto"/>
              </w:rPr>
            </w:pPr>
          </w:p>
        </w:tc>
        <w:tc>
          <w:tcPr>
            <w:tcW w:w="280" w:type="dxa"/>
            <w:vAlign w:val="bottom"/>
            <w:tcBorders>
              <w:top w:val="single" w:sz="8" w:color="0E2A35"/>
            </w:tcBorders>
          </w:tcPr>
          <w:p>
            <w:pPr>
              <w:spacing w:after="0"/>
              <w:rPr>
                <w:sz w:val="24"/>
                <w:szCs w:val="24"/>
                <w:color w:val="auto"/>
              </w:rPr>
            </w:pPr>
          </w:p>
        </w:tc>
        <w:tc>
          <w:tcPr>
            <w:tcW w:w="3220" w:type="dxa"/>
            <w:vAlign w:val="bottom"/>
            <w:tcBorders>
              <w:top w:val="single" w:sz="8" w:color="0E2A35"/>
              <w:right w:val="single" w:sz="8" w:color="0E2A35"/>
            </w:tcBorders>
            <w:gridSpan w:val="2"/>
          </w:tcPr>
          <w:p>
            <w:pPr>
              <w:ind w:left="960"/>
              <w:spacing w:after="0"/>
              <w:rPr>
                <w:sz w:val="20"/>
                <w:szCs w:val="20"/>
                <w:color w:val="auto"/>
              </w:rPr>
            </w:pPr>
            <w:r>
              <w:rPr>
                <w:rFonts w:ascii="Arial" w:cs="Arial" w:eastAsia="Arial" w:hAnsi="Arial"/>
                <w:sz w:val="14"/>
                <w:szCs w:val="14"/>
                <w:b w:val="1"/>
                <w:bCs w:val="1"/>
                <w:color w:val="0E2A35"/>
              </w:rPr>
              <w:t>Mechanics</w:t>
            </w:r>
          </w:p>
        </w:tc>
        <w:tc>
          <w:tcPr>
            <w:tcW w:w="40" w:type="dxa"/>
            <w:vAlign w:val="bottom"/>
            <w:tcBorders>
              <w:top w:val="single" w:sz="8" w:color="0E2A35"/>
            </w:tcBorders>
          </w:tcPr>
          <w:p>
            <w:pPr>
              <w:spacing w:after="0"/>
              <w:rPr>
                <w:sz w:val="24"/>
                <w:szCs w:val="24"/>
                <w:color w:val="auto"/>
              </w:rPr>
            </w:pPr>
          </w:p>
        </w:tc>
        <w:tc>
          <w:tcPr>
            <w:tcW w:w="2460" w:type="dxa"/>
            <w:vAlign w:val="bottom"/>
            <w:tcBorders>
              <w:top w:val="single" w:sz="8" w:color="0E2A35"/>
              <w:right w:val="single" w:sz="8" w:color="0E2A35"/>
            </w:tcBorders>
          </w:tcPr>
          <w:p>
            <w:pPr>
              <w:ind w:left="860"/>
              <w:spacing w:after="0"/>
              <w:rPr>
                <w:sz w:val="20"/>
                <w:szCs w:val="20"/>
                <w:color w:val="auto"/>
              </w:rPr>
            </w:pPr>
            <w:r>
              <w:rPr>
                <w:rFonts w:ascii="Arial" w:cs="Arial" w:eastAsia="Arial" w:hAnsi="Arial"/>
                <w:sz w:val="14"/>
                <w:szCs w:val="14"/>
                <w:b w:val="1"/>
                <w:bCs w:val="1"/>
                <w:color w:val="0E2A35"/>
              </w:rPr>
              <w:t>Rationale</w:t>
            </w:r>
          </w:p>
        </w:tc>
        <w:tc>
          <w:tcPr>
            <w:tcW w:w="0" w:type="dxa"/>
            <w:vAlign w:val="bottom"/>
          </w:tcPr>
          <w:p>
            <w:pPr>
              <w:spacing w:after="0"/>
              <w:rPr>
                <w:sz w:val="1"/>
                <w:szCs w:val="1"/>
                <w:color w:val="auto"/>
              </w:rPr>
            </w:pPr>
          </w:p>
        </w:tc>
      </w:tr>
      <w:tr>
        <w:trPr>
          <w:trHeight w:val="43"/>
        </w:trPr>
        <w:tc>
          <w:tcPr>
            <w:tcW w:w="760" w:type="dxa"/>
            <w:vAlign w:val="bottom"/>
            <w:tcBorders>
              <w:left w:val="single" w:sz="8" w:color="0E2A35"/>
              <w:right w:val="single" w:sz="8" w:color="0E2A35"/>
            </w:tcBorders>
          </w:tcPr>
          <w:p>
            <w:pPr>
              <w:spacing w:after="0"/>
              <w:rPr>
                <w:sz w:val="3"/>
                <w:szCs w:val="3"/>
                <w:color w:val="auto"/>
              </w:rPr>
            </w:pPr>
          </w:p>
        </w:tc>
        <w:tc>
          <w:tcPr>
            <w:tcW w:w="40" w:type="dxa"/>
            <w:vAlign w:val="bottom"/>
          </w:tcPr>
          <w:p>
            <w:pPr>
              <w:spacing w:after="0"/>
              <w:rPr>
                <w:sz w:val="3"/>
                <w:szCs w:val="3"/>
                <w:color w:val="auto"/>
              </w:rPr>
            </w:pPr>
          </w:p>
        </w:tc>
        <w:tc>
          <w:tcPr>
            <w:tcW w:w="2180" w:type="dxa"/>
            <w:vAlign w:val="bottom"/>
            <w:tcBorders>
              <w:bottom w:val="single" w:sz="8" w:color="0E2A35"/>
            </w:tcBorders>
          </w:tcPr>
          <w:p>
            <w:pPr>
              <w:spacing w:after="0"/>
              <w:rPr>
                <w:sz w:val="3"/>
                <w:szCs w:val="3"/>
                <w:color w:val="auto"/>
              </w:rPr>
            </w:pPr>
          </w:p>
        </w:tc>
        <w:tc>
          <w:tcPr>
            <w:tcW w:w="80" w:type="dxa"/>
            <w:vAlign w:val="bottom"/>
            <w:tcBorders>
              <w:right w:val="single" w:sz="8" w:color="0E2A35"/>
            </w:tcBorders>
          </w:tcPr>
          <w:p>
            <w:pPr>
              <w:spacing w:after="0"/>
              <w:rPr>
                <w:sz w:val="3"/>
                <w:szCs w:val="3"/>
                <w:color w:val="auto"/>
              </w:rPr>
            </w:pPr>
          </w:p>
        </w:tc>
        <w:tc>
          <w:tcPr>
            <w:tcW w:w="40" w:type="dxa"/>
            <w:vAlign w:val="bottom"/>
          </w:tcPr>
          <w:p>
            <w:pPr>
              <w:spacing w:after="0"/>
              <w:rPr>
                <w:sz w:val="3"/>
                <w:szCs w:val="3"/>
                <w:color w:val="auto"/>
              </w:rPr>
            </w:pPr>
          </w:p>
        </w:tc>
        <w:tc>
          <w:tcPr>
            <w:tcW w:w="3620" w:type="dxa"/>
            <w:vAlign w:val="bottom"/>
            <w:tcBorders>
              <w:bottom w:val="single" w:sz="8" w:color="0E2A35"/>
            </w:tcBorders>
            <w:gridSpan w:val="4"/>
          </w:tcPr>
          <w:p>
            <w:pPr>
              <w:spacing w:after="0"/>
              <w:rPr>
                <w:sz w:val="3"/>
                <w:szCs w:val="3"/>
                <w:color w:val="auto"/>
              </w:rPr>
            </w:pPr>
          </w:p>
        </w:tc>
        <w:tc>
          <w:tcPr>
            <w:tcW w:w="80" w:type="dxa"/>
            <w:vAlign w:val="bottom"/>
            <w:tcBorders>
              <w:right w:val="single" w:sz="8" w:color="0E2A35"/>
            </w:tcBorders>
          </w:tcPr>
          <w:p>
            <w:pPr>
              <w:spacing w:after="0"/>
              <w:rPr>
                <w:sz w:val="3"/>
                <w:szCs w:val="3"/>
                <w:color w:val="auto"/>
              </w:rPr>
            </w:pPr>
          </w:p>
        </w:tc>
        <w:tc>
          <w:tcPr>
            <w:tcW w:w="40" w:type="dxa"/>
            <w:vAlign w:val="bottom"/>
          </w:tcPr>
          <w:p>
            <w:pPr>
              <w:spacing w:after="0"/>
              <w:rPr>
                <w:sz w:val="3"/>
                <w:szCs w:val="3"/>
                <w:color w:val="auto"/>
              </w:rPr>
            </w:pPr>
          </w:p>
        </w:tc>
        <w:tc>
          <w:tcPr>
            <w:tcW w:w="2460" w:type="dxa"/>
            <w:vAlign w:val="bottom"/>
            <w:tcBorders>
              <w:bottom w:val="single" w:sz="8" w:color="0E2A35"/>
              <w:right w:val="single" w:sz="8" w:color="0E2A35"/>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Salary</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Weekly payments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Provides competitive fixed pay to</w:t>
            </w:r>
          </w:p>
        </w:tc>
        <w:tc>
          <w:tcPr>
            <w:tcW w:w="0" w:type="dxa"/>
            <w:vAlign w:val="bottom"/>
          </w:tcPr>
          <w:p>
            <w:pPr>
              <w:spacing w:after="0"/>
              <w:rPr>
                <w:sz w:val="1"/>
                <w:szCs w:val="1"/>
                <w:color w:val="auto"/>
              </w:rPr>
            </w:pPr>
          </w:p>
        </w:tc>
      </w:tr>
      <w:tr>
        <w:trPr>
          <w:trHeight w:val="215"/>
        </w:trPr>
        <w:tc>
          <w:tcPr>
            <w:tcW w:w="760" w:type="dxa"/>
            <w:vAlign w:val="bottom"/>
            <w:tcBorders>
              <w:left w:val="single" w:sz="8" w:color="0E2A35"/>
              <w:right w:val="single" w:sz="8" w:color="0E2A35"/>
            </w:tcBorders>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right w:val="single" w:sz="8" w:color="0E2A35"/>
            </w:tcBorders>
          </w:tcPr>
          <w:p>
            <w:pPr>
              <w:spacing w:after="0"/>
              <w:rPr>
                <w:sz w:val="18"/>
                <w:szCs w:val="18"/>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Values correspond to experience and job scope</w:t>
            </w:r>
          </w:p>
        </w:tc>
        <w:tc>
          <w:tcPr>
            <w:tcW w:w="40" w:type="dxa"/>
            <w:vAlign w:val="bottom"/>
          </w:tcPr>
          <w:p>
            <w:pPr>
              <w:spacing w:after="0"/>
              <w:rPr>
                <w:sz w:val="18"/>
                <w:szCs w:val="18"/>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attract employees</w:t>
            </w:r>
          </w:p>
        </w:tc>
        <w:tc>
          <w:tcPr>
            <w:tcW w:w="0" w:type="dxa"/>
            <w:vAlign w:val="bottom"/>
          </w:tcPr>
          <w:p>
            <w:pPr>
              <w:spacing w:after="0"/>
              <w:rPr>
                <w:sz w:val="1"/>
                <w:szCs w:val="1"/>
                <w:color w:val="auto"/>
              </w:rPr>
            </w:pPr>
          </w:p>
        </w:tc>
      </w:tr>
      <w:tr>
        <w:trPr>
          <w:trHeight w:val="56"/>
        </w:trPr>
        <w:tc>
          <w:tcPr>
            <w:tcW w:w="760" w:type="dxa"/>
            <w:vAlign w:val="bottom"/>
            <w:tcBorders>
              <w:left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18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3620" w:type="dxa"/>
            <w:vAlign w:val="bottom"/>
            <w:tcBorders>
              <w:bottom w:val="single" w:sz="8" w:color="0E2A35"/>
            </w:tcBorders>
            <w:gridSpan w:val="4"/>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60" w:type="dxa"/>
            <w:vAlign w:val="bottom"/>
            <w:tcBorders>
              <w:bottom w:val="single" w:sz="8" w:color="0E2A35"/>
              <w:right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Officers Incentive</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Annual payout tied to performance against pre-</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Incentivizes achievement of key</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Compensation Plan (OICP)</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determined metrics and goals across a one-year</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annual objectives at an</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performance period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enterprise-wide or individual</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For fiscal 2022, the metrics for Messrs. Happe and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business unit level - driving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Hughes and Ms. Bogart included: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progress towards achievement of</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0"/>
                <w:szCs w:val="10"/>
                <w:color w:val="0E2A35"/>
                <w:w w:val="73"/>
              </w:rPr>
              <w:t>• </w:t>
            </w:r>
          </w:p>
        </w:tc>
        <w:tc>
          <w:tcPr>
            <w:tcW w:w="80" w:type="dxa"/>
            <w:vAlign w:val="bottom"/>
          </w:tcPr>
          <w:p>
            <w:pPr>
              <w:spacing w:after="0"/>
              <w:rPr>
                <w:sz w:val="16"/>
                <w:szCs w:val="16"/>
                <w:color w:val="auto"/>
              </w:rPr>
            </w:pPr>
          </w:p>
        </w:tc>
        <w:tc>
          <w:tcPr>
            <w:tcW w:w="3500" w:type="dxa"/>
            <w:vAlign w:val="bottom"/>
            <w:tcBorders>
              <w:right w:val="single" w:sz="8" w:color="0E2A35"/>
            </w:tcBorders>
            <w:gridSpan w:val="3"/>
          </w:tcPr>
          <w:p>
            <w:pPr>
              <w:ind w:left="20"/>
              <w:spacing w:after="0"/>
              <w:rPr>
                <w:sz w:val="20"/>
                <w:szCs w:val="20"/>
                <w:color w:val="auto"/>
              </w:rPr>
            </w:pPr>
            <w:r>
              <w:rPr>
                <w:rFonts w:ascii="Arial" w:cs="Arial" w:eastAsia="Arial" w:hAnsi="Arial"/>
                <w:sz w:val="16"/>
                <w:szCs w:val="16"/>
                <w:color w:val="0E2A35"/>
              </w:rPr>
              <w:t>75% financial objectives (enterprise level)</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long-term initiatives</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0E2A35"/>
                <w:w w:val="71"/>
              </w:rPr>
              <w:t> </w:t>
            </w:r>
          </w:p>
        </w:tc>
        <w:tc>
          <w:tcPr>
            <w:tcW w:w="80" w:type="dxa"/>
            <w:vAlign w:val="bottom"/>
          </w:tcPr>
          <w:p>
            <w:pPr>
              <w:ind w:left="40"/>
              <w:spacing w:after="0"/>
              <w:rPr>
                <w:sz w:val="20"/>
                <w:szCs w:val="20"/>
                <w:color w:val="auto"/>
              </w:rPr>
            </w:pPr>
            <w:r>
              <w:rPr>
                <w:rFonts w:ascii="Arial" w:cs="Arial" w:eastAsia="Arial" w:hAnsi="Arial"/>
                <w:sz w:val="2"/>
                <w:szCs w:val="2"/>
                <w:color w:val="0E2A35"/>
                <w:w w:val="97"/>
              </w:rPr>
              <w:t> </w:t>
            </w:r>
          </w:p>
        </w:tc>
        <w:tc>
          <w:tcPr>
            <w:tcW w:w="280" w:type="dxa"/>
            <w:vAlign w:val="bottom"/>
          </w:tcPr>
          <w:p>
            <w:pPr>
              <w:ind w:left="120"/>
              <w:spacing w:after="0"/>
              <w:rPr>
                <w:sz w:val="20"/>
                <w:szCs w:val="20"/>
                <w:color w:val="auto"/>
              </w:rPr>
            </w:pPr>
            <w:r>
              <w:rPr>
                <w:rFonts w:ascii="Arial" w:cs="Arial" w:eastAsia="Arial" w:hAnsi="Arial"/>
                <w:sz w:val="11"/>
                <w:szCs w:val="11"/>
                <w:color w:val="0E2A35"/>
              </w:rPr>
              <w:t>○</w:t>
            </w:r>
            <w:r>
              <w:rPr>
                <w:rFonts w:ascii="Arial" w:cs="Arial" w:eastAsia="Arial" w:hAnsi="Arial"/>
                <w:sz w:val="16"/>
                <w:szCs w:val="16"/>
                <w:color w:val="0E2A35"/>
              </w:rPr>
              <w:t xml:space="preserve"> </w:t>
            </w:r>
          </w:p>
        </w:tc>
        <w:tc>
          <w:tcPr>
            <w:tcW w:w="3220" w:type="dxa"/>
            <w:vAlign w:val="bottom"/>
            <w:tcBorders>
              <w:right w:val="single" w:sz="8" w:color="0E2A35"/>
            </w:tcBorders>
            <w:gridSpan w:val="2"/>
          </w:tcPr>
          <w:p>
            <w:pPr>
              <w:ind w:left="60"/>
              <w:spacing w:after="0"/>
              <w:rPr>
                <w:sz w:val="20"/>
                <w:szCs w:val="20"/>
                <w:color w:val="auto"/>
              </w:rPr>
            </w:pPr>
            <w:r>
              <w:rPr>
                <w:rFonts w:ascii="Arial" w:cs="Arial" w:eastAsia="Arial" w:hAnsi="Arial"/>
                <w:sz w:val="16"/>
                <w:szCs w:val="16"/>
                <w:color w:val="0E2A35"/>
              </w:rPr>
              <w:t>40% Net Revenue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vMerge w:val="restart"/>
          </w:tcPr>
          <w:p>
            <w:pPr>
              <w:jc w:val="center"/>
              <w:spacing w:after="0"/>
              <w:rPr>
                <w:sz w:val="20"/>
                <w:szCs w:val="20"/>
                <w:color w:val="auto"/>
              </w:rPr>
            </w:pPr>
            <w:r>
              <w:rPr>
                <w:rFonts w:ascii="Arial" w:cs="Arial" w:eastAsia="Arial" w:hAnsi="Arial"/>
                <w:sz w:val="16"/>
                <w:szCs w:val="16"/>
                <w:color w:val="0E2A35"/>
                <w:w w:val="98"/>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0E2A35"/>
                <w:w w:val="71"/>
              </w:rPr>
              <w:t> </w:t>
            </w:r>
          </w:p>
        </w:tc>
        <w:tc>
          <w:tcPr>
            <w:tcW w:w="80" w:type="dxa"/>
            <w:vAlign w:val="bottom"/>
          </w:tcPr>
          <w:p>
            <w:pPr>
              <w:ind w:left="40"/>
              <w:spacing w:after="0"/>
              <w:rPr>
                <w:sz w:val="20"/>
                <w:szCs w:val="20"/>
                <w:color w:val="auto"/>
              </w:rPr>
            </w:pPr>
            <w:r>
              <w:rPr>
                <w:rFonts w:ascii="Arial" w:cs="Arial" w:eastAsia="Arial" w:hAnsi="Arial"/>
                <w:sz w:val="2"/>
                <w:szCs w:val="2"/>
                <w:color w:val="0E2A35"/>
                <w:w w:val="97"/>
              </w:rPr>
              <w:t> </w:t>
            </w:r>
          </w:p>
        </w:tc>
        <w:tc>
          <w:tcPr>
            <w:tcW w:w="280" w:type="dxa"/>
            <w:vAlign w:val="bottom"/>
          </w:tcPr>
          <w:p>
            <w:pPr>
              <w:ind w:left="120"/>
              <w:spacing w:after="0"/>
              <w:rPr>
                <w:sz w:val="20"/>
                <w:szCs w:val="20"/>
                <w:color w:val="auto"/>
              </w:rPr>
            </w:pPr>
            <w:r>
              <w:rPr>
                <w:rFonts w:ascii="Arial" w:cs="Arial" w:eastAsia="Arial" w:hAnsi="Arial"/>
                <w:sz w:val="11"/>
                <w:szCs w:val="11"/>
                <w:color w:val="0E2A35"/>
              </w:rPr>
              <w:t>○</w:t>
            </w:r>
            <w:r>
              <w:rPr>
                <w:rFonts w:ascii="Arial" w:cs="Arial" w:eastAsia="Arial" w:hAnsi="Arial"/>
                <w:sz w:val="16"/>
                <w:szCs w:val="16"/>
                <w:color w:val="0E2A35"/>
              </w:rPr>
              <w:t xml:space="preserve"> </w:t>
            </w:r>
          </w:p>
        </w:tc>
        <w:tc>
          <w:tcPr>
            <w:tcW w:w="3220" w:type="dxa"/>
            <w:vAlign w:val="bottom"/>
            <w:tcBorders>
              <w:right w:val="single" w:sz="8" w:color="0E2A35"/>
            </w:tcBorders>
            <w:gridSpan w:val="2"/>
          </w:tcPr>
          <w:p>
            <w:pPr>
              <w:ind w:left="60"/>
              <w:spacing w:after="0"/>
              <w:rPr>
                <w:sz w:val="20"/>
                <w:szCs w:val="20"/>
                <w:color w:val="auto"/>
              </w:rPr>
            </w:pPr>
            <w:r>
              <w:rPr>
                <w:rFonts w:ascii="Arial" w:cs="Arial" w:eastAsia="Arial" w:hAnsi="Arial"/>
                <w:sz w:val="16"/>
                <w:szCs w:val="16"/>
                <w:color w:val="0E2A35"/>
              </w:rPr>
              <w:t>50% Operating Income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0E2A35"/>
              <w:right w:val="single" w:sz="8" w:color="0E2A35"/>
            </w:tcBorders>
            <w:vMerge w:val="continue"/>
          </w:tcPr>
          <w:p>
            <w:pPr>
              <w:spacing w:after="0"/>
              <w:rPr>
                <w:sz w:val="9"/>
                <w:szCs w:val="9"/>
                <w:color w:val="auto"/>
              </w:rPr>
            </w:pPr>
          </w:p>
        </w:tc>
        <w:tc>
          <w:tcPr>
            <w:tcW w:w="2300" w:type="dxa"/>
            <w:vAlign w:val="bottom"/>
            <w:tcBorders>
              <w:right w:val="single" w:sz="8" w:color="0E2A35"/>
            </w:tcBorders>
            <w:gridSpan w:val="3"/>
          </w:tcPr>
          <w:p>
            <w:pPr>
              <w:spacing w:after="0"/>
              <w:rPr>
                <w:sz w:val="9"/>
                <w:szCs w:val="9"/>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4"/>
                <w:szCs w:val="14"/>
                <w:color w:val="0E2A35"/>
                <w:w w:val="71"/>
              </w:rPr>
              <w:t> </w:t>
            </w:r>
          </w:p>
        </w:tc>
        <w:tc>
          <w:tcPr>
            <w:tcW w:w="80" w:type="dxa"/>
            <w:vAlign w:val="bottom"/>
            <w:vMerge w:val="restart"/>
          </w:tcPr>
          <w:p>
            <w:pPr>
              <w:ind w:left="40"/>
              <w:spacing w:after="0"/>
              <w:rPr>
                <w:sz w:val="20"/>
                <w:szCs w:val="20"/>
                <w:color w:val="auto"/>
              </w:rPr>
            </w:pPr>
            <w:r>
              <w:rPr>
                <w:rFonts w:ascii="Arial" w:cs="Arial" w:eastAsia="Arial" w:hAnsi="Arial"/>
                <w:sz w:val="2"/>
                <w:szCs w:val="2"/>
                <w:color w:val="0E2A35"/>
                <w:w w:val="97"/>
              </w:rPr>
              <w:t> </w:t>
            </w:r>
          </w:p>
        </w:tc>
        <w:tc>
          <w:tcPr>
            <w:tcW w:w="3500" w:type="dxa"/>
            <w:vAlign w:val="bottom"/>
            <w:tcBorders>
              <w:right w:val="single" w:sz="8" w:color="0E2A35"/>
            </w:tcBorders>
            <w:gridSpan w:val="3"/>
            <w:vMerge w:val="restart"/>
          </w:tcPr>
          <w:p>
            <w:pPr>
              <w:ind w:left="120"/>
              <w:spacing w:after="0"/>
              <w:rPr>
                <w:sz w:val="20"/>
                <w:szCs w:val="20"/>
                <w:color w:val="auto"/>
              </w:rPr>
            </w:pPr>
            <w:r>
              <w:rPr>
                <w:rFonts w:ascii="Arial" w:cs="Arial" w:eastAsia="Arial" w:hAnsi="Arial"/>
                <w:sz w:val="11"/>
                <w:szCs w:val="11"/>
                <w:color w:val="0E2A35"/>
              </w:rPr>
              <w:t>○</w:t>
            </w:r>
            <w:r>
              <w:rPr>
                <w:rFonts w:ascii="Arial" w:cs="Arial" w:eastAsia="Arial" w:hAnsi="Arial"/>
                <w:sz w:val="16"/>
                <w:szCs w:val="16"/>
                <w:color w:val="0E2A35"/>
              </w:rPr>
              <w:t xml:space="preserve">   10% Net Working Capital</w:t>
            </w:r>
          </w:p>
        </w:tc>
        <w:tc>
          <w:tcPr>
            <w:tcW w:w="40" w:type="dxa"/>
            <w:vAlign w:val="bottom"/>
          </w:tcPr>
          <w:p>
            <w:pPr>
              <w:spacing w:after="0"/>
              <w:rPr>
                <w:sz w:val="9"/>
                <w:szCs w:val="9"/>
                <w:color w:val="auto"/>
              </w:rPr>
            </w:pPr>
          </w:p>
        </w:tc>
        <w:tc>
          <w:tcPr>
            <w:tcW w:w="2460" w:type="dxa"/>
            <w:vAlign w:val="bottom"/>
            <w:tcBorders>
              <w:right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60" w:type="dxa"/>
            <w:vAlign w:val="bottom"/>
            <w:tcBorders>
              <w:left w:val="single" w:sz="8" w:color="0E2A35"/>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Cash</w:t>
            </w:r>
          </w:p>
        </w:tc>
        <w:tc>
          <w:tcPr>
            <w:tcW w:w="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Borders>
              <w:right w:val="single" w:sz="8" w:color="0E2A35"/>
            </w:tcBorders>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tcBorders>
              <w:right w:val="single" w:sz="8" w:color="0E2A35"/>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60" w:type="dxa"/>
            <w:vAlign w:val="bottom"/>
            <w:tcBorders>
              <w:right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760" w:type="dxa"/>
            <w:vAlign w:val="bottom"/>
            <w:tcBorders>
              <w:left w:val="single" w:sz="8" w:color="0E2A35"/>
              <w:right w:val="single" w:sz="8" w:color="0E2A35"/>
            </w:tcBorders>
            <w:vMerge w:val="continue"/>
          </w:tcPr>
          <w:p>
            <w:pPr>
              <w:spacing w:after="0"/>
              <w:rPr>
                <w:sz w:val="11"/>
                <w:szCs w:val="11"/>
                <w:color w:val="auto"/>
              </w:rPr>
            </w:pPr>
          </w:p>
        </w:tc>
        <w:tc>
          <w:tcPr>
            <w:tcW w:w="2300" w:type="dxa"/>
            <w:vAlign w:val="bottom"/>
            <w:tcBorders>
              <w:right w:val="single" w:sz="8" w:color="0E2A35"/>
            </w:tcBorders>
            <w:gridSpan w:val="3"/>
          </w:tcPr>
          <w:p>
            <w:pPr>
              <w:spacing w:after="0"/>
              <w:rPr>
                <w:sz w:val="11"/>
                <w:szCs w:val="11"/>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0E2A35"/>
                <w:w w:val="73"/>
              </w:rPr>
              <w:t>• </w:t>
            </w:r>
          </w:p>
        </w:tc>
        <w:tc>
          <w:tcPr>
            <w:tcW w:w="80" w:type="dxa"/>
            <w:vAlign w:val="bottom"/>
          </w:tcPr>
          <w:p>
            <w:pPr>
              <w:spacing w:after="0"/>
              <w:rPr>
                <w:sz w:val="11"/>
                <w:szCs w:val="11"/>
                <w:color w:val="auto"/>
              </w:rPr>
            </w:pPr>
          </w:p>
        </w:tc>
        <w:tc>
          <w:tcPr>
            <w:tcW w:w="3500" w:type="dxa"/>
            <w:vAlign w:val="bottom"/>
            <w:tcBorders>
              <w:right w:val="single" w:sz="8" w:color="0E2A35"/>
            </w:tcBorders>
            <w:gridSpan w:val="3"/>
            <w:vMerge w:val="restart"/>
          </w:tcPr>
          <w:p>
            <w:pPr>
              <w:ind w:left="20"/>
              <w:spacing w:after="0"/>
              <w:rPr>
                <w:sz w:val="20"/>
                <w:szCs w:val="20"/>
                <w:color w:val="auto"/>
              </w:rPr>
            </w:pPr>
            <w:r>
              <w:rPr>
                <w:rFonts w:ascii="Arial" w:cs="Arial" w:eastAsia="Arial" w:hAnsi="Arial"/>
                <w:sz w:val="16"/>
                <w:szCs w:val="16"/>
                <w:color w:val="0E2A35"/>
              </w:rPr>
              <w:t>25% Individual Objectives</w:t>
            </w:r>
          </w:p>
        </w:tc>
        <w:tc>
          <w:tcPr>
            <w:tcW w:w="40" w:type="dxa"/>
            <w:vAlign w:val="bottom"/>
          </w:tcPr>
          <w:p>
            <w:pPr>
              <w:spacing w:after="0"/>
              <w:rPr>
                <w:sz w:val="11"/>
                <w:szCs w:val="11"/>
                <w:color w:val="auto"/>
              </w:rPr>
            </w:pPr>
          </w:p>
        </w:tc>
        <w:tc>
          <w:tcPr>
            <w:tcW w:w="2460" w:type="dxa"/>
            <w:vAlign w:val="bottom"/>
            <w:tcBorders>
              <w:right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760" w:type="dxa"/>
            <w:vAlign w:val="bottom"/>
            <w:tcBorders>
              <w:left w:val="single" w:sz="8" w:color="0E2A35"/>
              <w:right w:val="single" w:sz="8" w:color="0E2A35"/>
            </w:tcBorders>
          </w:tcPr>
          <w:p>
            <w:pPr>
              <w:spacing w:after="0"/>
              <w:rPr>
                <w:sz w:val="4"/>
                <w:szCs w:val="4"/>
                <w:color w:val="auto"/>
              </w:rPr>
            </w:pPr>
          </w:p>
        </w:tc>
        <w:tc>
          <w:tcPr>
            <w:tcW w:w="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right w:val="single" w:sz="8" w:color="0E2A35"/>
            </w:tcBorders>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tcBorders>
              <w:right w:val="single" w:sz="8" w:color="0E2A35"/>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460" w:type="dxa"/>
            <w:vAlign w:val="bottom"/>
            <w:tcBorders>
              <w:right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Payouts range from 0%-200% of a pre-determined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target value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For fiscal 2022, the metrics for Mr. Bower</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included: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0"/>
                <w:szCs w:val="10"/>
                <w:color w:val="0E2A35"/>
                <w:w w:val="73"/>
              </w:rPr>
              <w:t>• </w:t>
            </w:r>
          </w:p>
        </w:tc>
        <w:tc>
          <w:tcPr>
            <w:tcW w:w="80" w:type="dxa"/>
            <w:vAlign w:val="bottom"/>
          </w:tcPr>
          <w:p>
            <w:pPr>
              <w:spacing w:after="0"/>
              <w:rPr>
                <w:sz w:val="16"/>
                <w:szCs w:val="16"/>
                <w:color w:val="auto"/>
              </w:rPr>
            </w:pPr>
          </w:p>
        </w:tc>
        <w:tc>
          <w:tcPr>
            <w:tcW w:w="3500" w:type="dxa"/>
            <w:vAlign w:val="bottom"/>
            <w:tcBorders>
              <w:right w:val="single" w:sz="8" w:color="0E2A35"/>
            </w:tcBorders>
            <w:gridSpan w:val="3"/>
          </w:tcPr>
          <w:p>
            <w:pPr>
              <w:ind w:left="20"/>
              <w:spacing w:after="0"/>
              <w:rPr>
                <w:sz w:val="20"/>
                <w:szCs w:val="20"/>
                <w:color w:val="auto"/>
              </w:rPr>
            </w:pPr>
            <w:r>
              <w:rPr>
                <w:rFonts w:ascii="Arial" w:cs="Arial" w:eastAsia="Arial" w:hAnsi="Arial"/>
                <w:sz w:val="16"/>
                <w:szCs w:val="16"/>
                <w:color w:val="0E2A35"/>
              </w:rPr>
              <w:t xml:space="preserve">75% financial objectives (business unit       </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520" w:type="dxa"/>
            <w:vAlign w:val="bottom"/>
            <w:gridSpan w:val="4"/>
          </w:tcPr>
          <w:p>
            <w:pPr>
              <w:ind w:left="40"/>
              <w:spacing w:after="0"/>
              <w:rPr>
                <w:sz w:val="20"/>
                <w:szCs w:val="20"/>
                <w:color w:val="auto"/>
              </w:rPr>
            </w:pPr>
            <w:r>
              <w:rPr>
                <w:rFonts w:ascii="Arial" w:cs="Arial" w:eastAsia="Arial" w:hAnsi="Arial"/>
                <w:sz w:val="16"/>
                <w:szCs w:val="16"/>
                <w:color w:val="0E2A35"/>
              </w:rPr>
              <w:t>level)</w:t>
            </w:r>
          </w:p>
        </w:tc>
        <w:tc>
          <w:tcPr>
            <w:tcW w:w="314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0E2A35"/>
                <w:w w:val="71"/>
              </w:rPr>
              <w:t> </w:t>
            </w:r>
          </w:p>
        </w:tc>
        <w:tc>
          <w:tcPr>
            <w:tcW w:w="80" w:type="dxa"/>
            <w:vAlign w:val="bottom"/>
          </w:tcPr>
          <w:p>
            <w:pPr>
              <w:ind w:left="40"/>
              <w:spacing w:after="0"/>
              <w:rPr>
                <w:sz w:val="20"/>
                <w:szCs w:val="20"/>
                <w:color w:val="auto"/>
              </w:rPr>
            </w:pPr>
            <w:r>
              <w:rPr>
                <w:rFonts w:ascii="Arial" w:cs="Arial" w:eastAsia="Arial" w:hAnsi="Arial"/>
                <w:sz w:val="2"/>
                <w:szCs w:val="2"/>
                <w:color w:val="0E2A35"/>
                <w:w w:val="97"/>
              </w:rPr>
              <w:t> </w:t>
            </w:r>
          </w:p>
        </w:tc>
        <w:tc>
          <w:tcPr>
            <w:tcW w:w="280" w:type="dxa"/>
            <w:vAlign w:val="bottom"/>
          </w:tcPr>
          <w:p>
            <w:pPr>
              <w:ind w:left="120"/>
              <w:spacing w:after="0"/>
              <w:rPr>
                <w:sz w:val="20"/>
                <w:szCs w:val="20"/>
                <w:color w:val="auto"/>
              </w:rPr>
            </w:pPr>
            <w:r>
              <w:rPr>
                <w:rFonts w:ascii="Arial" w:cs="Arial" w:eastAsia="Arial" w:hAnsi="Arial"/>
                <w:sz w:val="11"/>
                <w:szCs w:val="11"/>
                <w:color w:val="0E2A35"/>
              </w:rPr>
              <w:t>○</w:t>
            </w:r>
            <w:r>
              <w:rPr>
                <w:rFonts w:ascii="Arial" w:cs="Arial" w:eastAsia="Arial" w:hAnsi="Arial"/>
                <w:sz w:val="16"/>
                <w:szCs w:val="16"/>
                <w:color w:val="0E2A35"/>
              </w:rPr>
              <w:t xml:space="preserve"> </w:t>
            </w:r>
          </w:p>
        </w:tc>
        <w:tc>
          <w:tcPr>
            <w:tcW w:w="3220" w:type="dxa"/>
            <w:vAlign w:val="bottom"/>
            <w:tcBorders>
              <w:right w:val="single" w:sz="8" w:color="0E2A35"/>
            </w:tcBorders>
            <w:gridSpan w:val="2"/>
          </w:tcPr>
          <w:p>
            <w:pPr>
              <w:ind w:left="60"/>
              <w:spacing w:after="0"/>
              <w:rPr>
                <w:sz w:val="20"/>
                <w:szCs w:val="20"/>
                <w:color w:val="auto"/>
              </w:rPr>
            </w:pPr>
            <w:r>
              <w:rPr>
                <w:rFonts w:ascii="Arial" w:cs="Arial" w:eastAsia="Arial" w:hAnsi="Arial"/>
                <w:sz w:val="16"/>
                <w:szCs w:val="16"/>
                <w:color w:val="0E2A35"/>
              </w:rPr>
              <w:t>40% Net Revenue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0E2A35"/>
                <w:w w:val="71"/>
              </w:rPr>
              <w:t> </w:t>
            </w:r>
          </w:p>
        </w:tc>
        <w:tc>
          <w:tcPr>
            <w:tcW w:w="80" w:type="dxa"/>
            <w:vAlign w:val="bottom"/>
          </w:tcPr>
          <w:p>
            <w:pPr>
              <w:ind w:left="40"/>
              <w:spacing w:after="0"/>
              <w:rPr>
                <w:sz w:val="20"/>
                <w:szCs w:val="20"/>
                <w:color w:val="auto"/>
              </w:rPr>
            </w:pPr>
            <w:r>
              <w:rPr>
                <w:rFonts w:ascii="Arial" w:cs="Arial" w:eastAsia="Arial" w:hAnsi="Arial"/>
                <w:sz w:val="2"/>
                <w:szCs w:val="2"/>
                <w:color w:val="0E2A35"/>
                <w:w w:val="97"/>
              </w:rPr>
              <w:t> </w:t>
            </w:r>
          </w:p>
        </w:tc>
        <w:tc>
          <w:tcPr>
            <w:tcW w:w="280" w:type="dxa"/>
            <w:vAlign w:val="bottom"/>
          </w:tcPr>
          <w:p>
            <w:pPr>
              <w:ind w:left="120"/>
              <w:spacing w:after="0"/>
              <w:rPr>
                <w:sz w:val="20"/>
                <w:szCs w:val="20"/>
                <w:color w:val="auto"/>
              </w:rPr>
            </w:pPr>
            <w:r>
              <w:rPr>
                <w:rFonts w:ascii="Arial" w:cs="Arial" w:eastAsia="Arial" w:hAnsi="Arial"/>
                <w:sz w:val="11"/>
                <w:szCs w:val="11"/>
                <w:color w:val="0E2A35"/>
              </w:rPr>
              <w:t>○</w:t>
            </w:r>
            <w:r>
              <w:rPr>
                <w:rFonts w:ascii="Arial" w:cs="Arial" w:eastAsia="Arial" w:hAnsi="Arial"/>
                <w:sz w:val="16"/>
                <w:szCs w:val="16"/>
                <w:color w:val="0E2A35"/>
              </w:rPr>
              <w:t xml:space="preserve"> </w:t>
            </w:r>
          </w:p>
        </w:tc>
        <w:tc>
          <w:tcPr>
            <w:tcW w:w="3220" w:type="dxa"/>
            <w:vAlign w:val="bottom"/>
            <w:tcBorders>
              <w:right w:val="single" w:sz="8" w:color="0E2A35"/>
            </w:tcBorders>
            <w:gridSpan w:val="2"/>
          </w:tcPr>
          <w:p>
            <w:pPr>
              <w:ind w:left="60"/>
              <w:spacing w:after="0"/>
              <w:rPr>
                <w:sz w:val="20"/>
                <w:szCs w:val="20"/>
                <w:color w:val="auto"/>
              </w:rPr>
            </w:pPr>
            <w:r>
              <w:rPr>
                <w:rFonts w:ascii="Arial" w:cs="Arial" w:eastAsia="Arial" w:hAnsi="Arial"/>
                <w:sz w:val="16"/>
                <w:szCs w:val="16"/>
                <w:color w:val="0E2A35"/>
              </w:rPr>
              <w:t>50% Operating Income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0E2A35"/>
                <w:w w:val="71"/>
              </w:rPr>
              <w:t> </w:t>
            </w:r>
          </w:p>
        </w:tc>
        <w:tc>
          <w:tcPr>
            <w:tcW w:w="80" w:type="dxa"/>
            <w:vAlign w:val="bottom"/>
          </w:tcPr>
          <w:p>
            <w:pPr>
              <w:ind w:left="40"/>
              <w:spacing w:after="0"/>
              <w:rPr>
                <w:sz w:val="20"/>
                <w:szCs w:val="20"/>
                <w:color w:val="auto"/>
              </w:rPr>
            </w:pPr>
            <w:r>
              <w:rPr>
                <w:rFonts w:ascii="Arial" w:cs="Arial" w:eastAsia="Arial" w:hAnsi="Arial"/>
                <w:sz w:val="2"/>
                <w:szCs w:val="2"/>
                <w:color w:val="0E2A35"/>
                <w:w w:val="97"/>
              </w:rPr>
              <w:t> </w:t>
            </w:r>
          </w:p>
        </w:tc>
        <w:tc>
          <w:tcPr>
            <w:tcW w:w="3500" w:type="dxa"/>
            <w:vAlign w:val="bottom"/>
            <w:tcBorders>
              <w:right w:val="single" w:sz="8" w:color="0E2A35"/>
            </w:tcBorders>
            <w:gridSpan w:val="3"/>
          </w:tcPr>
          <w:p>
            <w:pPr>
              <w:ind w:left="120"/>
              <w:spacing w:after="0"/>
              <w:rPr>
                <w:sz w:val="20"/>
                <w:szCs w:val="20"/>
                <w:color w:val="auto"/>
              </w:rPr>
            </w:pPr>
            <w:r>
              <w:rPr>
                <w:rFonts w:ascii="Arial" w:cs="Arial" w:eastAsia="Arial" w:hAnsi="Arial"/>
                <w:sz w:val="11"/>
                <w:szCs w:val="11"/>
                <w:color w:val="0E2A35"/>
              </w:rPr>
              <w:t>○</w:t>
            </w:r>
            <w:r>
              <w:rPr>
                <w:rFonts w:ascii="Arial" w:cs="Arial" w:eastAsia="Arial" w:hAnsi="Arial"/>
                <w:sz w:val="16"/>
                <w:szCs w:val="16"/>
                <w:color w:val="0E2A35"/>
              </w:rPr>
              <w:t xml:space="preserve">   10% Net Working Capital</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tcBorders>
              <w:left w:val="single" w:sz="8" w:color="0E2A35"/>
              <w:right w:val="single" w:sz="8" w:color="0E2A35"/>
            </w:tcBorders>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right w:val="single" w:sz="8" w:color="0E2A35"/>
            </w:tcBorders>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0"/>
                <w:szCs w:val="10"/>
                <w:color w:val="0E2A35"/>
                <w:w w:val="73"/>
              </w:rPr>
              <w:t>• </w:t>
            </w:r>
          </w:p>
        </w:tc>
        <w:tc>
          <w:tcPr>
            <w:tcW w:w="80" w:type="dxa"/>
            <w:vAlign w:val="bottom"/>
          </w:tcPr>
          <w:p>
            <w:pPr>
              <w:spacing w:after="0"/>
              <w:rPr>
                <w:sz w:val="18"/>
                <w:szCs w:val="18"/>
                <w:color w:val="auto"/>
              </w:rPr>
            </w:pPr>
          </w:p>
        </w:tc>
        <w:tc>
          <w:tcPr>
            <w:tcW w:w="3500" w:type="dxa"/>
            <w:vAlign w:val="bottom"/>
            <w:tcBorders>
              <w:right w:val="single" w:sz="8" w:color="0E2A35"/>
            </w:tcBorders>
            <w:gridSpan w:val="3"/>
          </w:tcPr>
          <w:p>
            <w:pPr>
              <w:ind w:left="20"/>
              <w:spacing w:after="0"/>
              <w:rPr>
                <w:sz w:val="20"/>
                <w:szCs w:val="20"/>
                <w:color w:val="auto"/>
              </w:rPr>
            </w:pPr>
            <w:r>
              <w:rPr>
                <w:rFonts w:ascii="Arial" w:cs="Arial" w:eastAsia="Arial" w:hAnsi="Arial"/>
                <w:sz w:val="16"/>
                <w:szCs w:val="16"/>
                <w:color w:val="0E2A35"/>
              </w:rPr>
              <w:t>25% Individual Objectives</w:t>
            </w:r>
          </w:p>
        </w:tc>
        <w:tc>
          <w:tcPr>
            <w:tcW w:w="40" w:type="dxa"/>
            <w:vAlign w:val="bottom"/>
          </w:tcPr>
          <w:p>
            <w:pPr>
              <w:spacing w:after="0"/>
              <w:rPr>
                <w:sz w:val="18"/>
                <w:szCs w:val="18"/>
                <w:color w:val="auto"/>
              </w:rPr>
            </w:pPr>
          </w:p>
        </w:tc>
        <w:tc>
          <w:tcPr>
            <w:tcW w:w="2460" w:type="dxa"/>
            <w:vAlign w:val="bottom"/>
            <w:tcBorders>
              <w:right w:val="single" w:sz="8" w:color="0E2A35"/>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60" w:type="dxa"/>
            <w:vAlign w:val="bottom"/>
            <w:tcBorders>
              <w:left w:val="single" w:sz="8" w:color="0E2A35"/>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18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3620" w:type="dxa"/>
            <w:vAlign w:val="bottom"/>
            <w:tcBorders>
              <w:bottom w:val="single" w:sz="8" w:color="0E2A35"/>
            </w:tcBorders>
            <w:gridSpan w:val="4"/>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60" w:type="dxa"/>
            <w:vAlign w:val="bottom"/>
            <w:tcBorders>
              <w:bottom w:val="single" w:sz="8" w:color="0E2A35"/>
              <w:right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 Share Units /</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50% of all annual equity awards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Rewards for achievement of</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Long-Term Incentive Program</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For the fiscal 2022-2024 performance period,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specific long-term financial</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(LTIP) - Annual</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payouts are tied to performance against pre-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objectives</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determined goals across a three-year</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Aligns NEOs’ interest with long-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performance period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term shareholder value creation</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The metrics consist of:</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0"/>
                <w:szCs w:val="10"/>
                <w:color w:val="0E2A35"/>
                <w:w w:val="73"/>
              </w:rPr>
              <w:t>• </w:t>
            </w:r>
          </w:p>
        </w:tc>
        <w:tc>
          <w:tcPr>
            <w:tcW w:w="80" w:type="dxa"/>
            <w:vAlign w:val="bottom"/>
          </w:tcPr>
          <w:p>
            <w:pPr>
              <w:spacing w:after="0"/>
              <w:rPr>
                <w:sz w:val="16"/>
                <w:szCs w:val="16"/>
                <w:color w:val="auto"/>
              </w:rPr>
            </w:pPr>
          </w:p>
        </w:tc>
        <w:tc>
          <w:tcPr>
            <w:tcW w:w="3500" w:type="dxa"/>
            <w:vAlign w:val="bottom"/>
            <w:tcBorders>
              <w:right w:val="single" w:sz="8" w:color="0E2A35"/>
            </w:tcBorders>
            <w:gridSpan w:val="3"/>
          </w:tcPr>
          <w:p>
            <w:pPr>
              <w:ind w:left="20"/>
              <w:spacing w:after="0"/>
              <w:rPr>
                <w:sz w:val="20"/>
                <w:szCs w:val="20"/>
                <w:color w:val="auto"/>
              </w:rPr>
            </w:pPr>
            <w:r>
              <w:rPr>
                <w:rFonts w:ascii="Arial" w:cs="Arial" w:eastAsia="Arial" w:hAnsi="Arial"/>
                <w:sz w:val="16"/>
                <w:szCs w:val="16"/>
                <w:color w:val="0E2A35"/>
              </w:rPr>
              <w:t>50% Incentive ROIC</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0"/>
                <w:szCs w:val="10"/>
                <w:color w:val="0E2A35"/>
                <w:w w:val="73"/>
              </w:rPr>
              <w:t>• </w:t>
            </w:r>
          </w:p>
        </w:tc>
        <w:tc>
          <w:tcPr>
            <w:tcW w:w="80" w:type="dxa"/>
            <w:vAlign w:val="bottom"/>
          </w:tcPr>
          <w:p>
            <w:pPr>
              <w:spacing w:after="0"/>
              <w:rPr>
                <w:sz w:val="16"/>
                <w:szCs w:val="16"/>
                <w:color w:val="auto"/>
              </w:rPr>
            </w:pPr>
          </w:p>
        </w:tc>
        <w:tc>
          <w:tcPr>
            <w:tcW w:w="3500" w:type="dxa"/>
            <w:vAlign w:val="bottom"/>
            <w:tcBorders>
              <w:right w:val="single" w:sz="8" w:color="0E2A35"/>
            </w:tcBorders>
            <w:gridSpan w:val="3"/>
          </w:tcPr>
          <w:p>
            <w:pPr>
              <w:ind w:left="20"/>
              <w:spacing w:after="0"/>
              <w:rPr>
                <w:sz w:val="20"/>
                <w:szCs w:val="20"/>
                <w:color w:val="auto"/>
              </w:rPr>
            </w:pPr>
            <w:r>
              <w:rPr>
                <w:rFonts w:ascii="Arial" w:cs="Arial" w:eastAsia="Arial" w:hAnsi="Arial"/>
                <w:sz w:val="16"/>
                <w:szCs w:val="16"/>
                <w:color w:val="0E2A35"/>
              </w:rPr>
              <w:t>50% Incentive EPS</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vMerge w:val="restart"/>
          </w:tcPr>
          <w:p>
            <w:pPr>
              <w:jc w:val="center"/>
              <w:spacing w:after="0"/>
              <w:rPr>
                <w:sz w:val="20"/>
                <w:szCs w:val="20"/>
                <w:color w:val="auto"/>
              </w:rPr>
            </w:pPr>
            <w:r>
              <w:rPr>
                <w:rFonts w:ascii="Arial" w:cs="Arial" w:eastAsia="Arial" w:hAnsi="Arial"/>
                <w:sz w:val="16"/>
                <w:szCs w:val="16"/>
                <w:color w:val="0E2A35"/>
                <w:w w:val="98"/>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Payouts range from 0%-200% of a pre-determined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60" w:type="dxa"/>
            <w:vAlign w:val="bottom"/>
            <w:tcBorders>
              <w:left w:val="single" w:sz="8" w:color="0E2A35"/>
              <w:right w:val="single" w:sz="8" w:color="0E2A35"/>
            </w:tcBorders>
            <w:vMerge w:val="continue"/>
          </w:tcPr>
          <w:p>
            <w:pPr>
              <w:spacing w:after="0"/>
              <w:rPr>
                <w:sz w:val="5"/>
                <w:szCs w:val="5"/>
                <w:color w:val="auto"/>
              </w:rPr>
            </w:pPr>
          </w:p>
        </w:tc>
        <w:tc>
          <w:tcPr>
            <w:tcW w:w="2300" w:type="dxa"/>
            <w:vAlign w:val="bottom"/>
            <w:tcBorders>
              <w:right w:val="single" w:sz="8" w:color="0E2A35"/>
            </w:tcBorders>
            <w:gridSpan w:val="3"/>
          </w:tcPr>
          <w:p>
            <w:pPr>
              <w:spacing w:after="0"/>
              <w:rPr>
                <w:sz w:val="5"/>
                <w:szCs w:val="5"/>
                <w:color w:val="auto"/>
              </w:rPr>
            </w:pPr>
          </w:p>
        </w:tc>
        <w:tc>
          <w:tcPr>
            <w:tcW w:w="3740" w:type="dxa"/>
            <w:vAlign w:val="bottom"/>
            <w:tcBorders>
              <w:right w:val="single" w:sz="8" w:color="0E2A35"/>
            </w:tcBorders>
            <w:gridSpan w:val="6"/>
            <w:vMerge w:val="restart"/>
          </w:tcPr>
          <w:p>
            <w:pPr>
              <w:ind w:left="40"/>
              <w:spacing w:after="0"/>
              <w:rPr>
                <w:sz w:val="20"/>
                <w:szCs w:val="20"/>
                <w:color w:val="auto"/>
              </w:rPr>
            </w:pPr>
            <w:r>
              <w:rPr>
                <w:rFonts w:ascii="Arial" w:cs="Arial" w:eastAsia="Arial" w:hAnsi="Arial"/>
                <w:sz w:val="16"/>
                <w:szCs w:val="16"/>
                <w:color w:val="0E2A35"/>
              </w:rPr>
              <w:t>target value</w:t>
            </w:r>
          </w:p>
        </w:tc>
        <w:tc>
          <w:tcPr>
            <w:tcW w:w="40" w:type="dxa"/>
            <w:vAlign w:val="bottom"/>
          </w:tcPr>
          <w:p>
            <w:pPr>
              <w:spacing w:after="0"/>
              <w:rPr>
                <w:sz w:val="5"/>
                <w:szCs w:val="5"/>
                <w:color w:val="auto"/>
              </w:rPr>
            </w:pPr>
          </w:p>
        </w:tc>
        <w:tc>
          <w:tcPr>
            <w:tcW w:w="2460" w:type="dxa"/>
            <w:vAlign w:val="bottom"/>
            <w:tcBorders>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760" w:type="dxa"/>
            <w:vAlign w:val="bottom"/>
            <w:tcBorders>
              <w:left w:val="single" w:sz="8" w:color="0E2A35"/>
              <w:right w:val="single" w:sz="8" w:color="0E2A35"/>
            </w:tcBorders>
            <w:vMerge w:val="restart"/>
          </w:tcPr>
          <w:p>
            <w:pPr>
              <w:ind w:left="160"/>
              <w:spacing w:after="0"/>
              <w:rPr>
                <w:sz w:val="20"/>
                <w:szCs w:val="20"/>
                <w:color w:val="auto"/>
              </w:rPr>
            </w:pPr>
            <w:r>
              <w:rPr>
                <w:rFonts w:ascii="Arial" w:cs="Arial" w:eastAsia="Arial" w:hAnsi="Arial"/>
                <w:sz w:val="16"/>
                <w:szCs w:val="16"/>
                <w:color w:val="0E2A35"/>
              </w:rPr>
              <w:t>Equity</w:t>
            </w:r>
            <w:r>
              <w:rPr>
                <w:rFonts w:ascii="Arial" w:cs="Arial" w:eastAsia="Arial" w:hAnsi="Arial"/>
                <w:sz w:val="16"/>
                <w:szCs w:val="16"/>
                <w:b w:val="1"/>
                <w:bCs w:val="1"/>
                <w:color w:val="0E2A35"/>
              </w:rPr>
              <w:t>​</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right w:val="single" w:sz="8" w:color="0E2A35"/>
            </w:tcBorders>
          </w:tcPr>
          <w:p>
            <w:pPr>
              <w:spacing w:after="0"/>
              <w:rPr>
                <w:sz w:val="12"/>
                <w:szCs w:val="12"/>
                <w:color w:val="auto"/>
              </w:rPr>
            </w:pPr>
          </w:p>
        </w:tc>
        <w:tc>
          <w:tcPr>
            <w:tcW w:w="3740" w:type="dxa"/>
            <w:vAlign w:val="bottom"/>
            <w:tcBorders>
              <w:right w:val="single" w:sz="8" w:color="0E2A35"/>
            </w:tcBorders>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tcBorders>
              <w:right w:val="single" w:sz="8" w:color="0E2A35"/>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760" w:type="dxa"/>
            <w:vAlign w:val="bottom"/>
            <w:tcBorders>
              <w:left w:val="single" w:sz="8" w:color="0E2A35"/>
              <w:right w:val="single" w:sz="8" w:color="0E2A35"/>
            </w:tcBorders>
            <w:vMerge w:val="continue"/>
          </w:tcPr>
          <w:p>
            <w:pPr>
              <w:spacing w:after="0"/>
              <w:rPr>
                <w:sz w:val="4"/>
                <w:szCs w:val="4"/>
                <w:color w:val="auto"/>
              </w:rPr>
            </w:pPr>
          </w:p>
        </w:tc>
        <w:tc>
          <w:tcPr>
            <w:tcW w:w="2300" w:type="dxa"/>
            <w:vAlign w:val="bottom"/>
            <w:tcBorders>
              <w:bottom w:val="single" w:sz="8" w:color="0E2A35"/>
              <w:right w:val="single" w:sz="8" w:color="0E2A35"/>
            </w:tcBorders>
            <w:gridSpan w:val="3"/>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120" w:type="dxa"/>
            <w:vAlign w:val="bottom"/>
            <w:tcBorders>
              <w:bottom w:val="single" w:sz="8" w:color="0E2A35"/>
            </w:tcBorders>
          </w:tcPr>
          <w:p>
            <w:pPr>
              <w:spacing w:after="0"/>
              <w:rPr>
                <w:sz w:val="4"/>
                <w:szCs w:val="4"/>
                <w:color w:val="auto"/>
              </w:rPr>
            </w:pPr>
          </w:p>
        </w:tc>
        <w:tc>
          <w:tcPr>
            <w:tcW w:w="80" w:type="dxa"/>
            <w:vAlign w:val="bottom"/>
            <w:tcBorders>
              <w:bottom w:val="single" w:sz="8" w:color="0E2A35"/>
            </w:tcBorders>
          </w:tcPr>
          <w:p>
            <w:pPr>
              <w:spacing w:after="0"/>
              <w:rPr>
                <w:sz w:val="4"/>
                <w:szCs w:val="4"/>
                <w:color w:val="auto"/>
              </w:rPr>
            </w:pPr>
          </w:p>
        </w:tc>
        <w:tc>
          <w:tcPr>
            <w:tcW w:w="280" w:type="dxa"/>
            <w:vAlign w:val="bottom"/>
            <w:tcBorders>
              <w:bottom w:val="single" w:sz="8" w:color="0E2A35"/>
            </w:tcBorders>
          </w:tcPr>
          <w:p>
            <w:pPr>
              <w:spacing w:after="0"/>
              <w:rPr>
                <w:sz w:val="4"/>
                <w:szCs w:val="4"/>
                <w:color w:val="auto"/>
              </w:rPr>
            </w:pPr>
          </w:p>
        </w:tc>
        <w:tc>
          <w:tcPr>
            <w:tcW w:w="314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60" w:type="dxa"/>
            <w:vAlign w:val="bottom"/>
            <w:tcBorders>
              <w:bottom w:val="single" w:sz="8" w:color="0E2A35"/>
              <w:right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Options - Annual</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15% of all annual equity awards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Aligns NEOs’ interest with long-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Stock options can be exercised over ten years and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term shareholder value creation</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vest over three years in equal installments</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as measured by appreciation in</w:t>
            </w:r>
          </w:p>
        </w:tc>
        <w:tc>
          <w:tcPr>
            <w:tcW w:w="0" w:type="dxa"/>
            <w:vAlign w:val="bottom"/>
          </w:tcPr>
          <w:p>
            <w:pPr>
              <w:spacing w:after="0"/>
              <w:rPr>
                <w:sz w:val="1"/>
                <w:szCs w:val="1"/>
                <w:color w:val="auto"/>
              </w:rPr>
            </w:pPr>
          </w:p>
        </w:tc>
      </w:tr>
      <w:tr>
        <w:trPr>
          <w:trHeight w:val="215"/>
        </w:trPr>
        <w:tc>
          <w:tcPr>
            <w:tcW w:w="760" w:type="dxa"/>
            <w:vAlign w:val="bottom"/>
            <w:tcBorders>
              <w:left w:val="single" w:sz="8" w:color="0E2A35"/>
              <w:right w:val="single" w:sz="8" w:color="0E2A35"/>
            </w:tcBorders>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right w:val="single" w:sz="8" w:color="0E2A35"/>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Borders>
              <w:right w:val="single" w:sz="8" w:color="0E2A35"/>
            </w:tcBorders>
          </w:tcPr>
          <w:p>
            <w:pPr>
              <w:spacing w:after="0"/>
              <w:rPr>
                <w:sz w:val="18"/>
                <w:szCs w:val="18"/>
                <w:color w:val="auto"/>
              </w:rPr>
            </w:pPr>
          </w:p>
        </w:tc>
        <w:tc>
          <w:tcPr>
            <w:tcW w:w="40" w:type="dxa"/>
            <w:vAlign w:val="bottom"/>
          </w:tcPr>
          <w:p>
            <w:pPr>
              <w:spacing w:after="0"/>
              <w:rPr>
                <w:sz w:val="18"/>
                <w:szCs w:val="18"/>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stock price from the date of grant</w:t>
            </w:r>
          </w:p>
        </w:tc>
        <w:tc>
          <w:tcPr>
            <w:tcW w:w="0" w:type="dxa"/>
            <w:vAlign w:val="bottom"/>
          </w:tcPr>
          <w:p>
            <w:pPr>
              <w:spacing w:after="0"/>
              <w:rPr>
                <w:sz w:val="1"/>
                <w:szCs w:val="1"/>
                <w:color w:val="auto"/>
              </w:rPr>
            </w:pPr>
          </w:p>
        </w:tc>
      </w:tr>
      <w:tr>
        <w:trPr>
          <w:trHeight w:val="56"/>
        </w:trPr>
        <w:tc>
          <w:tcPr>
            <w:tcW w:w="760" w:type="dxa"/>
            <w:vAlign w:val="bottom"/>
            <w:tcBorders>
              <w:left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18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3620" w:type="dxa"/>
            <w:vAlign w:val="bottom"/>
            <w:tcBorders>
              <w:bottom w:val="single" w:sz="8" w:color="0E2A35"/>
            </w:tcBorders>
            <w:gridSpan w:val="4"/>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60" w:type="dxa"/>
            <w:vAlign w:val="bottom"/>
            <w:tcBorders>
              <w:bottom w:val="single" w:sz="8" w:color="0E2A35"/>
              <w:right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Restricted Stock Units -</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35% of all annual equity awards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Aligns NEOs’ interest with long-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w:t>
            </w: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Restricted stock units vest over three years in</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term shareholder value creation</w:t>
            </w:r>
          </w:p>
        </w:tc>
        <w:tc>
          <w:tcPr>
            <w:tcW w:w="0" w:type="dxa"/>
            <w:vAlign w:val="bottom"/>
          </w:tcPr>
          <w:p>
            <w:pPr>
              <w:spacing w:after="0"/>
              <w:rPr>
                <w:sz w:val="1"/>
                <w:szCs w:val="1"/>
                <w:color w:val="auto"/>
              </w:rPr>
            </w:pPr>
          </w:p>
        </w:tc>
      </w:tr>
      <w:tr>
        <w:trPr>
          <w:trHeight w:val="215"/>
        </w:trPr>
        <w:tc>
          <w:tcPr>
            <w:tcW w:w="760" w:type="dxa"/>
            <w:vAlign w:val="bottom"/>
            <w:tcBorders>
              <w:left w:val="single" w:sz="8" w:color="0E2A35"/>
              <w:right w:val="single" w:sz="8" w:color="0E2A35"/>
            </w:tcBorders>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right w:val="single" w:sz="8" w:color="0E2A35"/>
            </w:tcBorders>
          </w:tcPr>
          <w:p>
            <w:pPr>
              <w:spacing w:after="0"/>
              <w:rPr>
                <w:sz w:val="18"/>
                <w:szCs w:val="18"/>
                <w:color w:val="auto"/>
              </w:rPr>
            </w:pPr>
          </w:p>
        </w:tc>
        <w:tc>
          <w:tcPr>
            <w:tcW w:w="3740" w:type="dxa"/>
            <w:vAlign w:val="bottom"/>
            <w:tcBorders>
              <w:right w:val="single" w:sz="8" w:color="0E2A35"/>
            </w:tcBorders>
            <w:gridSpan w:val="6"/>
          </w:tcPr>
          <w:p>
            <w:pPr>
              <w:ind w:left="40"/>
              <w:spacing w:after="0"/>
              <w:rPr>
                <w:sz w:val="20"/>
                <w:szCs w:val="20"/>
                <w:color w:val="auto"/>
              </w:rPr>
            </w:pPr>
            <w:r>
              <w:rPr>
                <w:rFonts w:ascii="Arial" w:cs="Arial" w:eastAsia="Arial" w:hAnsi="Arial"/>
                <w:sz w:val="16"/>
                <w:szCs w:val="16"/>
                <w:color w:val="0E2A35"/>
              </w:rPr>
              <w:t>equal installments</w:t>
            </w:r>
          </w:p>
        </w:tc>
        <w:tc>
          <w:tcPr>
            <w:tcW w:w="40" w:type="dxa"/>
            <w:vAlign w:val="bottom"/>
          </w:tcPr>
          <w:p>
            <w:pPr>
              <w:spacing w:after="0"/>
              <w:rPr>
                <w:sz w:val="18"/>
                <w:szCs w:val="18"/>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Encourages executive retention</w:t>
            </w:r>
          </w:p>
        </w:tc>
        <w:tc>
          <w:tcPr>
            <w:tcW w:w="0" w:type="dxa"/>
            <w:vAlign w:val="bottom"/>
          </w:tcPr>
          <w:p>
            <w:pPr>
              <w:spacing w:after="0"/>
              <w:rPr>
                <w:sz w:val="1"/>
                <w:szCs w:val="1"/>
                <w:color w:val="auto"/>
              </w:rPr>
            </w:pPr>
          </w:p>
        </w:tc>
      </w:tr>
      <w:tr>
        <w:trPr>
          <w:trHeight w:val="97"/>
        </w:trPr>
        <w:tc>
          <w:tcPr>
            <w:tcW w:w="760" w:type="dxa"/>
            <w:vAlign w:val="bottom"/>
            <w:tcBorders>
              <w:left w:val="single" w:sz="8" w:color="0E2A35"/>
              <w:bottom w:val="single" w:sz="8" w:color="0E2A35"/>
              <w:right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2180" w:type="dxa"/>
            <w:vAlign w:val="bottom"/>
            <w:tcBorders>
              <w:bottom w:val="single" w:sz="8" w:color="0E2A35"/>
            </w:tcBorders>
          </w:tcPr>
          <w:p>
            <w:pPr>
              <w:spacing w:after="0"/>
              <w:rPr>
                <w:sz w:val="8"/>
                <w:szCs w:val="8"/>
                <w:color w:val="auto"/>
              </w:rPr>
            </w:pPr>
          </w:p>
        </w:tc>
        <w:tc>
          <w:tcPr>
            <w:tcW w:w="80" w:type="dxa"/>
            <w:vAlign w:val="bottom"/>
            <w:tcBorders>
              <w:bottom w:val="single" w:sz="8" w:color="0E2A35"/>
              <w:right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3140" w:type="dxa"/>
            <w:vAlign w:val="bottom"/>
            <w:tcBorders>
              <w:bottom w:val="single" w:sz="8" w:color="0E2A35"/>
            </w:tcBorders>
          </w:tcPr>
          <w:p>
            <w:pPr>
              <w:spacing w:after="0"/>
              <w:rPr>
                <w:sz w:val="8"/>
                <w:szCs w:val="8"/>
                <w:color w:val="auto"/>
              </w:rPr>
            </w:pPr>
          </w:p>
        </w:tc>
        <w:tc>
          <w:tcPr>
            <w:tcW w:w="80" w:type="dxa"/>
            <w:vAlign w:val="bottom"/>
            <w:tcBorders>
              <w:bottom w:val="single" w:sz="8" w:color="0E2A35"/>
              <w:right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2460" w:type="dxa"/>
            <w:vAlign w:val="bottom"/>
            <w:tcBorders>
              <w:bottom w:val="single" w:sz="8" w:color="0E2A35"/>
              <w:right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-5185410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-5185410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-5185410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 receive an incentive bonus pursuant to the pre-existing Grand Design Management Incentive Plan (the Grand Design MIP). Payment under the Grand Design MIP is 100% dependent on pretax net income performance of the Grand Design business, a part of our Towable segment. Any incentive bonus earned under the Grand Design MIP is payable as follows: 95% in cash and 5% in restricted stock units of the Company (fiscal 2020); 90% in cash and 10% in restricted stock units (fiscal 2021); and 85% in cash and 15% in restricted stock units (fiscal 2022). Any restricted stock units issued under the Grand Design MIP are subject to a 3-year vesting schedule. Mr. Clark is not eligible to participate in any other Winnebago Industries cash or stock incentive program.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Performance-based Pay Mix</w:t>
      </w:r>
    </w:p>
    <w:p>
      <w:pPr>
        <w:spacing w:after="0" w:line="19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E2A35"/>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2022, 85% of our CEO’s total target compensation and 72%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CEO’s fiscal 2022 total target compensation, as well as the components of the average total target compensation for our other NEOs in fiscal 2022, excluding Mr. Clark. Total target compensation includes current fiscal 2022 annualized base salary, target annual incentive compensation, and the grant date fair value of our annual equity grants made in fiscal 2022,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137795</wp:posOffset>
            </wp:positionV>
            <wp:extent cx="4054475" cy="1534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5447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55" w:lineRule="exact"/>
        <w:rPr>
          <w:sz w:val="20"/>
          <w:szCs w:val="20"/>
          <w:color w:val="auto"/>
        </w:rPr>
      </w:pPr>
    </w:p>
    <w:p>
      <w:pPr>
        <w:ind w:left="360" w:hanging="360"/>
        <w:spacing w:after="0"/>
        <w:tabs>
          <w:tab w:leader="none" w:pos="360" w:val="left"/>
        </w:tabs>
        <w:numPr>
          <w:ilvl w:val="0"/>
          <w:numId w:val="21"/>
        </w:numPr>
        <w:rPr>
          <w:rFonts w:ascii="Arial" w:cs="Arial" w:eastAsia="Arial" w:hAnsi="Arial"/>
          <w:sz w:val="13"/>
          <w:szCs w:val="13"/>
          <w:color w:val="0E2A35"/>
        </w:rPr>
      </w:pPr>
      <w:r>
        <w:rPr>
          <w:rFonts w:ascii="Arial" w:cs="Arial" w:eastAsia="Arial" w:hAnsi="Arial"/>
          <w:sz w:val="13"/>
          <w:szCs w:val="13"/>
          <w:color w:val="0E2A35"/>
        </w:rPr>
        <w:t>Excludes Mr. Clark.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Determination of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Role of the Human Resources Committee</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The Human Resources Committee is responsible for reviewing and approving, on an annual basis, the corporate goals and objectives with respect to the compensation of all of our executive officers, as described in the committee's charter. The committee relies on its own review and the advice of its independent compensation consultant in establishing executive officer pay. The committee seeks the input of the CEO in making executive officer pay decisions for all executives other than himself, but the committee makes all decisions.</w:t>
      </w:r>
    </w:p>
    <w:p>
      <w:pPr>
        <w:spacing w:after="0" w:line="15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0E2A35"/>
        </w:rPr>
        <w:t>In October 2021, the committee approved annual incentive performance objectives for fiscal 2022 based upon the business plan for the year. In October 2021, the committee granted long-term incentive awards to our executive officers under the 2019 Omnibus Incentive Plan (the 2019 Plan), which was approved by the shareholders at the 2018 annual meeting, including annual LTIP performance share units, stock options, and restricted stock units. After the completion of fiscal 2022, the committee</w:t>
      </w:r>
    </w:p>
    <w:p>
      <w:pPr>
        <w:spacing w:after="0" w:line="2" w:lineRule="exact"/>
        <w:rPr>
          <w:sz w:val="20"/>
          <w:szCs w:val="20"/>
          <w:color w:val="auto"/>
        </w:rPr>
      </w:pPr>
    </w:p>
    <w:p>
      <w:pPr>
        <w:ind w:right="40"/>
        <w:spacing w:after="0" w:line="256" w:lineRule="auto"/>
        <w:tabs>
          <w:tab w:leader="none" w:pos="189" w:val="left"/>
        </w:tabs>
        <w:numPr>
          <w:ilvl w:val="0"/>
          <w:numId w:val="22"/>
        </w:numPr>
        <w:rPr>
          <w:rFonts w:ascii="Arial" w:cs="Arial" w:eastAsia="Arial" w:hAnsi="Arial"/>
          <w:sz w:val="16"/>
          <w:szCs w:val="16"/>
          <w:color w:val="0E2A35"/>
        </w:rPr>
      </w:pPr>
      <w:r>
        <w:rPr>
          <w:rFonts w:ascii="Arial" w:cs="Arial" w:eastAsia="Arial" w:hAnsi="Arial"/>
          <w:sz w:val="16"/>
          <w:szCs w:val="16"/>
          <w:color w:val="0E2A35"/>
        </w:rPr>
        <w:t>approved 2022 annual incentive for our NEOs based on achievement of the performance objectives established at the beginning of the year and (ii) certified achievement of performance objectives with respect to the LTIP performance share awards granted to then-current executives in fiscal 2020 that had a performance period running from fiscal 2020-2022.</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Role of the Compensation Consultant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0E2A35"/>
        </w:rPr>
        <w:t>The Human Resources Committee retained Semler Brossy as its independent executive compensation consultant for fiscal 2022.</w:t>
      </w:r>
    </w:p>
    <w:p>
      <w:pPr>
        <w:spacing w:after="0" w:line="18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E2A35"/>
        </w:rPr>
        <w:t>Retained by and reporting directly to the committee, Semler Brossy provided the committee with assistance in evaluating our executive compensation programs and policies, and, where appropriate, assisted with the revision of elements of the programs. Additionally, Semler Brossy performed the following activities to support the committee:</w:t>
      </w:r>
    </w:p>
    <w:p>
      <w:pPr>
        <w:spacing w:after="0" w:line="131" w:lineRule="exact"/>
        <w:rPr>
          <w:sz w:val="20"/>
          <w:szCs w:val="20"/>
          <w:color w:val="auto"/>
        </w:rPr>
      </w:pPr>
    </w:p>
    <w:p>
      <w:pPr>
        <w:ind w:left="720" w:right="240" w:hanging="360"/>
        <w:spacing w:after="0" w:line="286" w:lineRule="auto"/>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annual and long-term incentive designs and assisted with determination of annual and long-term incentive awards, including fiscal 2022 payouts</w:t>
      </w:r>
    </w:p>
    <w:p>
      <w:pPr>
        <w:spacing w:after="0" w:line="128" w:lineRule="exact"/>
        <w:rPr>
          <w:rFonts w:ascii="Arial" w:cs="Arial" w:eastAsia="Arial" w:hAnsi="Arial"/>
          <w:sz w:val="16"/>
          <w:szCs w:val="16"/>
          <w:color w:val="C7D265"/>
        </w:rPr>
      </w:pPr>
    </w:p>
    <w:p>
      <w:pPr>
        <w:ind w:left="720" w:right="320" w:hanging="360"/>
        <w:spacing w:after="0" w:line="286" w:lineRule="auto"/>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the total compensation program, including competitive peer group analysis and analysis of executive pay levels in relation to broader market survey data</w:t>
      </w:r>
    </w:p>
    <w:p>
      <w:pPr>
        <w:spacing w:after="0" w:line="115" w:lineRule="exact"/>
        <w:rPr>
          <w:rFonts w:ascii="Arial" w:cs="Arial" w:eastAsia="Arial" w:hAnsi="Arial"/>
          <w:sz w:val="16"/>
          <w:szCs w:val="16"/>
          <w:color w:val="C7D265"/>
        </w:rPr>
      </w:pPr>
    </w:p>
    <w:p>
      <w:pPr>
        <w:ind w:left="720" w:hanging="360"/>
        <w:spacing w:after="0"/>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information provided to the committee by management</w:t>
      </w:r>
    </w:p>
    <w:p>
      <w:pPr>
        <w:spacing w:after="0" w:line="180" w:lineRule="exact"/>
        <w:rPr>
          <w:rFonts w:ascii="Arial" w:cs="Arial" w:eastAsia="Arial" w:hAnsi="Arial"/>
          <w:sz w:val="16"/>
          <w:szCs w:val="16"/>
          <w:color w:val="C7D265"/>
        </w:rPr>
      </w:pPr>
    </w:p>
    <w:p>
      <w:pPr>
        <w:ind w:left="720" w:right="240" w:hanging="360"/>
        <w:spacing w:after="0" w:line="286" w:lineRule="auto"/>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Developed recommendations with respect to CEO compensation decisions and provided advice to the committee on the compensation decisions affecting all executives, including the NEOs</w:t>
      </w:r>
    </w:p>
    <w:p>
      <w:pPr>
        <w:spacing w:after="0" w:line="128" w:lineRule="exact"/>
        <w:rPr>
          <w:rFonts w:ascii="Arial" w:cs="Arial" w:eastAsia="Arial" w:hAnsi="Arial"/>
          <w:sz w:val="16"/>
          <w:szCs w:val="16"/>
          <w:color w:val="C7D265"/>
        </w:rPr>
      </w:pPr>
    </w:p>
    <w:p>
      <w:pPr>
        <w:ind w:left="720" w:hanging="360"/>
        <w:spacing w:after="0"/>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Attended and participated in committee meetings as requested by the committee</w:t>
      </w:r>
    </w:p>
    <w:p>
      <w:pPr>
        <w:spacing w:after="0" w:line="180" w:lineRule="exact"/>
        <w:rPr>
          <w:rFonts w:ascii="Arial" w:cs="Arial" w:eastAsia="Arial" w:hAnsi="Arial"/>
          <w:sz w:val="16"/>
          <w:szCs w:val="16"/>
          <w:color w:val="C7D265"/>
        </w:rPr>
      </w:pPr>
    </w:p>
    <w:p>
      <w:pPr>
        <w:ind w:left="720" w:right="80" w:hanging="360"/>
        <w:spacing w:after="0" w:line="286" w:lineRule="auto"/>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Reported on compensation trends and best practices, plan design, and the reasonableness of individual compensation awards</w:t>
      </w:r>
    </w:p>
    <w:p>
      <w:pPr>
        <w:spacing w:after="0" w:line="115" w:lineRule="exact"/>
        <w:rPr>
          <w:rFonts w:ascii="Arial" w:cs="Arial" w:eastAsia="Arial" w:hAnsi="Arial"/>
          <w:sz w:val="16"/>
          <w:szCs w:val="16"/>
          <w:color w:val="C7D265"/>
        </w:rPr>
      </w:pPr>
    </w:p>
    <w:p>
      <w:pPr>
        <w:ind w:left="720" w:right="180" w:hanging="360"/>
        <w:spacing w:after="0" w:line="286" w:lineRule="auto"/>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Assisted the committee in reviewing the Board’s compensation annually and assessing its competitiveness relative to market</w:t>
      </w:r>
    </w:p>
    <w:p>
      <w:pPr>
        <w:spacing w:after="0" w:line="128" w:lineRule="exact"/>
        <w:rPr>
          <w:rFonts w:ascii="Arial" w:cs="Arial" w:eastAsia="Arial" w:hAnsi="Arial"/>
          <w:sz w:val="16"/>
          <w:szCs w:val="16"/>
          <w:color w:val="C7D265"/>
        </w:rPr>
      </w:pPr>
    </w:p>
    <w:p>
      <w:pPr>
        <w:ind w:left="720" w:right="160" w:hanging="360"/>
        <w:spacing w:after="0" w:line="286" w:lineRule="auto"/>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Assisted the committee in assessing the extent to which the Company’s compensation policies and practices promote reasonable and appropriate risk-taking behavior by management and avoid excessive risk-taking behavior</w:t>
      </w:r>
    </w:p>
    <w:p>
      <w:pPr>
        <w:spacing w:after="0" w:line="115" w:lineRule="exact"/>
        <w:rPr>
          <w:rFonts w:ascii="Arial" w:cs="Arial" w:eastAsia="Arial" w:hAnsi="Arial"/>
          <w:sz w:val="16"/>
          <w:szCs w:val="16"/>
          <w:color w:val="C7D265"/>
        </w:rPr>
      </w:pPr>
    </w:p>
    <w:p>
      <w:pPr>
        <w:ind w:left="720" w:hanging="360"/>
        <w:spacing w:after="0"/>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Provided a consultant independence and conflicts of interest assessment</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Met with the committee and/or its members without management present</w:t>
      </w:r>
    </w:p>
    <w:p>
      <w:pPr>
        <w:spacing w:after="0" w:line="19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0E2A35"/>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Role of Management</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0E2A35"/>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33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0E2A35"/>
        </w:rPr>
        <w:t>Our human resources department provides additional analysis and guidance as requested by the committee related to NEO compensation, including the following:</w:t>
      </w:r>
    </w:p>
    <w:p>
      <w:pPr>
        <w:spacing w:after="0" w:line="115" w:lineRule="exact"/>
        <w:rPr>
          <w:sz w:val="20"/>
          <w:szCs w:val="20"/>
          <w:color w:val="auto"/>
        </w:rPr>
      </w:pPr>
    </w:p>
    <w:p>
      <w:pPr>
        <w:ind w:left="720" w:right="1020" w:hanging="360"/>
        <w:spacing w:after="0" w:line="286" w:lineRule="auto"/>
        <w:tabs>
          <w:tab w:leader="none" w:pos="72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Developing, summarizing and presenting information and analyses to enable the committee to execute its responsibilities, as well as addressing specific requests for information from the committee</w:t>
      </w:r>
    </w:p>
    <w:p>
      <w:pPr>
        <w:spacing w:after="0" w:line="128" w:lineRule="exact"/>
        <w:rPr>
          <w:rFonts w:ascii="Arial" w:cs="Arial" w:eastAsia="Arial" w:hAnsi="Arial"/>
          <w:sz w:val="16"/>
          <w:szCs w:val="16"/>
          <w:color w:val="C7D265"/>
        </w:rPr>
      </w:pPr>
    </w:p>
    <w:p>
      <w:pPr>
        <w:ind w:left="720" w:right="420" w:hanging="360"/>
        <w:spacing w:after="0" w:line="286" w:lineRule="auto"/>
        <w:tabs>
          <w:tab w:leader="none" w:pos="72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Attending committee meetings as requested to provide information, respond to questions and otherwise assist the committee</w:t>
      </w:r>
    </w:p>
    <w:p>
      <w:pPr>
        <w:spacing w:after="0" w:line="115" w:lineRule="exact"/>
        <w:rPr>
          <w:rFonts w:ascii="Arial" w:cs="Arial" w:eastAsia="Arial" w:hAnsi="Arial"/>
          <w:sz w:val="16"/>
          <w:szCs w:val="16"/>
          <w:color w:val="C7D265"/>
        </w:rPr>
      </w:pPr>
    </w:p>
    <w:p>
      <w:pPr>
        <w:ind w:left="720" w:right="180" w:hanging="360"/>
        <w:spacing w:after="0" w:line="286" w:lineRule="auto"/>
        <w:tabs>
          <w:tab w:leader="none" w:pos="72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Assisting the CEO in making preliminary recommendations of base salary structure, annual and LTIP program design and target award levels for the NEOs and other employees eligible to receive annual incentive awards.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Pay Positioning and Compensation Peers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0E2A35"/>
        </w:rPr>
        <w:t>When setting fiscal 2022 compensation, the Human Resources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w:t>
      </w:r>
    </w:p>
    <w:p>
      <w:pPr>
        <w:spacing w:after="0" w:line="137"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0E2A35"/>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0E2A35"/>
        </w:rPr>
        <w:t>In setting compensation, the committee compares base salaries, annual incentive opportunities and long-term compensation for the NEOs to a peer group of similarly sized companies (which we refer to collectively as our compensation peers). For fiscal 2022, the committee used the following set of companies that were determined to have similarly sized revenues and market values.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2180" w:type="dxa"/>
            <w:vAlign w:val="bottom"/>
            <w:shd w:val="clear" w:color="auto" w:fill="0E2A35"/>
          </w:tcPr>
          <w:p>
            <w:pPr>
              <w:spacing w:after="0"/>
              <w:rPr>
                <w:sz w:val="22"/>
                <w:szCs w:val="22"/>
                <w:color w:val="auto"/>
              </w:rPr>
            </w:pPr>
          </w:p>
        </w:tc>
        <w:tc>
          <w:tcPr>
            <w:tcW w:w="2540" w:type="dxa"/>
            <w:vAlign w:val="bottom"/>
            <w:shd w:val="clear" w:color="auto" w:fill="0E2A35"/>
          </w:tcPr>
          <w:p>
            <w:pPr>
              <w:ind w:left="1280"/>
              <w:spacing w:after="0"/>
              <w:rPr>
                <w:sz w:val="20"/>
                <w:szCs w:val="20"/>
                <w:color w:val="auto"/>
              </w:rPr>
            </w:pPr>
            <w:r>
              <w:rPr>
                <w:rFonts w:ascii="Arial" w:cs="Arial" w:eastAsia="Arial" w:hAnsi="Arial"/>
                <w:sz w:val="13"/>
                <w:szCs w:val="13"/>
                <w:b w:val="1"/>
                <w:bCs w:val="1"/>
                <w:color w:val="FFFFFF"/>
                <w:w w:val="95"/>
              </w:rPr>
              <w:t>Compensation Peers</w:t>
            </w:r>
          </w:p>
        </w:tc>
        <w:tc>
          <w:tcPr>
            <w:tcW w:w="4000" w:type="dxa"/>
            <w:vAlign w:val="bottom"/>
            <w:shd w:val="clear" w:color="auto" w:fill="0E2A35"/>
          </w:tcPr>
          <w:p>
            <w:pPr>
              <w:spacing w:after="0"/>
              <w:rPr>
                <w:sz w:val="22"/>
                <w:szCs w:val="22"/>
                <w:color w:val="auto"/>
              </w:rPr>
            </w:pPr>
          </w:p>
        </w:tc>
      </w:tr>
      <w:tr>
        <w:trPr>
          <w:trHeight w:val="89"/>
        </w:trPr>
        <w:tc>
          <w:tcPr>
            <w:tcW w:w="2740" w:type="dxa"/>
            <w:vAlign w:val="bottom"/>
            <w:gridSpan w:val="3"/>
            <w:shd w:val="clear" w:color="auto" w:fill="0E2A35"/>
          </w:tcPr>
          <w:p>
            <w:pPr>
              <w:spacing w:after="0"/>
              <w:rPr>
                <w:sz w:val="7"/>
                <w:szCs w:val="7"/>
                <w:color w:val="auto"/>
              </w:rPr>
            </w:pPr>
          </w:p>
        </w:tc>
        <w:tc>
          <w:tcPr>
            <w:tcW w:w="6540" w:type="dxa"/>
            <w:vAlign w:val="bottom"/>
            <w:gridSpan w:val="2"/>
            <w:shd w:val="clear" w:color="auto" w:fill="0E2A35"/>
          </w:tcPr>
          <w:p>
            <w:pPr>
              <w:spacing w:after="0"/>
              <w:rPr>
                <w:sz w:val="7"/>
                <w:szCs w:val="7"/>
                <w:color w:val="auto"/>
              </w:rPr>
            </w:pPr>
          </w:p>
        </w:tc>
      </w:tr>
      <w:tr>
        <w:trPr>
          <w:trHeight w:val="289"/>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Altra Industrial Motion</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Oshkosh</w:t>
            </w:r>
          </w:p>
        </w:tc>
      </w:tr>
      <w:tr>
        <w:trPr>
          <w:trHeight w:val="89"/>
        </w:trPr>
        <w:tc>
          <w:tcPr>
            <w:tcW w:w="2740" w:type="dxa"/>
            <w:vAlign w:val="bottom"/>
            <w:tcBorders>
              <w:bottom w:val="single" w:sz="8" w:color="0E2A35"/>
            </w:tcBorders>
            <w:gridSpan w:val="3"/>
          </w:tcPr>
          <w:p>
            <w:pPr>
              <w:spacing w:after="0"/>
              <w:rPr>
                <w:sz w:val="7"/>
                <w:szCs w:val="7"/>
                <w:color w:val="auto"/>
              </w:rPr>
            </w:pPr>
          </w:p>
        </w:tc>
        <w:tc>
          <w:tcPr>
            <w:tcW w:w="6540" w:type="dxa"/>
            <w:vAlign w:val="bottom"/>
            <w:tcBorders>
              <w:bottom w:val="single" w:sz="8" w:color="0E2A35"/>
            </w:tcBorders>
            <w:gridSpan w:val="2"/>
          </w:tcPr>
          <w:p>
            <w:pPr>
              <w:spacing w:after="0"/>
              <w:rPr>
                <w:sz w:val="7"/>
                <w:szCs w:val="7"/>
                <w:color w:val="auto"/>
              </w:rPr>
            </w:pPr>
          </w:p>
        </w:tc>
      </w:tr>
      <w:tr>
        <w:trPr>
          <w:trHeight w:val="282"/>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Brunswick</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Patrick Industries</w:t>
            </w:r>
          </w:p>
        </w:tc>
      </w:tr>
      <w:tr>
        <w:trPr>
          <w:trHeight w:val="89"/>
        </w:trPr>
        <w:tc>
          <w:tcPr>
            <w:tcW w:w="2740" w:type="dxa"/>
            <w:vAlign w:val="bottom"/>
            <w:tcBorders>
              <w:bottom w:val="single" w:sz="8" w:color="0E2A35"/>
            </w:tcBorders>
            <w:gridSpan w:val="3"/>
          </w:tcPr>
          <w:p>
            <w:pPr>
              <w:spacing w:after="0"/>
              <w:rPr>
                <w:sz w:val="7"/>
                <w:szCs w:val="7"/>
                <w:color w:val="auto"/>
              </w:rPr>
            </w:pPr>
          </w:p>
        </w:tc>
        <w:tc>
          <w:tcPr>
            <w:tcW w:w="2540" w:type="dxa"/>
            <w:vAlign w:val="bottom"/>
            <w:tcBorders>
              <w:bottom w:val="single" w:sz="8" w:color="0E2A35"/>
            </w:tcBorders>
          </w:tcPr>
          <w:p>
            <w:pPr>
              <w:spacing w:after="0"/>
              <w:rPr>
                <w:sz w:val="7"/>
                <w:szCs w:val="7"/>
                <w:color w:val="auto"/>
              </w:rPr>
            </w:pPr>
          </w:p>
        </w:tc>
        <w:tc>
          <w:tcPr>
            <w:tcW w:w="4000" w:type="dxa"/>
            <w:vAlign w:val="bottom"/>
            <w:tcBorders>
              <w:bottom w:val="single" w:sz="8" w:color="0E2A35"/>
            </w:tcBorders>
          </w:tcPr>
          <w:p>
            <w:pPr>
              <w:spacing w:after="0"/>
              <w:rPr>
                <w:sz w:val="7"/>
                <w:szCs w:val="7"/>
                <w:color w:val="auto"/>
              </w:rPr>
            </w:pPr>
          </w:p>
        </w:tc>
      </w:tr>
      <w:tr>
        <w:trPr>
          <w:trHeight w:val="283"/>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Cooper-Standard</w:t>
            </w:r>
          </w:p>
        </w:tc>
        <w:tc>
          <w:tcPr>
            <w:tcW w:w="2540" w:type="dxa"/>
            <w:vAlign w:val="bottom"/>
          </w:tcPr>
          <w:p>
            <w:pPr>
              <w:ind w:left="1980"/>
              <w:spacing w:after="0"/>
              <w:rPr>
                <w:sz w:val="20"/>
                <w:szCs w:val="20"/>
                <w:color w:val="auto"/>
              </w:rPr>
            </w:pPr>
            <w:r>
              <w:rPr>
                <w:rFonts w:ascii="Arial" w:cs="Arial" w:eastAsia="Arial" w:hAnsi="Arial"/>
                <w:sz w:val="14"/>
                <w:szCs w:val="14"/>
                <w:color w:val="0E2A35"/>
              </w:rPr>
              <w:t>Polaris</w:t>
            </w:r>
          </w:p>
        </w:tc>
        <w:tc>
          <w:tcPr>
            <w:tcW w:w="4000" w:type="dxa"/>
            <w:vAlign w:val="bottom"/>
          </w:tcPr>
          <w:p>
            <w:pPr>
              <w:spacing w:after="0"/>
              <w:rPr>
                <w:sz w:val="24"/>
                <w:szCs w:val="24"/>
                <w:color w:val="auto"/>
              </w:rPr>
            </w:pPr>
          </w:p>
        </w:tc>
      </w:tr>
      <w:tr>
        <w:trPr>
          <w:trHeight w:val="89"/>
        </w:trPr>
        <w:tc>
          <w:tcPr>
            <w:tcW w:w="2740" w:type="dxa"/>
            <w:vAlign w:val="bottom"/>
            <w:tcBorders>
              <w:bottom w:val="single" w:sz="8" w:color="0E2A35"/>
            </w:tcBorders>
            <w:gridSpan w:val="3"/>
          </w:tcPr>
          <w:p>
            <w:pPr>
              <w:spacing w:after="0"/>
              <w:rPr>
                <w:sz w:val="7"/>
                <w:szCs w:val="7"/>
                <w:color w:val="auto"/>
              </w:rPr>
            </w:pPr>
          </w:p>
        </w:tc>
        <w:tc>
          <w:tcPr>
            <w:tcW w:w="6540" w:type="dxa"/>
            <w:vAlign w:val="bottom"/>
            <w:tcBorders>
              <w:bottom w:val="single" w:sz="8" w:color="0E2A35"/>
            </w:tcBorders>
            <w:gridSpan w:val="2"/>
          </w:tcPr>
          <w:p>
            <w:pPr>
              <w:spacing w:after="0"/>
              <w:rPr>
                <w:sz w:val="7"/>
                <w:szCs w:val="7"/>
                <w:color w:val="auto"/>
              </w:rPr>
            </w:pPr>
          </w:p>
        </w:tc>
      </w:tr>
      <w:tr>
        <w:trPr>
          <w:trHeight w:val="283"/>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Donaldson Company</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REV Group</w:t>
            </w:r>
          </w:p>
        </w:tc>
      </w:tr>
      <w:tr>
        <w:trPr>
          <w:trHeight w:val="89"/>
        </w:trPr>
        <w:tc>
          <w:tcPr>
            <w:tcW w:w="560" w:type="dxa"/>
            <w:vAlign w:val="bottom"/>
            <w:tcBorders>
              <w:bottom w:val="single" w:sz="8" w:color="0E2A35"/>
            </w:tcBorders>
            <w:gridSpan w:val="2"/>
          </w:tcPr>
          <w:p>
            <w:pPr>
              <w:spacing w:after="0"/>
              <w:rPr>
                <w:sz w:val="7"/>
                <w:szCs w:val="7"/>
                <w:color w:val="auto"/>
              </w:rPr>
            </w:pPr>
          </w:p>
        </w:tc>
        <w:tc>
          <w:tcPr>
            <w:tcW w:w="2180" w:type="dxa"/>
            <w:vAlign w:val="bottom"/>
            <w:tcBorders>
              <w:bottom w:val="single" w:sz="8" w:color="0E2A35"/>
            </w:tcBorders>
          </w:tcPr>
          <w:p>
            <w:pPr>
              <w:spacing w:after="0"/>
              <w:rPr>
                <w:sz w:val="7"/>
                <w:szCs w:val="7"/>
                <w:color w:val="auto"/>
              </w:rPr>
            </w:pPr>
          </w:p>
        </w:tc>
        <w:tc>
          <w:tcPr>
            <w:tcW w:w="6540" w:type="dxa"/>
            <w:vAlign w:val="bottom"/>
            <w:tcBorders>
              <w:bottom w:val="single" w:sz="8" w:color="0E2A35"/>
            </w:tcBorders>
            <w:gridSpan w:val="2"/>
          </w:tcPr>
          <w:p>
            <w:pPr>
              <w:spacing w:after="0"/>
              <w:rPr>
                <w:sz w:val="7"/>
                <w:szCs w:val="7"/>
                <w:color w:val="auto"/>
              </w:rPr>
            </w:pPr>
          </w:p>
        </w:tc>
      </w:tr>
      <w:tr>
        <w:trPr>
          <w:trHeight w:val="282"/>
        </w:trPr>
        <w:tc>
          <w:tcPr>
            <w:tcW w:w="560" w:type="dxa"/>
            <w:vAlign w:val="bottom"/>
            <w:gridSpan w:val="2"/>
          </w:tcPr>
          <w:p>
            <w:pPr>
              <w:ind w:left="60"/>
              <w:spacing w:after="0"/>
              <w:rPr>
                <w:sz w:val="20"/>
                <w:szCs w:val="20"/>
                <w:color w:val="auto"/>
              </w:rPr>
            </w:pPr>
            <w:r>
              <w:rPr>
                <w:rFonts w:ascii="Arial" w:cs="Arial" w:eastAsia="Arial" w:hAnsi="Arial"/>
                <w:sz w:val="14"/>
                <w:szCs w:val="14"/>
                <w:color w:val="0E2A35"/>
              </w:rPr>
              <w:t>Federal​</w:t>
            </w:r>
          </w:p>
        </w:tc>
        <w:tc>
          <w:tcPr>
            <w:tcW w:w="2180" w:type="dxa"/>
            <w:vAlign w:val="bottom"/>
          </w:tcPr>
          <w:p>
            <w:pPr>
              <w:jc w:val="center"/>
              <w:ind w:right="1668"/>
              <w:spacing w:after="0"/>
              <w:rPr>
                <w:sz w:val="20"/>
                <w:szCs w:val="20"/>
                <w:color w:val="auto"/>
              </w:rPr>
            </w:pPr>
            <w:r>
              <w:rPr>
                <w:rFonts w:ascii="Arial" w:cs="Arial" w:eastAsia="Arial" w:hAnsi="Arial"/>
                <w:sz w:val="14"/>
                <w:szCs w:val="14"/>
                <w:color w:val="0E2A35"/>
              </w:rPr>
              <w:t>Signal</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Standard Motor Products</w:t>
            </w:r>
          </w:p>
        </w:tc>
      </w:tr>
      <w:tr>
        <w:trPr>
          <w:trHeight w:val="89"/>
        </w:trPr>
        <w:tc>
          <w:tcPr>
            <w:tcW w:w="460" w:type="dxa"/>
            <w:vAlign w:val="bottom"/>
            <w:tcBorders>
              <w:bottom w:val="single" w:sz="8" w:color="0E2A35"/>
            </w:tcBorders>
          </w:tcPr>
          <w:p>
            <w:pPr>
              <w:spacing w:after="0"/>
              <w:rPr>
                <w:sz w:val="7"/>
                <w:szCs w:val="7"/>
                <w:color w:val="auto"/>
              </w:rPr>
            </w:pPr>
          </w:p>
        </w:tc>
        <w:tc>
          <w:tcPr>
            <w:tcW w:w="2280" w:type="dxa"/>
            <w:vAlign w:val="bottom"/>
            <w:tcBorders>
              <w:bottom w:val="single" w:sz="8" w:color="0E2A35"/>
            </w:tcBorders>
            <w:gridSpan w:val="2"/>
          </w:tcPr>
          <w:p>
            <w:pPr>
              <w:spacing w:after="0"/>
              <w:rPr>
                <w:sz w:val="7"/>
                <w:szCs w:val="7"/>
                <w:color w:val="auto"/>
              </w:rPr>
            </w:pPr>
          </w:p>
        </w:tc>
        <w:tc>
          <w:tcPr>
            <w:tcW w:w="6540" w:type="dxa"/>
            <w:vAlign w:val="bottom"/>
            <w:tcBorders>
              <w:bottom w:val="single" w:sz="8" w:color="0E2A35"/>
            </w:tcBorders>
            <w:gridSpan w:val="2"/>
          </w:tcPr>
          <w:p>
            <w:pPr>
              <w:spacing w:after="0"/>
              <w:rPr>
                <w:sz w:val="7"/>
                <w:szCs w:val="7"/>
                <w:color w:val="auto"/>
              </w:rPr>
            </w:pPr>
          </w:p>
        </w:tc>
      </w:tr>
      <w:tr>
        <w:trPr>
          <w:trHeight w:val="283"/>
        </w:trPr>
        <w:tc>
          <w:tcPr>
            <w:tcW w:w="460" w:type="dxa"/>
            <w:vAlign w:val="bottom"/>
          </w:tcPr>
          <w:p>
            <w:pPr>
              <w:ind w:left="60"/>
              <w:spacing w:after="0"/>
              <w:rPr>
                <w:sz w:val="20"/>
                <w:szCs w:val="20"/>
                <w:color w:val="auto"/>
              </w:rPr>
            </w:pPr>
            <w:r>
              <w:rPr>
                <w:rFonts w:ascii="Arial" w:cs="Arial" w:eastAsia="Arial" w:hAnsi="Arial"/>
                <w:sz w:val="14"/>
                <w:szCs w:val="14"/>
                <w:color w:val="0E2A35"/>
                <w:w w:val="93"/>
              </w:rPr>
              <w:t>Harley​</w:t>
            </w:r>
          </w:p>
        </w:tc>
        <w:tc>
          <w:tcPr>
            <w:tcW w:w="2280" w:type="dxa"/>
            <w:vAlign w:val="bottom"/>
            <w:gridSpan w:val="2"/>
          </w:tcPr>
          <w:p>
            <w:pPr>
              <w:jc w:val="center"/>
              <w:ind w:right="1548"/>
              <w:spacing w:after="0"/>
              <w:rPr>
                <w:sz w:val="20"/>
                <w:szCs w:val="20"/>
                <w:color w:val="auto"/>
              </w:rPr>
            </w:pPr>
            <w:r>
              <w:rPr>
                <w:rFonts w:ascii="Arial" w:cs="Arial" w:eastAsia="Arial" w:hAnsi="Arial"/>
                <w:sz w:val="14"/>
                <w:szCs w:val="14"/>
                <w:color w:val="0E2A35"/>
              </w:rPr>
              <w:t>-Davidson</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Tennant Company</w:t>
            </w:r>
          </w:p>
        </w:tc>
      </w:tr>
      <w:tr>
        <w:trPr>
          <w:trHeight w:val="89"/>
        </w:trPr>
        <w:tc>
          <w:tcPr>
            <w:tcW w:w="2740" w:type="dxa"/>
            <w:vAlign w:val="bottom"/>
            <w:tcBorders>
              <w:bottom w:val="single" w:sz="8" w:color="0E2A35"/>
            </w:tcBorders>
            <w:gridSpan w:val="3"/>
          </w:tcPr>
          <w:p>
            <w:pPr>
              <w:spacing w:after="0"/>
              <w:rPr>
                <w:sz w:val="7"/>
                <w:szCs w:val="7"/>
                <w:color w:val="auto"/>
              </w:rPr>
            </w:pPr>
          </w:p>
        </w:tc>
        <w:tc>
          <w:tcPr>
            <w:tcW w:w="6540" w:type="dxa"/>
            <w:vAlign w:val="bottom"/>
            <w:tcBorders>
              <w:bottom w:val="single" w:sz="8" w:color="0E2A35"/>
            </w:tcBorders>
            <w:gridSpan w:val="2"/>
          </w:tcPr>
          <w:p>
            <w:pPr>
              <w:spacing w:after="0"/>
              <w:rPr>
                <w:sz w:val="7"/>
                <w:szCs w:val="7"/>
                <w:color w:val="auto"/>
              </w:rPr>
            </w:pPr>
          </w:p>
        </w:tc>
      </w:tr>
      <w:tr>
        <w:trPr>
          <w:trHeight w:val="282"/>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Hyster-Yale</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The Timken Company</w:t>
            </w:r>
          </w:p>
        </w:tc>
      </w:tr>
      <w:tr>
        <w:trPr>
          <w:trHeight w:val="89"/>
        </w:trPr>
        <w:tc>
          <w:tcPr>
            <w:tcW w:w="2740" w:type="dxa"/>
            <w:vAlign w:val="bottom"/>
            <w:tcBorders>
              <w:bottom w:val="single" w:sz="8" w:color="0E2A35"/>
            </w:tcBorders>
            <w:gridSpan w:val="3"/>
          </w:tcPr>
          <w:p>
            <w:pPr>
              <w:spacing w:after="0"/>
              <w:rPr>
                <w:sz w:val="7"/>
                <w:szCs w:val="7"/>
                <w:color w:val="auto"/>
              </w:rPr>
            </w:pPr>
          </w:p>
        </w:tc>
        <w:tc>
          <w:tcPr>
            <w:tcW w:w="6540" w:type="dxa"/>
            <w:vAlign w:val="bottom"/>
            <w:tcBorders>
              <w:bottom w:val="single" w:sz="8" w:color="0E2A35"/>
            </w:tcBorders>
            <w:gridSpan w:val="2"/>
          </w:tcPr>
          <w:p>
            <w:pPr>
              <w:spacing w:after="0"/>
              <w:rPr>
                <w:sz w:val="7"/>
                <w:szCs w:val="7"/>
                <w:color w:val="auto"/>
              </w:rPr>
            </w:pPr>
          </w:p>
        </w:tc>
      </w:tr>
      <w:tr>
        <w:trPr>
          <w:trHeight w:val="283"/>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LCI Industries</w:t>
            </w:r>
          </w:p>
        </w:tc>
        <w:tc>
          <w:tcPr>
            <w:tcW w:w="6540" w:type="dxa"/>
            <w:vAlign w:val="bottom"/>
            <w:gridSpan w:val="2"/>
          </w:tcPr>
          <w:p>
            <w:pPr>
              <w:ind w:left="1980"/>
              <w:spacing w:after="0"/>
              <w:rPr>
                <w:sz w:val="20"/>
                <w:szCs w:val="20"/>
                <w:color w:val="auto"/>
              </w:rPr>
            </w:pPr>
            <w:r>
              <w:rPr>
                <w:rFonts w:ascii="Arial" w:cs="Arial" w:eastAsia="Arial" w:hAnsi="Arial"/>
                <w:sz w:val="14"/>
                <w:szCs w:val="14"/>
                <w:color w:val="0E2A35"/>
              </w:rPr>
              <w:t>The​ Toro Company</w:t>
            </w:r>
          </w:p>
        </w:tc>
      </w:tr>
      <w:tr>
        <w:trPr>
          <w:trHeight w:val="89"/>
        </w:trPr>
        <w:tc>
          <w:tcPr>
            <w:tcW w:w="2740" w:type="dxa"/>
            <w:vAlign w:val="bottom"/>
            <w:tcBorders>
              <w:bottom w:val="single" w:sz="8" w:color="0E2A35"/>
            </w:tcBorders>
            <w:gridSpan w:val="3"/>
          </w:tcPr>
          <w:p>
            <w:pPr>
              <w:spacing w:after="0"/>
              <w:rPr>
                <w:sz w:val="7"/>
                <w:szCs w:val="7"/>
                <w:color w:val="auto"/>
              </w:rPr>
            </w:pPr>
          </w:p>
        </w:tc>
        <w:tc>
          <w:tcPr>
            <w:tcW w:w="2540" w:type="dxa"/>
            <w:vAlign w:val="bottom"/>
            <w:tcBorders>
              <w:bottom w:val="single" w:sz="8" w:color="0E2A35"/>
            </w:tcBorders>
          </w:tcPr>
          <w:p>
            <w:pPr>
              <w:spacing w:after="0"/>
              <w:rPr>
                <w:sz w:val="7"/>
                <w:szCs w:val="7"/>
                <w:color w:val="auto"/>
              </w:rPr>
            </w:pPr>
          </w:p>
        </w:tc>
        <w:tc>
          <w:tcPr>
            <w:tcW w:w="4000" w:type="dxa"/>
            <w:vAlign w:val="bottom"/>
            <w:tcBorders>
              <w:bottom w:val="single" w:sz="8" w:color="0E2A35"/>
            </w:tcBorders>
          </w:tcPr>
          <w:p>
            <w:pPr>
              <w:spacing w:after="0"/>
              <w:rPr>
                <w:sz w:val="7"/>
                <w:szCs w:val="7"/>
                <w:color w:val="auto"/>
              </w:rPr>
            </w:pPr>
          </w:p>
        </w:tc>
      </w:tr>
      <w:tr>
        <w:trPr>
          <w:trHeight w:val="282"/>
        </w:trPr>
        <w:tc>
          <w:tcPr>
            <w:tcW w:w="2740" w:type="dxa"/>
            <w:vAlign w:val="bottom"/>
            <w:gridSpan w:val="3"/>
          </w:tcPr>
          <w:p>
            <w:pPr>
              <w:ind w:left="60"/>
              <w:spacing w:after="0"/>
              <w:rPr>
                <w:sz w:val="20"/>
                <w:szCs w:val="20"/>
                <w:color w:val="auto"/>
              </w:rPr>
            </w:pPr>
            <w:r>
              <w:rPr>
                <w:rFonts w:ascii="Arial" w:cs="Arial" w:eastAsia="Arial" w:hAnsi="Arial"/>
                <w:sz w:val="14"/>
                <w:szCs w:val="14"/>
                <w:color w:val="0E2A35"/>
              </w:rPr>
              <w:t>Malibu Boats</w:t>
            </w:r>
          </w:p>
        </w:tc>
        <w:tc>
          <w:tcPr>
            <w:tcW w:w="2540" w:type="dxa"/>
            <w:vAlign w:val="bottom"/>
          </w:tcPr>
          <w:p>
            <w:pPr>
              <w:ind w:left="1980"/>
              <w:spacing w:after="0"/>
              <w:rPr>
                <w:sz w:val="20"/>
                <w:szCs w:val="20"/>
                <w:color w:val="auto"/>
              </w:rPr>
            </w:pPr>
            <w:r>
              <w:rPr>
                <w:rFonts w:ascii="Arial" w:cs="Arial" w:eastAsia="Arial" w:hAnsi="Arial"/>
                <w:sz w:val="14"/>
                <w:szCs w:val="14"/>
                <w:color w:val="0E2A35"/>
              </w:rPr>
              <w:t>Wabash​</w:t>
            </w:r>
          </w:p>
        </w:tc>
        <w:tc>
          <w:tcPr>
            <w:tcW w:w="4000" w:type="dxa"/>
            <w:vAlign w:val="bottom"/>
          </w:tcPr>
          <w:p>
            <w:pPr>
              <w:spacing w:after="0"/>
              <w:rPr>
                <w:sz w:val="20"/>
                <w:szCs w:val="20"/>
                <w:color w:val="auto"/>
              </w:rPr>
            </w:pPr>
            <w:r>
              <w:rPr>
                <w:rFonts w:ascii="Arial" w:cs="Arial" w:eastAsia="Arial" w:hAnsi="Arial"/>
                <w:sz w:val="14"/>
                <w:szCs w:val="14"/>
                <w:color w:val="0E2A35"/>
              </w:rPr>
              <w:t>National</w:t>
            </w:r>
          </w:p>
        </w:tc>
      </w:tr>
      <w:tr>
        <w:trPr>
          <w:trHeight w:val="89"/>
        </w:trPr>
        <w:tc>
          <w:tcPr>
            <w:tcW w:w="560" w:type="dxa"/>
            <w:vAlign w:val="bottom"/>
            <w:tcBorders>
              <w:bottom w:val="single" w:sz="8" w:color="0E2A35"/>
            </w:tcBorders>
            <w:gridSpan w:val="2"/>
          </w:tcPr>
          <w:p>
            <w:pPr>
              <w:spacing w:after="0"/>
              <w:rPr>
                <w:sz w:val="7"/>
                <w:szCs w:val="7"/>
                <w:color w:val="auto"/>
              </w:rPr>
            </w:pPr>
          </w:p>
        </w:tc>
        <w:tc>
          <w:tcPr>
            <w:tcW w:w="2180" w:type="dxa"/>
            <w:vAlign w:val="bottom"/>
            <w:tcBorders>
              <w:bottom w:val="single" w:sz="8" w:color="0E2A35"/>
            </w:tcBorders>
          </w:tcPr>
          <w:p>
            <w:pPr>
              <w:spacing w:after="0"/>
              <w:rPr>
                <w:sz w:val="7"/>
                <w:szCs w:val="7"/>
                <w:color w:val="auto"/>
              </w:rPr>
            </w:pPr>
          </w:p>
        </w:tc>
        <w:tc>
          <w:tcPr>
            <w:tcW w:w="2540" w:type="dxa"/>
            <w:vAlign w:val="bottom"/>
            <w:tcBorders>
              <w:bottom w:val="single" w:sz="8" w:color="0E2A35"/>
            </w:tcBorders>
          </w:tcPr>
          <w:p>
            <w:pPr>
              <w:spacing w:after="0"/>
              <w:rPr>
                <w:sz w:val="7"/>
                <w:szCs w:val="7"/>
                <w:color w:val="auto"/>
              </w:rPr>
            </w:pPr>
          </w:p>
        </w:tc>
        <w:tc>
          <w:tcPr>
            <w:tcW w:w="4000" w:type="dxa"/>
            <w:vAlign w:val="bottom"/>
            <w:tcBorders>
              <w:bottom w:val="single" w:sz="8" w:color="0E2A35"/>
            </w:tcBorders>
          </w:tcPr>
          <w:p>
            <w:pPr>
              <w:spacing w:after="0"/>
              <w:rPr>
                <w:sz w:val="7"/>
                <w:szCs w:val="7"/>
                <w:color w:val="auto"/>
              </w:rPr>
            </w:pPr>
          </w:p>
        </w:tc>
      </w:tr>
      <w:tr>
        <w:trPr>
          <w:trHeight w:val="283"/>
        </w:trPr>
        <w:tc>
          <w:tcPr>
            <w:tcW w:w="560" w:type="dxa"/>
            <w:vAlign w:val="bottom"/>
            <w:gridSpan w:val="2"/>
          </w:tcPr>
          <w:p>
            <w:pPr>
              <w:ind w:left="60"/>
              <w:spacing w:after="0"/>
              <w:rPr>
                <w:sz w:val="20"/>
                <w:szCs w:val="20"/>
                <w:color w:val="auto"/>
              </w:rPr>
            </w:pPr>
            <w:r>
              <w:rPr>
                <w:rFonts w:ascii="Arial" w:cs="Arial" w:eastAsia="Arial" w:hAnsi="Arial"/>
                <w:sz w:val="14"/>
                <w:szCs w:val="14"/>
                <w:color w:val="0E2A35"/>
              </w:rPr>
              <w:t>Meritor</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9"/>
        </w:trPr>
        <w:tc>
          <w:tcPr>
            <w:tcW w:w="460" w:type="dxa"/>
            <w:vAlign w:val="bottom"/>
            <w:tcBorders>
              <w:bottom w:val="single" w:sz="8" w:color="0E2A35"/>
            </w:tcBorders>
          </w:tcPr>
          <w:p>
            <w:pPr>
              <w:spacing w:after="0"/>
              <w:rPr>
                <w:sz w:val="7"/>
                <w:szCs w:val="7"/>
                <w:color w:val="auto"/>
              </w:rPr>
            </w:pPr>
          </w:p>
        </w:tc>
        <w:tc>
          <w:tcPr>
            <w:tcW w:w="100" w:type="dxa"/>
            <w:vAlign w:val="bottom"/>
            <w:tcBorders>
              <w:bottom w:val="single" w:sz="8" w:color="0E2A35"/>
            </w:tcBorders>
          </w:tcPr>
          <w:p>
            <w:pPr>
              <w:spacing w:after="0"/>
              <w:rPr>
                <w:sz w:val="7"/>
                <w:szCs w:val="7"/>
                <w:color w:val="auto"/>
              </w:rPr>
            </w:pPr>
          </w:p>
        </w:tc>
        <w:tc>
          <w:tcPr>
            <w:tcW w:w="2180" w:type="dxa"/>
            <w:vAlign w:val="bottom"/>
            <w:tcBorders>
              <w:bottom w:val="single" w:sz="8" w:color="0E2A35"/>
            </w:tcBorders>
          </w:tcPr>
          <w:p>
            <w:pPr>
              <w:spacing w:after="0"/>
              <w:rPr>
                <w:sz w:val="7"/>
                <w:szCs w:val="7"/>
                <w:color w:val="auto"/>
              </w:rPr>
            </w:pPr>
          </w:p>
        </w:tc>
        <w:tc>
          <w:tcPr>
            <w:tcW w:w="2540" w:type="dxa"/>
            <w:vAlign w:val="bottom"/>
            <w:tcBorders>
              <w:bottom w:val="single" w:sz="8" w:color="0E2A35"/>
            </w:tcBorders>
          </w:tcPr>
          <w:p>
            <w:pPr>
              <w:spacing w:after="0"/>
              <w:rPr>
                <w:sz w:val="7"/>
                <w:szCs w:val="7"/>
                <w:color w:val="auto"/>
              </w:rPr>
            </w:pPr>
          </w:p>
        </w:tc>
        <w:tc>
          <w:tcPr>
            <w:tcW w:w="4000" w:type="dxa"/>
            <w:vAlign w:val="bottom"/>
            <w:tcBorders>
              <w:bottom w:val="single" w:sz="8" w:color="0E2A35"/>
            </w:tcBorders>
          </w:tcPr>
          <w:p>
            <w:pPr>
              <w:spacing w:after="0"/>
              <w:rPr>
                <w:sz w:val="7"/>
                <w:szCs w:val="7"/>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0E2A35"/>
        </w:rPr>
        <w:t>Based on a review conducted by Semler Brossy, the committee made the following changes to the peer group for setting compensation levels for fiscal 2023 with the intent to better reflect our current business dynamics: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2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Removed (5 companies)</w:t>
            </w:r>
          </w:p>
        </w:tc>
        <w:tc>
          <w:tcPr>
            <w:tcW w:w="6160" w:type="dxa"/>
            <w:vAlign w:val="bottom"/>
            <w:shd w:val="clear" w:color="auto" w:fill="0E2A35"/>
          </w:tcPr>
          <w:p>
            <w:pPr>
              <w:ind w:left="1600"/>
              <w:spacing w:after="0"/>
              <w:rPr>
                <w:sz w:val="20"/>
                <w:szCs w:val="20"/>
                <w:color w:val="auto"/>
              </w:rPr>
            </w:pPr>
            <w:r>
              <w:rPr>
                <w:rFonts w:ascii="Arial" w:cs="Arial" w:eastAsia="Arial" w:hAnsi="Arial"/>
                <w:sz w:val="13"/>
                <w:szCs w:val="13"/>
                <w:b w:val="1"/>
                <w:bCs w:val="1"/>
                <w:color w:val="FFFFFF"/>
              </w:rPr>
              <w:t>Added (3 companies)</w:t>
            </w:r>
          </w:p>
        </w:tc>
      </w:tr>
      <w:tr>
        <w:trPr>
          <w:trHeight w:val="89"/>
        </w:trPr>
        <w:tc>
          <w:tcPr>
            <w:tcW w:w="3120" w:type="dxa"/>
            <w:vAlign w:val="bottom"/>
            <w:shd w:val="clear" w:color="auto" w:fill="0E2A35"/>
          </w:tcPr>
          <w:p>
            <w:pPr>
              <w:spacing w:after="0"/>
              <w:rPr>
                <w:sz w:val="7"/>
                <w:szCs w:val="7"/>
                <w:color w:val="auto"/>
              </w:rPr>
            </w:pPr>
          </w:p>
        </w:tc>
        <w:tc>
          <w:tcPr>
            <w:tcW w:w="6160" w:type="dxa"/>
            <w:vAlign w:val="bottom"/>
            <w:shd w:val="clear" w:color="auto" w:fill="0E2A35"/>
          </w:tcPr>
          <w:p>
            <w:pPr>
              <w:spacing w:after="0"/>
              <w:rPr>
                <w:sz w:val="7"/>
                <w:szCs w:val="7"/>
                <w:color w:val="auto"/>
              </w:rPr>
            </w:pPr>
          </w:p>
        </w:tc>
      </w:tr>
      <w:tr>
        <w:trPr>
          <w:trHeight w:val="289"/>
        </w:trPr>
        <w:tc>
          <w:tcPr>
            <w:tcW w:w="3120" w:type="dxa"/>
            <w:vAlign w:val="bottom"/>
          </w:tcPr>
          <w:p>
            <w:pPr>
              <w:ind w:left="60"/>
              <w:spacing w:after="0"/>
              <w:rPr>
                <w:sz w:val="20"/>
                <w:szCs w:val="20"/>
                <w:color w:val="auto"/>
              </w:rPr>
            </w:pPr>
            <w:r>
              <w:rPr>
                <w:rFonts w:ascii="Arial" w:cs="Arial" w:eastAsia="Arial" w:hAnsi="Arial"/>
                <w:sz w:val="14"/>
                <w:szCs w:val="14"/>
                <w:color w:val="0E2A35"/>
              </w:rPr>
              <w:t>Cooper Standard</w:t>
            </w:r>
          </w:p>
        </w:tc>
        <w:tc>
          <w:tcPr>
            <w:tcW w:w="6160" w:type="dxa"/>
            <w:vAlign w:val="bottom"/>
          </w:tcPr>
          <w:p>
            <w:pPr>
              <w:ind w:left="1600"/>
              <w:spacing w:after="0"/>
              <w:rPr>
                <w:sz w:val="20"/>
                <w:szCs w:val="20"/>
                <w:color w:val="auto"/>
              </w:rPr>
            </w:pPr>
            <w:r>
              <w:rPr>
                <w:rFonts w:ascii="Arial" w:cs="Arial" w:eastAsia="Arial" w:hAnsi="Arial"/>
                <w:sz w:val="14"/>
                <w:szCs w:val="14"/>
                <w:color w:val="0E2A35"/>
              </w:rPr>
              <w:t>​American Axle</w:t>
            </w:r>
          </w:p>
        </w:tc>
      </w:tr>
      <w:tr>
        <w:trPr>
          <w:trHeight w:val="89"/>
        </w:trPr>
        <w:tc>
          <w:tcPr>
            <w:tcW w:w="3120" w:type="dxa"/>
            <w:vAlign w:val="bottom"/>
            <w:tcBorders>
              <w:bottom w:val="single" w:sz="8" w:color="0E2A35"/>
            </w:tcBorders>
          </w:tcPr>
          <w:p>
            <w:pPr>
              <w:spacing w:after="0"/>
              <w:rPr>
                <w:sz w:val="7"/>
                <w:szCs w:val="7"/>
                <w:color w:val="auto"/>
              </w:rPr>
            </w:pPr>
          </w:p>
        </w:tc>
        <w:tc>
          <w:tcPr>
            <w:tcW w:w="6160" w:type="dxa"/>
            <w:vAlign w:val="bottom"/>
            <w:tcBorders>
              <w:bottom w:val="single" w:sz="8" w:color="0E2A35"/>
            </w:tcBorders>
          </w:tcPr>
          <w:p>
            <w:pPr>
              <w:spacing w:after="0"/>
              <w:rPr>
                <w:sz w:val="7"/>
                <w:szCs w:val="7"/>
                <w:color w:val="auto"/>
              </w:rPr>
            </w:pPr>
          </w:p>
        </w:tc>
      </w:tr>
      <w:tr>
        <w:trPr>
          <w:trHeight w:val="283"/>
        </w:trPr>
        <w:tc>
          <w:tcPr>
            <w:tcW w:w="3120" w:type="dxa"/>
            <w:vAlign w:val="bottom"/>
          </w:tcPr>
          <w:p>
            <w:pPr>
              <w:ind w:left="60"/>
              <w:spacing w:after="0"/>
              <w:rPr>
                <w:sz w:val="20"/>
                <w:szCs w:val="20"/>
                <w:color w:val="auto"/>
              </w:rPr>
            </w:pPr>
            <w:r>
              <w:rPr>
                <w:rFonts w:ascii="Arial" w:cs="Arial" w:eastAsia="Arial" w:hAnsi="Arial"/>
                <w:sz w:val="14"/>
                <w:szCs w:val="14"/>
                <w:color w:val="0E2A35"/>
              </w:rPr>
              <w:t>​Federal Signal</w:t>
            </w:r>
          </w:p>
        </w:tc>
        <w:tc>
          <w:tcPr>
            <w:tcW w:w="6160" w:type="dxa"/>
            <w:vAlign w:val="bottom"/>
          </w:tcPr>
          <w:p>
            <w:pPr>
              <w:ind w:left="1600"/>
              <w:spacing w:after="0"/>
              <w:rPr>
                <w:sz w:val="20"/>
                <w:szCs w:val="20"/>
                <w:color w:val="auto"/>
              </w:rPr>
            </w:pPr>
            <w:r>
              <w:rPr>
                <w:rFonts w:ascii="Arial" w:cs="Arial" w:eastAsia="Arial" w:hAnsi="Arial"/>
                <w:sz w:val="14"/>
                <w:szCs w:val="14"/>
                <w:color w:val="0E2A35"/>
              </w:rPr>
              <w:t>​Crane Co.</w:t>
            </w:r>
          </w:p>
        </w:tc>
      </w:tr>
      <w:tr>
        <w:trPr>
          <w:trHeight w:val="89"/>
        </w:trPr>
        <w:tc>
          <w:tcPr>
            <w:tcW w:w="3120" w:type="dxa"/>
            <w:vAlign w:val="bottom"/>
            <w:tcBorders>
              <w:bottom w:val="single" w:sz="8" w:color="0E2A35"/>
            </w:tcBorders>
          </w:tcPr>
          <w:p>
            <w:pPr>
              <w:spacing w:after="0"/>
              <w:rPr>
                <w:sz w:val="7"/>
                <w:szCs w:val="7"/>
                <w:color w:val="auto"/>
              </w:rPr>
            </w:pPr>
          </w:p>
        </w:tc>
        <w:tc>
          <w:tcPr>
            <w:tcW w:w="6160" w:type="dxa"/>
            <w:vAlign w:val="bottom"/>
            <w:tcBorders>
              <w:bottom w:val="single" w:sz="8" w:color="0E2A35"/>
            </w:tcBorders>
          </w:tcPr>
          <w:p>
            <w:pPr>
              <w:spacing w:after="0"/>
              <w:rPr>
                <w:sz w:val="7"/>
                <w:szCs w:val="7"/>
                <w:color w:val="auto"/>
              </w:rPr>
            </w:pPr>
          </w:p>
        </w:tc>
      </w:tr>
      <w:tr>
        <w:trPr>
          <w:trHeight w:val="283"/>
        </w:trPr>
        <w:tc>
          <w:tcPr>
            <w:tcW w:w="3120" w:type="dxa"/>
            <w:vAlign w:val="bottom"/>
          </w:tcPr>
          <w:p>
            <w:pPr>
              <w:ind w:left="60"/>
              <w:spacing w:after="0"/>
              <w:rPr>
                <w:sz w:val="20"/>
                <w:szCs w:val="20"/>
                <w:color w:val="auto"/>
              </w:rPr>
            </w:pPr>
            <w:r>
              <w:rPr>
                <w:rFonts w:ascii="Arial" w:cs="Arial" w:eastAsia="Arial" w:hAnsi="Arial"/>
                <w:sz w:val="14"/>
                <w:szCs w:val="14"/>
                <w:color w:val="0E2A35"/>
              </w:rPr>
              <w:t>Malibu Boats</w:t>
            </w:r>
          </w:p>
        </w:tc>
        <w:tc>
          <w:tcPr>
            <w:tcW w:w="6160" w:type="dxa"/>
            <w:vAlign w:val="bottom"/>
          </w:tcPr>
          <w:p>
            <w:pPr>
              <w:ind w:left="1600"/>
              <w:spacing w:after="0"/>
              <w:rPr>
                <w:sz w:val="20"/>
                <w:szCs w:val="20"/>
                <w:color w:val="auto"/>
              </w:rPr>
            </w:pPr>
            <w:r>
              <w:rPr>
                <w:rFonts w:ascii="Arial" w:cs="Arial" w:eastAsia="Arial" w:hAnsi="Arial"/>
                <w:sz w:val="14"/>
                <w:szCs w:val="14"/>
                <w:color w:val="0E2A35"/>
              </w:rPr>
              <w:t>Dana Incorporated</w:t>
            </w:r>
          </w:p>
        </w:tc>
      </w:tr>
      <w:tr>
        <w:trPr>
          <w:trHeight w:val="89"/>
        </w:trPr>
        <w:tc>
          <w:tcPr>
            <w:tcW w:w="3120" w:type="dxa"/>
            <w:vAlign w:val="bottom"/>
            <w:tcBorders>
              <w:bottom w:val="single" w:sz="8" w:color="0E2A35"/>
            </w:tcBorders>
          </w:tcPr>
          <w:p>
            <w:pPr>
              <w:spacing w:after="0"/>
              <w:rPr>
                <w:sz w:val="7"/>
                <w:szCs w:val="7"/>
                <w:color w:val="auto"/>
              </w:rPr>
            </w:pPr>
          </w:p>
        </w:tc>
        <w:tc>
          <w:tcPr>
            <w:tcW w:w="6160" w:type="dxa"/>
            <w:vAlign w:val="bottom"/>
            <w:tcBorders>
              <w:bottom w:val="single" w:sz="8" w:color="0E2A35"/>
            </w:tcBorders>
          </w:tcPr>
          <w:p>
            <w:pPr>
              <w:spacing w:after="0"/>
              <w:rPr>
                <w:sz w:val="7"/>
                <w:szCs w:val="7"/>
                <w:color w:val="auto"/>
              </w:rPr>
            </w:pPr>
          </w:p>
        </w:tc>
      </w:tr>
      <w:tr>
        <w:trPr>
          <w:trHeight w:val="283"/>
        </w:trPr>
        <w:tc>
          <w:tcPr>
            <w:tcW w:w="3120" w:type="dxa"/>
            <w:vAlign w:val="bottom"/>
          </w:tcPr>
          <w:p>
            <w:pPr>
              <w:ind w:left="60"/>
              <w:spacing w:after="0"/>
              <w:rPr>
                <w:sz w:val="20"/>
                <w:szCs w:val="20"/>
                <w:color w:val="auto"/>
              </w:rPr>
            </w:pPr>
            <w:r>
              <w:rPr>
                <w:rFonts w:ascii="Arial" w:cs="Arial" w:eastAsia="Arial" w:hAnsi="Arial"/>
                <w:sz w:val="14"/>
                <w:szCs w:val="14"/>
                <w:color w:val="0E2A35"/>
              </w:rPr>
              <w:t>Standard Motors</w:t>
            </w:r>
          </w:p>
        </w:tc>
        <w:tc>
          <w:tcPr>
            <w:tcW w:w="6160" w:type="dxa"/>
            <w:vAlign w:val="bottom"/>
          </w:tcPr>
          <w:p>
            <w:pPr>
              <w:spacing w:after="0"/>
              <w:rPr>
                <w:sz w:val="24"/>
                <w:szCs w:val="24"/>
                <w:color w:val="auto"/>
              </w:rPr>
            </w:pPr>
          </w:p>
        </w:tc>
      </w:tr>
      <w:tr>
        <w:trPr>
          <w:trHeight w:val="89"/>
        </w:trPr>
        <w:tc>
          <w:tcPr>
            <w:tcW w:w="3120" w:type="dxa"/>
            <w:vAlign w:val="bottom"/>
            <w:tcBorders>
              <w:bottom w:val="single" w:sz="8" w:color="0E2A35"/>
            </w:tcBorders>
          </w:tcPr>
          <w:p>
            <w:pPr>
              <w:spacing w:after="0"/>
              <w:rPr>
                <w:sz w:val="7"/>
                <w:szCs w:val="7"/>
                <w:color w:val="auto"/>
              </w:rPr>
            </w:pPr>
          </w:p>
        </w:tc>
        <w:tc>
          <w:tcPr>
            <w:tcW w:w="6160" w:type="dxa"/>
            <w:vAlign w:val="bottom"/>
            <w:tcBorders>
              <w:bottom w:val="single" w:sz="8" w:color="0E2A35"/>
            </w:tcBorders>
          </w:tcPr>
          <w:p>
            <w:pPr>
              <w:spacing w:after="0"/>
              <w:rPr>
                <w:sz w:val="7"/>
                <w:szCs w:val="7"/>
                <w:color w:val="auto"/>
              </w:rPr>
            </w:pPr>
          </w:p>
        </w:tc>
      </w:tr>
      <w:tr>
        <w:trPr>
          <w:trHeight w:val="282"/>
        </w:trPr>
        <w:tc>
          <w:tcPr>
            <w:tcW w:w="3120" w:type="dxa"/>
            <w:vAlign w:val="bottom"/>
          </w:tcPr>
          <w:p>
            <w:pPr>
              <w:ind w:left="60"/>
              <w:spacing w:after="0"/>
              <w:rPr>
                <w:sz w:val="20"/>
                <w:szCs w:val="20"/>
                <w:color w:val="auto"/>
              </w:rPr>
            </w:pPr>
            <w:r>
              <w:rPr>
                <w:rFonts w:ascii="Arial" w:cs="Arial" w:eastAsia="Arial" w:hAnsi="Arial"/>
                <w:sz w:val="14"/>
                <w:szCs w:val="14"/>
                <w:color w:val="0E2A35"/>
              </w:rPr>
              <w:t>Tennant Company</w:t>
            </w:r>
          </w:p>
        </w:tc>
        <w:tc>
          <w:tcPr>
            <w:tcW w:w="6160" w:type="dxa"/>
            <w:vAlign w:val="bottom"/>
          </w:tcPr>
          <w:p>
            <w:pPr>
              <w:spacing w:after="0"/>
              <w:rPr>
                <w:sz w:val="24"/>
                <w:szCs w:val="24"/>
                <w:color w:val="auto"/>
              </w:rPr>
            </w:pPr>
          </w:p>
        </w:tc>
      </w:tr>
      <w:tr>
        <w:trPr>
          <w:trHeight w:val="89"/>
        </w:trPr>
        <w:tc>
          <w:tcPr>
            <w:tcW w:w="3120" w:type="dxa"/>
            <w:vAlign w:val="bottom"/>
            <w:tcBorders>
              <w:bottom w:val="single" w:sz="8" w:color="0E2A35"/>
            </w:tcBorders>
          </w:tcPr>
          <w:p>
            <w:pPr>
              <w:spacing w:after="0"/>
              <w:rPr>
                <w:sz w:val="7"/>
                <w:szCs w:val="7"/>
                <w:color w:val="auto"/>
              </w:rPr>
            </w:pPr>
          </w:p>
        </w:tc>
        <w:tc>
          <w:tcPr>
            <w:tcW w:w="6160" w:type="dxa"/>
            <w:vAlign w:val="bottom"/>
            <w:tcBorders>
              <w:bottom w:val="single" w:sz="8" w:color="0E2A35"/>
            </w:tcBorders>
          </w:tcPr>
          <w:p>
            <w:pPr>
              <w:spacing w:after="0"/>
              <w:rPr>
                <w:sz w:val="7"/>
                <w:szCs w:val="7"/>
                <w:color w:val="auto"/>
              </w:rPr>
            </w:pPr>
          </w:p>
        </w:tc>
      </w:tr>
    </w:tbl>
    <w:p>
      <w:pPr>
        <w:spacing w:after="0" w:line="269" w:lineRule="exact"/>
        <w:rPr>
          <w:sz w:val="20"/>
          <w:szCs w:val="20"/>
          <w:color w:val="auto"/>
        </w:rPr>
      </w:pPr>
    </w:p>
    <w:p>
      <w:pPr>
        <w:spacing w:after="0" w:line="266" w:lineRule="auto"/>
        <w:rPr>
          <w:sz w:val="20"/>
          <w:szCs w:val="20"/>
          <w:color w:val="auto"/>
        </w:rPr>
      </w:pPr>
      <w:r>
        <w:rPr>
          <w:rFonts w:ascii="Arial" w:cs="Arial" w:eastAsia="Arial" w:hAnsi="Arial"/>
          <w:sz w:val="16"/>
          <w:szCs w:val="16"/>
          <w:color w:val="0E2A35"/>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2022 NEO Compensation Decisions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Base Salary</w:t>
      </w:r>
    </w:p>
    <w:p>
      <w:pPr>
        <w:spacing w:after="0" w:line="180"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0E2A35"/>
        </w:rPr>
        <w:t>We provide NEOs with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44" w:lineRule="exact"/>
        <w:rPr>
          <w:sz w:val="20"/>
          <w:szCs w:val="20"/>
          <w:color w:val="auto"/>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Experience of the executive</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Time in position</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Individual performance</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Level of responsibility for the executive</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Economic conditions, Company performance, financial condition and strategic goals</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Competitive market data provided by the committee’s independent compensation consultant</w:t>
      </w:r>
    </w:p>
    <w:p>
      <w:pPr>
        <w:spacing w:after="0" w:line="19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0E2A35"/>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6"/>
          <w:szCs w:val="16"/>
          <w:color w:val="0E2A35"/>
        </w:rPr>
        <w:t>In October 2021, as a result of a review of performance, consideration of the above referenced factors, and with input from the independent compensation consultant and our CEO, the committee recommended and approved the following increases for fiscal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shd w:val="clear" w:color="auto" w:fill="0E2A35"/>
          </w:tcPr>
          <w:p>
            <w:pPr>
              <w:spacing w:after="0"/>
              <w:rPr>
                <w:sz w:val="19"/>
                <w:szCs w:val="19"/>
                <w:color w:val="auto"/>
              </w:rPr>
            </w:pPr>
          </w:p>
        </w:tc>
        <w:tc>
          <w:tcPr>
            <w:tcW w:w="3340" w:type="dxa"/>
            <w:vAlign w:val="bottom"/>
            <w:shd w:val="clear" w:color="auto" w:fill="0E2A35"/>
          </w:tcPr>
          <w:p>
            <w:pPr>
              <w:jc w:val="center"/>
              <w:ind w:left="1971"/>
              <w:spacing w:after="0"/>
              <w:rPr>
                <w:sz w:val="20"/>
                <w:szCs w:val="20"/>
                <w:color w:val="auto"/>
              </w:rPr>
            </w:pPr>
            <w:r>
              <w:rPr>
                <w:rFonts w:ascii="Arial" w:cs="Arial" w:eastAsia="Arial" w:hAnsi="Arial"/>
                <w:sz w:val="13"/>
                <w:szCs w:val="13"/>
                <w:b w:val="1"/>
                <w:bCs w:val="1"/>
                <w:color w:val="FFFFFF"/>
                <w:w w:val="95"/>
              </w:rPr>
              <w:t>Fiscal 2022</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Fiscal 2021</w:t>
            </w:r>
          </w:p>
        </w:tc>
        <w:tc>
          <w:tcPr>
            <w:tcW w:w="1120" w:type="dxa"/>
            <w:vAlign w:val="bottom"/>
            <w:shd w:val="clear" w:color="auto" w:fill="0E2A35"/>
          </w:tcPr>
          <w:p>
            <w:pPr>
              <w:jc w:val="center"/>
              <w:ind w:left="191"/>
              <w:spacing w:after="0"/>
              <w:rPr>
                <w:sz w:val="20"/>
                <w:szCs w:val="20"/>
                <w:color w:val="auto"/>
              </w:rPr>
            </w:pPr>
            <w:r>
              <w:rPr>
                <w:rFonts w:ascii="Arial" w:cs="Arial" w:eastAsia="Arial" w:hAnsi="Arial"/>
                <w:sz w:val="13"/>
                <w:szCs w:val="13"/>
                <w:b w:val="1"/>
                <w:bCs w:val="1"/>
                <w:color w:val="FFFFFF"/>
                <w:w w:val="99"/>
              </w:rPr>
              <w:t>​Percentage</w:t>
            </w:r>
          </w:p>
        </w:tc>
        <w:tc>
          <w:tcPr>
            <w:tcW w:w="0" w:type="dxa"/>
            <w:vAlign w:val="bottom"/>
          </w:tcPr>
          <w:p>
            <w:pPr>
              <w:spacing w:after="0"/>
              <w:rPr>
                <w:sz w:val="1"/>
                <w:szCs w:val="1"/>
                <w:color w:val="auto"/>
              </w:rPr>
            </w:pPr>
          </w:p>
        </w:tc>
      </w:tr>
      <w:tr>
        <w:trPr>
          <w:trHeight w:val="135"/>
        </w:trPr>
        <w:tc>
          <w:tcPr>
            <w:tcW w:w="352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3340" w:type="dxa"/>
            <w:vAlign w:val="bottom"/>
            <w:shd w:val="clear" w:color="auto" w:fill="0E2A35"/>
          </w:tcPr>
          <w:p>
            <w:pPr>
              <w:jc w:val="center"/>
              <w:ind w:left="1971"/>
              <w:spacing w:after="0" w:line="135" w:lineRule="exact"/>
              <w:rPr>
                <w:sz w:val="20"/>
                <w:szCs w:val="20"/>
                <w:color w:val="auto"/>
              </w:rPr>
            </w:pPr>
            <w:r>
              <w:rPr>
                <w:rFonts w:ascii="Arial" w:cs="Arial" w:eastAsia="Arial" w:hAnsi="Arial"/>
                <w:sz w:val="13"/>
                <w:szCs w:val="13"/>
                <w:b w:val="1"/>
                <w:bCs w:val="1"/>
                <w:color w:val="FFFFFF"/>
                <w:w w:val="97"/>
              </w:rPr>
              <w:t>Salary</w:t>
            </w:r>
          </w:p>
        </w:tc>
        <w:tc>
          <w:tcPr>
            <w:tcW w:w="13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1120" w:type="dxa"/>
            <w:vAlign w:val="bottom"/>
            <w:shd w:val="clear" w:color="auto" w:fill="0E2A35"/>
          </w:tcPr>
          <w:p>
            <w:pPr>
              <w:jc w:val="center"/>
              <w:ind w:left="191"/>
              <w:spacing w:after="0" w:line="135" w:lineRule="exact"/>
              <w:rPr>
                <w:sz w:val="20"/>
                <w:szCs w:val="20"/>
                <w:color w:val="auto"/>
              </w:rPr>
            </w:pPr>
            <w:r>
              <w:rPr>
                <w:rFonts w:ascii="Arial" w:cs="Arial" w:eastAsia="Arial" w:hAnsi="Arial"/>
                <w:sz w:val="13"/>
                <w:szCs w:val="13"/>
                <w:b w:val="1"/>
                <w:bCs w:val="1"/>
                <w:color w:val="FFFFFF"/>
                <w:w w:val="94"/>
              </w:rPr>
              <w:t>Increase</w:t>
            </w:r>
          </w:p>
        </w:tc>
        <w:tc>
          <w:tcPr>
            <w:tcW w:w="0" w:type="dxa"/>
            <w:vAlign w:val="bottom"/>
          </w:tcPr>
          <w:p>
            <w:pPr>
              <w:spacing w:after="0"/>
              <w:rPr>
                <w:sz w:val="1"/>
                <w:szCs w:val="1"/>
                <w:color w:val="auto"/>
              </w:rPr>
            </w:pPr>
          </w:p>
        </w:tc>
      </w:tr>
      <w:tr>
        <w:trPr>
          <w:trHeight w:val="172"/>
        </w:trPr>
        <w:tc>
          <w:tcPr>
            <w:tcW w:w="3520" w:type="dxa"/>
            <w:vAlign w:val="bottom"/>
            <w:vMerge w:val="continue"/>
            <w:shd w:val="clear" w:color="auto" w:fill="0E2A35"/>
          </w:tcPr>
          <w:p>
            <w:pPr>
              <w:spacing w:after="0"/>
              <w:rPr>
                <w:sz w:val="14"/>
                <w:szCs w:val="14"/>
                <w:color w:val="auto"/>
              </w:rPr>
            </w:pPr>
          </w:p>
        </w:tc>
        <w:tc>
          <w:tcPr>
            <w:tcW w:w="3340" w:type="dxa"/>
            <w:vAlign w:val="bottom"/>
            <w:shd w:val="clear" w:color="auto" w:fill="0E2A35"/>
          </w:tcPr>
          <w:p>
            <w:pPr>
              <w:jc w:val="center"/>
              <w:ind w:left="2011"/>
              <w:spacing w:after="0"/>
              <w:rPr>
                <w:sz w:val="20"/>
                <w:szCs w:val="20"/>
                <w:color w:val="auto"/>
              </w:rPr>
            </w:pPr>
            <w:r>
              <w:rPr>
                <w:rFonts w:ascii="Arial" w:cs="Arial" w:eastAsia="Arial" w:hAnsi="Arial"/>
                <w:sz w:val="13"/>
                <w:szCs w:val="13"/>
                <w:b w:val="1"/>
                <w:bCs w:val="1"/>
                <w:color w:val="FFFFFF"/>
                <w:w w:val="87"/>
              </w:rPr>
              <w:t>($)</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E2A35"/>
          </w:tcPr>
          <w:p>
            <w:pPr>
              <w:jc w:val="center"/>
              <w:ind w:left="231"/>
              <w:spacing w:after="0"/>
              <w:rPr>
                <w:sz w:val="20"/>
                <w:szCs w:val="20"/>
                <w:color w:val="auto"/>
              </w:rPr>
            </w:pPr>
            <w:r>
              <w:rPr>
                <w:rFonts w:ascii="Arial" w:cs="Arial" w:eastAsia="Arial" w:hAnsi="Arial"/>
                <w:sz w:val="13"/>
                <w:szCs w:val="13"/>
                <w:b w:val="1"/>
                <w:bCs w:val="1"/>
                <w:color w:val="FFFFFF"/>
                <w:w w:val="88"/>
              </w:rPr>
              <w:t>(%)</w:t>
            </w:r>
          </w:p>
        </w:tc>
        <w:tc>
          <w:tcPr>
            <w:tcW w:w="0" w:type="dxa"/>
            <w:vAlign w:val="bottom"/>
          </w:tcPr>
          <w:p>
            <w:pPr>
              <w:spacing w:after="0"/>
              <w:rPr>
                <w:sz w:val="1"/>
                <w:szCs w:val="1"/>
                <w:color w:val="auto"/>
              </w:rPr>
            </w:pPr>
          </w:p>
        </w:tc>
      </w:tr>
      <w:tr>
        <w:trPr>
          <w:trHeight w:val="89"/>
        </w:trPr>
        <w:tc>
          <w:tcPr>
            <w:tcW w:w="3520" w:type="dxa"/>
            <w:vAlign w:val="bottom"/>
            <w:shd w:val="clear" w:color="auto" w:fill="0E2A35"/>
          </w:tcPr>
          <w:p>
            <w:pPr>
              <w:spacing w:after="0"/>
              <w:rPr>
                <w:sz w:val="7"/>
                <w:szCs w:val="7"/>
                <w:color w:val="auto"/>
              </w:rPr>
            </w:pPr>
          </w:p>
        </w:tc>
        <w:tc>
          <w:tcPr>
            <w:tcW w:w="3340" w:type="dxa"/>
            <w:vAlign w:val="bottom"/>
            <w:shd w:val="clear" w:color="auto" w:fill="0E2A35"/>
          </w:tcPr>
          <w:p>
            <w:pPr>
              <w:spacing w:after="0"/>
              <w:rPr>
                <w:sz w:val="7"/>
                <w:szCs w:val="7"/>
                <w:color w:val="auto"/>
              </w:rPr>
            </w:pPr>
          </w:p>
        </w:tc>
        <w:tc>
          <w:tcPr>
            <w:tcW w:w="130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352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Michael J. Happe</w:t>
            </w:r>
          </w:p>
        </w:tc>
        <w:tc>
          <w:tcPr>
            <w:tcW w:w="3340" w:type="dxa"/>
            <w:vAlign w:val="bottom"/>
            <w:tcBorders>
              <w:bottom w:val="single" w:sz="8" w:color="0E2A35"/>
            </w:tcBorders>
          </w:tcPr>
          <w:p>
            <w:pPr>
              <w:jc w:val="right"/>
              <w:ind w:right="271"/>
              <w:spacing w:after="0"/>
              <w:rPr>
                <w:sz w:val="20"/>
                <w:szCs w:val="20"/>
                <w:color w:val="auto"/>
              </w:rPr>
            </w:pPr>
            <w:r>
              <w:rPr>
                <w:rFonts w:ascii="Arial" w:cs="Arial" w:eastAsia="Arial" w:hAnsi="Arial"/>
                <w:sz w:val="14"/>
                <w:szCs w:val="14"/>
                <w:color w:val="0E2A35"/>
              </w:rPr>
              <w:t>​1,000,000</w:t>
            </w:r>
          </w:p>
        </w:tc>
        <w:tc>
          <w:tcPr>
            <w:tcW w:w="13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900,000​</w:t>
            </w:r>
          </w:p>
        </w:tc>
        <w:tc>
          <w:tcPr>
            <w:tcW w:w="112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​11.1</w:t>
            </w:r>
            <w:r>
              <w:rPr>
                <w:rFonts w:ascii="Arial" w:cs="Arial" w:eastAsia="Arial" w:hAnsi="Arial"/>
                <w:sz w:val="23"/>
                <w:szCs w:val="23"/>
                <w:color w:val="0E2A35"/>
                <w:vertAlign w:val="superscript"/>
              </w:rPr>
              <w:t>(1)</w:t>
            </w:r>
          </w:p>
        </w:tc>
        <w:tc>
          <w:tcPr>
            <w:tcW w:w="0" w:type="dxa"/>
            <w:vAlign w:val="bottom"/>
          </w:tcPr>
          <w:p>
            <w:pPr>
              <w:spacing w:after="0"/>
              <w:rPr>
                <w:sz w:val="1"/>
                <w:szCs w:val="1"/>
                <w:color w:val="auto"/>
              </w:rPr>
            </w:pPr>
          </w:p>
        </w:tc>
      </w:tr>
      <w:tr>
        <w:trPr>
          <w:trHeight w:val="282"/>
        </w:trPr>
        <w:tc>
          <w:tcPr>
            <w:tcW w:w="352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3340" w:type="dxa"/>
            <w:vAlign w:val="bottom"/>
          </w:tcPr>
          <w:p>
            <w:pPr>
              <w:jc w:val="right"/>
              <w:ind w:right="271"/>
              <w:spacing w:after="0"/>
              <w:rPr>
                <w:sz w:val="20"/>
                <w:szCs w:val="20"/>
                <w:color w:val="auto"/>
              </w:rPr>
            </w:pPr>
            <w:r>
              <w:rPr>
                <w:rFonts w:ascii="Arial" w:cs="Arial" w:eastAsia="Arial" w:hAnsi="Arial"/>
                <w:sz w:val="14"/>
                <w:szCs w:val="14"/>
                <w:color w:val="0E2A35"/>
              </w:rPr>
              <w:t>​550,000</w:t>
            </w:r>
          </w:p>
        </w:tc>
        <w:tc>
          <w:tcPr>
            <w:tcW w:w="1300" w:type="dxa"/>
            <w:vAlign w:val="bottom"/>
          </w:tcPr>
          <w:p>
            <w:pPr>
              <w:ind w:left="340"/>
              <w:spacing w:after="0"/>
              <w:rPr>
                <w:sz w:val="20"/>
                <w:szCs w:val="20"/>
                <w:color w:val="auto"/>
              </w:rPr>
            </w:pPr>
            <w:r>
              <w:rPr>
                <w:rFonts w:ascii="Arial" w:cs="Arial" w:eastAsia="Arial" w:hAnsi="Arial"/>
                <w:sz w:val="14"/>
                <w:szCs w:val="14"/>
                <w:color w:val="0E2A35"/>
              </w:rPr>
              <w:t>525,000​</w:t>
            </w:r>
          </w:p>
        </w:tc>
        <w:tc>
          <w:tcPr>
            <w:tcW w:w="1120" w:type="dxa"/>
            <w:vAlign w:val="bottom"/>
          </w:tcPr>
          <w:p>
            <w:pPr>
              <w:jc w:val="right"/>
              <w:ind w:right="131"/>
              <w:spacing w:after="0"/>
              <w:rPr>
                <w:sz w:val="20"/>
                <w:szCs w:val="20"/>
                <w:color w:val="auto"/>
              </w:rPr>
            </w:pPr>
            <w:r>
              <w:rPr>
                <w:rFonts w:ascii="Arial" w:cs="Arial" w:eastAsia="Arial" w:hAnsi="Arial"/>
                <w:sz w:val="14"/>
                <w:szCs w:val="14"/>
                <w:color w:val="0E2A35"/>
              </w:rPr>
              <w:t>​4.8</w:t>
            </w:r>
          </w:p>
        </w:tc>
        <w:tc>
          <w:tcPr>
            <w:tcW w:w="0" w:type="dxa"/>
            <w:vAlign w:val="bottom"/>
          </w:tcPr>
          <w:p>
            <w:pPr>
              <w:spacing w:after="0"/>
              <w:rPr>
                <w:sz w:val="1"/>
                <w:szCs w:val="1"/>
                <w:color w:val="auto"/>
              </w:rPr>
            </w:pPr>
          </w:p>
        </w:tc>
      </w:tr>
      <w:tr>
        <w:trPr>
          <w:trHeight w:val="89"/>
        </w:trPr>
        <w:tc>
          <w:tcPr>
            <w:tcW w:w="3520" w:type="dxa"/>
            <w:vAlign w:val="bottom"/>
            <w:tcBorders>
              <w:bottom w:val="single" w:sz="8" w:color="0E2A35"/>
            </w:tcBorders>
          </w:tcPr>
          <w:p>
            <w:pPr>
              <w:spacing w:after="0"/>
              <w:rPr>
                <w:sz w:val="7"/>
                <w:szCs w:val="7"/>
                <w:color w:val="auto"/>
              </w:rPr>
            </w:pPr>
          </w:p>
        </w:tc>
        <w:tc>
          <w:tcPr>
            <w:tcW w:w="334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52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Stacy L. Bogart</w:t>
            </w:r>
          </w:p>
        </w:tc>
        <w:tc>
          <w:tcPr>
            <w:tcW w:w="3340" w:type="dxa"/>
            <w:vAlign w:val="bottom"/>
            <w:tcBorders>
              <w:bottom w:val="single" w:sz="8" w:color="0E2A35"/>
            </w:tcBorders>
          </w:tcPr>
          <w:p>
            <w:pPr>
              <w:jc w:val="right"/>
              <w:ind w:right="271"/>
              <w:spacing w:after="0"/>
              <w:rPr>
                <w:sz w:val="20"/>
                <w:szCs w:val="20"/>
                <w:color w:val="auto"/>
              </w:rPr>
            </w:pPr>
            <w:r>
              <w:rPr>
                <w:rFonts w:ascii="Arial" w:cs="Arial" w:eastAsia="Arial" w:hAnsi="Arial"/>
                <w:sz w:val="14"/>
                <w:szCs w:val="14"/>
                <w:color w:val="0E2A35"/>
              </w:rPr>
              <w:t>490,000</w:t>
            </w:r>
          </w:p>
        </w:tc>
        <w:tc>
          <w:tcPr>
            <w:tcW w:w="13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460,000</w:t>
            </w:r>
          </w:p>
        </w:tc>
        <w:tc>
          <w:tcPr>
            <w:tcW w:w="112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6.5</w:t>
            </w:r>
            <w:r>
              <w:rPr>
                <w:rFonts w:ascii="Arial" w:cs="Arial" w:eastAsia="Arial" w:hAnsi="Arial"/>
                <w:sz w:val="23"/>
                <w:szCs w:val="23"/>
                <w:color w:val="0E2A35"/>
                <w:vertAlign w:val="superscript"/>
              </w:rPr>
              <w:t>(1)</w:t>
            </w:r>
          </w:p>
        </w:tc>
        <w:tc>
          <w:tcPr>
            <w:tcW w:w="0" w:type="dxa"/>
            <w:vAlign w:val="bottom"/>
          </w:tcPr>
          <w:p>
            <w:pPr>
              <w:spacing w:after="0"/>
              <w:rPr>
                <w:sz w:val="1"/>
                <w:szCs w:val="1"/>
                <w:color w:val="auto"/>
              </w:rPr>
            </w:pPr>
          </w:p>
        </w:tc>
      </w:tr>
      <w:tr>
        <w:trPr>
          <w:trHeight w:val="282"/>
        </w:trPr>
        <w:tc>
          <w:tcPr>
            <w:tcW w:w="3520" w:type="dxa"/>
            <w:vAlign w:val="bottom"/>
          </w:tcPr>
          <w:p>
            <w:pPr>
              <w:ind w:left="60"/>
              <w:spacing w:after="0"/>
              <w:rPr>
                <w:sz w:val="20"/>
                <w:szCs w:val="20"/>
                <w:color w:val="auto"/>
              </w:rPr>
            </w:pPr>
            <w:r>
              <w:rPr>
                <w:rFonts w:ascii="Arial" w:cs="Arial" w:eastAsia="Arial" w:hAnsi="Arial"/>
                <w:sz w:val="14"/>
                <w:szCs w:val="14"/>
                <w:color w:val="0E2A35"/>
              </w:rPr>
              <w:t>​Huw S. Bower</w:t>
            </w:r>
          </w:p>
        </w:tc>
        <w:tc>
          <w:tcPr>
            <w:tcW w:w="3340" w:type="dxa"/>
            <w:vAlign w:val="bottom"/>
          </w:tcPr>
          <w:p>
            <w:pPr>
              <w:jc w:val="right"/>
              <w:ind w:right="271"/>
              <w:spacing w:after="0"/>
              <w:rPr>
                <w:sz w:val="20"/>
                <w:szCs w:val="20"/>
                <w:color w:val="auto"/>
              </w:rPr>
            </w:pPr>
            <w:r>
              <w:rPr>
                <w:rFonts w:ascii="Arial" w:cs="Arial" w:eastAsia="Arial" w:hAnsi="Arial"/>
                <w:sz w:val="14"/>
                <w:szCs w:val="14"/>
                <w:color w:val="0E2A35"/>
              </w:rPr>
              <w:t>566,400​</w:t>
            </w:r>
          </w:p>
        </w:tc>
        <w:tc>
          <w:tcPr>
            <w:tcW w:w="1300" w:type="dxa"/>
            <w:vAlign w:val="bottom"/>
          </w:tcPr>
          <w:p>
            <w:pPr>
              <w:ind w:left="340"/>
              <w:spacing w:after="0"/>
              <w:rPr>
                <w:sz w:val="20"/>
                <w:szCs w:val="20"/>
                <w:color w:val="auto"/>
              </w:rPr>
            </w:pPr>
            <w:r>
              <w:rPr>
                <w:rFonts w:ascii="Arial" w:cs="Arial" w:eastAsia="Arial" w:hAnsi="Arial"/>
                <w:sz w:val="14"/>
                <w:szCs w:val="14"/>
                <w:color w:val="0E2A35"/>
              </w:rPr>
              <w:t>550,000​</w:t>
            </w:r>
          </w:p>
        </w:tc>
        <w:tc>
          <w:tcPr>
            <w:tcW w:w="1120" w:type="dxa"/>
            <w:vAlign w:val="bottom"/>
          </w:tcPr>
          <w:p>
            <w:pPr>
              <w:jc w:val="right"/>
              <w:ind w:right="131"/>
              <w:spacing w:after="0"/>
              <w:rPr>
                <w:sz w:val="20"/>
                <w:szCs w:val="20"/>
                <w:color w:val="auto"/>
              </w:rPr>
            </w:pPr>
            <w:r>
              <w:rPr>
                <w:rFonts w:ascii="Arial" w:cs="Arial" w:eastAsia="Arial" w:hAnsi="Arial"/>
                <w:sz w:val="14"/>
                <w:szCs w:val="14"/>
                <w:color w:val="0E2A35"/>
              </w:rPr>
              <w:t>​3.0</w:t>
            </w:r>
          </w:p>
        </w:tc>
        <w:tc>
          <w:tcPr>
            <w:tcW w:w="0" w:type="dxa"/>
            <w:vAlign w:val="bottom"/>
          </w:tcPr>
          <w:p>
            <w:pPr>
              <w:spacing w:after="0"/>
              <w:rPr>
                <w:sz w:val="1"/>
                <w:szCs w:val="1"/>
                <w:color w:val="auto"/>
              </w:rPr>
            </w:pPr>
          </w:p>
        </w:tc>
      </w:tr>
      <w:tr>
        <w:trPr>
          <w:trHeight w:val="89"/>
        </w:trPr>
        <w:tc>
          <w:tcPr>
            <w:tcW w:w="3520" w:type="dxa"/>
            <w:vAlign w:val="bottom"/>
            <w:tcBorders>
              <w:bottom w:val="single" w:sz="8" w:color="0E2A35"/>
            </w:tcBorders>
          </w:tcPr>
          <w:p>
            <w:pPr>
              <w:spacing w:after="0"/>
              <w:rPr>
                <w:sz w:val="7"/>
                <w:szCs w:val="7"/>
                <w:color w:val="auto"/>
              </w:rPr>
            </w:pPr>
          </w:p>
        </w:tc>
        <w:tc>
          <w:tcPr>
            <w:tcW w:w="3340" w:type="dxa"/>
            <w:vAlign w:val="bottom"/>
            <w:tcBorders>
              <w:bottom w:val="single" w:sz="8" w:color="0E2A35"/>
            </w:tcBorders>
          </w:tcPr>
          <w:p>
            <w:pPr>
              <w:spacing w:after="0"/>
              <w:rPr>
                <w:sz w:val="7"/>
                <w:szCs w:val="7"/>
                <w:color w:val="auto"/>
              </w:rPr>
            </w:pPr>
          </w:p>
        </w:tc>
        <w:tc>
          <w:tcPr>
            <w:tcW w:w="130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4"/>
                <w:szCs w:val="14"/>
                <w:color w:val="0E2A35"/>
              </w:rPr>
              <w:t>Donald J. Clark</w:t>
            </w:r>
          </w:p>
        </w:tc>
        <w:tc>
          <w:tcPr>
            <w:tcW w:w="3340" w:type="dxa"/>
            <w:vAlign w:val="bottom"/>
          </w:tcPr>
          <w:p>
            <w:pPr>
              <w:jc w:val="right"/>
              <w:ind w:right="271"/>
              <w:spacing w:after="0"/>
              <w:rPr>
                <w:sz w:val="20"/>
                <w:szCs w:val="20"/>
                <w:color w:val="auto"/>
              </w:rPr>
            </w:pPr>
            <w:r>
              <w:rPr>
                <w:rFonts w:ascii="Arial" w:cs="Arial" w:eastAsia="Arial" w:hAnsi="Arial"/>
                <w:sz w:val="14"/>
                <w:szCs w:val="14"/>
                <w:color w:val="0E2A35"/>
              </w:rPr>
              <w:t>400,000</w:t>
            </w:r>
          </w:p>
        </w:tc>
        <w:tc>
          <w:tcPr>
            <w:tcW w:w="1300" w:type="dxa"/>
            <w:vAlign w:val="bottom"/>
          </w:tcPr>
          <w:p>
            <w:pPr>
              <w:ind w:left="340"/>
              <w:spacing w:after="0"/>
              <w:rPr>
                <w:sz w:val="20"/>
                <w:szCs w:val="20"/>
                <w:color w:val="auto"/>
              </w:rPr>
            </w:pPr>
            <w:r>
              <w:rPr>
                <w:rFonts w:ascii="Arial" w:cs="Arial" w:eastAsia="Arial" w:hAnsi="Arial"/>
                <w:sz w:val="14"/>
                <w:szCs w:val="14"/>
                <w:color w:val="0E2A35"/>
              </w:rPr>
              <w:t>400,000</w:t>
            </w:r>
          </w:p>
        </w:tc>
        <w:tc>
          <w:tcPr>
            <w:tcW w:w="1120" w:type="dxa"/>
            <w:vAlign w:val="bottom"/>
          </w:tcPr>
          <w:p>
            <w:pPr>
              <w:jc w:val="right"/>
              <w:ind w:right="1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73" w:lineRule="exact"/>
        <w:rPr>
          <w:sz w:val="20"/>
          <w:szCs w:val="20"/>
          <w:color w:val="auto"/>
        </w:rPr>
      </w:pPr>
    </w:p>
    <w:p>
      <w:pPr>
        <w:ind w:left="360" w:right="260" w:hanging="360"/>
        <w:spacing w:after="0" w:line="243" w:lineRule="auto"/>
        <w:tabs>
          <w:tab w:leader="none" w:pos="360" w:val="left"/>
        </w:tabs>
        <w:numPr>
          <w:ilvl w:val="0"/>
          <w:numId w:val="26"/>
        </w:numPr>
        <w:rPr>
          <w:rFonts w:ascii="Arial" w:cs="Arial" w:eastAsia="Arial" w:hAnsi="Arial"/>
          <w:sz w:val="13"/>
          <w:szCs w:val="13"/>
          <w:color w:val="0E2A35"/>
        </w:rPr>
      </w:pPr>
      <w:r>
        <w:rPr>
          <w:rFonts w:ascii="Arial" w:cs="Arial" w:eastAsia="Arial" w:hAnsi="Arial"/>
          <w:sz w:val="13"/>
          <w:szCs w:val="13"/>
          <w:color w:val="0E2A35"/>
        </w:rPr>
        <w:t>The committee approved the increase in base salary based on a review of the NEO’s base salary as compared to the peer group market data and individual performance.</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Annual Incentive Plan - Officers’ Incentive Compensation Plan (OICP)</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The OICP is designed to motivate and reward the successful completion of our annual performance goals as set by the Human Resources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E2A35"/>
        </w:rPr>
        <w:t>Each NEO, except for Mr. Clark, is eligible for a target award, denominated as a percentage of fiscal 2022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2022 OICP</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E2A35"/>
        </w:rPr>
        <w:t>Net revenue, operating income, net working capital, and individual objectives related to each NEO’s particular responsibilities were chosen by the committee as the performance measurements under the OICP for fiscal 2022. The committee selected these as key performance metrics because they are closely aligned with the business strategy. These metrics are described further below.</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E2A35"/>
        </w:rPr>
        <w:t>Enterprise-wide financial performance metrics (75% of OICP for Messrs. Happe and Hughes and Ms. Bogart):</w:t>
      </w:r>
    </w:p>
    <w:p>
      <w:pPr>
        <w:spacing w:after="0" w:line="181"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Net Revenue (40%) - focuses on overall enterprise and business unit growth and also drives customer focus</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Operating Income (50%) - reinforces the importance of profitable growth across the Company</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Net Working Capital (10%) - helps measure overall financial health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E2A35"/>
        </w:rPr>
        <w:t>Business unit financial performance metrics (75% of OICP for Mr. Bower):</w:t>
      </w:r>
    </w:p>
    <w:p>
      <w:pPr>
        <w:spacing w:after="0" w:line="181" w:lineRule="exact"/>
        <w:rPr>
          <w:sz w:val="20"/>
          <w:szCs w:val="20"/>
          <w:color w:val="auto"/>
        </w:rPr>
      </w:pPr>
    </w:p>
    <w:p>
      <w:pPr>
        <w:ind w:left="720" w:hanging="360"/>
        <w:spacing w:after="0"/>
        <w:tabs>
          <w:tab w:leader="none" w:pos="720" w:val="left"/>
        </w:tabs>
        <w:numPr>
          <w:ilvl w:val="0"/>
          <w:numId w:val="28"/>
        </w:numPr>
        <w:rPr>
          <w:rFonts w:ascii="Arial" w:cs="Arial" w:eastAsia="Arial" w:hAnsi="Arial"/>
          <w:sz w:val="16"/>
          <w:szCs w:val="16"/>
          <w:color w:val="C7D265"/>
        </w:rPr>
      </w:pPr>
      <w:r>
        <w:rPr>
          <w:rFonts w:ascii="Arial" w:cs="Arial" w:eastAsia="Arial" w:hAnsi="Arial"/>
          <w:sz w:val="16"/>
          <w:szCs w:val="16"/>
          <w:color w:val="0E2A35"/>
        </w:rPr>
        <w:t>Net Revenue (40%) - focuses on business unit growth and also drives customer focus</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8"/>
        </w:numPr>
        <w:rPr>
          <w:rFonts w:ascii="Arial" w:cs="Arial" w:eastAsia="Arial" w:hAnsi="Arial"/>
          <w:sz w:val="16"/>
          <w:szCs w:val="16"/>
          <w:color w:val="C7D265"/>
        </w:rPr>
      </w:pPr>
      <w:r>
        <w:rPr>
          <w:rFonts w:ascii="Arial" w:cs="Arial" w:eastAsia="Arial" w:hAnsi="Arial"/>
          <w:sz w:val="16"/>
          <w:szCs w:val="16"/>
          <w:color w:val="0E2A35"/>
        </w:rPr>
        <w:t>Operating Income (50%) - reinforces the importance of profitable growth</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8"/>
        </w:numPr>
        <w:rPr>
          <w:rFonts w:ascii="Arial" w:cs="Arial" w:eastAsia="Arial" w:hAnsi="Arial"/>
          <w:sz w:val="16"/>
          <w:szCs w:val="16"/>
          <w:color w:val="C7D265"/>
        </w:rPr>
      </w:pPr>
      <w:r>
        <w:rPr>
          <w:rFonts w:ascii="Arial" w:cs="Arial" w:eastAsia="Arial" w:hAnsi="Arial"/>
          <w:sz w:val="16"/>
          <w:szCs w:val="16"/>
          <w:color w:val="0E2A35"/>
        </w:rPr>
        <w:t>Net Working Capital (10%) - helps measure overall financial health</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0E2A35"/>
        </w:rPr>
        <w:t>For corporate NEOs, Messrs. Happe and Hughes and Ms. Bogart, the OICP financial metrics were measured against enterprise-wide performance. For business unit heads, including Mr. Bower, the OICP financial metrics were measured against specific business unit performance. Mr. Clark does not participate in the OICP.</w:t>
      </w:r>
    </w:p>
    <w:p>
      <w:pPr>
        <w:spacing w:after="0" w:line="144"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0E2A35"/>
        </w:rPr>
        <w:t>Individual objectives (25% of the OICP for Messrs. Happe, Hughes and Bower and Ms. Bogart) provide actionable and measurable objectives controllable by the individual to achieve financial and non-financial goals.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E2A35"/>
        </w:rPr>
        <w:t>Individual goals for our NEOs during fiscal 2022 included the following:</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E2A35"/>
        </w:rPr>
        <w:t>For Mr. Happe, to continue to strengthen an inclusive, high-performance culture, build exceptional outdoor lifestyle brands, create a lifetime of customer intimacy, drive operational excellence and portfolio synergy, and use technology and information to drive business growth.</w:t>
      </w:r>
    </w:p>
    <w:p>
      <w:pPr>
        <w:spacing w:after="0" w:line="13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0E2A35"/>
        </w:rPr>
        <w:t>For Mr. Hughes, to continue to evolve the long-range and annual planning processes, mature the Company’s investor relations function, support business development through excellence in due diligence and integration, and optimize the Company’s cost of capital and tax rate.</w:t>
      </w:r>
    </w:p>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E2A35"/>
        </w:rPr>
        <w:t>For Ms. Bogart, to continue to improve product safety and compliance, enhance and promote the diversity, equity and inclusion program to cultivate and deepen an inclusive culture, and advance the Company’s corporate responsibility strategy.</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E2A35"/>
        </w:rPr>
        <w:t>For Mr. Bower, to develop strategic frameworks to evaluate the adjacency and specialty vehicle growth landscape, mature core business processes, including strategic planning, quality and supply chain management and new product development, and align the engineering function to support new product development.</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0E2A35"/>
        </w:rPr>
        <w:t>In October of 2022, the committee (i) evaluated performance against the established OICP financial performance metrics and determined that the net revenue and operating income metric thresholds were exceeded and that the net working capital metric was achieved, resulting in a 123.3% payout for these metrics and (ii) assessed the performance of each of the NEOs against his or her individual objectives to determine the OICP payout achieved by him or her as set forth below.</w:t>
      </w:r>
    </w:p>
    <w:p>
      <w:pPr>
        <w:spacing w:after="0" w:line="13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0E2A35"/>
        </w:rPr>
        <w:t>The tables below reflect the fiscal 2022 OICP financial metric payout thresholds and targets for each period as well as our performance against these metrics ($ in thousands):</w:t>
      </w:r>
    </w:p>
    <w:p>
      <w:pPr>
        <w:spacing w:after="0" w:line="115" w:lineRule="exact"/>
        <w:rPr>
          <w:sz w:val="20"/>
          <w:szCs w:val="20"/>
          <w:color w:val="auto"/>
        </w:rPr>
      </w:pPr>
    </w:p>
    <w:p>
      <w:pPr>
        <w:spacing w:after="0" w:line="234"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the Full 12-Month Fiscal Year Period</w:t>
      </w:r>
      <w:r>
        <w:rPr>
          <w:rFonts w:ascii="Arial" w:cs="Arial" w:eastAsia="Arial" w:hAnsi="Arial"/>
          <w:sz w:val="26"/>
          <w:szCs w:val="26"/>
          <w:color w:val="0E2A35"/>
          <w:vertAlign w:val="superscript"/>
        </w:rPr>
        <w:t>(1)(2)(3)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0E2A35"/>
          </w:tcPr>
          <w:p>
            <w:pPr>
              <w:spacing w:after="0"/>
              <w:rPr>
                <w:sz w:val="18"/>
                <w:szCs w:val="18"/>
                <w:color w:val="auto"/>
              </w:rPr>
            </w:pPr>
          </w:p>
        </w:tc>
        <w:tc>
          <w:tcPr>
            <w:tcW w:w="800" w:type="dxa"/>
            <w:vAlign w:val="bottom"/>
            <w:shd w:val="clear" w:color="auto" w:fill="0E2A35"/>
          </w:tcPr>
          <w:p>
            <w:pPr>
              <w:spacing w:after="0"/>
              <w:rPr>
                <w:sz w:val="18"/>
                <w:szCs w:val="18"/>
                <w:color w:val="auto"/>
              </w:rPr>
            </w:pPr>
          </w:p>
        </w:tc>
        <w:tc>
          <w:tcPr>
            <w:tcW w:w="220" w:type="dxa"/>
            <w:vAlign w:val="bottom"/>
            <w:shd w:val="clear" w:color="auto" w:fill="0E2A35"/>
          </w:tcPr>
          <w:p>
            <w:pPr>
              <w:spacing w:after="0"/>
              <w:rPr>
                <w:sz w:val="18"/>
                <w:szCs w:val="18"/>
                <w:color w:val="auto"/>
              </w:rPr>
            </w:pPr>
          </w:p>
        </w:tc>
        <w:tc>
          <w:tcPr>
            <w:tcW w:w="1000" w:type="dxa"/>
            <w:vAlign w:val="bottom"/>
            <w:shd w:val="clear" w:color="auto" w:fill="0E2A35"/>
          </w:tcPr>
          <w:p>
            <w:pPr>
              <w:jc w:val="center"/>
              <w:ind w:right="188"/>
              <w:spacing w:after="0"/>
              <w:rPr>
                <w:sz w:val="20"/>
                <w:szCs w:val="20"/>
                <w:color w:val="auto"/>
              </w:rPr>
            </w:pPr>
            <w:r>
              <w:rPr>
                <w:rFonts w:ascii="Arial" w:cs="Arial" w:eastAsia="Arial" w:hAnsi="Arial"/>
                <w:sz w:val="13"/>
                <w:szCs w:val="13"/>
                <w:b w:val="1"/>
                <w:bCs w:val="1"/>
                <w:color w:val="FFFFFF"/>
                <w:w w:val="98"/>
              </w:rPr>
              <w:t>Threshold</w:t>
            </w:r>
          </w:p>
        </w:tc>
        <w:tc>
          <w:tcPr>
            <w:tcW w:w="122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0"/>
              </w:rPr>
              <w:t>Target</w:t>
            </w:r>
          </w:p>
        </w:tc>
        <w:tc>
          <w:tcPr>
            <w:tcW w:w="860" w:type="dxa"/>
            <w:vAlign w:val="bottom"/>
            <w:shd w:val="clear" w:color="auto" w:fill="0E2A35"/>
          </w:tcPr>
          <w:p>
            <w:pPr>
              <w:spacing w:after="0"/>
              <w:rPr>
                <w:sz w:val="18"/>
                <w:szCs w:val="18"/>
                <w:color w:val="auto"/>
              </w:rPr>
            </w:pPr>
          </w:p>
        </w:tc>
        <w:tc>
          <w:tcPr>
            <w:tcW w:w="1320" w:type="dxa"/>
            <w:vAlign w:val="bottom"/>
            <w:shd w:val="clear" w:color="auto" w:fill="0E2A35"/>
          </w:tcPr>
          <w:p>
            <w:pPr>
              <w:jc w:val="center"/>
              <w:ind w:right="26"/>
              <w:spacing w:after="0"/>
              <w:rPr>
                <w:sz w:val="20"/>
                <w:szCs w:val="20"/>
                <w:color w:val="auto"/>
              </w:rPr>
            </w:pPr>
            <w:r>
              <w:rPr>
                <w:rFonts w:ascii="Arial" w:cs="Arial" w:eastAsia="Arial" w:hAnsi="Arial"/>
                <w:sz w:val="13"/>
                <w:szCs w:val="13"/>
                <w:b w:val="1"/>
                <w:bCs w:val="1"/>
                <w:color w:val="FFFFFF"/>
                <w:w w:val="96"/>
              </w:rPr>
              <w:t>Maximum</w:t>
            </w:r>
          </w:p>
        </w:tc>
        <w:tc>
          <w:tcPr>
            <w:tcW w:w="1340" w:type="dxa"/>
            <w:vAlign w:val="bottom"/>
            <w:vMerge w:val="restart"/>
            <w:shd w:val="clear" w:color="auto" w:fill="0E2A35"/>
          </w:tcPr>
          <w:p>
            <w:pPr>
              <w:jc w:val="right"/>
              <w:ind w:right="327"/>
              <w:spacing w:after="0"/>
              <w:rPr>
                <w:sz w:val="20"/>
                <w:szCs w:val="20"/>
                <w:color w:val="auto"/>
              </w:rPr>
            </w:pPr>
            <w:r>
              <w:rPr>
                <w:rFonts w:ascii="Arial" w:cs="Arial" w:eastAsia="Arial" w:hAnsi="Arial"/>
                <w:sz w:val="13"/>
                <w:szCs w:val="13"/>
                <w:b w:val="1"/>
                <w:bCs w:val="1"/>
                <w:color w:val="FFFFFF"/>
              </w:rPr>
              <w:t>Fiscal 2022</w:t>
            </w:r>
          </w:p>
        </w:tc>
        <w:tc>
          <w:tcPr>
            <w:tcW w:w="820" w:type="dxa"/>
            <w:vAlign w:val="bottom"/>
            <w:gridSpan w:val="2"/>
            <w:shd w:val="clear" w:color="auto" w:fill="0E2A35"/>
          </w:tcPr>
          <w:p>
            <w:pPr>
              <w:jc w:val="center"/>
              <w:ind w:left="6"/>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7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800" w:type="dxa"/>
            <w:vAlign w:val="bottom"/>
            <w:vMerge w:val="restart"/>
            <w:shd w:val="clear" w:color="auto" w:fill="0E2A35"/>
          </w:tcPr>
          <w:p>
            <w:pPr>
              <w:ind w:left="220"/>
              <w:spacing w:after="0"/>
              <w:rPr>
                <w:sz w:val="20"/>
                <w:szCs w:val="20"/>
                <w:color w:val="auto"/>
              </w:rPr>
            </w:pPr>
            <w:r>
              <w:rPr>
                <w:rFonts w:ascii="Arial" w:cs="Arial" w:eastAsia="Arial" w:hAnsi="Arial"/>
                <w:sz w:val="13"/>
                <w:szCs w:val="13"/>
                <w:b w:val="1"/>
                <w:bCs w:val="1"/>
                <w:color w:val="FFFFFF"/>
              </w:rPr>
              <w:t>Weight</w:t>
            </w:r>
          </w:p>
        </w:tc>
        <w:tc>
          <w:tcPr>
            <w:tcW w:w="22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188"/>
              <w:spacing w:after="0" w:line="135" w:lineRule="exact"/>
              <w:rPr>
                <w:sz w:val="20"/>
                <w:szCs w:val="20"/>
                <w:color w:val="auto"/>
              </w:rPr>
            </w:pPr>
            <w:r>
              <w:rPr>
                <w:rFonts w:ascii="Arial" w:cs="Arial" w:eastAsia="Arial" w:hAnsi="Arial"/>
                <w:sz w:val="13"/>
                <w:szCs w:val="13"/>
                <w:b w:val="1"/>
                <w:bCs w:val="1"/>
                <w:color w:val="FFFFFF"/>
                <w:w w:val="98"/>
              </w:rPr>
              <w:t>(25%</w:t>
            </w:r>
          </w:p>
        </w:tc>
        <w:tc>
          <w:tcPr>
            <w:tcW w:w="1220" w:type="dxa"/>
            <w:vAlign w:val="bottom"/>
            <w:gridSpan w:val="2"/>
            <w:shd w:val="clear" w:color="auto" w:fill="0E2A35"/>
          </w:tcPr>
          <w:p>
            <w:pPr>
              <w:jc w:val="center"/>
              <w:ind w:left="74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1320" w:type="dxa"/>
            <w:vAlign w:val="bottom"/>
            <w:shd w:val="clear" w:color="auto" w:fill="0E2A35"/>
          </w:tcPr>
          <w:p>
            <w:pPr>
              <w:jc w:val="center"/>
              <w:ind w:right="6"/>
              <w:spacing w:after="0" w:line="135" w:lineRule="exact"/>
              <w:rPr>
                <w:sz w:val="20"/>
                <w:szCs w:val="20"/>
                <w:color w:val="auto"/>
              </w:rPr>
            </w:pPr>
            <w:r>
              <w:rPr>
                <w:rFonts w:ascii="Arial" w:cs="Arial" w:eastAsia="Arial" w:hAnsi="Arial"/>
                <w:sz w:val="13"/>
                <w:szCs w:val="13"/>
                <w:b w:val="1"/>
                <w:bCs w:val="1"/>
                <w:color w:val="FFFFFF"/>
                <w:w w:val="95"/>
              </w:rPr>
              <w:t>(200%</w:t>
            </w:r>
          </w:p>
        </w:tc>
        <w:tc>
          <w:tcPr>
            <w:tcW w:w="1340" w:type="dxa"/>
            <w:vAlign w:val="bottom"/>
            <w:vMerge w:val="continue"/>
            <w:shd w:val="clear" w:color="auto" w:fill="0E2A35"/>
          </w:tcPr>
          <w:p>
            <w:pPr>
              <w:spacing w:after="0"/>
              <w:rPr>
                <w:sz w:val="11"/>
                <w:szCs w:val="11"/>
                <w:color w:val="auto"/>
              </w:rPr>
            </w:pPr>
          </w:p>
        </w:tc>
        <w:tc>
          <w:tcPr>
            <w:tcW w:w="82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2"/>
        </w:trPr>
        <w:tc>
          <w:tcPr>
            <w:tcW w:w="1700" w:type="dxa"/>
            <w:vAlign w:val="bottom"/>
            <w:vMerge w:val="continue"/>
            <w:shd w:val="clear" w:color="auto" w:fill="0E2A35"/>
          </w:tcPr>
          <w:p>
            <w:pPr>
              <w:spacing w:after="0"/>
              <w:rPr>
                <w:sz w:val="14"/>
                <w:szCs w:val="14"/>
                <w:color w:val="auto"/>
              </w:rPr>
            </w:pPr>
          </w:p>
        </w:tc>
        <w:tc>
          <w:tcPr>
            <w:tcW w:w="800" w:type="dxa"/>
            <w:vAlign w:val="bottom"/>
            <w:vMerge w:val="continue"/>
            <w:shd w:val="clear" w:color="auto" w:fill="0E2A35"/>
          </w:tcPr>
          <w:p>
            <w:pPr>
              <w:spacing w:after="0"/>
              <w:rPr>
                <w:sz w:val="14"/>
                <w:szCs w:val="14"/>
                <w:color w:val="auto"/>
              </w:rPr>
            </w:pPr>
          </w:p>
        </w:tc>
        <w:tc>
          <w:tcPr>
            <w:tcW w:w="220" w:type="dxa"/>
            <w:vAlign w:val="bottom"/>
            <w:shd w:val="clear" w:color="auto" w:fill="0E2A35"/>
          </w:tcPr>
          <w:p>
            <w:pPr>
              <w:spacing w:after="0"/>
              <w:rPr>
                <w:sz w:val="14"/>
                <w:szCs w:val="14"/>
                <w:color w:val="auto"/>
              </w:rPr>
            </w:pPr>
          </w:p>
        </w:tc>
        <w:tc>
          <w:tcPr>
            <w:tcW w:w="1000" w:type="dxa"/>
            <w:vAlign w:val="bottom"/>
            <w:shd w:val="clear" w:color="auto" w:fill="0E2A35"/>
          </w:tcPr>
          <w:p>
            <w:pPr>
              <w:jc w:val="center"/>
              <w:ind w:right="148"/>
              <w:spacing w:after="0"/>
              <w:rPr>
                <w:sz w:val="20"/>
                <w:szCs w:val="20"/>
                <w:color w:val="auto"/>
              </w:rPr>
            </w:pPr>
            <w:r>
              <w:rPr>
                <w:rFonts w:ascii="Arial" w:cs="Arial" w:eastAsia="Arial" w:hAnsi="Arial"/>
                <w:sz w:val="13"/>
                <w:szCs w:val="13"/>
                <w:b w:val="1"/>
                <w:bCs w:val="1"/>
                <w:color w:val="FFFFFF"/>
                <w:w w:val="96"/>
              </w:rPr>
              <w:t>Payout)</w:t>
            </w:r>
          </w:p>
        </w:tc>
        <w:tc>
          <w:tcPr>
            <w:tcW w:w="208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40" w:type="dxa"/>
            <w:vAlign w:val="bottom"/>
            <w:shd w:val="clear" w:color="auto" w:fill="0E2A35"/>
          </w:tcPr>
          <w:p>
            <w:pPr>
              <w:jc w:val="right"/>
              <w:ind w:right="267"/>
              <w:spacing w:after="0"/>
              <w:rPr>
                <w:sz w:val="20"/>
                <w:szCs w:val="20"/>
                <w:color w:val="auto"/>
              </w:rPr>
            </w:pPr>
            <w:r>
              <w:rPr>
                <w:rFonts w:ascii="Arial" w:cs="Arial" w:eastAsia="Arial" w:hAnsi="Arial"/>
                <w:sz w:val="13"/>
                <w:szCs w:val="13"/>
                <w:b w:val="1"/>
                <w:bCs w:val="1"/>
                <w:color w:val="FFFFFF"/>
              </w:rPr>
              <w:t>Performance</w:t>
            </w:r>
          </w:p>
        </w:tc>
        <w:tc>
          <w:tcPr>
            <w:tcW w:w="820" w:type="dxa"/>
            <w:vAlign w:val="bottom"/>
            <w:gridSpan w:val="2"/>
            <w:shd w:val="clear" w:color="auto" w:fill="0E2A35"/>
          </w:tcPr>
          <w:p>
            <w:pPr>
              <w:jc w:val="center"/>
              <w:ind w:left="26"/>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89"/>
        </w:trPr>
        <w:tc>
          <w:tcPr>
            <w:tcW w:w="1700" w:type="dxa"/>
            <w:vAlign w:val="bottom"/>
            <w:shd w:val="clear" w:color="auto" w:fill="0E2A35"/>
          </w:tcPr>
          <w:p>
            <w:pPr>
              <w:spacing w:after="0"/>
              <w:rPr>
                <w:sz w:val="7"/>
                <w:szCs w:val="7"/>
                <w:color w:val="auto"/>
              </w:rPr>
            </w:pPr>
          </w:p>
        </w:tc>
        <w:tc>
          <w:tcPr>
            <w:tcW w:w="80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1000" w:type="dxa"/>
            <w:vAlign w:val="bottom"/>
            <w:shd w:val="clear" w:color="auto" w:fill="0E2A35"/>
          </w:tcPr>
          <w:p>
            <w:pPr>
              <w:spacing w:after="0"/>
              <w:rPr>
                <w:sz w:val="7"/>
                <w:szCs w:val="7"/>
                <w:color w:val="auto"/>
              </w:rPr>
            </w:pPr>
          </w:p>
        </w:tc>
        <w:tc>
          <w:tcPr>
            <w:tcW w:w="2080" w:type="dxa"/>
            <w:vAlign w:val="bottom"/>
            <w:gridSpan w:val="3"/>
            <w:shd w:val="clear" w:color="auto" w:fill="0E2A35"/>
          </w:tcPr>
          <w:p>
            <w:pPr>
              <w:spacing w:after="0"/>
              <w:rPr>
                <w:sz w:val="7"/>
                <w:szCs w:val="7"/>
                <w:color w:val="auto"/>
              </w:rPr>
            </w:pPr>
          </w:p>
        </w:tc>
        <w:tc>
          <w:tcPr>
            <w:tcW w:w="1320" w:type="dxa"/>
            <w:vAlign w:val="bottom"/>
            <w:shd w:val="clear" w:color="auto" w:fill="0E2A35"/>
          </w:tcPr>
          <w:p>
            <w:pPr>
              <w:spacing w:after="0"/>
              <w:rPr>
                <w:sz w:val="7"/>
                <w:szCs w:val="7"/>
                <w:color w:val="auto"/>
              </w:rPr>
            </w:pPr>
          </w:p>
        </w:tc>
        <w:tc>
          <w:tcPr>
            <w:tcW w:w="1340" w:type="dxa"/>
            <w:vAlign w:val="bottom"/>
            <w:shd w:val="clear" w:color="auto" w:fill="0E2A35"/>
          </w:tcPr>
          <w:p>
            <w:pPr>
              <w:spacing w:after="0"/>
              <w:rPr>
                <w:sz w:val="7"/>
                <w:szCs w:val="7"/>
                <w:color w:val="auto"/>
              </w:rPr>
            </w:pPr>
          </w:p>
        </w:tc>
        <w:tc>
          <w:tcPr>
            <w:tcW w:w="820" w:type="dxa"/>
            <w:vAlign w:val="bottom"/>
            <w:gridSpan w:val="2"/>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1700" w:type="dxa"/>
            <w:vAlign w:val="bottom"/>
          </w:tcPr>
          <w:p>
            <w:pPr>
              <w:ind w:left="60"/>
              <w:spacing w:after="0"/>
              <w:rPr>
                <w:sz w:val="20"/>
                <w:szCs w:val="20"/>
                <w:color w:val="auto"/>
              </w:rPr>
            </w:pPr>
            <w:r>
              <w:rPr>
                <w:rFonts w:ascii="Arial" w:cs="Arial" w:eastAsia="Arial" w:hAnsi="Arial"/>
                <w:sz w:val="16"/>
                <w:szCs w:val="16"/>
                <w:color w:val="0E2A35"/>
              </w:rPr>
              <w:t>Net Revenue</w:t>
            </w:r>
          </w:p>
        </w:tc>
        <w:tc>
          <w:tcPr>
            <w:tcW w:w="800" w:type="dxa"/>
            <w:vAlign w:val="bottom"/>
          </w:tcPr>
          <w:p>
            <w:pPr>
              <w:ind w:left="240"/>
              <w:spacing w:after="0"/>
              <w:rPr>
                <w:sz w:val="20"/>
                <w:szCs w:val="20"/>
                <w:color w:val="auto"/>
              </w:rPr>
            </w:pPr>
            <w:r>
              <w:rPr>
                <w:rFonts w:ascii="Arial" w:cs="Arial" w:eastAsia="Arial" w:hAnsi="Arial"/>
                <w:sz w:val="16"/>
                <w:szCs w:val="16"/>
                <w:color w:val="0E2A35"/>
              </w:rPr>
              <w:t>40.0%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8"/>
              <w:spacing w:after="0"/>
              <w:rPr>
                <w:sz w:val="20"/>
                <w:szCs w:val="20"/>
                <w:color w:val="auto"/>
              </w:rPr>
            </w:pPr>
            <w:r>
              <w:rPr>
                <w:rFonts w:ascii="Arial" w:cs="Arial" w:eastAsia="Arial" w:hAnsi="Arial"/>
                <w:sz w:val="16"/>
                <w:szCs w:val="16"/>
                <w:color w:val="0E2A35"/>
                <w:w w:val="98"/>
              </w:rPr>
              <w:t>4,133,700</w:t>
            </w:r>
          </w:p>
        </w:tc>
        <w:tc>
          <w:tcPr>
            <w:tcW w:w="2080" w:type="dxa"/>
            <w:vAlign w:val="bottom"/>
            <w:gridSpan w:val="3"/>
          </w:tcPr>
          <w:p>
            <w:pPr>
              <w:jc w:val="center"/>
              <w:spacing w:after="0"/>
              <w:rPr>
                <w:sz w:val="20"/>
                <w:szCs w:val="20"/>
                <w:color w:val="auto"/>
              </w:rPr>
            </w:pPr>
            <w:r>
              <w:rPr>
                <w:rFonts w:ascii="Arial" w:cs="Arial" w:eastAsia="Arial" w:hAnsi="Arial"/>
                <w:sz w:val="16"/>
                <w:szCs w:val="16"/>
                <w:color w:val="0E2A35"/>
                <w:w w:val="99"/>
              </w:rPr>
              <w:t>​$4,765,900 — 4,960,400</w:t>
            </w:r>
          </w:p>
        </w:tc>
        <w:tc>
          <w:tcPr>
            <w:tcW w:w="1320" w:type="dxa"/>
            <w:vAlign w:val="bottom"/>
          </w:tcPr>
          <w:p>
            <w:pPr>
              <w:jc w:val="right"/>
              <w:ind w:right="306"/>
              <w:spacing w:after="0"/>
              <w:rPr>
                <w:sz w:val="20"/>
                <w:szCs w:val="20"/>
                <w:color w:val="auto"/>
              </w:rPr>
            </w:pPr>
            <w:r>
              <w:rPr>
                <w:rFonts w:ascii="Arial" w:cs="Arial" w:eastAsia="Arial" w:hAnsi="Arial"/>
                <w:sz w:val="16"/>
                <w:szCs w:val="16"/>
                <w:color w:val="0E2A35"/>
              </w:rPr>
              <w:t>$5,349,500</w:t>
            </w:r>
          </w:p>
        </w:tc>
        <w:tc>
          <w:tcPr>
            <w:tcW w:w="1340" w:type="dxa"/>
            <w:vAlign w:val="bottom"/>
          </w:tcPr>
          <w:p>
            <w:pPr>
              <w:jc w:val="right"/>
              <w:ind w:right="247"/>
              <w:spacing w:after="0"/>
              <w:rPr>
                <w:sz w:val="20"/>
                <w:szCs w:val="20"/>
                <w:color w:val="auto"/>
              </w:rPr>
            </w:pPr>
            <w:r>
              <w:rPr>
                <w:rFonts w:ascii="Arial" w:cs="Arial" w:eastAsia="Arial" w:hAnsi="Arial"/>
                <w:sz w:val="16"/>
                <w:szCs w:val="16"/>
                <w:color w:val="0E2A35"/>
              </w:rPr>
              <w:t>$​4,957,730</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​40.0%</w:t>
            </w:r>
          </w:p>
        </w:tc>
        <w:tc>
          <w:tcPr>
            <w:tcW w:w="0" w:type="dxa"/>
            <w:vAlign w:val="bottom"/>
          </w:tcPr>
          <w:p>
            <w:pPr>
              <w:spacing w:after="0"/>
              <w:rPr>
                <w:sz w:val="1"/>
                <w:szCs w:val="1"/>
                <w:color w:val="auto"/>
              </w:rPr>
            </w:pPr>
          </w:p>
        </w:tc>
      </w:tr>
      <w:tr>
        <w:trPr>
          <w:trHeight w:val="98"/>
        </w:trPr>
        <w:tc>
          <w:tcPr>
            <w:tcW w:w="17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56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ind w:left="60"/>
              <w:spacing w:after="0"/>
              <w:rPr>
                <w:sz w:val="20"/>
                <w:szCs w:val="20"/>
                <w:color w:val="auto"/>
              </w:rPr>
            </w:pPr>
            <w:r>
              <w:rPr>
                <w:rFonts w:ascii="Arial" w:cs="Arial" w:eastAsia="Arial" w:hAnsi="Arial"/>
                <w:sz w:val="16"/>
                <w:szCs w:val="16"/>
                <w:color w:val="0E2A35"/>
              </w:rPr>
              <w:t>Operating Income</w:t>
            </w:r>
          </w:p>
        </w:tc>
        <w:tc>
          <w:tcPr>
            <w:tcW w:w="800" w:type="dxa"/>
            <w:vAlign w:val="bottom"/>
          </w:tcPr>
          <w:p>
            <w:pPr>
              <w:ind w:left="240"/>
              <w:spacing w:after="0"/>
              <w:rPr>
                <w:sz w:val="20"/>
                <w:szCs w:val="20"/>
                <w:color w:val="auto"/>
              </w:rPr>
            </w:pPr>
            <w:r>
              <w:rPr>
                <w:rFonts w:ascii="Arial" w:cs="Arial" w:eastAsia="Arial" w:hAnsi="Arial"/>
                <w:sz w:val="16"/>
                <w:szCs w:val="16"/>
                <w:color w:val="0E2A35"/>
              </w:rPr>
              <w:t>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28"/>
              <w:spacing w:after="0"/>
              <w:rPr>
                <w:sz w:val="20"/>
                <w:szCs w:val="20"/>
                <w:color w:val="auto"/>
              </w:rPr>
            </w:pPr>
            <w:r>
              <w:rPr>
                <w:rFonts w:ascii="Arial" w:cs="Arial" w:eastAsia="Arial" w:hAnsi="Arial"/>
                <w:sz w:val="16"/>
                <w:szCs w:val="16"/>
                <w:color w:val="0E2A35"/>
              </w:rPr>
              <w:t>401,400</w:t>
            </w:r>
          </w:p>
        </w:tc>
        <w:tc>
          <w:tcPr>
            <w:tcW w:w="1000" w:type="dxa"/>
            <w:vAlign w:val="bottom"/>
          </w:tcPr>
          <w:p>
            <w:pPr>
              <w:jc w:val="right"/>
              <w:spacing w:after="0"/>
              <w:rPr>
                <w:sz w:val="20"/>
                <w:szCs w:val="20"/>
                <w:color w:val="auto"/>
              </w:rPr>
            </w:pPr>
            <w:r>
              <w:rPr>
                <w:rFonts w:ascii="Arial" w:cs="Arial" w:eastAsia="Arial" w:hAnsi="Arial"/>
                <w:sz w:val="16"/>
                <w:szCs w:val="16"/>
                <w:color w:val="0E2A35"/>
              </w:rPr>
              <w:t>$​525,200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ind w:left="20"/>
              <w:spacing w:after="0"/>
              <w:rPr>
                <w:sz w:val="20"/>
                <w:szCs w:val="20"/>
                <w:color w:val="auto"/>
              </w:rPr>
            </w:pPr>
            <w:r>
              <w:rPr>
                <w:rFonts w:ascii="Arial" w:cs="Arial" w:eastAsia="Arial" w:hAnsi="Arial"/>
                <w:sz w:val="16"/>
                <w:szCs w:val="16"/>
                <w:color w:val="0E2A35"/>
              </w:rPr>
              <w:t>545,200</w:t>
            </w:r>
          </w:p>
        </w:tc>
        <w:tc>
          <w:tcPr>
            <w:tcW w:w="1320" w:type="dxa"/>
            <w:vAlign w:val="bottom"/>
          </w:tcPr>
          <w:p>
            <w:pPr>
              <w:jc w:val="right"/>
              <w:ind w:right="306"/>
              <w:spacing w:after="0"/>
              <w:rPr>
                <w:sz w:val="20"/>
                <w:szCs w:val="20"/>
                <w:color w:val="auto"/>
              </w:rPr>
            </w:pPr>
            <w:r>
              <w:rPr>
                <w:rFonts w:ascii="Arial" w:cs="Arial" w:eastAsia="Arial" w:hAnsi="Arial"/>
                <w:sz w:val="16"/>
                <w:szCs w:val="16"/>
                <w:color w:val="0E2A35"/>
              </w:rPr>
              <w:t>$  615,500</w:t>
            </w:r>
          </w:p>
        </w:tc>
        <w:tc>
          <w:tcPr>
            <w:tcW w:w="1340" w:type="dxa"/>
            <w:vAlign w:val="bottom"/>
          </w:tcPr>
          <w:p>
            <w:pPr>
              <w:jc w:val="right"/>
              <w:ind w:right="247"/>
              <w:spacing w:after="0"/>
              <w:rPr>
                <w:sz w:val="20"/>
                <w:szCs w:val="20"/>
                <w:color w:val="auto"/>
              </w:rPr>
            </w:pPr>
            <w:r>
              <w:rPr>
                <w:rFonts w:ascii="Arial" w:cs="Arial" w:eastAsia="Arial" w:hAnsi="Arial"/>
                <w:sz w:val="16"/>
                <w:szCs w:val="16"/>
                <w:color w:val="0E2A35"/>
              </w:rPr>
              <w:t>$​  595,632​</w:t>
            </w:r>
          </w:p>
        </w:tc>
        <w:tc>
          <w:tcPr>
            <w:tcW w:w="560" w:type="dxa"/>
            <w:vAlign w:val="bottom"/>
          </w:tcPr>
          <w:p>
            <w:pPr>
              <w:jc w:val="right"/>
              <w:spacing w:after="0"/>
              <w:rPr>
                <w:sz w:val="20"/>
                <w:szCs w:val="20"/>
                <w:color w:val="auto"/>
              </w:rPr>
            </w:pPr>
            <w:r>
              <w:rPr>
                <w:rFonts w:ascii="Arial" w:cs="Arial" w:eastAsia="Arial" w:hAnsi="Arial"/>
                <w:sz w:val="16"/>
                <w:szCs w:val="16"/>
                <w:color w:val="0E2A35"/>
              </w:rPr>
              <w:t>85​</w:t>
            </w:r>
          </w:p>
        </w:tc>
        <w:tc>
          <w:tcPr>
            <w:tcW w:w="260" w:type="dxa"/>
            <w:vAlign w:val="bottom"/>
          </w:tcPr>
          <w:p>
            <w:pPr>
              <w:jc w:val="right"/>
              <w:spacing w:after="0"/>
              <w:rPr>
                <w:sz w:val="20"/>
                <w:szCs w:val="20"/>
                <w:color w:val="auto"/>
              </w:rPr>
            </w:pPr>
            <w:r>
              <w:rPr>
                <w:rFonts w:ascii="Arial" w:cs="Arial" w:eastAsia="Arial" w:hAnsi="Arial"/>
                <w:sz w:val="16"/>
                <w:szCs w:val="16"/>
                <w:color w:val="0E2A35"/>
                <w:w w:val="86"/>
              </w:rPr>
              <w:t>.9%</w:t>
            </w:r>
          </w:p>
        </w:tc>
        <w:tc>
          <w:tcPr>
            <w:tcW w:w="0" w:type="dxa"/>
            <w:vAlign w:val="bottom"/>
          </w:tcPr>
          <w:p>
            <w:pPr>
              <w:spacing w:after="0"/>
              <w:rPr>
                <w:sz w:val="1"/>
                <w:szCs w:val="1"/>
                <w:color w:val="auto"/>
              </w:rPr>
            </w:pPr>
          </w:p>
        </w:tc>
      </w:tr>
      <w:tr>
        <w:trPr>
          <w:trHeight w:val="98"/>
        </w:trPr>
        <w:tc>
          <w:tcPr>
            <w:tcW w:w="17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ind w:left="60"/>
              <w:spacing w:after="0"/>
              <w:rPr>
                <w:sz w:val="20"/>
                <w:szCs w:val="20"/>
                <w:color w:val="auto"/>
              </w:rPr>
            </w:pPr>
            <w:r>
              <w:rPr>
                <w:rFonts w:ascii="Arial" w:cs="Arial" w:eastAsia="Arial" w:hAnsi="Arial"/>
                <w:sz w:val="16"/>
                <w:szCs w:val="16"/>
                <w:color w:val="0E2A35"/>
              </w:rPr>
              <w:t>Net Working Capital</w:t>
            </w:r>
          </w:p>
        </w:tc>
        <w:tc>
          <w:tcPr>
            <w:tcW w:w="800" w:type="dxa"/>
            <w:vAlign w:val="bottom"/>
          </w:tcPr>
          <w:p>
            <w:pPr>
              <w:ind w:left="240"/>
              <w:spacing w:after="0"/>
              <w:rPr>
                <w:sz w:val="20"/>
                <w:szCs w:val="20"/>
                <w:color w:val="auto"/>
              </w:rPr>
            </w:pPr>
            <w:r>
              <w:rPr>
                <w:rFonts w:ascii="Arial" w:cs="Arial" w:eastAsia="Arial" w:hAnsi="Arial"/>
                <w:sz w:val="16"/>
                <w:szCs w:val="16"/>
                <w:color w:val="0E2A35"/>
              </w:rPr>
              <w:t>10.0%</w:t>
            </w:r>
          </w:p>
        </w:tc>
        <w:tc>
          <w:tcPr>
            <w:tcW w:w="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6"/>
                <w:szCs w:val="16"/>
                <w:color w:val="0E2A35"/>
              </w:rPr>
              <w:t>12​.3%</w:t>
            </w:r>
          </w:p>
        </w:tc>
        <w:tc>
          <w:tcPr>
            <w:tcW w:w="1000" w:type="dxa"/>
            <w:vAlign w:val="bottom"/>
          </w:tcPr>
          <w:p>
            <w:pPr>
              <w:jc w:val="right"/>
              <w:spacing w:after="0"/>
              <w:rPr>
                <w:sz w:val="20"/>
                <w:szCs w:val="20"/>
                <w:color w:val="auto"/>
              </w:rPr>
            </w:pPr>
            <w:r>
              <w:rPr>
                <w:rFonts w:ascii="Arial" w:cs="Arial" w:eastAsia="Arial" w:hAnsi="Arial"/>
                <w:sz w:val="16"/>
                <w:szCs w:val="16"/>
                <w:color w:val="0E2A35"/>
              </w:rPr>
              <w:t>​ 10.9%</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ind w:left="20"/>
              <w:spacing w:after="0"/>
              <w:rPr>
                <w:sz w:val="20"/>
                <w:szCs w:val="20"/>
                <w:color w:val="auto"/>
              </w:rPr>
            </w:pPr>
            <w:r>
              <w:rPr>
                <w:rFonts w:ascii="Arial" w:cs="Arial" w:eastAsia="Arial" w:hAnsi="Arial"/>
                <w:sz w:val="16"/>
                <w:szCs w:val="16"/>
                <w:color w:val="0E2A35"/>
              </w:rPr>
              <w:t>10.5%</w:t>
            </w:r>
          </w:p>
        </w:tc>
        <w:tc>
          <w:tcPr>
            <w:tcW w:w="1320" w:type="dxa"/>
            <w:vAlign w:val="bottom"/>
          </w:tcPr>
          <w:p>
            <w:pPr>
              <w:jc w:val="right"/>
              <w:ind w:right="126"/>
              <w:spacing w:after="0"/>
              <w:rPr>
                <w:sz w:val="20"/>
                <w:szCs w:val="20"/>
                <w:color w:val="auto"/>
              </w:rPr>
            </w:pPr>
            <w:r>
              <w:rPr>
                <w:rFonts w:ascii="Arial" w:cs="Arial" w:eastAsia="Arial" w:hAnsi="Arial"/>
                <w:sz w:val="16"/>
                <w:szCs w:val="16"/>
                <w:color w:val="0E2A35"/>
              </w:rPr>
              <w:t>9​.6%</w:t>
            </w:r>
          </w:p>
        </w:tc>
        <w:tc>
          <w:tcPr>
            <w:tcW w:w="1340" w:type="dxa"/>
            <w:vAlign w:val="bottom"/>
          </w:tcPr>
          <w:p>
            <w:pPr>
              <w:jc w:val="right"/>
              <w:ind w:right="67"/>
              <w:spacing w:after="0"/>
              <w:rPr>
                <w:sz w:val="20"/>
                <w:szCs w:val="20"/>
                <w:color w:val="auto"/>
              </w:rPr>
            </w:pPr>
            <w:r>
              <w:rPr>
                <w:rFonts w:ascii="Arial" w:cs="Arial" w:eastAsia="Arial" w:hAnsi="Arial"/>
                <w:sz w:val="16"/>
                <w:szCs w:val="16"/>
                <w:color w:val="0E2A35"/>
              </w:rPr>
              <w:t>12​.9%</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98"/>
        </w:trPr>
        <w:tc>
          <w:tcPr>
            <w:tcW w:w="17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660" w:type="dxa"/>
            <w:vAlign w:val="bottom"/>
            <w:tcBorders>
              <w:bottom w:val="single" w:sz="8" w:color="0E2A35"/>
            </w:tcBorders>
            <w:gridSpan w:val="2"/>
          </w:tcPr>
          <w:p>
            <w:pPr>
              <w:spacing w:after="0"/>
              <w:rPr>
                <w:sz w:val="8"/>
                <w:szCs w:val="8"/>
                <w:color w:val="auto"/>
              </w:rPr>
            </w:pPr>
          </w:p>
        </w:tc>
        <w:tc>
          <w:tcPr>
            <w:tcW w:w="56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jc w:val="right"/>
              <w:ind w:right="67"/>
              <w:spacing w:after="0"/>
              <w:rPr>
                <w:sz w:val="20"/>
                <w:szCs w:val="20"/>
                <w:color w:val="auto"/>
              </w:rPr>
            </w:pPr>
            <w:r>
              <w:rPr>
                <w:rFonts w:ascii="Arial" w:cs="Arial" w:eastAsia="Arial" w:hAnsi="Arial"/>
                <w:sz w:val="16"/>
                <w:szCs w:val="16"/>
                <w:color w:val="0E2A35"/>
              </w:rPr>
              <w:t>Total Payout Percentage</w:t>
            </w:r>
          </w:p>
        </w:tc>
        <w:tc>
          <w:tcPr>
            <w:tcW w:w="560" w:type="dxa"/>
            <w:vAlign w:val="bottom"/>
          </w:tcPr>
          <w:p>
            <w:pPr>
              <w:jc w:val="right"/>
              <w:spacing w:after="0"/>
              <w:rPr>
                <w:sz w:val="20"/>
                <w:szCs w:val="20"/>
                <w:color w:val="auto"/>
              </w:rPr>
            </w:pPr>
            <w:r>
              <w:rPr>
                <w:rFonts w:ascii="Arial" w:cs="Arial" w:eastAsia="Arial" w:hAnsi="Arial"/>
                <w:sz w:val="16"/>
                <w:szCs w:val="16"/>
                <w:color w:val="0E2A35"/>
              </w:rPr>
              <w:t>125​</w:t>
            </w:r>
          </w:p>
        </w:tc>
        <w:tc>
          <w:tcPr>
            <w:tcW w:w="260" w:type="dxa"/>
            <w:vAlign w:val="bottom"/>
          </w:tcPr>
          <w:p>
            <w:pPr>
              <w:jc w:val="right"/>
              <w:spacing w:after="0"/>
              <w:rPr>
                <w:sz w:val="20"/>
                <w:szCs w:val="20"/>
                <w:color w:val="auto"/>
              </w:rPr>
            </w:pPr>
            <w:r>
              <w:rPr>
                <w:rFonts w:ascii="Arial" w:cs="Arial" w:eastAsia="Arial" w:hAnsi="Arial"/>
                <w:sz w:val="16"/>
                <w:szCs w:val="16"/>
                <w:color w:val="0E2A35"/>
                <w:w w:val="86"/>
              </w:rPr>
              <w:t>.9%</w:t>
            </w:r>
          </w:p>
        </w:tc>
        <w:tc>
          <w:tcPr>
            <w:tcW w:w="0" w:type="dxa"/>
            <w:vAlign w:val="bottom"/>
          </w:tcPr>
          <w:p>
            <w:pPr>
              <w:spacing w:after="0"/>
              <w:rPr>
                <w:sz w:val="1"/>
                <w:szCs w:val="1"/>
                <w:color w:val="auto"/>
              </w:rPr>
            </w:pPr>
          </w:p>
        </w:tc>
      </w:tr>
      <w:tr>
        <w:trPr>
          <w:trHeight w:val="98"/>
        </w:trPr>
        <w:tc>
          <w:tcPr>
            <w:tcW w:w="17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660" w:type="dxa"/>
            <w:vAlign w:val="bottom"/>
            <w:tcBorders>
              <w:bottom w:val="single" w:sz="8" w:color="0E2A35"/>
            </w:tcBorders>
            <w:gridSpan w:val="2"/>
          </w:tcPr>
          <w:p>
            <w:pPr>
              <w:spacing w:after="0"/>
              <w:rPr>
                <w:sz w:val="8"/>
                <w:szCs w:val="8"/>
                <w:color w:val="auto"/>
              </w:rPr>
            </w:pPr>
          </w:p>
        </w:tc>
        <w:tc>
          <w:tcPr>
            <w:tcW w:w="8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jc w:val="right"/>
              <w:ind w:right="67"/>
              <w:spacing w:after="0"/>
              <w:rPr>
                <w:sz w:val="20"/>
                <w:szCs w:val="20"/>
                <w:color w:val="auto"/>
              </w:rPr>
            </w:pPr>
            <w:r>
              <w:rPr>
                <w:rFonts w:ascii="Arial" w:cs="Arial" w:eastAsia="Arial" w:hAnsi="Arial"/>
                <w:sz w:val="16"/>
                <w:szCs w:val="16"/>
                <w:color w:val="0E2A35"/>
              </w:rPr>
              <w:t>40% of Total Percentage</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50​.36%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8978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2" w:lineRule="exact"/>
        <w:rPr>
          <w:sz w:val="20"/>
          <w:szCs w:val="20"/>
          <w:color w:val="auto"/>
        </w:rPr>
      </w:pPr>
    </w:p>
    <w:p>
      <w:pPr>
        <w:ind w:left="360" w:right="100" w:hanging="360"/>
        <w:spacing w:after="0" w:line="243" w:lineRule="auto"/>
        <w:tabs>
          <w:tab w:leader="none" w:pos="36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1" w:lineRule="exact"/>
        <w:rPr>
          <w:rFonts w:ascii="Arial" w:cs="Arial" w:eastAsia="Arial" w:hAnsi="Arial"/>
          <w:sz w:val="13"/>
          <w:szCs w:val="13"/>
          <w:color w:val="0E2A35"/>
        </w:rPr>
      </w:pPr>
    </w:p>
    <w:p>
      <w:pPr>
        <w:ind w:left="360" w:right="340" w:hanging="360"/>
        <w:spacing w:after="0" w:line="243" w:lineRule="auto"/>
        <w:tabs>
          <w:tab w:leader="none" w:pos="36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(1) 40% Net Sales; (ii) 50% Operating Income; and (iii) 10% Net Working Capital.</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The 12-month fiscal year OICP period is weighted at 40% of the overall OICP weighting.</w:t>
      </w:r>
    </w:p>
    <w:p>
      <w:pPr>
        <w:spacing w:after="0" w:line="165"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the First Six-Month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shd w:val="clear" w:color="auto" w:fill="0E2A35"/>
          </w:tcPr>
          <w:p>
            <w:pPr>
              <w:spacing w:after="0"/>
              <w:rPr>
                <w:sz w:val="18"/>
                <w:szCs w:val="18"/>
                <w:color w:val="auto"/>
              </w:rPr>
            </w:pPr>
          </w:p>
        </w:tc>
        <w:tc>
          <w:tcPr>
            <w:tcW w:w="820" w:type="dxa"/>
            <w:vAlign w:val="bottom"/>
            <w:shd w:val="clear" w:color="auto" w:fill="0E2A35"/>
          </w:tcPr>
          <w:p>
            <w:pPr>
              <w:spacing w:after="0"/>
              <w:rPr>
                <w:sz w:val="18"/>
                <w:szCs w:val="18"/>
                <w:color w:val="auto"/>
              </w:rPr>
            </w:pPr>
          </w:p>
        </w:tc>
        <w:tc>
          <w:tcPr>
            <w:tcW w:w="200" w:type="dxa"/>
            <w:vAlign w:val="bottom"/>
            <w:shd w:val="clear" w:color="auto" w:fill="0E2A35"/>
          </w:tcPr>
          <w:p>
            <w:pPr>
              <w:spacing w:after="0"/>
              <w:rPr>
                <w:sz w:val="18"/>
                <w:szCs w:val="18"/>
                <w:color w:val="auto"/>
              </w:rPr>
            </w:pPr>
          </w:p>
        </w:tc>
        <w:tc>
          <w:tcPr>
            <w:tcW w:w="1000" w:type="dxa"/>
            <w:vAlign w:val="bottom"/>
            <w:shd w:val="clear" w:color="auto" w:fill="0E2A35"/>
          </w:tcPr>
          <w:p>
            <w:pPr>
              <w:jc w:val="center"/>
              <w:ind w:right="188"/>
              <w:spacing w:after="0"/>
              <w:rPr>
                <w:sz w:val="20"/>
                <w:szCs w:val="20"/>
                <w:color w:val="auto"/>
              </w:rPr>
            </w:pPr>
            <w:r>
              <w:rPr>
                <w:rFonts w:ascii="Arial" w:cs="Arial" w:eastAsia="Arial" w:hAnsi="Arial"/>
                <w:sz w:val="13"/>
                <w:szCs w:val="13"/>
                <w:b w:val="1"/>
                <w:bCs w:val="1"/>
                <w:color w:val="FFFFFF"/>
                <w:w w:val="98"/>
              </w:rPr>
              <w:t>Threshold</w:t>
            </w:r>
          </w:p>
        </w:tc>
        <w:tc>
          <w:tcPr>
            <w:tcW w:w="1180" w:type="dxa"/>
            <w:vAlign w:val="bottom"/>
            <w:gridSpan w:val="2"/>
            <w:shd w:val="clear" w:color="auto" w:fill="0E2A35"/>
          </w:tcPr>
          <w:p>
            <w:pPr>
              <w:jc w:val="center"/>
              <w:ind w:left="728"/>
              <w:spacing w:after="0"/>
              <w:rPr>
                <w:sz w:val="20"/>
                <w:szCs w:val="20"/>
                <w:color w:val="auto"/>
              </w:rPr>
            </w:pPr>
            <w:r>
              <w:rPr>
                <w:rFonts w:ascii="Arial" w:cs="Arial" w:eastAsia="Arial" w:hAnsi="Arial"/>
                <w:sz w:val="13"/>
                <w:szCs w:val="13"/>
                <w:b w:val="1"/>
                <w:bCs w:val="1"/>
                <w:color w:val="FFFFFF"/>
                <w:w w:val="95"/>
              </w:rPr>
              <w:t>Target</w:t>
            </w:r>
          </w:p>
        </w:tc>
        <w:tc>
          <w:tcPr>
            <w:tcW w:w="860" w:type="dxa"/>
            <w:vAlign w:val="bottom"/>
            <w:shd w:val="clear" w:color="auto" w:fill="0E2A35"/>
          </w:tcPr>
          <w:p>
            <w:pPr>
              <w:spacing w:after="0"/>
              <w:rPr>
                <w:sz w:val="18"/>
                <w:szCs w:val="18"/>
                <w:color w:val="auto"/>
              </w:rPr>
            </w:pPr>
          </w:p>
        </w:tc>
        <w:tc>
          <w:tcPr>
            <w:tcW w:w="1320" w:type="dxa"/>
            <w:vAlign w:val="bottom"/>
            <w:shd w:val="clear" w:color="auto" w:fill="0E2A35"/>
          </w:tcPr>
          <w:p>
            <w:pPr>
              <w:jc w:val="center"/>
              <w:ind w:right="26"/>
              <w:spacing w:after="0"/>
              <w:rPr>
                <w:sz w:val="20"/>
                <w:szCs w:val="20"/>
                <w:color w:val="auto"/>
              </w:rPr>
            </w:pPr>
            <w:r>
              <w:rPr>
                <w:rFonts w:ascii="Arial" w:cs="Arial" w:eastAsia="Arial" w:hAnsi="Arial"/>
                <w:sz w:val="13"/>
                <w:szCs w:val="13"/>
                <w:b w:val="1"/>
                <w:bCs w:val="1"/>
                <w:color w:val="FFFFFF"/>
                <w:w w:val="96"/>
              </w:rPr>
              <w:t>Maximum</w:t>
            </w:r>
          </w:p>
        </w:tc>
        <w:tc>
          <w:tcPr>
            <w:tcW w:w="1340" w:type="dxa"/>
            <w:vAlign w:val="bottom"/>
            <w:vMerge w:val="restart"/>
            <w:shd w:val="clear" w:color="auto" w:fill="0E2A35"/>
          </w:tcPr>
          <w:p>
            <w:pPr>
              <w:jc w:val="right"/>
              <w:ind w:right="347"/>
              <w:spacing w:after="0"/>
              <w:rPr>
                <w:sz w:val="20"/>
                <w:szCs w:val="20"/>
                <w:color w:val="auto"/>
              </w:rPr>
            </w:pPr>
            <w:r>
              <w:rPr>
                <w:rFonts w:ascii="Arial" w:cs="Arial" w:eastAsia="Arial" w:hAnsi="Arial"/>
                <w:sz w:val="13"/>
                <w:szCs w:val="13"/>
                <w:b w:val="1"/>
                <w:bCs w:val="1"/>
                <w:color w:val="FFFFFF"/>
              </w:rPr>
              <w:t>Fiscal 2022</w:t>
            </w:r>
          </w:p>
        </w:tc>
        <w:tc>
          <w:tcPr>
            <w:tcW w:w="820" w:type="dxa"/>
            <w:vAlign w:val="bottom"/>
            <w:gridSpan w:val="2"/>
            <w:shd w:val="clear" w:color="auto" w:fill="0E2A35"/>
          </w:tcPr>
          <w:p>
            <w:pPr>
              <w:ind w:left="260"/>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7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820" w:type="dxa"/>
            <w:vAlign w:val="bottom"/>
            <w:vMerge w:val="restart"/>
            <w:shd w:val="clear" w:color="auto" w:fill="0E2A35"/>
          </w:tcPr>
          <w:p>
            <w:pPr>
              <w:ind w:left="240"/>
              <w:spacing w:after="0"/>
              <w:rPr>
                <w:sz w:val="20"/>
                <w:szCs w:val="20"/>
                <w:color w:val="auto"/>
              </w:rPr>
            </w:pPr>
            <w:r>
              <w:rPr>
                <w:rFonts w:ascii="Arial" w:cs="Arial" w:eastAsia="Arial" w:hAnsi="Arial"/>
                <w:sz w:val="13"/>
                <w:szCs w:val="13"/>
                <w:b w:val="1"/>
                <w:bCs w:val="1"/>
                <w:color w:val="FFFFFF"/>
              </w:rPr>
              <w:t>Weight</w:t>
            </w:r>
          </w:p>
        </w:tc>
        <w:tc>
          <w:tcPr>
            <w:tcW w:w="2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188"/>
              <w:spacing w:after="0" w:line="135" w:lineRule="exact"/>
              <w:rPr>
                <w:sz w:val="20"/>
                <w:szCs w:val="20"/>
                <w:color w:val="auto"/>
              </w:rPr>
            </w:pPr>
            <w:r>
              <w:rPr>
                <w:rFonts w:ascii="Arial" w:cs="Arial" w:eastAsia="Arial" w:hAnsi="Arial"/>
                <w:sz w:val="13"/>
                <w:szCs w:val="13"/>
                <w:b w:val="1"/>
                <w:bCs w:val="1"/>
                <w:color w:val="FFFFFF"/>
                <w:w w:val="98"/>
              </w:rPr>
              <w:t>(25%</w:t>
            </w:r>
          </w:p>
        </w:tc>
        <w:tc>
          <w:tcPr>
            <w:tcW w:w="1180" w:type="dxa"/>
            <w:vAlign w:val="bottom"/>
            <w:gridSpan w:val="2"/>
            <w:shd w:val="clear" w:color="auto" w:fill="0E2A35"/>
          </w:tcPr>
          <w:p>
            <w:pPr>
              <w:jc w:val="center"/>
              <w:ind w:left="74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1320" w:type="dxa"/>
            <w:vAlign w:val="bottom"/>
            <w:shd w:val="clear" w:color="auto" w:fill="0E2A35"/>
          </w:tcPr>
          <w:p>
            <w:pPr>
              <w:jc w:val="center"/>
              <w:ind w:right="46"/>
              <w:spacing w:after="0" w:line="135" w:lineRule="exact"/>
              <w:rPr>
                <w:sz w:val="20"/>
                <w:szCs w:val="20"/>
                <w:color w:val="auto"/>
              </w:rPr>
            </w:pPr>
            <w:r>
              <w:rPr>
                <w:rFonts w:ascii="Arial" w:cs="Arial" w:eastAsia="Arial" w:hAnsi="Arial"/>
                <w:sz w:val="13"/>
                <w:szCs w:val="13"/>
                <w:b w:val="1"/>
                <w:bCs w:val="1"/>
                <w:color w:val="FFFFFF"/>
                <w:w w:val="95"/>
              </w:rPr>
              <w:t>(200%</w:t>
            </w:r>
          </w:p>
        </w:tc>
        <w:tc>
          <w:tcPr>
            <w:tcW w:w="1340" w:type="dxa"/>
            <w:vAlign w:val="bottom"/>
            <w:vMerge w:val="continue"/>
            <w:shd w:val="clear" w:color="auto" w:fill="0E2A35"/>
          </w:tcPr>
          <w:p>
            <w:pPr>
              <w:spacing w:after="0"/>
              <w:rPr>
                <w:sz w:val="11"/>
                <w:szCs w:val="11"/>
                <w:color w:val="auto"/>
              </w:rPr>
            </w:pPr>
          </w:p>
        </w:tc>
        <w:tc>
          <w:tcPr>
            <w:tcW w:w="820" w:type="dxa"/>
            <w:vAlign w:val="bottom"/>
            <w:gridSpan w:val="2"/>
            <w:shd w:val="clear" w:color="auto" w:fill="0E2A35"/>
          </w:tcPr>
          <w:p>
            <w:pPr>
              <w:jc w:val="right"/>
              <w:ind w:right="20"/>
              <w:spacing w:after="0" w:line="135" w:lineRule="exact"/>
              <w:rPr>
                <w:sz w:val="20"/>
                <w:szCs w:val="20"/>
                <w:color w:val="auto"/>
              </w:rPr>
            </w:pPr>
            <w:r>
              <w:rPr>
                <w:rFonts w:ascii="Arial" w:cs="Arial" w:eastAsia="Arial" w:hAnsi="Arial"/>
                <w:sz w:val="13"/>
                <w:szCs w:val="13"/>
                <w:b w:val="1"/>
                <w:bCs w:val="1"/>
                <w:color w:val="FFFFFF"/>
              </w:rPr>
              <w:t>Payout %</w:t>
            </w:r>
          </w:p>
        </w:tc>
        <w:tc>
          <w:tcPr>
            <w:tcW w:w="0" w:type="dxa"/>
            <w:vAlign w:val="bottom"/>
          </w:tcPr>
          <w:p>
            <w:pPr>
              <w:spacing w:after="0"/>
              <w:rPr>
                <w:sz w:val="1"/>
                <w:szCs w:val="1"/>
                <w:color w:val="auto"/>
              </w:rPr>
            </w:pPr>
          </w:p>
        </w:tc>
      </w:tr>
      <w:tr>
        <w:trPr>
          <w:trHeight w:val="172"/>
        </w:trPr>
        <w:tc>
          <w:tcPr>
            <w:tcW w:w="1740" w:type="dxa"/>
            <w:vAlign w:val="bottom"/>
            <w:vMerge w:val="continue"/>
            <w:shd w:val="clear" w:color="auto" w:fill="0E2A35"/>
          </w:tcPr>
          <w:p>
            <w:pPr>
              <w:spacing w:after="0"/>
              <w:rPr>
                <w:sz w:val="14"/>
                <w:szCs w:val="14"/>
                <w:color w:val="auto"/>
              </w:rPr>
            </w:pPr>
          </w:p>
        </w:tc>
        <w:tc>
          <w:tcPr>
            <w:tcW w:w="820" w:type="dxa"/>
            <w:vAlign w:val="bottom"/>
            <w:vMerge w:val="continue"/>
            <w:shd w:val="clear" w:color="auto" w:fill="0E2A35"/>
          </w:tcPr>
          <w:p>
            <w:pPr>
              <w:spacing w:after="0"/>
              <w:rPr>
                <w:sz w:val="14"/>
                <w:szCs w:val="14"/>
                <w:color w:val="auto"/>
              </w:rPr>
            </w:pPr>
          </w:p>
        </w:tc>
        <w:tc>
          <w:tcPr>
            <w:tcW w:w="200" w:type="dxa"/>
            <w:vAlign w:val="bottom"/>
            <w:shd w:val="clear" w:color="auto" w:fill="0E2A35"/>
          </w:tcPr>
          <w:p>
            <w:pPr>
              <w:spacing w:after="0"/>
              <w:rPr>
                <w:sz w:val="14"/>
                <w:szCs w:val="14"/>
                <w:color w:val="auto"/>
              </w:rPr>
            </w:pPr>
          </w:p>
        </w:tc>
        <w:tc>
          <w:tcPr>
            <w:tcW w:w="1000" w:type="dxa"/>
            <w:vAlign w:val="bottom"/>
            <w:shd w:val="clear" w:color="auto" w:fill="0E2A35"/>
          </w:tcPr>
          <w:p>
            <w:pPr>
              <w:jc w:val="center"/>
              <w:ind w:right="148"/>
              <w:spacing w:after="0"/>
              <w:rPr>
                <w:sz w:val="20"/>
                <w:szCs w:val="20"/>
                <w:color w:val="auto"/>
              </w:rPr>
            </w:pPr>
            <w:r>
              <w:rPr>
                <w:rFonts w:ascii="Arial" w:cs="Arial" w:eastAsia="Arial" w:hAnsi="Arial"/>
                <w:sz w:val="13"/>
                <w:szCs w:val="13"/>
                <w:b w:val="1"/>
                <w:bCs w:val="1"/>
                <w:color w:val="FFFFFF"/>
                <w:w w:val="96"/>
              </w:rPr>
              <w:t>Payout)</w:t>
            </w:r>
          </w:p>
        </w:tc>
        <w:tc>
          <w:tcPr>
            <w:tcW w:w="204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20" w:type="dxa"/>
            <w:vAlign w:val="bottom"/>
            <w:shd w:val="clear" w:color="auto" w:fill="0E2A35"/>
          </w:tcPr>
          <w:p>
            <w:pPr>
              <w:jc w:val="center"/>
              <w:ind w:right="6"/>
              <w:spacing w:after="0"/>
              <w:rPr>
                <w:sz w:val="20"/>
                <w:szCs w:val="20"/>
                <w:color w:val="auto"/>
              </w:rPr>
            </w:pPr>
            <w:r>
              <w:rPr>
                <w:rFonts w:ascii="Arial" w:cs="Arial" w:eastAsia="Arial" w:hAnsi="Arial"/>
                <w:sz w:val="13"/>
                <w:szCs w:val="13"/>
                <w:b w:val="1"/>
                <w:bCs w:val="1"/>
                <w:color w:val="FFFFFF"/>
              </w:rPr>
              <w:t>Payout)</w:t>
            </w:r>
          </w:p>
        </w:tc>
        <w:tc>
          <w:tcPr>
            <w:tcW w:w="1340" w:type="dxa"/>
            <w:vAlign w:val="bottom"/>
            <w:shd w:val="clear" w:color="auto" w:fill="0E2A35"/>
          </w:tcPr>
          <w:p>
            <w:pPr>
              <w:jc w:val="right"/>
              <w:ind w:right="267"/>
              <w:spacing w:after="0"/>
              <w:rPr>
                <w:sz w:val="20"/>
                <w:szCs w:val="20"/>
                <w:color w:val="auto"/>
              </w:rPr>
            </w:pPr>
            <w:r>
              <w:rPr>
                <w:rFonts w:ascii="Arial" w:cs="Arial" w:eastAsia="Arial" w:hAnsi="Arial"/>
                <w:sz w:val="13"/>
                <w:szCs w:val="13"/>
                <w:b w:val="1"/>
                <w:bCs w:val="1"/>
                <w:color w:val="FFFFFF"/>
              </w:rPr>
              <w:t>Performance</w:t>
            </w:r>
          </w:p>
        </w:tc>
        <w:tc>
          <w:tcPr>
            <w:tcW w:w="820" w:type="dxa"/>
            <w:vAlign w:val="bottom"/>
            <w:gridSpan w:val="2"/>
            <w:shd w:val="clear" w:color="auto" w:fill="0E2A35"/>
          </w:tcPr>
          <w:p>
            <w:pPr>
              <w:jc w:val="right"/>
              <w:spacing w:after="0"/>
              <w:rPr>
                <w:sz w:val="20"/>
                <w:szCs w:val="20"/>
                <w:color w:val="auto"/>
              </w:rPr>
            </w:pPr>
            <w:r>
              <w:rPr>
                <w:rFonts w:ascii="Arial" w:cs="Arial" w:eastAsia="Arial" w:hAnsi="Arial"/>
                <w:sz w:val="13"/>
                <w:szCs w:val="13"/>
                <w:b w:val="1"/>
                <w:bCs w:val="1"/>
                <w:color w:val="FFFFFF"/>
              </w:rPr>
              <w:t>(Weighted)</w:t>
            </w:r>
          </w:p>
        </w:tc>
        <w:tc>
          <w:tcPr>
            <w:tcW w:w="0" w:type="dxa"/>
            <w:vAlign w:val="bottom"/>
          </w:tcPr>
          <w:p>
            <w:pPr>
              <w:spacing w:after="0"/>
              <w:rPr>
                <w:sz w:val="1"/>
                <w:szCs w:val="1"/>
                <w:color w:val="auto"/>
              </w:rPr>
            </w:pPr>
          </w:p>
        </w:tc>
      </w:tr>
      <w:tr>
        <w:trPr>
          <w:trHeight w:val="89"/>
        </w:trPr>
        <w:tc>
          <w:tcPr>
            <w:tcW w:w="174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200" w:type="dxa"/>
            <w:vAlign w:val="bottom"/>
            <w:shd w:val="clear" w:color="auto" w:fill="0E2A35"/>
          </w:tcPr>
          <w:p>
            <w:pPr>
              <w:spacing w:after="0"/>
              <w:rPr>
                <w:sz w:val="7"/>
                <w:szCs w:val="7"/>
                <w:color w:val="auto"/>
              </w:rPr>
            </w:pPr>
          </w:p>
        </w:tc>
        <w:tc>
          <w:tcPr>
            <w:tcW w:w="1000" w:type="dxa"/>
            <w:vAlign w:val="bottom"/>
            <w:shd w:val="clear" w:color="auto" w:fill="0E2A35"/>
          </w:tcPr>
          <w:p>
            <w:pPr>
              <w:spacing w:after="0"/>
              <w:rPr>
                <w:sz w:val="7"/>
                <w:szCs w:val="7"/>
                <w:color w:val="auto"/>
              </w:rPr>
            </w:pPr>
          </w:p>
        </w:tc>
        <w:tc>
          <w:tcPr>
            <w:tcW w:w="96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1320" w:type="dxa"/>
            <w:vAlign w:val="bottom"/>
            <w:shd w:val="clear" w:color="auto" w:fill="0E2A35"/>
          </w:tcPr>
          <w:p>
            <w:pPr>
              <w:spacing w:after="0"/>
              <w:rPr>
                <w:sz w:val="7"/>
                <w:szCs w:val="7"/>
                <w:color w:val="auto"/>
              </w:rPr>
            </w:pPr>
          </w:p>
        </w:tc>
        <w:tc>
          <w:tcPr>
            <w:tcW w:w="1340" w:type="dxa"/>
            <w:vAlign w:val="bottom"/>
            <w:shd w:val="clear" w:color="auto" w:fill="0E2A35"/>
          </w:tcPr>
          <w:p>
            <w:pPr>
              <w:spacing w:after="0"/>
              <w:rPr>
                <w:sz w:val="7"/>
                <w:szCs w:val="7"/>
                <w:color w:val="auto"/>
              </w:rPr>
            </w:pPr>
          </w:p>
        </w:tc>
        <w:tc>
          <w:tcPr>
            <w:tcW w:w="820" w:type="dxa"/>
            <w:vAlign w:val="bottom"/>
            <w:gridSpan w:val="2"/>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1740" w:type="dxa"/>
            <w:vAlign w:val="bottom"/>
          </w:tcPr>
          <w:p>
            <w:pPr>
              <w:ind w:left="60"/>
              <w:spacing w:after="0"/>
              <w:rPr>
                <w:sz w:val="20"/>
                <w:szCs w:val="20"/>
                <w:color w:val="auto"/>
              </w:rPr>
            </w:pPr>
            <w:r>
              <w:rPr>
                <w:rFonts w:ascii="Arial" w:cs="Arial" w:eastAsia="Arial" w:hAnsi="Arial"/>
                <w:sz w:val="16"/>
                <w:szCs w:val="16"/>
                <w:color w:val="0E2A35"/>
              </w:rPr>
              <w:t>Net Revenue</w:t>
            </w:r>
          </w:p>
        </w:tc>
        <w:tc>
          <w:tcPr>
            <w:tcW w:w="820" w:type="dxa"/>
            <w:vAlign w:val="bottom"/>
          </w:tcPr>
          <w:p>
            <w:pPr>
              <w:ind w:left="260"/>
              <w:spacing w:after="0"/>
              <w:rPr>
                <w:sz w:val="20"/>
                <w:szCs w:val="20"/>
                <w:color w:val="auto"/>
              </w:rPr>
            </w:pPr>
            <w:r>
              <w:rPr>
                <w:rFonts w:ascii="Arial" w:cs="Arial" w:eastAsia="Arial" w:hAnsi="Arial"/>
                <w:sz w:val="16"/>
                <w:szCs w:val="16"/>
                <w:color w:val="0E2A35"/>
              </w:rPr>
              <w:t>40.0%</w:t>
            </w:r>
          </w:p>
        </w:tc>
        <w:tc>
          <w:tcPr>
            <w:tcW w:w="20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8"/>
              <w:spacing w:after="0"/>
              <w:rPr>
                <w:sz w:val="20"/>
                <w:szCs w:val="20"/>
                <w:color w:val="auto"/>
              </w:rPr>
            </w:pPr>
            <w:r>
              <w:rPr>
                <w:rFonts w:ascii="Arial" w:cs="Arial" w:eastAsia="Arial" w:hAnsi="Arial"/>
                <w:sz w:val="16"/>
                <w:szCs w:val="16"/>
                <w:color w:val="0E2A35"/>
                <w:w w:val="98"/>
              </w:rPr>
              <w:t>1,884,700</w:t>
            </w:r>
          </w:p>
        </w:tc>
        <w:tc>
          <w:tcPr>
            <w:tcW w:w="960" w:type="dxa"/>
            <w:vAlign w:val="bottom"/>
          </w:tcPr>
          <w:p>
            <w:pPr>
              <w:jc w:val="right"/>
              <w:spacing w:after="0"/>
              <w:rPr>
                <w:sz w:val="20"/>
                <w:szCs w:val="20"/>
                <w:color w:val="auto"/>
              </w:rPr>
            </w:pPr>
            <w:r>
              <w:rPr>
                <w:rFonts w:ascii="Arial" w:cs="Arial" w:eastAsia="Arial" w:hAnsi="Arial"/>
                <w:sz w:val="16"/>
                <w:szCs w:val="16"/>
                <w:color w:val="0E2A35"/>
              </w:rPr>
              <w:t>​$2,172,900</w:t>
            </w:r>
          </w:p>
        </w:tc>
        <w:tc>
          <w:tcPr>
            <w:tcW w:w="220" w:type="dxa"/>
            <w:vAlign w:val="bottom"/>
          </w:tcPr>
          <w:p>
            <w:pPr>
              <w:jc w:val="center"/>
              <w:spacing w:after="0"/>
              <w:rPr>
                <w:sz w:val="20"/>
                <w:szCs w:val="20"/>
                <w:color w:val="auto"/>
              </w:rPr>
            </w:pPr>
            <w:r>
              <w:rPr>
                <w:rFonts w:ascii="Arial" w:cs="Arial" w:eastAsia="Arial" w:hAnsi="Arial"/>
                <w:sz w:val="16"/>
                <w:szCs w:val="16"/>
                <w:color w:val="0E2A35"/>
                <w:w w:val="99"/>
              </w:rPr>
              <w:t>—</w:t>
            </w:r>
          </w:p>
        </w:tc>
        <w:tc>
          <w:tcPr>
            <w:tcW w:w="860" w:type="dxa"/>
            <w:vAlign w:val="bottom"/>
          </w:tcPr>
          <w:p>
            <w:pPr>
              <w:spacing w:after="0"/>
              <w:rPr>
                <w:sz w:val="20"/>
                <w:szCs w:val="20"/>
                <w:color w:val="auto"/>
              </w:rPr>
            </w:pPr>
            <w:r>
              <w:rPr>
                <w:rFonts w:ascii="Arial" w:cs="Arial" w:eastAsia="Arial" w:hAnsi="Arial"/>
                <w:sz w:val="16"/>
                <w:szCs w:val="16"/>
                <w:color w:val="0E2A35"/>
              </w:rPr>
              <w:t>2,261,600</w:t>
            </w:r>
          </w:p>
        </w:tc>
        <w:tc>
          <w:tcPr>
            <w:tcW w:w="1320" w:type="dxa"/>
            <w:vAlign w:val="bottom"/>
          </w:tcPr>
          <w:p>
            <w:pPr>
              <w:jc w:val="right"/>
              <w:ind w:right="306"/>
              <w:spacing w:after="0"/>
              <w:rPr>
                <w:sz w:val="20"/>
                <w:szCs w:val="20"/>
                <w:color w:val="auto"/>
              </w:rPr>
            </w:pPr>
            <w:r>
              <w:rPr>
                <w:rFonts w:ascii="Arial" w:cs="Arial" w:eastAsia="Arial" w:hAnsi="Arial"/>
                <w:sz w:val="16"/>
                <w:szCs w:val="16"/>
                <w:color w:val="0E2A35"/>
              </w:rPr>
              <w:t>$2,439,000</w:t>
            </w:r>
          </w:p>
        </w:tc>
        <w:tc>
          <w:tcPr>
            <w:tcW w:w="1340" w:type="dxa"/>
            <w:vAlign w:val="bottom"/>
          </w:tcPr>
          <w:p>
            <w:pPr>
              <w:jc w:val="right"/>
              <w:ind w:right="247"/>
              <w:spacing w:after="0"/>
              <w:rPr>
                <w:sz w:val="20"/>
                <w:szCs w:val="20"/>
                <w:color w:val="auto"/>
              </w:rPr>
            </w:pPr>
            <w:r>
              <w:rPr>
                <w:rFonts w:ascii="Arial" w:cs="Arial" w:eastAsia="Arial" w:hAnsi="Arial"/>
                <w:sz w:val="16"/>
                <w:szCs w:val="16"/>
                <w:color w:val="0E2A35"/>
              </w:rPr>
              <w:t>$​2,320,472</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 53.3%</w:t>
            </w:r>
          </w:p>
        </w:tc>
        <w:tc>
          <w:tcPr>
            <w:tcW w:w="0" w:type="dxa"/>
            <w:vAlign w:val="bottom"/>
          </w:tcPr>
          <w:p>
            <w:pPr>
              <w:spacing w:after="0"/>
              <w:rPr>
                <w:sz w:val="1"/>
                <w:szCs w:val="1"/>
                <w:color w:val="auto"/>
              </w:rPr>
            </w:pPr>
          </w:p>
        </w:tc>
      </w:tr>
      <w:tr>
        <w:trPr>
          <w:trHeight w:val="98"/>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ind w:left="60"/>
              <w:spacing w:after="0"/>
              <w:rPr>
                <w:sz w:val="20"/>
                <w:szCs w:val="20"/>
                <w:color w:val="auto"/>
              </w:rPr>
            </w:pPr>
            <w:r>
              <w:rPr>
                <w:rFonts w:ascii="Arial" w:cs="Arial" w:eastAsia="Arial" w:hAnsi="Arial"/>
                <w:sz w:val="16"/>
                <w:szCs w:val="16"/>
                <w:color w:val="0E2A35"/>
              </w:rPr>
              <w:t>Operating Income</w:t>
            </w:r>
          </w:p>
        </w:tc>
        <w:tc>
          <w:tcPr>
            <w:tcW w:w="820" w:type="dxa"/>
            <w:vAlign w:val="bottom"/>
          </w:tcPr>
          <w:p>
            <w:pPr>
              <w:ind w:left="260"/>
              <w:spacing w:after="0"/>
              <w:rPr>
                <w:sz w:val="20"/>
                <w:szCs w:val="20"/>
                <w:color w:val="auto"/>
              </w:rPr>
            </w:pPr>
            <w:r>
              <w:rPr>
                <w:rFonts w:ascii="Arial" w:cs="Arial" w:eastAsia="Arial" w:hAnsi="Arial"/>
                <w:sz w:val="16"/>
                <w:szCs w:val="16"/>
                <w:color w:val="0E2A35"/>
              </w:rPr>
              <w:t>50.0%</w:t>
            </w:r>
          </w:p>
        </w:tc>
        <w:tc>
          <w:tcPr>
            <w:tcW w:w="20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28"/>
              <w:spacing w:after="0"/>
              <w:rPr>
                <w:sz w:val="20"/>
                <w:szCs w:val="20"/>
                <w:color w:val="auto"/>
              </w:rPr>
            </w:pPr>
            <w:r>
              <w:rPr>
                <w:rFonts w:ascii="Arial" w:cs="Arial" w:eastAsia="Arial" w:hAnsi="Arial"/>
                <w:sz w:val="16"/>
                <w:szCs w:val="16"/>
                <w:color w:val="0E2A35"/>
              </w:rPr>
              <w:t>170,300​</w:t>
            </w:r>
          </w:p>
        </w:tc>
        <w:tc>
          <w:tcPr>
            <w:tcW w:w="960" w:type="dxa"/>
            <w:vAlign w:val="bottom"/>
          </w:tcPr>
          <w:p>
            <w:pPr>
              <w:jc w:val="right"/>
              <w:spacing w:after="0"/>
              <w:rPr>
                <w:sz w:val="20"/>
                <w:szCs w:val="20"/>
                <w:color w:val="auto"/>
              </w:rPr>
            </w:pPr>
            <w:r>
              <w:rPr>
                <w:rFonts w:ascii="Arial" w:cs="Arial" w:eastAsia="Arial" w:hAnsi="Arial"/>
                <w:sz w:val="16"/>
                <w:szCs w:val="16"/>
                <w:color w:val="0E2A35"/>
              </w:rPr>
              <w:t>$​223,100</w:t>
            </w:r>
          </w:p>
        </w:tc>
        <w:tc>
          <w:tcPr>
            <w:tcW w:w="220" w:type="dxa"/>
            <w:vAlign w:val="bottom"/>
          </w:tcPr>
          <w:p>
            <w:pPr>
              <w:jc w:val="center"/>
              <w:spacing w:after="0"/>
              <w:rPr>
                <w:sz w:val="20"/>
                <w:szCs w:val="20"/>
                <w:color w:val="auto"/>
              </w:rPr>
            </w:pPr>
            <w:r>
              <w:rPr>
                <w:rFonts w:ascii="Arial" w:cs="Arial" w:eastAsia="Arial" w:hAnsi="Arial"/>
                <w:sz w:val="16"/>
                <w:szCs w:val="16"/>
                <w:color w:val="0E2A35"/>
                <w:w w:val="99"/>
              </w:rPr>
              <w:t>—</w:t>
            </w:r>
          </w:p>
        </w:tc>
        <w:tc>
          <w:tcPr>
            <w:tcW w:w="860" w:type="dxa"/>
            <w:vAlign w:val="bottom"/>
          </w:tcPr>
          <w:p>
            <w:pPr>
              <w:spacing w:after="0"/>
              <w:rPr>
                <w:sz w:val="20"/>
                <w:szCs w:val="20"/>
                <w:color w:val="auto"/>
              </w:rPr>
            </w:pPr>
            <w:r>
              <w:rPr>
                <w:rFonts w:ascii="Arial" w:cs="Arial" w:eastAsia="Arial" w:hAnsi="Arial"/>
                <w:sz w:val="16"/>
                <w:szCs w:val="16"/>
                <w:color w:val="0E2A35"/>
              </w:rPr>
              <w:t>231,000</w:t>
            </w:r>
          </w:p>
        </w:tc>
        <w:tc>
          <w:tcPr>
            <w:tcW w:w="1320" w:type="dxa"/>
            <w:vAlign w:val="bottom"/>
          </w:tcPr>
          <w:p>
            <w:pPr>
              <w:jc w:val="right"/>
              <w:ind w:right="306"/>
              <w:spacing w:after="0"/>
              <w:rPr>
                <w:sz w:val="20"/>
                <w:szCs w:val="20"/>
                <w:color w:val="auto"/>
              </w:rPr>
            </w:pPr>
            <w:r>
              <w:rPr>
                <w:rFonts w:ascii="Arial" w:cs="Arial" w:eastAsia="Arial" w:hAnsi="Arial"/>
                <w:sz w:val="16"/>
                <w:szCs w:val="16"/>
                <w:color w:val="0E2A35"/>
              </w:rPr>
              <w:t>$  261,100</w:t>
            </w:r>
          </w:p>
        </w:tc>
        <w:tc>
          <w:tcPr>
            <w:tcW w:w="1340" w:type="dxa"/>
            <w:vAlign w:val="bottom"/>
          </w:tcPr>
          <w:p>
            <w:pPr>
              <w:jc w:val="right"/>
              <w:ind w:right="247"/>
              <w:spacing w:after="0"/>
              <w:rPr>
                <w:sz w:val="20"/>
                <w:szCs w:val="20"/>
                <w:color w:val="auto"/>
              </w:rPr>
            </w:pPr>
            <w:r>
              <w:rPr>
                <w:rFonts w:ascii="Arial" w:cs="Arial" w:eastAsia="Arial" w:hAnsi="Arial"/>
                <w:sz w:val="16"/>
                <w:szCs w:val="16"/>
                <w:color w:val="0E2A35"/>
              </w:rPr>
              <w:t>$​  283,137​</w:t>
            </w:r>
          </w:p>
        </w:tc>
        <w:tc>
          <w:tcPr>
            <w:tcW w:w="520" w:type="dxa"/>
            <w:vAlign w:val="bottom"/>
          </w:tcPr>
          <w:p>
            <w:pPr>
              <w:ind w:left="260"/>
              <w:spacing w:after="0"/>
              <w:rPr>
                <w:sz w:val="20"/>
                <w:szCs w:val="20"/>
                <w:color w:val="auto"/>
              </w:rPr>
            </w:pPr>
            <w:r>
              <w:rPr>
                <w:rFonts w:ascii="Arial" w:cs="Arial" w:eastAsia="Arial" w:hAnsi="Arial"/>
                <w:sz w:val="16"/>
                <w:szCs w:val="16"/>
                <w:color w:val="0E2A35"/>
                <w:w w:val="89"/>
              </w:rPr>
              <w:t>100​</w:t>
            </w:r>
          </w:p>
        </w:tc>
        <w:tc>
          <w:tcPr>
            <w:tcW w:w="300" w:type="dxa"/>
            <w:vAlign w:val="bottom"/>
          </w:tcPr>
          <w:p>
            <w:pPr>
              <w:jc w:val="right"/>
              <w:spacing w:after="0"/>
              <w:rPr>
                <w:sz w:val="20"/>
                <w:szCs w:val="20"/>
                <w:color w:val="auto"/>
              </w:rPr>
            </w:pPr>
            <w:r>
              <w:rPr>
                <w:rFonts w:ascii="Arial" w:cs="Arial" w:eastAsia="Arial" w:hAnsi="Arial"/>
                <w:sz w:val="16"/>
                <w:szCs w:val="16"/>
                <w:color w:val="0E2A35"/>
                <w:w w:val="94"/>
              </w:rPr>
              <w:t>.0%</w:t>
            </w:r>
          </w:p>
        </w:tc>
        <w:tc>
          <w:tcPr>
            <w:tcW w:w="0" w:type="dxa"/>
            <w:vAlign w:val="bottom"/>
          </w:tcPr>
          <w:p>
            <w:pPr>
              <w:spacing w:after="0"/>
              <w:rPr>
                <w:sz w:val="1"/>
                <w:szCs w:val="1"/>
                <w:color w:val="auto"/>
              </w:rPr>
            </w:pPr>
          </w:p>
        </w:tc>
      </w:tr>
      <w:tr>
        <w:trPr>
          <w:trHeight w:val="98"/>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3"/>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ind w:left="60"/>
              <w:spacing w:after="0"/>
              <w:rPr>
                <w:sz w:val="20"/>
                <w:szCs w:val="20"/>
                <w:color w:val="auto"/>
              </w:rPr>
            </w:pPr>
            <w:r>
              <w:rPr>
                <w:rFonts w:ascii="Arial" w:cs="Arial" w:eastAsia="Arial" w:hAnsi="Arial"/>
                <w:sz w:val="16"/>
                <w:szCs w:val="16"/>
                <w:color w:val="0E2A35"/>
              </w:rPr>
              <w:t>Net Working Capital</w:t>
            </w:r>
          </w:p>
        </w:tc>
        <w:tc>
          <w:tcPr>
            <w:tcW w:w="820" w:type="dxa"/>
            <w:vAlign w:val="bottom"/>
          </w:tcPr>
          <w:p>
            <w:pPr>
              <w:ind w:left="260"/>
              <w:spacing w:after="0"/>
              <w:rPr>
                <w:sz w:val="20"/>
                <w:szCs w:val="20"/>
                <w:color w:val="auto"/>
              </w:rPr>
            </w:pPr>
            <w:r>
              <w:rPr>
                <w:rFonts w:ascii="Arial" w:cs="Arial" w:eastAsia="Arial" w:hAnsi="Arial"/>
                <w:sz w:val="16"/>
                <w:szCs w:val="16"/>
                <w:color w:val="0E2A35"/>
              </w:rPr>
              <w:t>10.0%</w:t>
            </w:r>
          </w:p>
        </w:tc>
        <w:tc>
          <w:tcPr>
            <w:tcW w:w="2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6"/>
                <w:szCs w:val="16"/>
                <w:color w:val="0E2A35"/>
              </w:rPr>
              <w:t>13​.8%</w:t>
            </w:r>
          </w:p>
        </w:tc>
        <w:tc>
          <w:tcPr>
            <w:tcW w:w="2040" w:type="dxa"/>
            <w:vAlign w:val="bottom"/>
            <w:gridSpan w:val="3"/>
          </w:tcPr>
          <w:p>
            <w:pPr>
              <w:jc w:val="center"/>
              <w:spacing w:after="0"/>
              <w:rPr>
                <w:sz w:val="20"/>
                <w:szCs w:val="20"/>
                <w:color w:val="auto"/>
              </w:rPr>
            </w:pPr>
            <w:r>
              <w:rPr>
                <w:rFonts w:ascii="Arial" w:cs="Arial" w:eastAsia="Arial" w:hAnsi="Arial"/>
                <w:sz w:val="16"/>
                <w:szCs w:val="16"/>
                <w:color w:val="0E2A35"/>
                <w:w w:val="98"/>
              </w:rPr>
              <w:t>12​.2% — 11.7%</w:t>
            </w:r>
          </w:p>
        </w:tc>
        <w:tc>
          <w:tcPr>
            <w:tcW w:w="1320" w:type="dxa"/>
            <w:vAlign w:val="bottom"/>
          </w:tcPr>
          <w:p>
            <w:pPr>
              <w:jc w:val="right"/>
              <w:ind w:right="126"/>
              <w:spacing w:after="0"/>
              <w:rPr>
                <w:sz w:val="20"/>
                <w:szCs w:val="20"/>
                <w:color w:val="auto"/>
              </w:rPr>
            </w:pPr>
            <w:r>
              <w:rPr>
                <w:rFonts w:ascii="Arial" w:cs="Arial" w:eastAsia="Arial" w:hAnsi="Arial"/>
                <w:sz w:val="16"/>
                <w:szCs w:val="16"/>
                <w:color w:val="0E2A35"/>
              </w:rPr>
              <w:t>10​.8%</w:t>
            </w:r>
          </w:p>
        </w:tc>
        <w:tc>
          <w:tcPr>
            <w:tcW w:w="1340" w:type="dxa"/>
            <w:vAlign w:val="bottom"/>
          </w:tcPr>
          <w:p>
            <w:pPr>
              <w:jc w:val="right"/>
              <w:ind w:right="67"/>
              <w:spacing w:after="0"/>
              <w:rPr>
                <w:sz w:val="20"/>
                <w:szCs w:val="20"/>
                <w:color w:val="auto"/>
              </w:rPr>
            </w:pPr>
            <w:r>
              <w:rPr>
                <w:rFonts w:ascii="Arial" w:cs="Arial" w:eastAsia="Arial" w:hAnsi="Arial"/>
                <w:sz w:val="16"/>
                <w:szCs w:val="16"/>
                <w:color w:val="0E2A35"/>
              </w:rPr>
              <w:t>13​.78%</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99"/>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660" w:type="dxa"/>
            <w:vAlign w:val="bottom"/>
            <w:tcBorders>
              <w:bottom w:val="single" w:sz="8" w:color="0E2A35"/>
            </w:tcBorders>
            <w:gridSpan w:val="2"/>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jc w:val="right"/>
              <w:ind w:right="67"/>
              <w:spacing w:after="0"/>
              <w:rPr>
                <w:sz w:val="20"/>
                <w:szCs w:val="20"/>
                <w:color w:val="auto"/>
              </w:rPr>
            </w:pPr>
            <w:r>
              <w:rPr>
                <w:rFonts w:ascii="Arial" w:cs="Arial" w:eastAsia="Arial" w:hAnsi="Arial"/>
                <w:sz w:val="16"/>
                <w:szCs w:val="16"/>
                <w:color w:val="0E2A35"/>
              </w:rPr>
              <w:t>Total Payout Percentage</w:t>
            </w:r>
          </w:p>
        </w:tc>
        <w:tc>
          <w:tcPr>
            <w:tcW w:w="520" w:type="dxa"/>
            <w:vAlign w:val="bottom"/>
          </w:tcPr>
          <w:p>
            <w:pPr>
              <w:ind w:left="260"/>
              <w:spacing w:after="0"/>
              <w:rPr>
                <w:sz w:val="20"/>
                <w:szCs w:val="20"/>
                <w:color w:val="auto"/>
              </w:rPr>
            </w:pPr>
            <w:r>
              <w:rPr>
                <w:rFonts w:ascii="Arial" w:cs="Arial" w:eastAsia="Arial" w:hAnsi="Arial"/>
                <w:sz w:val="16"/>
                <w:szCs w:val="16"/>
                <w:color w:val="0E2A35"/>
                <w:w w:val="89"/>
              </w:rPr>
              <w:t>153​</w:t>
            </w:r>
          </w:p>
        </w:tc>
        <w:tc>
          <w:tcPr>
            <w:tcW w:w="300" w:type="dxa"/>
            <w:vAlign w:val="bottom"/>
          </w:tcPr>
          <w:p>
            <w:pPr>
              <w:jc w:val="right"/>
              <w:spacing w:after="0"/>
              <w:rPr>
                <w:sz w:val="20"/>
                <w:szCs w:val="20"/>
                <w:color w:val="auto"/>
              </w:rPr>
            </w:pPr>
            <w:r>
              <w:rPr>
                <w:rFonts w:ascii="Arial" w:cs="Arial" w:eastAsia="Arial" w:hAnsi="Arial"/>
                <w:sz w:val="16"/>
                <w:szCs w:val="16"/>
                <w:color w:val="0E2A35"/>
                <w:w w:val="94"/>
              </w:rPr>
              <w:t>.3%</w:t>
            </w:r>
          </w:p>
        </w:tc>
        <w:tc>
          <w:tcPr>
            <w:tcW w:w="0" w:type="dxa"/>
            <w:vAlign w:val="bottom"/>
          </w:tcPr>
          <w:p>
            <w:pPr>
              <w:spacing w:after="0"/>
              <w:rPr>
                <w:sz w:val="1"/>
                <w:szCs w:val="1"/>
                <w:color w:val="auto"/>
              </w:rPr>
            </w:pPr>
          </w:p>
        </w:tc>
      </w:tr>
      <w:tr>
        <w:trPr>
          <w:trHeight w:val="98"/>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660" w:type="dxa"/>
            <w:vAlign w:val="bottom"/>
            <w:tcBorders>
              <w:bottom w:val="single" w:sz="8" w:color="0E2A35"/>
            </w:tcBorders>
            <w:gridSpan w:val="2"/>
          </w:tcPr>
          <w:p>
            <w:pPr>
              <w:spacing w:after="0"/>
              <w:rPr>
                <w:sz w:val="8"/>
                <w:szCs w:val="8"/>
                <w:color w:val="auto"/>
              </w:rPr>
            </w:pPr>
          </w:p>
        </w:tc>
        <w:tc>
          <w:tcPr>
            <w:tcW w:w="8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jc w:val="right"/>
              <w:ind w:right="67"/>
              <w:spacing w:after="0"/>
              <w:rPr>
                <w:sz w:val="20"/>
                <w:szCs w:val="20"/>
                <w:color w:val="auto"/>
              </w:rPr>
            </w:pPr>
            <w:r>
              <w:rPr>
                <w:rFonts w:ascii="Arial" w:cs="Arial" w:eastAsia="Arial" w:hAnsi="Arial"/>
                <w:sz w:val="16"/>
                <w:szCs w:val="16"/>
                <w:color w:val="0E2A35"/>
              </w:rPr>
              <w:t>30% of Total Percentage</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45​.99%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8978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2" w:lineRule="exact"/>
        <w:rPr>
          <w:sz w:val="20"/>
          <w:szCs w:val="20"/>
          <w:color w:val="auto"/>
        </w:rPr>
      </w:pPr>
    </w:p>
    <w:p>
      <w:pPr>
        <w:ind w:left="360" w:right="100" w:hanging="360"/>
        <w:spacing w:after="0" w:line="243" w:lineRule="auto"/>
        <w:tabs>
          <w:tab w:leader="none" w:pos="36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1" w:lineRule="exact"/>
        <w:rPr>
          <w:rFonts w:ascii="Arial" w:cs="Arial" w:eastAsia="Arial" w:hAnsi="Arial"/>
          <w:sz w:val="13"/>
          <w:szCs w:val="13"/>
          <w:color w:val="0E2A35"/>
        </w:rPr>
      </w:pPr>
    </w:p>
    <w:p>
      <w:pPr>
        <w:ind w:left="360" w:right="20" w:hanging="360"/>
        <w:spacing w:after="0" w:line="243" w:lineRule="auto"/>
        <w:tabs>
          <w:tab w:leader="none" w:pos="36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(i) 40% Net Sales, (ii) 50% Operating Income and (iii) 10% Net Working Capital.</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The first 6-month fiscal year OICP period is weighted at 30% of the overall OICP weighting.</w:t>
      </w:r>
    </w:p>
    <w:p>
      <w:pPr>
        <w:spacing w:after="0" w:line="178" w:lineRule="exact"/>
        <w:rPr>
          <w:sz w:val="20"/>
          <w:szCs w:val="20"/>
          <w:color w:val="auto"/>
        </w:rPr>
      </w:pPr>
    </w:p>
    <w:p>
      <w:pPr>
        <w:ind w:right="580"/>
        <w:spacing w:after="0" w:line="282"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the Second Six-Month Fiscal Year Period</w:t>
      </w:r>
      <w:r>
        <w:rPr>
          <w:rFonts w:ascii="Arial" w:cs="Arial" w:eastAsia="Arial" w:hAnsi="Arial"/>
          <w:sz w:val="26"/>
          <w:szCs w:val="26"/>
          <w:color w:val="0E2A35"/>
          <w:vertAlign w:val="superscript"/>
        </w:rPr>
        <w:t>(1)(2)(3)</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4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180" w:type="dxa"/>
            <w:vAlign w:val="bottom"/>
            <w:gridSpan w:val="2"/>
            <w:shd w:val="clear" w:color="auto" w:fill="0E2A35"/>
          </w:tcPr>
          <w:p>
            <w:pPr>
              <w:jc w:val="center"/>
              <w:ind w:left="728"/>
              <w:spacing w:after="0"/>
              <w:rPr>
                <w:sz w:val="20"/>
                <w:szCs w:val="20"/>
                <w:color w:val="auto"/>
              </w:rPr>
            </w:pPr>
            <w:r>
              <w:rPr>
                <w:rFonts w:ascii="Arial" w:cs="Arial" w:eastAsia="Arial" w:hAnsi="Arial"/>
                <w:sz w:val="13"/>
                <w:szCs w:val="13"/>
                <w:b w:val="1"/>
                <w:bCs w:val="1"/>
                <w:color w:val="FFFFFF"/>
                <w:w w:val="95"/>
              </w:rPr>
              <w:t>Target</w:t>
            </w:r>
          </w:p>
        </w:tc>
        <w:tc>
          <w:tcPr>
            <w:tcW w:w="860" w:type="dxa"/>
            <w:vAlign w:val="bottom"/>
            <w:shd w:val="clear" w:color="auto" w:fill="0E2A35"/>
          </w:tcPr>
          <w:p>
            <w:pPr>
              <w:spacing w:after="0"/>
              <w:rPr>
                <w:sz w:val="19"/>
                <w:szCs w:val="19"/>
                <w:color w:val="auto"/>
              </w:rPr>
            </w:pPr>
          </w:p>
        </w:tc>
        <w:tc>
          <w:tcPr>
            <w:tcW w:w="1300" w:type="dxa"/>
            <w:vAlign w:val="bottom"/>
            <w:shd w:val="clear" w:color="auto" w:fill="0E2A35"/>
          </w:tcPr>
          <w:p>
            <w:pPr>
              <w:jc w:val="center"/>
              <w:ind w:right="6"/>
              <w:spacing w:after="0"/>
              <w:rPr>
                <w:sz w:val="20"/>
                <w:szCs w:val="20"/>
                <w:color w:val="auto"/>
              </w:rPr>
            </w:pPr>
            <w:r>
              <w:rPr>
                <w:rFonts w:ascii="Arial" w:cs="Arial" w:eastAsia="Arial" w:hAnsi="Arial"/>
                <w:sz w:val="13"/>
                <w:szCs w:val="13"/>
                <w:b w:val="1"/>
                <w:bCs w:val="1"/>
                <w:color w:val="FFFFFF"/>
                <w:w w:val="96"/>
              </w:rPr>
              <w:t>Maximum</w:t>
            </w:r>
          </w:p>
        </w:tc>
        <w:tc>
          <w:tcPr>
            <w:tcW w:w="1320" w:type="dxa"/>
            <w:vAlign w:val="bottom"/>
            <w:vMerge w:val="restart"/>
            <w:shd w:val="clear" w:color="auto" w:fill="0E2A35"/>
          </w:tcPr>
          <w:p>
            <w:pPr>
              <w:jc w:val="right"/>
              <w:ind w:right="327"/>
              <w:spacing w:after="0"/>
              <w:rPr>
                <w:sz w:val="20"/>
                <w:szCs w:val="20"/>
                <w:color w:val="auto"/>
              </w:rPr>
            </w:pPr>
            <w:r>
              <w:rPr>
                <w:rFonts w:ascii="Arial" w:cs="Arial" w:eastAsia="Arial" w:hAnsi="Arial"/>
                <w:sz w:val="13"/>
                <w:szCs w:val="13"/>
                <w:b w:val="1"/>
                <w:bCs w:val="1"/>
                <w:color w:val="FFFFFF"/>
              </w:rPr>
              <w:t>Fiscal 2022</w:t>
            </w:r>
          </w:p>
        </w:tc>
        <w:tc>
          <w:tcPr>
            <w:tcW w:w="820" w:type="dxa"/>
            <w:vAlign w:val="bottom"/>
            <w:gridSpan w:val="2"/>
            <w:shd w:val="clear" w:color="auto" w:fill="0E2A35"/>
          </w:tcPr>
          <w:p>
            <w:pPr>
              <w:jc w:val="center"/>
              <w:ind w:left="6"/>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7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820" w:type="dxa"/>
            <w:vAlign w:val="bottom"/>
            <w:vMerge w:val="restart"/>
            <w:shd w:val="clear" w:color="auto" w:fill="0E2A35"/>
          </w:tcPr>
          <w:p>
            <w:pPr>
              <w:ind w:left="240"/>
              <w:spacing w:after="0"/>
              <w:rPr>
                <w:sz w:val="20"/>
                <w:szCs w:val="20"/>
                <w:color w:val="auto"/>
              </w:rPr>
            </w:pPr>
            <w:r>
              <w:rPr>
                <w:rFonts w:ascii="Arial" w:cs="Arial" w:eastAsia="Arial" w:hAnsi="Arial"/>
                <w:sz w:val="13"/>
                <w:szCs w:val="13"/>
                <w:b w:val="1"/>
                <w:bCs w:val="1"/>
                <w:color w:val="FFFFFF"/>
              </w:rPr>
              <w:t>Weight</w:t>
            </w:r>
          </w:p>
        </w:tc>
        <w:tc>
          <w:tcPr>
            <w:tcW w:w="12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(25%</w:t>
            </w:r>
          </w:p>
        </w:tc>
        <w:tc>
          <w:tcPr>
            <w:tcW w:w="1180" w:type="dxa"/>
            <w:vAlign w:val="bottom"/>
            <w:gridSpan w:val="2"/>
            <w:shd w:val="clear" w:color="auto" w:fill="0E2A35"/>
          </w:tcPr>
          <w:p>
            <w:pPr>
              <w:jc w:val="center"/>
              <w:ind w:left="74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1300" w:type="dxa"/>
            <w:vAlign w:val="bottom"/>
            <w:shd w:val="clear" w:color="auto" w:fill="0E2A35"/>
          </w:tcPr>
          <w:p>
            <w:pPr>
              <w:jc w:val="center"/>
              <w:ind w:right="26"/>
              <w:spacing w:after="0" w:line="135" w:lineRule="exact"/>
              <w:rPr>
                <w:sz w:val="20"/>
                <w:szCs w:val="20"/>
                <w:color w:val="auto"/>
              </w:rPr>
            </w:pPr>
            <w:r>
              <w:rPr>
                <w:rFonts w:ascii="Arial" w:cs="Arial" w:eastAsia="Arial" w:hAnsi="Arial"/>
                <w:sz w:val="13"/>
                <w:szCs w:val="13"/>
                <w:b w:val="1"/>
                <w:bCs w:val="1"/>
                <w:color w:val="FFFFFF"/>
                <w:w w:val="95"/>
              </w:rPr>
              <w:t>(200%</w:t>
            </w:r>
          </w:p>
        </w:tc>
        <w:tc>
          <w:tcPr>
            <w:tcW w:w="1320" w:type="dxa"/>
            <w:vAlign w:val="bottom"/>
            <w:vMerge w:val="continue"/>
            <w:shd w:val="clear" w:color="auto" w:fill="0E2A35"/>
          </w:tcPr>
          <w:p>
            <w:pPr>
              <w:spacing w:after="0"/>
              <w:rPr>
                <w:sz w:val="11"/>
                <w:szCs w:val="11"/>
                <w:color w:val="auto"/>
              </w:rPr>
            </w:pPr>
          </w:p>
        </w:tc>
        <w:tc>
          <w:tcPr>
            <w:tcW w:w="82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2"/>
        </w:trPr>
        <w:tc>
          <w:tcPr>
            <w:tcW w:w="1740" w:type="dxa"/>
            <w:vAlign w:val="bottom"/>
            <w:vMerge w:val="continue"/>
            <w:shd w:val="clear" w:color="auto" w:fill="0E2A35"/>
          </w:tcPr>
          <w:p>
            <w:pPr>
              <w:spacing w:after="0"/>
              <w:rPr>
                <w:sz w:val="14"/>
                <w:szCs w:val="14"/>
                <w:color w:val="auto"/>
              </w:rPr>
            </w:pPr>
          </w:p>
        </w:tc>
        <w:tc>
          <w:tcPr>
            <w:tcW w:w="820" w:type="dxa"/>
            <w:vAlign w:val="bottom"/>
            <w:vMerge w:val="continue"/>
            <w:shd w:val="clear" w:color="auto" w:fill="0E2A35"/>
          </w:tcPr>
          <w:p>
            <w:pPr>
              <w:spacing w:after="0"/>
              <w:rPr>
                <w:sz w:val="14"/>
                <w:szCs w:val="14"/>
                <w:color w:val="auto"/>
              </w:rPr>
            </w:pP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04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Payout)</w:t>
            </w:r>
          </w:p>
        </w:tc>
        <w:tc>
          <w:tcPr>
            <w:tcW w:w="1320" w:type="dxa"/>
            <w:vAlign w:val="bottom"/>
            <w:shd w:val="clear" w:color="auto" w:fill="0E2A35"/>
          </w:tcPr>
          <w:p>
            <w:pPr>
              <w:jc w:val="right"/>
              <w:ind w:right="247"/>
              <w:spacing w:after="0"/>
              <w:rPr>
                <w:sz w:val="20"/>
                <w:szCs w:val="20"/>
                <w:color w:val="auto"/>
              </w:rPr>
            </w:pPr>
            <w:r>
              <w:rPr>
                <w:rFonts w:ascii="Arial" w:cs="Arial" w:eastAsia="Arial" w:hAnsi="Arial"/>
                <w:sz w:val="13"/>
                <w:szCs w:val="13"/>
                <w:b w:val="1"/>
                <w:bCs w:val="1"/>
                <w:color w:val="FFFFFF"/>
              </w:rPr>
              <w:t>Performance</w:t>
            </w:r>
          </w:p>
        </w:tc>
        <w:tc>
          <w:tcPr>
            <w:tcW w:w="820" w:type="dxa"/>
            <w:vAlign w:val="bottom"/>
            <w:gridSpan w:val="2"/>
            <w:shd w:val="clear" w:color="auto" w:fill="0E2A35"/>
          </w:tcPr>
          <w:p>
            <w:pPr>
              <w:jc w:val="center"/>
              <w:ind w:left="26"/>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89"/>
        </w:trPr>
        <w:tc>
          <w:tcPr>
            <w:tcW w:w="174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96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1300" w:type="dxa"/>
            <w:vAlign w:val="bottom"/>
            <w:shd w:val="clear" w:color="auto" w:fill="0E2A35"/>
          </w:tcPr>
          <w:p>
            <w:pPr>
              <w:spacing w:after="0"/>
              <w:rPr>
                <w:sz w:val="7"/>
                <w:szCs w:val="7"/>
                <w:color w:val="auto"/>
              </w:rPr>
            </w:pPr>
          </w:p>
        </w:tc>
        <w:tc>
          <w:tcPr>
            <w:tcW w:w="1320" w:type="dxa"/>
            <w:vAlign w:val="bottom"/>
            <w:shd w:val="clear" w:color="auto" w:fill="0E2A35"/>
          </w:tcPr>
          <w:p>
            <w:pPr>
              <w:spacing w:after="0"/>
              <w:rPr>
                <w:sz w:val="7"/>
                <w:szCs w:val="7"/>
                <w:color w:val="auto"/>
              </w:rPr>
            </w:pPr>
          </w:p>
        </w:tc>
        <w:tc>
          <w:tcPr>
            <w:tcW w:w="560" w:type="dxa"/>
            <w:vAlign w:val="bottom"/>
            <w:shd w:val="clear" w:color="auto" w:fill="0E2A35"/>
          </w:tcPr>
          <w:p>
            <w:pPr>
              <w:spacing w:after="0"/>
              <w:rPr>
                <w:sz w:val="7"/>
                <w:szCs w:val="7"/>
                <w:color w:val="auto"/>
              </w:rPr>
            </w:pPr>
          </w:p>
        </w:tc>
        <w:tc>
          <w:tcPr>
            <w:tcW w:w="26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1740" w:type="dxa"/>
            <w:vAlign w:val="bottom"/>
          </w:tcPr>
          <w:p>
            <w:pPr>
              <w:ind w:left="60"/>
              <w:spacing w:after="0"/>
              <w:rPr>
                <w:sz w:val="20"/>
                <w:szCs w:val="20"/>
                <w:color w:val="auto"/>
              </w:rPr>
            </w:pPr>
            <w:r>
              <w:rPr>
                <w:rFonts w:ascii="Arial" w:cs="Arial" w:eastAsia="Arial" w:hAnsi="Arial"/>
                <w:sz w:val="16"/>
                <w:szCs w:val="16"/>
                <w:color w:val="0E2A35"/>
              </w:rPr>
              <w:t>Net Revenue</w:t>
            </w:r>
          </w:p>
        </w:tc>
        <w:tc>
          <w:tcPr>
            <w:tcW w:w="820" w:type="dxa"/>
            <w:vAlign w:val="bottom"/>
          </w:tcPr>
          <w:p>
            <w:pPr>
              <w:ind w:left="260"/>
              <w:spacing w:after="0"/>
              <w:rPr>
                <w:sz w:val="20"/>
                <w:szCs w:val="20"/>
                <w:color w:val="auto"/>
              </w:rPr>
            </w:pPr>
            <w:r>
              <w:rPr>
                <w:rFonts w:ascii="Arial" w:cs="Arial" w:eastAsia="Arial" w:hAnsi="Arial"/>
                <w:sz w:val="16"/>
                <w:szCs w:val="16"/>
                <w:color w:val="0E2A35"/>
              </w:rPr>
              <w:t>40.0%</w:t>
            </w:r>
          </w:p>
        </w:tc>
        <w:tc>
          <w:tcPr>
            <w:tcW w:w="1240" w:type="dxa"/>
            <w:vAlign w:val="bottom"/>
          </w:tcPr>
          <w:p>
            <w:pPr>
              <w:jc w:val="right"/>
              <w:ind w:right="248"/>
              <w:spacing w:after="0"/>
              <w:rPr>
                <w:sz w:val="20"/>
                <w:szCs w:val="20"/>
                <w:color w:val="auto"/>
              </w:rPr>
            </w:pPr>
            <w:r>
              <w:rPr>
                <w:rFonts w:ascii="Arial" w:cs="Arial" w:eastAsia="Arial" w:hAnsi="Arial"/>
                <w:sz w:val="16"/>
                <w:szCs w:val="16"/>
                <w:color w:val="0E2A35"/>
              </w:rPr>
              <w:t>$2,249,000</w:t>
            </w:r>
          </w:p>
        </w:tc>
        <w:tc>
          <w:tcPr>
            <w:tcW w:w="960" w:type="dxa"/>
            <w:vAlign w:val="bottom"/>
          </w:tcPr>
          <w:p>
            <w:pPr>
              <w:jc w:val="right"/>
              <w:spacing w:after="0"/>
              <w:rPr>
                <w:sz w:val="20"/>
                <w:szCs w:val="20"/>
                <w:color w:val="auto"/>
              </w:rPr>
            </w:pPr>
            <w:r>
              <w:rPr>
                <w:rFonts w:ascii="Arial" w:cs="Arial" w:eastAsia="Arial" w:hAnsi="Arial"/>
                <w:sz w:val="16"/>
                <w:szCs w:val="16"/>
                <w:color w:val="0E2A35"/>
              </w:rPr>
              <w:t>$​2,593,000</w:t>
            </w:r>
          </w:p>
        </w:tc>
        <w:tc>
          <w:tcPr>
            <w:tcW w:w="220" w:type="dxa"/>
            <w:vAlign w:val="bottom"/>
          </w:tcPr>
          <w:p>
            <w:pPr>
              <w:jc w:val="center"/>
              <w:spacing w:after="0"/>
              <w:rPr>
                <w:sz w:val="20"/>
                <w:szCs w:val="20"/>
                <w:color w:val="auto"/>
              </w:rPr>
            </w:pPr>
            <w:r>
              <w:rPr>
                <w:rFonts w:ascii="Arial" w:cs="Arial" w:eastAsia="Arial" w:hAnsi="Arial"/>
                <w:sz w:val="16"/>
                <w:szCs w:val="16"/>
                <w:color w:val="0E2A35"/>
                <w:w w:val="99"/>
              </w:rPr>
              <w:t>—</w:t>
            </w:r>
          </w:p>
        </w:tc>
        <w:tc>
          <w:tcPr>
            <w:tcW w:w="860" w:type="dxa"/>
            <w:vAlign w:val="bottom"/>
          </w:tcPr>
          <w:p>
            <w:pPr>
              <w:spacing w:after="0"/>
              <w:rPr>
                <w:sz w:val="20"/>
                <w:szCs w:val="20"/>
                <w:color w:val="auto"/>
              </w:rPr>
            </w:pPr>
            <w:r>
              <w:rPr>
                <w:rFonts w:ascii="Arial" w:cs="Arial" w:eastAsia="Arial" w:hAnsi="Arial"/>
                <w:sz w:val="16"/>
                <w:szCs w:val="16"/>
                <w:color w:val="0E2A35"/>
              </w:rPr>
              <w:t>2,698,800</w:t>
            </w:r>
          </w:p>
        </w:tc>
        <w:tc>
          <w:tcPr>
            <w:tcW w:w="1300" w:type="dxa"/>
            <w:vAlign w:val="bottom"/>
          </w:tcPr>
          <w:p>
            <w:pPr>
              <w:jc w:val="right"/>
              <w:ind w:right="286"/>
              <w:spacing w:after="0"/>
              <w:rPr>
                <w:sz w:val="20"/>
                <w:szCs w:val="20"/>
                <w:color w:val="auto"/>
              </w:rPr>
            </w:pPr>
            <w:r>
              <w:rPr>
                <w:rFonts w:ascii="Arial" w:cs="Arial" w:eastAsia="Arial" w:hAnsi="Arial"/>
                <w:sz w:val="16"/>
                <w:szCs w:val="16"/>
                <w:color w:val="0E2A35"/>
              </w:rPr>
              <w:t>$2,910,500</w:t>
            </w:r>
          </w:p>
        </w:tc>
        <w:tc>
          <w:tcPr>
            <w:tcW w:w="1320" w:type="dxa"/>
            <w:vAlign w:val="bottom"/>
          </w:tcPr>
          <w:p>
            <w:pPr>
              <w:jc w:val="right"/>
              <w:ind w:right="227"/>
              <w:spacing w:after="0"/>
              <w:rPr>
                <w:sz w:val="20"/>
                <w:szCs w:val="20"/>
                <w:color w:val="auto"/>
              </w:rPr>
            </w:pPr>
            <w:r>
              <w:rPr>
                <w:rFonts w:ascii="Arial" w:cs="Arial" w:eastAsia="Arial" w:hAnsi="Arial"/>
                <w:sz w:val="16"/>
                <w:szCs w:val="16"/>
                <w:color w:val="0E2A35"/>
              </w:rPr>
              <w:t>$​2,637,258</w:t>
            </w:r>
          </w:p>
        </w:tc>
        <w:tc>
          <w:tcPr>
            <w:tcW w:w="560" w:type="dxa"/>
            <w:vAlign w:val="bottom"/>
          </w:tcPr>
          <w:p>
            <w:pPr>
              <w:jc w:val="center"/>
              <w:ind w:left="306"/>
              <w:spacing w:after="0"/>
              <w:rPr>
                <w:sz w:val="20"/>
                <w:szCs w:val="20"/>
                <w:color w:val="auto"/>
              </w:rPr>
            </w:pPr>
            <w:r>
              <w:rPr>
                <w:rFonts w:ascii="Arial" w:cs="Arial" w:eastAsia="Arial" w:hAnsi="Arial"/>
                <w:sz w:val="16"/>
                <w:szCs w:val="16"/>
                <w:color w:val="0E2A35"/>
              </w:rPr>
              <w:t>40​</w:t>
            </w:r>
          </w:p>
        </w:tc>
        <w:tc>
          <w:tcPr>
            <w:tcW w:w="260" w:type="dxa"/>
            <w:vAlign w:val="bottom"/>
          </w:tcPr>
          <w:p>
            <w:pPr>
              <w:jc w:val="right"/>
              <w:spacing w:after="0"/>
              <w:rPr>
                <w:sz w:val="20"/>
                <w:szCs w:val="20"/>
                <w:color w:val="auto"/>
              </w:rPr>
            </w:pPr>
            <w:r>
              <w:rPr>
                <w:rFonts w:ascii="Arial" w:cs="Arial" w:eastAsia="Arial" w:hAnsi="Arial"/>
                <w:sz w:val="16"/>
                <w:szCs w:val="16"/>
                <w:color w:val="0E2A35"/>
                <w:w w:val="86"/>
              </w:rPr>
              <w:t>.0%</w:t>
            </w:r>
          </w:p>
        </w:tc>
        <w:tc>
          <w:tcPr>
            <w:tcW w:w="0" w:type="dxa"/>
            <w:vAlign w:val="bottom"/>
          </w:tcPr>
          <w:p>
            <w:pPr>
              <w:spacing w:after="0"/>
              <w:rPr>
                <w:sz w:val="1"/>
                <w:szCs w:val="1"/>
                <w:color w:val="auto"/>
              </w:rPr>
            </w:pPr>
          </w:p>
        </w:tc>
      </w:tr>
      <w:tr>
        <w:trPr>
          <w:trHeight w:val="98"/>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56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ind w:left="60"/>
              <w:spacing w:after="0"/>
              <w:rPr>
                <w:sz w:val="20"/>
                <w:szCs w:val="20"/>
                <w:color w:val="auto"/>
              </w:rPr>
            </w:pPr>
            <w:r>
              <w:rPr>
                <w:rFonts w:ascii="Arial" w:cs="Arial" w:eastAsia="Arial" w:hAnsi="Arial"/>
                <w:sz w:val="16"/>
                <w:szCs w:val="16"/>
                <w:color w:val="0E2A35"/>
              </w:rPr>
              <w:t>Operating Income</w:t>
            </w:r>
          </w:p>
        </w:tc>
        <w:tc>
          <w:tcPr>
            <w:tcW w:w="820" w:type="dxa"/>
            <w:vAlign w:val="bottom"/>
          </w:tcPr>
          <w:p>
            <w:pPr>
              <w:ind w:left="260"/>
              <w:spacing w:after="0"/>
              <w:rPr>
                <w:sz w:val="20"/>
                <w:szCs w:val="20"/>
                <w:color w:val="auto"/>
              </w:rPr>
            </w:pPr>
            <w:r>
              <w:rPr>
                <w:rFonts w:ascii="Arial" w:cs="Arial" w:eastAsia="Arial" w:hAnsi="Arial"/>
                <w:sz w:val="16"/>
                <w:szCs w:val="16"/>
                <w:color w:val="0E2A35"/>
              </w:rPr>
              <w:t>50.0%</w:t>
            </w:r>
          </w:p>
        </w:tc>
        <w:tc>
          <w:tcPr>
            <w:tcW w:w="1240" w:type="dxa"/>
            <w:vAlign w:val="bottom"/>
          </w:tcPr>
          <w:p>
            <w:pPr>
              <w:jc w:val="right"/>
              <w:ind w:right="248"/>
              <w:spacing w:after="0"/>
              <w:rPr>
                <w:sz w:val="20"/>
                <w:szCs w:val="20"/>
                <w:color w:val="auto"/>
              </w:rPr>
            </w:pPr>
            <w:r>
              <w:rPr>
                <w:rFonts w:ascii="Arial" w:cs="Arial" w:eastAsia="Arial" w:hAnsi="Arial"/>
                <w:sz w:val="16"/>
                <w:szCs w:val="16"/>
                <w:color w:val="0E2A35"/>
              </w:rPr>
              <w:t>$  231,000​</w:t>
            </w:r>
          </w:p>
        </w:tc>
        <w:tc>
          <w:tcPr>
            <w:tcW w:w="960" w:type="dxa"/>
            <w:vAlign w:val="bottom"/>
          </w:tcPr>
          <w:p>
            <w:pPr>
              <w:jc w:val="right"/>
              <w:spacing w:after="0"/>
              <w:rPr>
                <w:sz w:val="20"/>
                <w:szCs w:val="20"/>
                <w:color w:val="auto"/>
              </w:rPr>
            </w:pPr>
            <w:r>
              <w:rPr>
                <w:rFonts w:ascii="Arial" w:cs="Arial" w:eastAsia="Arial" w:hAnsi="Arial"/>
                <w:sz w:val="16"/>
                <w:szCs w:val="16"/>
                <w:color w:val="0E2A35"/>
              </w:rPr>
              <w:t>$​302,100</w:t>
            </w:r>
          </w:p>
        </w:tc>
        <w:tc>
          <w:tcPr>
            <w:tcW w:w="220" w:type="dxa"/>
            <w:vAlign w:val="bottom"/>
          </w:tcPr>
          <w:p>
            <w:pPr>
              <w:jc w:val="center"/>
              <w:spacing w:after="0"/>
              <w:rPr>
                <w:sz w:val="20"/>
                <w:szCs w:val="20"/>
                <w:color w:val="auto"/>
              </w:rPr>
            </w:pPr>
            <w:r>
              <w:rPr>
                <w:rFonts w:ascii="Arial" w:cs="Arial" w:eastAsia="Arial" w:hAnsi="Arial"/>
                <w:sz w:val="16"/>
                <w:szCs w:val="16"/>
                <w:color w:val="0E2A35"/>
                <w:w w:val="99"/>
              </w:rPr>
              <w:t>—</w:t>
            </w:r>
          </w:p>
        </w:tc>
        <w:tc>
          <w:tcPr>
            <w:tcW w:w="860" w:type="dxa"/>
            <w:vAlign w:val="bottom"/>
          </w:tcPr>
          <w:p>
            <w:pPr>
              <w:spacing w:after="0"/>
              <w:rPr>
                <w:sz w:val="20"/>
                <w:szCs w:val="20"/>
                <w:color w:val="auto"/>
              </w:rPr>
            </w:pPr>
            <w:r>
              <w:rPr>
                <w:rFonts w:ascii="Arial" w:cs="Arial" w:eastAsia="Arial" w:hAnsi="Arial"/>
                <w:sz w:val="16"/>
                <w:szCs w:val="16"/>
                <w:color w:val="0E2A35"/>
              </w:rPr>
              <w:t>314,200</w:t>
            </w:r>
          </w:p>
        </w:tc>
        <w:tc>
          <w:tcPr>
            <w:tcW w:w="1300" w:type="dxa"/>
            <w:vAlign w:val="bottom"/>
          </w:tcPr>
          <w:p>
            <w:pPr>
              <w:jc w:val="right"/>
              <w:ind w:right="286"/>
              <w:spacing w:after="0"/>
              <w:rPr>
                <w:sz w:val="20"/>
                <w:szCs w:val="20"/>
                <w:color w:val="auto"/>
              </w:rPr>
            </w:pPr>
            <w:r>
              <w:rPr>
                <w:rFonts w:ascii="Arial" w:cs="Arial" w:eastAsia="Arial" w:hAnsi="Arial"/>
                <w:sz w:val="16"/>
                <w:szCs w:val="16"/>
                <w:color w:val="0E2A35"/>
              </w:rPr>
              <w:t>$  354,400​</w:t>
            </w:r>
          </w:p>
        </w:tc>
        <w:tc>
          <w:tcPr>
            <w:tcW w:w="1320" w:type="dxa"/>
            <w:vAlign w:val="bottom"/>
          </w:tcPr>
          <w:p>
            <w:pPr>
              <w:jc w:val="right"/>
              <w:ind w:right="227"/>
              <w:spacing w:after="0"/>
              <w:rPr>
                <w:sz w:val="20"/>
                <w:szCs w:val="20"/>
                <w:color w:val="auto"/>
              </w:rPr>
            </w:pPr>
            <w:r>
              <w:rPr>
                <w:rFonts w:ascii="Arial" w:cs="Arial" w:eastAsia="Arial" w:hAnsi="Arial"/>
                <w:sz w:val="16"/>
                <w:szCs w:val="16"/>
                <w:color w:val="0E2A35"/>
              </w:rPr>
              <w:t>$​  312,495​</w:t>
            </w:r>
          </w:p>
        </w:tc>
        <w:tc>
          <w:tcPr>
            <w:tcW w:w="560" w:type="dxa"/>
            <w:vAlign w:val="bottom"/>
          </w:tcPr>
          <w:p>
            <w:pPr>
              <w:jc w:val="center"/>
              <w:ind w:left="306"/>
              <w:spacing w:after="0"/>
              <w:rPr>
                <w:sz w:val="20"/>
                <w:szCs w:val="20"/>
                <w:color w:val="auto"/>
              </w:rPr>
            </w:pPr>
            <w:r>
              <w:rPr>
                <w:rFonts w:ascii="Arial" w:cs="Arial" w:eastAsia="Arial" w:hAnsi="Arial"/>
                <w:sz w:val="16"/>
                <w:szCs w:val="16"/>
                <w:color w:val="0E2A35"/>
              </w:rPr>
              <w:t>50​</w:t>
            </w:r>
          </w:p>
        </w:tc>
        <w:tc>
          <w:tcPr>
            <w:tcW w:w="260" w:type="dxa"/>
            <w:vAlign w:val="bottom"/>
          </w:tcPr>
          <w:p>
            <w:pPr>
              <w:jc w:val="right"/>
              <w:spacing w:after="0"/>
              <w:rPr>
                <w:sz w:val="20"/>
                <w:szCs w:val="20"/>
                <w:color w:val="auto"/>
              </w:rPr>
            </w:pPr>
            <w:r>
              <w:rPr>
                <w:rFonts w:ascii="Arial" w:cs="Arial" w:eastAsia="Arial" w:hAnsi="Arial"/>
                <w:sz w:val="16"/>
                <w:szCs w:val="16"/>
                <w:color w:val="0E2A35"/>
                <w:w w:val="86"/>
              </w:rPr>
              <w:t>.0%</w:t>
            </w:r>
          </w:p>
        </w:tc>
        <w:tc>
          <w:tcPr>
            <w:tcW w:w="0" w:type="dxa"/>
            <w:vAlign w:val="bottom"/>
          </w:tcPr>
          <w:p>
            <w:pPr>
              <w:spacing w:after="0"/>
              <w:rPr>
                <w:sz w:val="1"/>
                <w:szCs w:val="1"/>
                <w:color w:val="auto"/>
              </w:rPr>
            </w:pPr>
          </w:p>
        </w:tc>
      </w:tr>
      <w:tr>
        <w:trPr>
          <w:trHeight w:val="98"/>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3"/>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ind w:left="60"/>
              <w:spacing w:after="0"/>
              <w:rPr>
                <w:sz w:val="20"/>
                <w:szCs w:val="20"/>
                <w:color w:val="auto"/>
              </w:rPr>
            </w:pPr>
            <w:r>
              <w:rPr>
                <w:rFonts w:ascii="Arial" w:cs="Arial" w:eastAsia="Arial" w:hAnsi="Arial"/>
                <w:sz w:val="16"/>
                <w:szCs w:val="16"/>
                <w:color w:val="0E2A35"/>
              </w:rPr>
              <w:t>Net Working Capital</w:t>
            </w:r>
          </w:p>
        </w:tc>
        <w:tc>
          <w:tcPr>
            <w:tcW w:w="820" w:type="dxa"/>
            <w:vAlign w:val="bottom"/>
          </w:tcPr>
          <w:p>
            <w:pPr>
              <w:ind w:left="260"/>
              <w:spacing w:after="0"/>
              <w:rPr>
                <w:sz w:val="20"/>
                <w:szCs w:val="20"/>
                <w:color w:val="auto"/>
              </w:rPr>
            </w:pPr>
            <w:r>
              <w:rPr>
                <w:rFonts w:ascii="Arial" w:cs="Arial" w:eastAsia="Arial" w:hAnsi="Arial"/>
                <w:sz w:val="16"/>
                <w:szCs w:val="16"/>
                <w:color w:val="0E2A35"/>
              </w:rPr>
              <w:t>10.0%</w:t>
            </w:r>
          </w:p>
        </w:tc>
        <w:tc>
          <w:tcPr>
            <w:tcW w:w="1240" w:type="dxa"/>
            <w:vAlign w:val="bottom"/>
          </w:tcPr>
          <w:p>
            <w:pPr>
              <w:jc w:val="right"/>
              <w:ind w:right="68"/>
              <w:spacing w:after="0"/>
              <w:rPr>
                <w:sz w:val="20"/>
                <w:szCs w:val="20"/>
                <w:color w:val="auto"/>
              </w:rPr>
            </w:pPr>
            <w:r>
              <w:rPr>
                <w:rFonts w:ascii="Arial" w:cs="Arial" w:eastAsia="Arial" w:hAnsi="Arial"/>
                <w:sz w:val="16"/>
                <w:szCs w:val="16"/>
                <w:color w:val="0E2A35"/>
              </w:rPr>
              <w:t>12.7%</w:t>
            </w:r>
          </w:p>
        </w:tc>
        <w:tc>
          <w:tcPr>
            <w:tcW w:w="2040" w:type="dxa"/>
            <w:vAlign w:val="bottom"/>
            <w:gridSpan w:val="3"/>
          </w:tcPr>
          <w:p>
            <w:pPr>
              <w:jc w:val="center"/>
              <w:spacing w:after="0"/>
              <w:rPr>
                <w:sz w:val="20"/>
                <w:szCs w:val="20"/>
                <w:color w:val="auto"/>
              </w:rPr>
            </w:pPr>
            <w:r>
              <w:rPr>
                <w:rFonts w:ascii="Arial" w:cs="Arial" w:eastAsia="Arial" w:hAnsi="Arial"/>
                <w:sz w:val="16"/>
                <w:szCs w:val="16"/>
                <w:color w:val="0E2A35"/>
                <w:w w:val="98"/>
              </w:rPr>
              <w:t>11​.3% — 10.8%</w:t>
            </w:r>
          </w:p>
        </w:tc>
        <w:tc>
          <w:tcPr>
            <w:tcW w:w="1300" w:type="dxa"/>
            <w:vAlign w:val="bottom"/>
          </w:tcPr>
          <w:p>
            <w:pPr>
              <w:jc w:val="right"/>
              <w:ind w:right="106"/>
              <w:spacing w:after="0"/>
              <w:rPr>
                <w:sz w:val="20"/>
                <w:szCs w:val="20"/>
                <w:color w:val="auto"/>
              </w:rPr>
            </w:pPr>
            <w:r>
              <w:rPr>
                <w:rFonts w:ascii="Arial" w:cs="Arial" w:eastAsia="Arial" w:hAnsi="Arial"/>
                <w:sz w:val="16"/>
                <w:szCs w:val="16"/>
                <w:color w:val="0E2A35"/>
              </w:rPr>
              <w:t>9.9%</w:t>
            </w:r>
          </w:p>
        </w:tc>
        <w:tc>
          <w:tcPr>
            <w:tcW w:w="1320" w:type="dxa"/>
            <w:vAlign w:val="bottom"/>
          </w:tcPr>
          <w:p>
            <w:pPr>
              <w:jc w:val="right"/>
              <w:ind w:right="67"/>
              <w:spacing w:after="0"/>
              <w:rPr>
                <w:sz w:val="20"/>
                <w:szCs w:val="20"/>
                <w:color w:val="auto"/>
              </w:rPr>
            </w:pPr>
            <w:r>
              <w:rPr>
                <w:rFonts w:ascii="Arial" w:cs="Arial" w:eastAsia="Arial" w:hAnsi="Arial"/>
                <w:sz w:val="16"/>
                <w:szCs w:val="16"/>
                <w:color w:val="0E2A35"/>
              </w:rPr>
              <w:t>13​.9%</w:t>
            </w:r>
          </w:p>
        </w:tc>
        <w:tc>
          <w:tcPr>
            <w:tcW w:w="820" w:type="dxa"/>
            <w:vAlign w:val="bottom"/>
            <w:gridSpan w:val="2"/>
          </w:tcPr>
          <w:p>
            <w:pPr>
              <w:jc w:val="right"/>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98"/>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620" w:type="dxa"/>
            <w:vAlign w:val="bottom"/>
            <w:tcBorders>
              <w:bottom w:val="single" w:sz="8" w:color="0E2A35"/>
            </w:tcBorders>
            <w:gridSpan w:val="2"/>
          </w:tcPr>
          <w:p>
            <w:pPr>
              <w:spacing w:after="0"/>
              <w:rPr>
                <w:sz w:val="8"/>
                <w:szCs w:val="8"/>
                <w:color w:val="auto"/>
              </w:rPr>
            </w:pPr>
          </w:p>
        </w:tc>
        <w:tc>
          <w:tcPr>
            <w:tcW w:w="56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gridSpan w:val="2"/>
          </w:tcPr>
          <w:p>
            <w:pPr>
              <w:jc w:val="right"/>
              <w:ind w:right="67"/>
              <w:spacing w:after="0"/>
              <w:rPr>
                <w:sz w:val="20"/>
                <w:szCs w:val="20"/>
                <w:color w:val="auto"/>
              </w:rPr>
            </w:pPr>
            <w:r>
              <w:rPr>
                <w:rFonts w:ascii="Arial" w:cs="Arial" w:eastAsia="Arial" w:hAnsi="Arial"/>
                <w:sz w:val="16"/>
                <w:szCs w:val="16"/>
                <w:color w:val="0E2A35"/>
              </w:rPr>
              <w:t>Total Payout Percentage</w:t>
            </w:r>
          </w:p>
        </w:tc>
        <w:tc>
          <w:tcPr>
            <w:tcW w:w="560" w:type="dxa"/>
            <w:vAlign w:val="bottom"/>
          </w:tcPr>
          <w:p>
            <w:pPr>
              <w:jc w:val="center"/>
              <w:ind w:left="306"/>
              <w:spacing w:after="0"/>
              <w:rPr>
                <w:sz w:val="20"/>
                <w:szCs w:val="20"/>
                <w:color w:val="auto"/>
              </w:rPr>
            </w:pPr>
            <w:r>
              <w:rPr>
                <w:rFonts w:ascii="Arial" w:cs="Arial" w:eastAsia="Arial" w:hAnsi="Arial"/>
                <w:sz w:val="16"/>
                <w:szCs w:val="16"/>
                <w:color w:val="0E2A35"/>
              </w:rPr>
              <w:t>90​</w:t>
            </w:r>
          </w:p>
        </w:tc>
        <w:tc>
          <w:tcPr>
            <w:tcW w:w="260" w:type="dxa"/>
            <w:vAlign w:val="bottom"/>
          </w:tcPr>
          <w:p>
            <w:pPr>
              <w:jc w:val="right"/>
              <w:spacing w:after="0"/>
              <w:rPr>
                <w:sz w:val="20"/>
                <w:szCs w:val="20"/>
                <w:color w:val="auto"/>
              </w:rPr>
            </w:pPr>
            <w:r>
              <w:rPr>
                <w:rFonts w:ascii="Arial" w:cs="Arial" w:eastAsia="Arial" w:hAnsi="Arial"/>
                <w:sz w:val="16"/>
                <w:szCs w:val="16"/>
                <w:color w:val="0E2A35"/>
                <w:w w:val="86"/>
              </w:rPr>
              <w:t>.0%</w:t>
            </w:r>
          </w:p>
        </w:tc>
        <w:tc>
          <w:tcPr>
            <w:tcW w:w="0" w:type="dxa"/>
            <w:vAlign w:val="bottom"/>
          </w:tcPr>
          <w:p>
            <w:pPr>
              <w:spacing w:after="0"/>
              <w:rPr>
                <w:sz w:val="1"/>
                <w:szCs w:val="1"/>
                <w:color w:val="auto"/>
              </w:rPr>
            </w:pPr>
          </w:p>
        </w:tc>
      </w:tr>
      <w:tr>
        <w:trPr>
          <w:trHeight w:val="99"/>
        </w:trPr>
        <w:tc>
          <w:tcPr>
            <w:tcW w:w="17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620" w:type="dxa"/>
            <w:vAlign w:val="bottom"/>
            <w:tcBorders>
              <w:bottom w:val="single" w:sz="8" w:color="0E2A35"/>
            </w:tcBorders>
            <w:gridSpan w:val="2"/>
          </w:tcPr>
          <w:p>
            <w:pPr>
              <w:spacing w:after="0"/>
              <w:rPr>
                <w:sz w:val="8"/>
                <w:szCs w:val="8"/>
                <w:color w:val="auto"/>
              </w:rPr>
            </w:pPr>
          </w:p>
        </w:tc>
        <w:tc>
          <w:tcPr>
            <w:tcW w:w="56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gridSpan w:val="2"/>
          </w:tcPr>
          <w:p>
            <w:pPr>
              <w:jc w:val="right"/>
              <w:ind w:right="67"/>
              <w:spacing w:after="0"/>
              <w:rPr>
                <w:sz w:val="20"/>
                <w:szCs w:val="20"/>
                <w:color w:val="auto"/>
              </w:rPr>
            </w:pPr>
            <w:r>
              <w:rPr>
                <w:rFonts w:ascii="Arial" w:cs="Arial" w:eastAsia="Arial" w:hAnsi="Arial"/>
                <w:sz w:val="16"/>
                <w:szCs w:val="16"/>
                <w:color w:val="0E2A35"/>
              </w:rPr>
              <w:t>30% of Total Percentage</w:t>
            </w:r>
          </w:p>
        </w:tc>
        <w:tc>
          <w:tcPr>
            <w:tcW w:w="560" w:type="dxa"/>
            <w:vAlign w:val="bottom"/>
          </w:tcPr>
          <w:p>
            <w:pPr>
              <w:jc w:val="center"/>
              <w:ind w:left="306"/>
              <w:spacing w:after="0"/>
              <w:rPr>
                <w:sz w:val="20"/>
                <w:szCs w:val="20"/>
                <w:color w:val="auto"/>
              </w:rPr>
            </w:pPr>
            <w:r>
              <w:rPr>
                <w:rFonts w:ascii="Arial" w:cs="Arial" w:eastAsia="Arial" w:hAnsi="Arial"/>
                <w:sz w:val="16"/>
                <w:szCs w:val="16"/>
                <w:color w:val="0E2A35"/>
              </w:rPr>
              <w:t>27​</w:t>
            </w:r>
          </w:p>
        </w:tc>
        <w:tc>
          <w:tcPr>
            <w:tcW w:w="260" w:type="dxa"/>
            <w:vAlign w:val="bottom"/>
          </w:tcPr>
          <w:p>
            <w:pPr>
              <w:jc w:val="right"/>
              <w:spacing w:after="0"/>
              <w:rPr>
                <w:sz w:val="20"/>
                <w:szCs w:val="20"/>
                <w:color w:val="auto"/>
              </w:rPr>
            </w:pPr>
            <w:r>
              <w:rPr>
                <w:rFonts w:ascii="Arial" w:cs="Arial" w:eastAsia="Arial" w:hAnsi="Arial"/>
                <w:sz w:val="16"/>
                <w:szCs w:val="16"/>
                <w:color w:val="0E2A35"/>
                <w:w w:val="86"/>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58978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2" w:lineRule="exact"/>
        <w:rPr>
          <w:sz w:val="20"/>
          <w:szCs w:val="20"/>
          <w:color w:val="auto"/>
        </w:rPr>
      </w:pPr>
    </w:p>
    <w:p>
      <w:pPr>
        <w:ind w:left="360" w:right="120" w:hanging="360"/>
        <w:spacing w:after="0" w:line="243" w:lineRule="auto"/>
        <w:tabs>
          <w:tab w:leader="none" w:pos="36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1" w:lineRule="exact"/>
        <w:rPr>
          <w:rFonts w:ascii="Arial" w:cs="Arial" w:eastAsia="Arial" w:hAnsi="Arial"/>
          <w:sz w:val="13"/>
          <w:szCs w:val="13"/>
          <w:color w:val="0E2A35"/>
        </w:rPr>
      </w:pPr>
    </w:p>
    <w:p>
      <w:pPr>
        <w:ind w:left="360" w:right="460" w:hanging="360"/>
        <w:spacing w:after="0" w:line="243" w:lineRule="auto"/>
        <w:tabs>
          <w:tab w:leader="none" w:pos="36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(i) 40% net revenue, (ii) 50% Operating Income and (iii) 10% Net Working Capital.</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The second 6-Month Fiscal Year OICP period is weighted at 30% of the overall OICP weighting.</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all Three Performance Periods - Total Financial Results</w:t>
      </w:r>
      <w:r>
        <w:rPr>
          <w:rFonts w:ascii="Arial" w:cs="Arial" w:eastAsia="Arial" w:hAnsi="Arial"/>
          <w:sz w:val="26"/>
          <w:szCs w:val="26"/>
          <w:color w:val="0E2A35"/>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394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97880" cy="394335"/>
                    </a:xfrm>
                    <a:prstGeom prst="rect">
                      <a:avLst/>
                    </a:prstGeom>
                    <a:noFill/>
                  </pic:spPr>
                </pic:pic>
              </a:graphicData>
            </a:graphic>
          </wp:anchor>
        </w:drawing>
      </w:r>
    </w:p>
    <w:p>
      <w:pPr>
        <w:ind w:left="8360"/>
        <w:spacing w:after="0" w:line="236" w:lineRule="auto"/>
        <w:rPr>
          <w:sz w:val="20"/>
          <w:szCs w:val="20"/>
          <w:color w:val="auto"/>
        </w:rPr>
      </w:pPr>
      <w:r>
        <w:rPr>
          <w:rFonts w:ascii="Arial" w:cs="Arial" w:eastAsia="Arial" w:hAnsi="Arial"/>
          <w:sz w:val="13"/>
          <w:szCs w:val="13"/>
          <w:b w:val="1"/>
          <w:bCs w:val="1"/>
          <w:color w:val="FFFFFF"/>
        </w:rPr>
        <w:t>​Actual Total</w:t>
      </w:r>
    </w:p>
    <w:p>
      <w:pPr>
        <w:ind w:left="8200"/>
        <w:spacing w:after="0" w:line="217" w:lineRule="auto"/>
        <w:rPr>
          <w:sz w:val="20"/>
          <w:szCs w:val="20"/>
          <w:color w:val="auto"/>
        </w:rPr>
      </w:pPr>
      <w:r>
        <w:rPr>
          <w:rFonts w:ascii="Arial" w:cs="Arial" w:eastAsia="Arial" w:hAnsi="Arial"/>
          <w:sz w:val="13"/>
          <w:szCs w:val="13"/>
          <w:b w:val="1"/>
          <w:bCs w:val="1"/>
          <w:color w:val="FFFFFF"/>
        </w:rPr>
        <w:t>Financial Payout</w:t>
      </w:r>
    </w:p>
    <w:p>
      <w:pPr>
        <w:ind w:left="8340"/>
        <w:spacing w:after="0"/>
        <w:rPr>
          <w:sz w:val="20"/>
          <w:szCs w:val="20"/>
          <w:color w:val="auto"/>
        </w:rPr>
      </w:pPr>
      <w:r>
        <w:rPr>
          <w:rFonts w:ascii="Arial" w:cs="Arial" w:eastAsia="Arial" w:hAnsi="Arial"/>
          <w:sz w:val="13"/>
          <w:szCs w:val="13"/>
          <w:b w:val="1"/>
          <w:bCs w:val="1"/>
          <w:color w:val="FFFFFF"/>
        </w:rPr>
        <w:t>% (Weighted)</w:t>
      </w:r>
    </w:p>
    <w:p>
      <w:pPr>
        <w:spacing w:after="0" w:line="195" w:lineRule="exact"/>
        <w:rPr>
          <w:sz w:val="20"/>
          <w:szCs w:val="20"/>
          <w:color w:val="auto"/>
        </w:rPr>
      </w:pPr>
    </w:p>
    <w:tbl>
      <w:tblPr>
        <w:tblLayout w:type="fixed"/>
        <w:tblInd w:w="2300" w:type="dxa"/>
        <w:tblCellMar>
          <w:top w:w="0" w:type="dxa"/>
          <w:left w:w="0" w:type="dxa"/>
          <w:bottom w:w="0" w:type="dxa"/>
          <w:right w:w="0" w:type="dxa"/>
        </w:tblCellMar>
      </w:tblPr>
      <w:tr>
        <w:trPr>
          <w:trHeight w:val="211"/>
        </w:trPr>
        <w:tc>
          <w:tcPr>
            <w:tcW w:w="5500" w:type="dxa"/>
            <w:vAlign w:val="bottom"/>
          </w:tcPr>
          <w:p>
            <w:pPr>
              <w:spacing w:after="0"/>
              <w:rPr>
                <w:sz w:val="20"/>
                <w:szCs w:val="20"/>
                <w:color w:val="auto"/>
              </w:rPr>
            </w:pPr>
            <w:r>
              <w:rPr>
                <w:rFonts w:ascii="Arial" w:cs="Arial" w:eastAsia="Arial" w:hAnsi="Arial"/>
                <w:sz w:val="16"/>
                <w:szCs w:val="16"/>
                <w:color w:val="0E2A35"/>
              </w:rPr>
              <w:t>Total Fiscal Year Financial Performance Metrics Payout Percentage</w:t>
            </w:r>
          </w:p>
        </w:tc>
        <w:tc>
          <w:tcPr>
            <w:tcW w:w="1280" w:type="dxa"/>
            <w:vAlign w:val="bottom"/>
          </w:tcPr>
          <w:p>
            <w:pPr>
              <w:ind w:left="740"/>
              <w:spacing w:after="0"/>
              <w:rPr>
                <w:sz w:val="20"/>
                <w:szCs w:val="20"/>
                <w:color w:val="auto"/>
              </w:rPr>
            </w:pPr>
            <w:r>
              <w:rPr>
                <w:rFonts w:ascii="Arial" w:cs="Arial" w:eastAsia="Arial" w:hAnsi="Arial"/>
                <w:sz w:val="16"/>
                <w:szCs w:val="16"/>
                <w:color w:val="0E2A35"/>
                <w:w w:val="95"/>
              </w:rPr>
              <w:t>​123.3%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8978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2" w:lineRule="exact"/>
        <w:rPr>
          <w:sz w:val="20"/>
          <w:szCs w:val="20"/>
          <w:color w:val="auto"/>
        </w:rPr>
      </w:pPr>
    </w:p>
    <w:p>
      <w:pPr>
        <w:ind w:left="360" w:right="120" w:hanging="360"/>
        <w:spacing w:after="0" w:line="243" w:lineRule="auto"/>
        <w:tabs>
          <w:tab w:leader="none" w:pos="36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1" w:lineRule="exact"/>
        <w:rPr>
          <w:rFonts w:ascii="Arial" w:cs="Arial" w:eastAsia="Arial" w:hAnsi="Arial"/>
          <w:sz w:val="13"/>
          <w:szCs w:val="13"/>
          <w:color w:val="0E2A35"/>
        </w:rPr>
      </w:pPr>
    </w:p>
    <w:p>
      <w:pPr>
        <w:ind w:left="360" w:right="460" w:hanging="360"/>
        <w:spacing w:after="0" w:line="243" w:lineRule="auto"/>
        <w:tabs>
          <w:tab w:leader="none" w:pos="36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(i) 40% net revenue, (ii) 50% Operating Income and (iii) 10% Net Working Capital.</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This represents the combined total payout results for the full-year performance period and the two 6-month performance periods.</w:t>
      </w:r>
    </w:p>
    <w:p>
      <w:pPr>
        <w:spacing w:after="0" w:line="16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0E2A35"/>
        </w:rPr>
        <w:t>When determining the level of actual performance for the OICP, the committee excluded the impact of certain events not contemplated when creating the initial targets. The Operating Income metric was adjusted for the impact of discretionary profit sharing awarded to employees for exceeding initial targets.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0E2A35"/>
        </w:rPr>
        <w:t>The committee then considered and reviewed the CEO’s evaluation of each eligible NEO’s performance, other than himself. It determined that each of the participating NEOs outperformed expectations and earned his or her individual performance goal opportunity at a level of 110% of target for Mr. Hughes, 110% of target for Ms. Bogart and 105% of target for Mr. Bower. The committee also determined, in its sole discretion, that Mr. Happe’s level of achievement of his individual objectives was 110% of target.</w:t>
      </w:r>
    </w:p>
    <w:p>
      <w:pPr>
        <w:spacing w:after="0" w:line="139"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0E2A35"/>
        </w:rPr>
        <w:t>The following table reflects the fiscal 2022 year-end salary, target OICP percentage and dollar amounts, and actual OICP percentage and dollar amounts earned by the NEOs, each as approved by the committee. The calculated portion of the OICP payout related to achievement of the metrics set at the beginning of the fiscal year is reported in the Summary Compensation Table under the “Non-Equity Incentive Plan Compensation” column.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shd w:val="clear" w:color="auto" w:fill="0E2A35"/>
          </w:tcPr>
          <w:p>
            <w:pPr>
              <w:spacing w:after="0"/>
              <w:rPr>
                <w:sz w:val="22"/>
                <w:szCs w:val="22"/>
                <w:color w:val="auto"/>
              </w:rPr>
            </w:pPr>
          </w:p>
        </w:tc>
        <w:tc>
          <w:tcPr>
            <w:tcW w:w="2300" w:type="dxa"/>
            <w:vAlign w:val="bottom"/>
            <w:shd w:val="clear" w:color="auto" w:fill="0E2A35"/>
          </w:tcPr>
          <w:p>
            <w:pPr>
              <w:spacing w:after="0"/>
              <w:rPr>
                <w:sz w:val="22"/>
                <w:szCs w:val="22"/>
                <w:color w:val="auto"/>
              </w:rPr>
            </w:pPr>
          </w:p>
        </w:tc>
        <w:tc>
          <w:tcPr>
            <w:tcW w:w="1800" w:type="dxa"/>
            <w:vAlign w:val="bottom"/>
            <w:shd w:val="clear" w:color="auto" w:fill="0E2A35"/>
          </w:tcPr>
          <w:p>
            <w:pPr>
              <w:spacing w:after="0"/>
              <w:rPr>
                <w:sz w:val="22"/>
                <w:szCs w:val="22"/>
                <w:color w:val="auto"/>
              </w:rPr>
            </w:pPr>
          </w:p>
        </w:tc>
        <w:tc>
          <w:tcPr>
            <w:tcW w:w="220" w:type="dxa"/>
            <w:vAlign w:val="bottom"/>
            <w:shd w:val="clear" w:color="auto" w:fill="0E2A35"/>
          </w:tcPr>
          <w:p>
            <w:pPr>
              <w:spacing w:after="0"/>
              <w:rPr>
                <w:sz w:val="22"/>
                <w:szCs w:val="22"/>
                <w:color w:val="auto"/>
              </w:rPr>
            </w:pPr>
          </w:p>
        </w:tc>
        <w:tc>
          <w:tcPr>
            <w:tcW w:w="2100" w:type="dxa"/>
            <w:vAlign w:val="bottom"/>
            <w:gridSpan w:val="2"/>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Fiscal 2022 Target OICP</w:t>
            </w:r>
          </w:p>
        </w:tc>
        <w:tc>
          <w:tcPr>
            <w:tcW w:w="460" w:type="dxa"/>
            <w:vAlign w:val="bottom"/>
            <w:shd w:val="clear" w:color="auto" w:fill="0E2A35"/>
          </w:tcPr>
          <w:p>
            <w:pPr>
              <w:spacing w:after="0"/>
              <w:rPr>
                <w:sz w:val="22"/>
                <w:szCs w:val="22"/>
                <w:color w:val="auto"/>
              </w:rPr>
            </w:pPr>
          </w:p>
        </w:tc>
        <w:tc>
          <w:tcPr>
            <w:tcW w:w="2040" w:type="dxa"/>
            <w:vAlign w:val="bottom"/>
            <w:gridSpan w:val="4"/>
            <w:shd w:val="clear" w:color="auto" w:fill="0E2A35"/>
          </w:tcPr>
          <w:p>
            <w:pPr>
              <w:ind w:left="300"/>
              <w:spacing w:after="0"/>
              <w:rPr>
                <w:sz w:val="20"/>
                <w:szCs w:val="20"/>
                <w:color w:val="auto"/>
              </w:rPr>
            </w:pPr>
            <w:r>
              <w:rPr>
                <w:rFonts w:ascii="Arial" w:cs="Arial" w:eastAsia="Arial" w:hAnsi="Arial"/>
                <w:sz w:val="13"/>
                <w:szCs w:val="13"/>
                <w:b w:val="1"/>
                <w:bCs w:val="1"/>
                <w:color w:val="FFFFFF"/>
              </w:rPr>
              <w:t>Fiscal 2022 Actual OICP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266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800" w:type="dxa"/>
            <w:vAlign w:val="bottom"/>
            <w:shd w:val="clear" w:color="auto" w:fill="0E2A35"/>
          </w:tcPr>
          <w:p>
            <w:pPr>
              <w:jc w:val="right"/>
              <w:ind w:right="391"/>
              <w:spacing w:after="0"/>
              <w:rPr>
                <w:sz w:val="20"/>
                <w:szCs w:val="20"/>
                <w:color w:val="auto"/>
              </w:rPr>
            </w:pPr>
            <w:r>
              <w:rPr>
                <w:rFonts w:ascii="Arial" w:cs="Arial" w:eastAsia="Arial" w:hAnsi="Arial"/>
                <w:sz w:val="13"/>
                <w:szCs w:val="13"/>
                <w:b w:val="1"/>
                <w:bCs w:val="1"/>
                <w:color w:val="FFFFFF"/>
              </w:rPr>
              <w:t>Fiscal 2022</w:t>
            </w:r>
          </w:p>
        </w:tc>
        <w:tc>
          <w:tcPr>
            <w:tcW w:w="220" w:type="dxa"/>
            <w:vAlign w:val="bottom"/>
            <w:shd w:val="clear" w:color="auto" w:fill="0E2A35"/>
          </w:tcPr>
          <w:p>
            <w:pPr>
              <w:spacing w:after="0"/>
              <w:rPr>
                <w:sz w:val="24"/>
                <w:szCs w:val="24"/>
                <w:color w:val="auto"/>
              </w:rPr>
            </w:pPr>
          </w:p>
        </w:tc>
        <w:tc>
          <w:tcPr>
            <w:tcW w:w="980" w:type="dxa"/>
            <w:vAlign w:val="bottom"/>
            <w:vMerge w:val="restart"/>
            <w:shd w:val="clear" w:color="auto" w:fill="0E2A35"/>
          </w:tcPr>
          <w:p>
            <w:pPr>
              <w:jc w:val="center"/>
              <w:ind w:right="193"/>
              <w:spacing w:after="0"/>
              <w:rPr>
                <w:sz w:val="20"/>
                <w:szCs w:val="20"/>
                <w:color w:val="auto"/>
              </w:rPr>
            </w:pPr>
            <w:r>
              <w:rPr>
                <w:rFonts w:ascii="Arial" w:cs="Arial" w:eastAsia="Arial" w:hAnsi="Arial"/>
                <w:sz w:val="13"/>
                <w:szCs w:val="13"/>
                <w:b w:val="1"/>
                <w:bCs w:val="1"/>
                <w:color w:val="FFFFFF"/>
                <w:w w:val="96"/>
              </w:rPr>
              <w:t>%​ of Salary</w:t>
            </w:r>
          </w:p>
        </w:tc>
        <w:tc>
          <w:tcPr>
            <w:tcW w:w="1120" w:type="dxa"/>
            <w:vAlign w:val="bottom"/>
            <w:vMerge w:val="restart"/>
            <w:shd w:val="clear" w:color="auto" w:fill="0E2A35"/>
          </w:tcPr>
          <w:p>
            <w:pPr>
              <w:jc w:val="right"/>
              <w:spacing w:after="0"/>
              <w:rPr>
                <w:sz w:val="20"/>
                <w:szCs w:val="20"/>
                <w:color w:val="auto"/>
              </w:rPr>
            </w:pPr>
            <w:r>
              <w:rPr>
                <w:rFonts w:ascii="Arial" w:cs="Arial" w:eastAsia="Arial" w:hAnsi="Arial"/>
                <w:sz w:val="13"/>
                <w:szCs w:val="13"/>
                <w:b w:val="1"/>
                <w:bCs w:val="1"/>
                <w:color w:val="FFFFFF"/>
              </w:rPr>
              <w:t>Target Award</w:t>
            </w:r>
          </w:p>
        </w:tc>
        <w:tc>
          <w:tcPr>
            <w:tcW w:w="460" w:type="dxa"/>
            <w:vAlign w:val="bottom"/>
            <w:shd w:val="clear" w:color="auto" w:fill="0E2A35"/>
          </w:tcPr>
          <w:p>
            <w:pPr>
              <w:spacing w:after="0"/>
              <w:rPr>
                <w:sz w:val="24"/>
                <w:szCs w:val="24"/>
                <w:color w:val="auto"/>
              </w:rPr>
            </w:pPr>
          </w:p>
        </w:tc>
        <w:tc>
          <w:tcPr>
            <w:tcW w:w="1000" w:type="dxa"/>
            <w:vAlign w:val="bottom"/>
            <w:gridSpan w:val="2"/>
            <w:vMerge w:val="restart"/>
            <w:shd w:val="clear" w:color="auto" w:fill="0E2A35"/>
          </w:tcPr>
          <w:p>
            <w:pPr>
              <w:ind w:left="40"/>
              <w:spacing w:after="0"/>
              <w:rPr>
                <w:sz w:val="20"/>
                <w:szCs w:val="20"/>
                <w:color w:val="auto"/>
              </w:rPr>
            </w:pPr>
            <w:r>
              <w:rPr>
                <w:rFonts w:ascii="Arial" w:cs="Arial" w:eastAsia="Arial" w:hAnsi="Arial"/>
                <w:sz w:val="13"/>
                <w:szCs w:val="13"/>
                <w:b w:val="1"/>
                <w:bCs w:val="1"/>
                <w:color w:val="FFFFFF"/>
              </w:rPr>
              <w:t>%​ of Target</w:t>
            </w:r>
          </w:p>
        </w:tc>
        <w:tc>
          <w:tcPr>
            <w:tcW w:w="380" w:type="dxa"/>
            <w:vAlign w:val="bottom"/>
            <w:shd w:val="clear" w:color="auto" w:fill="0E2A35"/>
          </w:tcPr>
          <w:p>
            <w:pPr>
              <w:spacing w:after="0"/>
              <w:rPr>
                <w:sz w:val="24"/>
                <w:szCs w:val="24"/>
                <w:color w:val="auto"/>
              </w:rPr>
            </w:pPr>
          </w:p>
        </w:tc>
        <w:tc>
          <w:tcPr>
            <w:tcW w:w="660" w:type="dxa"/>
            <w:vAlign w:val="bottom"/>
            <w:vMerge w:val="restart"/>
            <w:shd w:val="clear" w:color="auto" w:fill="0E2A35"/>
          </w:tcPr>
          <w:p>
            <w:pPr>
              <w:jc w:val="right"/>
              <w:ind w:right="70"/>
              <w:spacing w:after="0"/>
              <w:rPr>
                <w:sz w:val="20"/>
                <w:szCs w:val="20"/>
                <w:color w:val="auto"/>
              </w:rPr>
            </w:pPr>
            <w:r>
              <w:rPr>
                <w:rFonts w:ascii="Arial" w:cs="Arial" w:eastAsia="Arial" w:hAnsi="Arial"/>
                <w:sz w:val="13"/>
                <w:szCs w:val="13"/>
                <w:b w:val="1"/>
                <w:bCs w:val="1"/>
                <w:color w:val="FFFFFF"/>
              </w:rPr>
              <w:t>Payout​​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660" w:type="dxa"/>
            <w:vAlign w:val="bottom"/>
            <w:gridSpan w:val="2"/>
            <w:vMerge w:val="continue"/>
            <w:shd w:val="clear" w:color="auto" w:fill="0E2A35"/>
          </w:tcPr>
          <w:p>
            <w:pPr>
              <w:spacing w:after="0"/>
              <w:rPr>
                <w:sz w:val="14"/>
                <w:szCs w:val="14"/>
                <w:color w:val="auto"/>
              </w:rPr>
            </w:pPr>
          </w:p>
        </w:tc>
        <w:tc>
          <w:tcPr>
            <w:tcW w:w="180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rPr>
              <w:t>Eligible Earnings</w:t>
            </w:r>
          </w:p>
        </w:tc>
        <w:tc>
          <w:tcPr>
            <w:tcW w:w="220" w:type="dxa"/>
            <w:vAlign w:val="bottom"/>
            <w:shd w:val="clear" w:color="auto" w:fill="0E2A35"/>
          </w:tcPr>
          <w:p>
            <w:pPr>
              <w:spacing w:after="0"/>
              <w:rPr>
                <w:sz w:val="14"/>
                <w:szCs w:val="14"/>
                <w:color w:val="auto"/>
              </w:rPr>
            </w:pPr>
          </w:p>
        </w:tc>
        <w:tc>
          <w:tcPr>
            <w:tcW w:w="980" w:type="dxa"/>
            <w:vAlign w:val="bottom"/>
            <w:vMerge w:val="continue"/>
            <w:shd w:val="clear" w:color="auto" w:fill="0E2A35"/>
          </w:tcPr>
          <w:p>
            <w:pPr>
              <w:spacing w:after="0"/>
              <w:rPr>
                <w:sz w:val="14"/>
                <w:szCs w:val="14"/>
                <w:color w:val="auto"/>
              </w:rPr>
            </w:pPr>
          </w:p>
        </w:tc>
        <w:tc>
          <w:tcPr>
            <w:tcW w:w="1120" w:type="dxa"/>
            <w:vAlign w:val="bottom"/>
            <w:vMerge w:val="continue"/>
            <w:shd w:val="clear" w:color="auto" w:fill="0E2A35"/>
          </w:tcPr>
          <w:p>
            <w:pPr>
              <w:spacing w:after="0"/>
              <w:rPr>
                <w:sz w:val="14"/>
                <w:szCs w:val="14"/>
                <w:color w:val="auto"/>
              </w:rPr>
            </w:pPr>
          </w:p>
        </w:tc>
        <w:tc>
          <w:tcPr>
            <w:tcW w:w="460" w:type="dxa"/>
            <w:vAlign w:val="bottom"/>
            <w:shd w:val="clear" w:color="auto" w:fill="0E2A35"/>
          </w:tcPr>
          <w:p>
            <w:pPr>
              <w:spacing w:after="0"/>
              <w:rPr>
                <w:sz w:val="14"/>
                <w:szCs w:val="14"/>
                <w:color w:val="auto"/>
              </w:rPr>
            </w:pPr>
          </w:p>
        </w:tc>
        <w:tc>
          <w:tcPr>
            <w:tcW w:w="1000" w:type="dxa"/>
            <w:vAlign w:val="bottom"/>
            <w:gridSpan w:val="2"/>
            <w:vMerge w:val="continue"/>
            <w:shd w:val="clear" w:color="auto" w:fill="0E2A35"/>
          </w:tcPr>
          <w:p>
            <w:pPr>
              <w:spacing w:after="0"/>
              <w:rPr>
                <w:sz w:val="14"/>
                <w:szCs w:val="14"/>
                <w:color w:val="auto"/>
              </w:rPr>
            </w:pPr>
          </w:p>
        </w:tc>
        <w:tc>
          <w:tcPr>
            <w:tcW w:w="380" w:type="dxa"/>
            <w:vAlign w:val="bottom"/>
            <w:shd w:val="clear" w:color="auto" w:fill="0E2A35"/>
          </w:tcPr>
          <w:p>
            <w:pPr>
              <w:spacing w:after="0"/>
              <w:rPr>
                <w:sz w:val="14"/>
                <w:szCs w:val="14"/>
                <w:color w:val="auto"/>
              </w:rPr>
            </w:pPr>
          </w:p>
        </w:tc>
        <w:tc>
          <w:tcPr>
            <w:tcW w:w="660" w:type="dxa"/>
            <w:vAlign w:val="bottom"/>
            <w:vMerge w:val="continue"/>
            <w:shd w:val="clear" w:color="auto" w:fill="0E2A3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660" w:type="dxa"/>
            <w:vAlign w:val="bottom"/>
            <w:gridSpan w:val="2"/>
            <w:shd w:val="clear" w:color="auto" w:fill="0E2A35"/>
          </w:tcPr>
          <w:p>
            <w:pPr>
              <w:spacing w:after="0"/>
              <w:rPr>
                <w:sz w:val="7"/>
                <w:szCs w:val="7"/>
                <w:color w:val="auto"/>
              </w:rPr>
            </w:pPr>
          </w:p>
        </w:tc>
        <w:tc>
          <w:tcPr>
            <w:tcW w:w="180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460" w:type="dxa"/>
            <w:vAlign w:val="bottom"/>
            <w:shd w:val="clear" w:color="auto" w:fill="0E2A35"/>
          </w:tcPr>
          <w:p>
            <w:pPr>
              <w:spacing w:after="0"/>
              <w:rPr>
                <w:sz w:val="7"/>
                <w:szCs w:val="7"/>
                <w:color w:val="auto"/>
              </w:rPr>
            </w:pPr>
          </w:p>
        </w:tc>
        <w:tc>
          <w:tcPr>
            <w:tcW w:w="540" w:type="dxa"/>
            <w:vAlign w:val="bottom"/>
            <w:shd w:val="clear" w:color="auto" w:fill="0E2A35"/>
          </w:tcPr>
          <w:p>
            <w:pPr>
              <w:spacing w:after="0"/>
              <w:rPr>
                <w:sz w:val="7"/>
                <w:szCs w:val="7"/>
                <w:color w:val="auto"/>
              </w:rPr>
            </w:pPr>
          </w:p>
        </w:tc>
        <w:tc>
          <w:tcPr>
            <w:tcW w:w="460" w:type="dxa"/>
            <w:vAlign w:val="bottom"/>
            <w:shd w:val="clear" w:color="auto" w:fill="0E2A35"/>
          </w:tcPr>
          <w:p>
            <w:pPr>
              <w:spacing w:after="0"/>
              <w:rPr>
                <w:sz w:val="7"/>
                <w:szCs w:val="7"/>
                <w:color w:val="auto"/>
              </w:rPr>
            </w:pPr>
          </w:p>
        </w:tc>
        <w:tc>
          <w:tcPr>
            <w:tcW w:w="1040" w:type="dxa"/>
            <w:vAlign w:val="bottom"/>
            <w:gridSpan w:val="2"/>
            <w:shd w:val="clear" w:color="auto" w:fill="0E2A35"/>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660" w:type="dxa"/>
            <w:vAlign w:val="bottom"/>
            <w:gridSpan w:val="2"/>
          </w:tcPr>
          <w:p>
            <w:pPr>
              <w:ind w:left="60"/>
              <w:spacing w:after="0"/>
              <w:rPr>
                <w:sz w:val="20"/>
                <w:szCs w:val="20"/>
                <w:color w:val="auto"/>
              </w:rPr>
            </w:pPr>
            <w:r>
              <w:rPr>
                <w:rFonts w:ascii="Arial" w:cs="Arial" w:eastAsia="Arial" w:hAnsi="Arial"/>
                <w:sz w:val="14"/>
                <w:szCs w:val="14"/>
                <w:color w:val="0E2A35"/>
              </w:rPr>
              <w:t>Michael J. Happe</w:t>
            </w:r>
          </w:p>
        </w:tc>
        <w:tc>
          <w:tcPr>
            <w:tcW w:w="1800" w:type="dxa"/>
            <w:vAlign w:val="bottom"/>
          </w:tcPr>
          <w:p>
            <w:pPr>
              <w:jc w:val="right"/>
              <w:ind w:right="271"/>
              <w:spacing w:after="0"/>
              <w:rPr>
                <w:sz w:val="20"/>
                <w:szCs w:val="20"/>
                <w:color w:val="auto"/>
              </w:rPr>
            </w:pPr>
            <w:r>
              <w:rPr>
                <w:rFonts w:ascii="Arial" w:cs="Arial" w:eastAsia="Arial" w:hAnsi="Arial"/>
                <w:sz w:val="14"/>
                <w:szCs w:val="14"/>
                <w:color w:val="0E2A35"/>
              </w:rPr>
              <w:t>$1,000,000</w:t>
            </w:r>
          </w:p>
        </w:tc>
        <w:tc>
          <w:tcPr>
            <w:tcW w:w="220" w:type="dxa"/>
            <w:vAlign w:val="bottom"/>
          </w:tcPr>
          <w:p>
            <w:pPr>
              <w:spacing w:after="0"/>
              <w:rPr>
                <w:sz w:val="24"/>
                <w:szCs w:val="24"/>
                <w:color w:val="auto"/>
              </w:rPr>
            </w:pPr>
          </w:p>
        </w:tc>
        <w:tc>
          <w:tcPr>
            <w:tcW w:w="980" w:type="dxa"/>
            <w:vAlign w:val="bottom"/>
          </w:tcPr>
          <w:p>
            <w:pPr>
              <w:jc w:val="center"/>
              <w:ind w:right="193"/>
              <w:spacing w:after="0"/>
              <w:rPr>
                <w:sz w:val="20"/>
                <w:szCs w:val="20"/>
                <w:color w:val="auto"/>
              </w:rPr>
            </w:pPr>
            <w:r>
              <w:rPr>
                <w:rFonts w:ascii="Arial" w:cs="Arial" w:eastAsia="Arial" w:hAnsi="Arial"/>
                <w:sz w:val="14"/>
                <w:szCs w:val="14"/>
                <w:color w:val="0E2A35"/>
                <w:w w:val="94"/>
              </w:rPr>
              <w:t>N/A​</w:t>
            </w:r>
            <w:r>
              <w:rPr>
                <w:rFonts w:ascii="Arial" w:cs="Arial" w:eastAsia="Arial" w:hAnsi="Arial"/>
                <w:sz w:val="23"/>
                <w:szCs w:val="23"/>
                <w:color w:val="0E2A35"/>
                <w:w w:val="94"/>
                <w:vertAlign w:val="superscript"/>
              </w:rPr>
              <w:t>(1)</w:t>
            </w:r>
          </w:p>
        </w:tc>
        <w:tc>
          <w:tcPr>
            <w:tcW w:w="1120" w:type="dxa"/>
            <w:vAlign w:val="bottom"/>
          </w:tcPr>
          <w:p>
            <w:pPr>
              <w:jc w:val="right"/>
              <w:spacing w:after="0"/>
              <w:rPr>
                <w:sz w:val="20"/>
                <w:szCs w:val="20"/>
                <w:color w:val="auto"/>
              </w:rPr>
            </w:pPr>
            <w:r>
              <w:rPr>
                <w:rFonts w:ascii="Arial" w:cs="Arial" w:eastAsia="Arial" w:hAnsi="Arial"/>
                <w:sz w:val="14"/>
                <w:szCs w:val="14"/>
                <w:color w:val="0E2A35"/>
              </w:rPr>
              <w:t>$1,200,000</w:t>
            </w:r>
          </w:p>
        </w:tc>
        <w:tc>
          <w:tcPr>
            <w:tcW w:w="46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0E2A35"/>
                <w:w w:val="94"/>
              </w:rPr>
              <w:t>120​</w:t>
            </w:r>
          </w:p>
        </w:tc>
        <w:tc>
          <w:tcPr>
            <w:tcW w:w="460" w:type="dxa"/>
            <w:vAlign w:val="bottom"/>
          </w:tcPr>
          <w:p>
            <w:pPr>
              <w:jc w:val="right"/>
              <w:ind w:right="268"/>
              <w:spacing w:after="0"/>
              <w:rPr>
                <w:sz w:val="20"/>
                <w:szCs w:val="20"/>
                <w:color w:val="auto"/>
              </w:rPr>
            </w:pPr>
            <w:r>
              <w:rPr>
                <w:rFonts w:ascii="Arial" w:cs="Arial" w:eastAsia="Arial" w:hAnsi="Arial"/>
                <w:sz w:val="14"/>
                <w:szCs w:val="14"/>
                <w:color w:val="0E2A35"/>
                <w:w w:val="85"/>
              </w:rPr>
              <w:t>.0</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0E2A35"/>
              </w:rPr>
              <w:t>$​1,439,700</w:t>
            </w:r>
          </w:p>
        </w:tc>
        <w:tc>
          <w:tcPr>
            <w:tcW w:w="0" w:type="dxa"/>
            <w:vAlign w:val="bottom"/>
          </w:tcPr>
          <w:p>
            <w:pPr>
              <w:spacing w:after="0"/>
              <w:rPr>
                <w:sz w:val="1"/>
                <w:szCs w:val="1"/>
                <w:color w:val="auto"/>
              </w:rPr>
            </w:pPr>
          </w:p>
        </w:tc>
      </w:tr>
      <w:tr>
        <w:trPr>
          <w:trHeight w:val="283"/>
        </w:trPr>
        <w:tc>
          <w:tcPr>
            <w:tcW w:w="2660" w:type="dxa"/>
            <w:vAlign w:val="bottom"/>
            <w:tcBorders>
              <w:top w:val="single" w:sz="8" w:color="0E2A35"/>
            </w:tcBorders>
            <w:gridSpan w:val="2"/>
          </w:tcPr>
          <w:p>
            <w:pPr>
              <w:ind w:left="60"/>
              <w:spacing w:after="0"/>
              <w:rPr>
                <w:sz w:val="20"/>
                <w:szCs w:val="20"/>
                <w:color w:val="auto"/>
              </w:rPr>
            </w:pPr>
            <w:r>
              <w:rPr>
                <w:rFonts w:ascii="Arial" w:cs="Arial" w:eastAsia="Arial" w:hAnsi="Arial"/>
                <w:sz w:val="14"/>
                <w:szCs w:val="14"/>
                <w:color w:val="0E2A35"/>
              </w:rPr>
              <w:t>Bryan L. Hughes</w:t>
            </w:r>
          </w:p>
        </w:tc>
        <w:tc>
          <w:tcPr>
            <w:tcW w:w="1800" w:type="dxa"/>
            <w:vAlign w:val="bottom"/>
            <w:tcBorders>
              <w:top w:val="single" w:sz="8" w:color="0E2A35"/>
            </w:tcBorders>
          </w:tcPr>
          <w:p>
            <w:pPr>
              <w:jc w:val="right"/>
              <w:ind w:right="271"/>
              <w:spacing w:after="0"/>
              <w:rPr>
                <w:sz w:val="20"/>
                <w:szCs w:val="20"/>
                <w:color w:val="auto"/>
              </w:rPr>
            </w:pPr>
            <w:r>
              <w:rPr>
                <w:rFonts w:ascii="Arial" w:cs="Arial" w:eastAsia="Arial" w:hAnsi="Arial"/>
                <w:sz w:val="14"/>
                <w:szCs w:val="14"/>
                <w:color w:val="0E2A35"/>
              </w:rPr>
              <w:t>550,000</w:t>
            </w:r>
          </w:p>
        </w:tc>
        <w:tc>
          <w:tcPr>
            <w:tcW w:w="1200" w:type="dxa"/>
            <w:vAlign w:val="bottom"/>
            <w:tcBorders>
              <w:top w:val="single" w:sz="8" w:color="0E2A35"/>
            </w:tcBorders>
            <w:gridSpan w:val="2"/>
          </w:tcPr>
          <w:p>
            <w:pPr>
              <w:jc w:val="center"/>
              <w:spacing w:after="0"/>
              <w:rPr>
                <w:sz w:val="20"/>
                <w:szCs w:val="20"/>
                <w:color w:val="auto"/>
              </w:rPr>
            </w:pPr>
            <w:r>
              <w:rPr>
                <w:rFonts w:ascii="Arial" w:cs="Arial" w:eastAsia="Arial" w:hAnsi="Arial"/>
                <w:sz w:val="14"/>
                <w:szCs w:val="14"/>
                <w:color w:val="0E2A35"/>
              </w:rPr>
              <w:t>85.0%</w:t>
            </w:r>
          </w:p>
        </w:tc>
        <w:tc>
          <w:tcPr>
            <w:tcW w:w="1120" w:type="dxa"/>
            <w:vAlign w:val="bottom"/>
            <w:tcBorders>
              <w:top w:val="single" w:sz="8" w:color="0E2A35"/>
            </w:tcBorders>
          </w:tcPr>
          <w:p>
            <w:pPr>
              <w:jc w:val="right"/>
              <w:spacing w:after="0"/>
              <w:rPr>
                <w:sz w:val="20"/>
                <w:szCs w:val="20"/>
                <w:color w:val="auto"/>
              </w:rPr>
            </w:pPr>
            <w:r>
              <w:rPr>
                <w:rFonts w:ascii="Arial" w:cs="Arial" w:eastAsia="Arial" w:hAnsi="Arial"/>
                <w:sz w:val="14"/>
                <w:szCs w:val="14"/>
                <w:color w:val="0E2A35"/>
              </w:rPr>
              <w:t>467,500</w:t>
            </w:r>
          </w:p>
        </w:tc>
        <w:tc>
          <w:tcPr>
            <w:tcW w:w="460" w:type="dxa"/>
            <w:vAlign w:val="bottom"/>
            <w:tcBorders>
              <w:top w:val="single" w:sz="8" w:color="0E2A35"/>
            </w:tcBorders>
          </w:tcPr>
          <w:p>
            <w:pPr>
              <w:spacing w:after="0"/>
              <w:rPr>
                <w:sz w:val="24"/>
                <w:szCs w:val="24"/>
                <w:color w:val="auto"/>
              </w:rPr>
            </w:pPr>
          </w:p>
        </w:tc>
        <w:tc>
          <w:tcPr>
            <w:tcW w:w="540" w:type="dxa"/>
            <w:vAlign w:val="bottom"/>
            <w:tcBorders>
              <w:top w:val="single" w:sz="8" w:color="0E2A35"/>
            </w:tcBorders>
          </w:tcPr>
          <w:p>
            <w:pPr>
              <w:ind w:left="300"/>
              <w:spacing w:after="0"/>
              <w:rPr>
                <w:sz w:val="20"/>
                <w:szCs w:val="20"/>
                <w:color w:val="auto"/>
              </w:rPr>
            </w:pPr>
            <w:r>
              <w:rPr>
                <w:rFonts w:ascii="Arial" w:cs="Arial" w:eastAsia="Arial" w:hAnsi="Arial"/>
                <w:sz w:val="14"/>
                <w:szCs w:val="14"/>
                <w:color w:val="0E2A35"/>
                <w:w w:val="94"/>
              </w:rPr>
              <w:t>120​</w:t>
            </w:r>
          </w:p>
        </w:tc>
        <w:tc>
          <w:tcPr>
            <w:tcW w:w="460" w:type="dxa"/>
            <w:vAlign w:val="bottom"/>
            <w:tcBorders>
              <w:top w:val="single" w:sz="8" w:color="0E2A35"/>
            </w:tcBorders>
          </w:tcPr>
          <w:p>
            <w:pPr>
              <w:jc w:val="right"/>
              <w:ind w:right="268"/>
              <w:spacing w:after="0"/>
              <w:rPr>
                <w:sz w:val="20"/>
                <w:szCs w:val="20"/>
                <w:color w:val="auto"/>
              </w:rPr>
            </w:pPr>
            <w:r>
              <w:rPr>
                <w:rFonts w:ascii="Arial" w:cs="Arial" w:eastAsia="Arial" w:hAnsi="Arial"/>
                <w:sz w:val="14"/>
                <w:szCs w:val="14"/>
                <w:color w:val="0E2A35"/>
                <w:w w:val="85"/>
              </w:rPr>
              <w:t>.0</w:t>
            </w:r>
          </w:p>
        </w:tc>
        <w:tc>
          <w:tcPr>
            <w:tcW w:w="380" w:type="dxa"/>
            <w:vAlign w:val="bottom"/>
            <w:tcBorders>
              <w:top w:val="single" w:sz="8" w:color="0E2A35"/>
            </w:tcBorders>
          </w:tcPr>
          <w:p>
            <w:pPr>
              <w:ind w:left="280"/>
              <w:spacing w:after="0"/>
              <w:rPr>
                <w:sz w:val="20"/>
                <w:szCs w:val="20"/>
                <w:color w:val="auto"/>
              </w:rPr>
            </w:pPr>
            <w:r>
              <w:rPr>
                <w:rFonts w:ascii="Arial" w:cs="Arial" w:eastAsia="Arial" w:hAnsi="Arial"/>
                <w:sz w:val="14"/>
                <w:szCs w:val="14"/>
                <w:color w:val="0E2A35"/>
              </w:rPr>
              <w:t>​</w:t>
            </w:r>
          </w:p>
        </w:tc>
        <w:tc>
          <w:tcPr>
            <w:tcW w:w="660" w:type="dxa"/>
            <w:vAlign w:val="bottom"/>
            <w:tcBorders>
              <w:top w:val="single" w:sz="8" w:color="0E2A35"/>
            </w:tcBorders>
          </w:tcPr>
          <w:p>
            <w:pPr>
              <w:jc w:val="right"/>
              <w:spacing w:after="0"/>
              <w:rPr>
                <w:sz w:val="20"/>
                <w:szCs w:val="20"/>
                <w:color w:val="auto"/>
              </w:rPr>
            </w:pPr>
            <w:r>
              <w:rPr>
                <w:rFonts w:ascii="Arial" w:cs="Arial" w:eastAsia="Arial" w:hAnsi="Arial"/>
                <w:sz w:val="14"/>
                <w:szCs w:val="14"/>
                <w:color w:val="0E2A35"/>
              </w:rPr>
              <w:t>560,883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60" w:type="dxa"/>
            <w:vAlign w:val="bottom"/>
            <w:tcBorders>
              <w:bottom w:val="single" w:sz="8" w:color="0E2A35"/>
            </w:tcBorders>
            <w:gridSpan w:val="2"/>
          </w:tcPr>
          <w:p>
            <w:pPr>
              <w:spacing w:after="0"/>
              <w:rPr>
                <w:sz w:val="7"/>
                <w:szCs w:val="7"/>
                <w:color w:val="auto"/>
              </w:rPr>
            </w:pPr>
          </w:p>
        </w:tc>
        <w:tc>
          <w:tcPr>
            <w:tcW w:w="1800" w:type="dxa"/>
            <w:vAlign w:val="bottom"/>
            <w:tcBorders>
              <w:bottom w:val="single" w:sz="8" w:color="0E2A35"/>
            </w:tcBorders>
          </w:tcPr>
          <w:p>
            <w:pPr>
              <w:spacing w:after="0"/>
              <w:rPr>
                <w:sz w:val="7"/>
                <w:szCs w:val="7"/>
                <w:color w:val="auto"/>
              </w:rPr>
            </w:pPr>
          </w:p>
        </w:tc>
        <w:tc>
          <w:tcPr>
            <w:tcW w:w="22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54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660" w:type="dxa"/>
            <w:vAlign w:val="bottom"/>
            <w:tcBorders>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60" w:type="dxa"/>
            <w:vAlign w:val="bottom"/>
            <w:gridSpan w:val="2"/>
          </w:tcPr>
          <w:p>
            <w:pPr>
              <w:ind w:left="60"/>
              <w:spacing w:after="0"/>
              <w:rPr>
                <w:sz w:val="20"/>
                <w:szCs w:val="20"/>
                <w:color w:val="auto"/>
              </w:rPr>
            </w:pPr>
            <w:r>
              <w:rPr>
                <w:rFonts w:ascii="Arial" w:cs="Arial" w:eastAsia="Arial" w:hAnsi="Arial"/>
                <w:sz w:val="14"/>
                <w:szCs w:val="14"/>
                <w:color w:val="0E2A35"/>
              </w:rPr>
              <w:t>Stacy L. Bogart</w:t>
            </w:r>
          </w:p>
        </w:tc>
        <w:tc>
          <w:tcPr>
            <w:tcW w:w="1800" w:type="dxa"/>
            <w:vAlign w:val="bottom"/>
          </w:tcPr>
          <w:p>
            <w:pPr>
              <w:jc w:val="right"/>
              <w:ind w:right="271"/>
              <w:spacing w:after="0"/>
              <w:rPr>
                <w:sz w:val="20"/>
                <w:szCs w:val="20"/>
                <w:color w:val="auto"/>
              </w:rPr>
            </w:pPr>
            <w:r>
              <w:rPr>
                <w:rFonts w:ascii="Arial" w:cs="Arial" w:eastAsia="Arial" w:hAnsi="Arial"/>
                <w:sz w:val="14"/>
                <w:szCs w:val="14"/>
                <w:color w:val="0E2A35"/>
              </w:rPr>
              <w:t>490,000</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E2A35"/>
              </w:rPr>
              <w:t>80.0%</w:t>
            </w:r>
          </w:p>
        </w:tc>
        <w:tc>
          <w:tcPr>
            <w:tcW w:w="1120" w:type="dxa"/>
            <w:vAlign w:val="bottom"/>
          </w:tcPr>
          <w:p>
            <w:pPr>
              <w:jc w:val="right"/>
              <w:spacing w:after="0"/>
              <w:rPr>
                <w:sz w:val="20"/>
                <w:szCs w:val="20"/>
                <w:color w:val="auto"/>
              </w:rPr>
            </w:pPr>
            <w:r>
              <w:rPr>
                <w:rFonts w:ascii="Arial" w:cs="Arial" w:eastAsia="Arial" w:hAnsi="Arial"/>
                <w:sz w:val="14"/>
                <w:szCs w:val="14"/>
                <w:color w:val="0E2A35"/>
              </w:rPr>
              <w:t>392,000</w:t>
            </w:r>
          </w:p>
        </w:tc>
        <w:tc>
          <w:tcPr>
            <w:tcW w:w="460" w:type="dxa"/>
            <w:vAlign w:val="bottom"/>
          </w:tcPr>
          <w:p>
            <w:pPr>
              <w:spacing w:after="0"/>
              <w:rPr>
                <w:sz w:val="24"/>
                <w:szCs w:val="2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0E2A35"/>
                <w:w w:val="94"/>
              </w:rPr>
              <w:t>120​</w:t>
            </w:r>
          </w:p>
        </w:tc>
        <w:tc>
          <w:tcPr>
            <w:tcW w:w="460" w:type="dxa"/>
            <w:vAlign w:val="bottom"/>
          </w:tcPr>
          <w:p>
            <w:pPr>
              <w:jc w:val="right"/>
              <w:ind w:right="268"/>
              <w:spacing w:after="0"/>
              <w:rPr>
                <w:sz w:val="20"/>
                <w:szCs w:val="20"/>
                <w:color w:val="auto"/>
              </w:rPr>
            </w:pPr>
            <w:r>
              <w:rPr>
                <w:rFonts w:ascii="Arial" w:cs="Arial" w:eastAsia="Arial" w:hAnsi="Arial"/>
                <w:sz w:val="14"/>
                <w:szCs w:val="14"/>
                <w:color w:val="0E2A35"/>
                <w:w w:val="85"/>
              </w:rPr>
              <w:t>.0</w:t>
            </w:r>
          </w:p>
        </w:tc>
        <w:tc>
          <w:tcPr>
            <w:tcW w:w="380" w:type="dxa"/>
            <w:vAlign w:val="bottom"/>
          </w:tcPr>
          <w:p>
            <w:pPr>
              <w:ind w:left="280"/>
              <w:spacing w:after="0"/>
              <w:rPr>
                <w:sz w:val="20"/>
                <w:szCs w:val="20"/>
                <w:color w:val="auto"/>
              </w:rPr>
            </w:pPr>
            <w:r>
              <w:rPr>
                <w:rFonts w:ascii="Arial" w:cs="Arial" w:eastAsia="Arial" w:hAnsi="Arial"/>
                <w:sz w:val="14"/>
                <w:szCs w:val="14"/>
                <w:color w:val="0E2A35"/>
              </w:rPr>
              <w:t>​</w:t>
            </w:r>
          </w:p>
        </w:tc>
        <w:tc>
          <w:tcPr>
            <w:tcW w:w="660" w:type="dxa"/>
            <w:vAlign w:val="bottom"/>
          </w:tcPr>
          <w:p>
            <w:pPr>
              <w:jc w:val="right"/>
              <w:spacing w:after="0"/>
              <w:rPr>
                <w:sz w:val="20"/>
                <w:szCs w:val="20"/>
                <w:color w:val="auto"/>
              </w:rPr>
            </w:pPr>
            <w:r>
              <w:rPr>
                <w:rFonts w:ascii="Arial" w:cs="Arial" w:eastAsia="Arial" w:hAnsi="Arial"/>
                <w:sz w:val="14"/>
                <w:szCs w:val="14"/>
                <w:color w:val="0E2A35"/>
              </w:rPr>
              <w:t>470,302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300" w:type="dxa"/>
            <w:vAlign w:val="bottom"/>
            <w:tcBorders>
              <w:bottom w:val="single" w:sz="8" w:color="0E2A35"/>
            </w:tcBorders>
          </w:tcPr>
          <w:p>
            <w:pPr>
              <w:spacing w:after="0"/>
              <w:rPr>
                <w:sz w:val="7"/>
                <w:szCs w:val="7"/>
                <w:color w:val="auto"/>
              </w:rPr>
            </w:pPr>
          </w:p>
        </w:tc>
        <w:tc>
          <w:tcPr>
            <w:tcW w:w="1800" w:type="dxa"/>
            <w:vAlign w:val="bottom"/>
            <w:tcBorders>
              <w:bottom w:val="single" w:sz="8" w:color="0E2A35"/>
            </w:tcBorders>
          </w:tcPr>
          <w:p>
            <w:pPr>
              <w:spacing w:after="0"/>
              <w:rPr>
                <w:sz w:val="7"/>
                <w:szCs w:val="7"/>
                <w:color w:val="auto"/>
              </w:rPr>
            </w:pPr>
          </w:p>
        </w:tc>
        <w:tc>
          <w:tcPr>
            <w:tcW w:w="22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1000" w:type="dxa"/>
            <w:vAlign w:val="bottom"/>
            <w:tcBorders>
              <w:bottom w:val="single" w:sz="8" w:color="0E2A35"/>
            </w:tcBorders>
            <w:gridSpan w:val="2"/>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660" w:type="dxa"/>
            <w:vAlign w:val="bottom"/>
            <w:tcBorders>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60" w:type="dxa"/>
            <w:vAlign w:val="bottom"/>
          </w:tcPr>
          <w:p>
            <w:pPr>
              <w:ind w:left="60"/>
              <w:spacing w:after="0"/>
              <w:rPr>
                <w:sz w:val="20"/>
                <w:szCs w:val="20"/>
                <w:color w:val="auto"/>
              </w:rPr>
            </w:pPr>
            <w:r>
              <w:rPr>
                <w:rFonts w:ascii="Arial" w:cs="Arial" w:eastAsia="Arial" w:hAnsi="Arial"/>
                <w:sz w:val="14"/>
                <w:szCs w:val="14"/>
                <w:color w:val="0E2A35"/>
                <w:w w:val="99"/>
              </w:rPr>
              <w:t>Huw​</w:t>
            </w:r>
          </w:p>
        </w:tc>
        <w:tc>
          <w:tcPr>
            <w:tcW w:w="2300" w:type="dxa"/>
            <w:vAlign w:val="bottom"/>
          </w:tcPr>
          <w:p>
            <w:pPr>
              <w:ind w:left="20"/>
              <w:spacing w:after="0"/>
              <w:rPr>
                <w:sz w:val="20"/>
                <w:szCs w:val="20"/>
                <w:color w:val="auto"/>
              </w:rPr>
            </w:pPr>
            <w:r>
              <w:rPr>
                <w:rFonts w:ascii="Arial" w:cs="Arial" w:eastAsia="Arial" w:hAnsi="Arial"/>
                <w:sz w:val="14"/>
                <w:szCs w:val="14"/>
                <w:color w:val="0E2A35"/>
              </w:rPr>
              <w:t>S. Bower</w:t>
            </w:r>
          </w:p>
        </w:tc>
        <w:tc>
          <w:tcPr>
            <w:tcW w:w="1800" w:type="dxa"/>
            <w:vAlign w:val="bottom"/>
          </w:tcPr>
          <w:p>
            <w:pPr>
              <w:jc w:val="right"/>
              <w:ind w:right="271"/>
              <w:spacing w:after="0"/>
              <w:rPr>
                <w:sz w:val="20"/>
                <w:szCs w:val="20"/>
                <w:color w:val="auto"/>
              </w:rPr>
            </w:pPr>
            <w:r>
              <w:rPr>
                <w:rFonts w:ascii="Arial" w:cs="Arial" w:eastAsia="Arial" w:hAnsi="Arial"/>
                <w:sz w:val="14"/>
                <w:szCs w:val="14"/>
                <w:color w:val="0E2A35"/>
              </w:rPr>
              <w:t>566,400</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E2A35"/>
              </w:rPr>
              <w:t>85.0%</w:t>
            </w:r>
          </w:p>
        </w:tc>
        <w:tc>
          <w:tcPr>
            <w:tcW w:w="1120" w:type="dxa"/>
            <w:vAlign w:val="bottom"/>
          </w:tcPr>
          <w:p>
            <w:pPr>
              <w:jc w:val="right"/>
              <w:spacing w:after="0"/>
              <w:rPr>
                <w:sz w:val="20"/>
                <w:szCs w:val="20"/>
                <w:color w:val="auto"/>
              </w:rPr>
            </w:pPr>
            <w:r>
              <w:rPr>
                <w:rFonts w:ascii="Arial" w:cs="Arial" w:eastAsia="Arial" w:hAnsi="Arial"/>
                <w:sz w:val="14"/>
                <w:szCs w:val="14"/>
                <w:color w:val="0E2A35"/>
              </w:rPr>
              <w:t>481,440</w:t>
            </w:r>
          </w:p>
        </w:tc>
        <w:tc>
          <w:tcPr>
            <w:tcW w:w="460" w:type="dxa"/>
            <w:vAlign w:val="bottom"/>
          </w:tcPr>
          <w:p>
            <w:pPr>
              <w:spacing w:after="0"/>
              <w:rPr>
                <w:sz w:val="24"/>
                <w:szCs w:val="24"/>
                <w:color w:val="auto"/>
              </w:rPr>
            </w:pPr>
          </w:p>
        </w:tc>
        <w:tc>
          <w:tcPr>
            <w:tcW w:w="1000" w:type="dxa"/>
            <w:vAlign w:val="bottom"/>
            <w:gridSpan w:val="2"/>
          </w:tcPr>
          <w:p>
            <w:pPr>
              <w:jc w:val="right"/>
              <w:ind w:right="268"/>
              <w:spacing w:after="0"/>
              <w:rPr>
                <w:sz w:val="20"/>
                <w:szCs w:val="20"/>
                <w:color w:val="auto"/>
              </w:rPr>
            </w:pPr>
            <w:r>
              <w:rPr>
                <w:rFonts w:ascii="Arial" w:cs="Arial" w:eastAsia="Arial" w:hAnsi="Arial"/>
                <w:sz w:val="14"/>
                <w:szCs w:val="14"/>
                <w:color w:val="0E2A35"/>
              </w:rPr>
              <w:t>​ 95.6</w:t>
            </w:r>
          </w:p>
        </w:tc>
        <w:tc>
          <w:tcPr>
            <w:tcW w:w="380" w:type="dxa"/>
            <w:vAlign w:val="bottom"/>
          </w:tcPr>
          <w:p>
            <w:pPr>
              <w:ind w:left="280"/>
              <w:spacing w:after="0"/>
              <w:rPr>
                <w:sz w:val="20"/>
                <w:szCs w:val="20"/>
                <w:color w:val="auto"/>
              </w:rPr>
            </w:pPr>
            <w:r>
              <w:rPr>
                <w:rFonts w:ascii="Arial" w:cs="Arial" w:eastAsia="Arial" w:hAnsi="Arial"/>
                <w:sz w:val="14"/>
                <w:szCs w:val="14"/>
                <w:color w:val="0E2A35"/>
              </w:rPr>
              <w:t>​</w:t>
            </w:r>
          </w:p>
        </w:tc>
        <w:tc>
          <w:tcPr>
            <w:tcW w:w="660" w:type="dxa"/>
            <w:vAlign w:val="bottom"/>
          </w:tcPr>
          <w:p>
            <w:pPr>
              <w:jc w:val="right"/>
              <w:spacing w:after="0"/>
              <w:rPr>
                <w:sz w:val="20"/>
                <w:szCs w:val="20"/>
                <w:color w:val="auto"/>
              </w:rPr>
            </w:pPr>
            <w:r>
              <w:rPr>
                <w:rFonts w:ascii="Arial" w:cs="Arial" w:eastAsia="Arial" w:hAnsi="Arial"/>
                <w:sz w:val="14"/>
                <w:szCs w:val="14"/>
                <w:color w:val="0E2A35"/>
              </w:rPr>
              <w:t>460,016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60" w:type="dxa"/>
            <w:vAlign w:val="bottom"/>
            <w:tcBorders>
              <w:bottom w:val="single" w:sz="8" w:color="0E2A35"/>
            </w:tcBorders>
            <w:gridSpan w:val="2"/>
          </w:tcPr>
          <w:p>
            <w:pPr>
              <w:spacing w:after="0"/>
              <w:rPr>
                <w:sz w:val="7"/>
                <w:szCs w:val="7"/>
                <w:color w:val="auto"/>
              </w:rPr>
            </w:pPr>
          </w:p>
        </w:tc>
        <w:tc>
          <w:tcPr>
            <w:tcW w:w="1800" w:type="dxa"/>
            <w:vAlign w:val="bottom"/>
            <w:tcBorders>
              <w:bottom w:val="single" w:sz="8" w:color="0E2A35"/>
            </w:tcBorders>
          </w:tcPr>
          <w:p>
            <w:pPr>
              <w:spacing w:after="0"/>
              <w:rPr>
                <w:sz w:val="7"/>
                <w:szCs w:val="7"/>
                <w:color w:val="auto"/>
              </w:rPr>
            </w:pPr>
          </w:p>
        </w:tc>
        <w:tc>
          <w:tcPr>
            <w:tcW w:w="22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1000" w:type="dxa"/>
            <w:vAlign w:val="bottom"/>
            <w:tcBorders>
              <w:bottom w:val="single" w:sz="8" w:color="0E2A35"/>
            </w:tcBorders>
            <w:gridSpan w:val="2"/>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660" w:type="dxa"/>
            <w:vAlign w:val="bottom"/>
            <w:tcBorders>
              <w:bottom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2660" w:type="dxa"/>
            <w:vAlign w:val="bottom"/>
            <w:gridSpan w:val="2"/>
          </w:tcPr>
          <w:p>
            <w:pPr>
              <w:ind w:left="60"/>
              <w:spacing w:after="0"/>
              <w:rPr>
                <w:sz w:val="20"/>
                <w:szCs w:val="20"/>
                <w:color w:val="auto"/>
              </w:rPr>
            </w:pPr>
            <w:r>
              <w:rPr>
                <w:rFonts w:ascii="Arial" w:cs="Arial" w:eastAsia="Arial" w:hAnsi="Arial"/>
                <w:sz w:val="14"/>
                <w:szCs w:val="14"/>
                <w:color w:val="0E2A35"/>
              </w:rPr>
              <w:t>Donald J. Clark</w:t>
            </w:r>
            <w:r>
              <w:rPr>
                <w:rFonts w:ascii="Arial" w:cs="Arial" w:eastAsia="Arial" w:hAnsi="Arial"/>
                <w:sz w:val="23"/>
                <w:szCs w:val="23"/>
                <w:color w:val="0E2A35"/>
                <w:vertAlign w:val="superscript"/>
              </w:rPr>
              <w:t>(2)</w:t>
            </w:r>
          </w:p>
        </w:tc>
        <w:tc>
          <w:tcPr>
            <w:tcW w:w="1800" w:type="dxa"/>
            <w:vAlign w:val="bottom"/>
          </w:tcPr>
          <w:p>
            <w:pPr>
              <w:jc w:val="right"/>
              <w:ind w:right="271"/>
              <w:spacing w:after="0"/>
              <w:rPr>
                <w:sz w:val="20"/>
                <w:szCs w:val="20"/>
                <w:color w:val="auto"/>
              </w:rPr>
            </w:pPr>
            <w:r>
              <w:rPr>
                <w:rFonts w:ascii="Arial" w:cs="Arial" w:eastAsia="Arial" w:hAnsi="Arial"/>
                <w:sz w:val="14"/>
                <w:szCs w:val="14"/>
                <w:color w:val="0E2A35"/>
              </w:rPr>
              <w:t>N/A</w:t>
            </w:r>
          </w:p>
        </w:tc>
        <w:tc>
          <w:tcPr>
            <w:tcW w:w="220" w:type="dxa"/>
            <w:vAlign w:val="bottom"/>
          </w:tcPr>
          <w:p>
            <w:pPr>
              <w:spacing w:after="0"/>
              <w:rPr>
                <w:sz w:val="24"/>
                <w:szCs w:val="24"/>
                <w:color w:val="auto"/>
              </w:rPr>
            </w:pPr>
          </w:p>
        </w:tc>
        <w:tc>
          <w:tcPr>
            <w:tcW w:w="980" w:type="dxa"/>
            <w:vAlign w:val="bottom"/>
          </w:tcPr>
          <w:p>
            <w:pPr>
              <w:jc w:val="center"/>
              <w:ind w:right="193"/>
              <w:spacing w:after="0"/>
              <w:rPr>
                <w:sz w:val="20"/>
                <w:szCs w:val="20"/>
                <w:color w:val="auto"/>
              </w:rPr>
            </w:pPr>
            <w:r>
              <w:rPr>
                <w:rFonts w:ascii="Arial" w:cs="Arial" w:eastAsia="Arial" w:hAnsi="Arial"/>
                <w:sz w:val="14"/>
                <w:szCs w:val="14"/>
                <w:color w:val="0E2A35"/>
              </w:rPr>
              <w:t>N/A</w:t>
            </w:r>
          </w:p>
        </w:tc>
        <w:tc>
          <w:tcPr>
            <w:tcW w:w="1120" w:type="dxa"/>
            <w:vAlign w:val="bottom"/>
          </w:tcPr>
          <w:p>
            <w:pPr>
              <w:jc w:val="right"/>
              <w:spacing w:after="0"/>
              <w:rPr>
                <w:sz w:val="20"/>
                <w:szCs w:val="20"/>
                <w:color w:val="auto"/>
              </w:rPr>
            </w:pPr>
            <w:r>
              <w:rPr>
                <w:rFonts w:ascii="Arial" w:cs="Arial" w:eastAsia="Arial" w:hAnsi="Arial"/>
                <w:sz w:val="14"/>
                <w:szCs w:val="14"/>
                <w:color w:val="0E2A35"/>
              </w:rPr>
              <w:t>N/A</w:t>
            </w:r>
          </w:p>
        </w:tc>
        <w:tc>
          <w:tcPr>
            <w:tcW w:w="460" w:type="dxa"/>
            <w:vAlign w:val="bottom"/>
          </w:tcPr>
          <w:p>
            <w:pPr>
              <w:spacing w:after="0"/>
              <w:rPr>
                <w:sz w:val="24"/>
                <w:szCs w:val="24"/>
                <w:color w:val="auto"/>
              </w:rPr>
            </w:pPr>
          </w:p>
        </w:tc>
        <w:tc>
          <w:tcPr>
            <w:tcW w:w="1000" w:type="dxa"/>
            <w:vAlign w:val="bottom"/>
            <w:gridSpan w:val="2"/>
          </w:tcPr>
          <w:p>
            <w:pPr>
              <w:ind w:left="420"/>
              <w:spacing w:after="0"/>
              <w:rPr>
                <w:sz w:val="20"/>
                <w:szCs w:val="20"/>
                <w:color w:val="auto"/>
              </w:rPr>
            </w:pPr>
            <w:r>
              <w:rPr>
                <w:rFonts w:ascii="Arial" w:cs="Arial" w:eastAsia="Arial" w:hAnsi="Arial"/>
                <w:sz w:val="14"/>
                <w:szCs w:val="14"/>
                <w:color w:val="0E2A35"/>
              </w:rPr>
              <w:t>N/A</w:t>
            </w:r>
          </w:p>
        </w:tc>
        <w:tc>
          <w:tcPr>
            <w:tcW w:w="380" w:type="dxa"/>
            <w:vAlign w:val="bottom"/>
          </w:tcPr>
          <w:p>
            <w:pPr>
              <w:spacing w:after="0"/>
              <w:rPr>
                <w:sz w:val="24"/>
                <w:szCs w:val="24"/>
                <w:color w:val="auto"/>
              </w:rPr>
            </w:pPr>
          </w:p>
        </w:tc>
        <w:tc>
          <w:tcPr>
            <w:tcW w:w="680" w:type="dxa"/>
            <w:vAlign w:val="bottom"/>
            <w:gridSpan w:val="2"/>
          </w:tcPr>
          <w:p>
            <w:pPr>
              <w:ind w:left="400"/>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5897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-1558290</wp:posOffset>
            </wp:positionV>
            <wp:extent cx="29229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8" w:lineRule="exact"/>
        <w:rPr>
          <w:sz w:val="20"/>
          <w:szCs w:val="20"/>
          <w:color w:val="auto"/>
        </w:rPr>
      </w:pPr>
    </w:p>
    <w:p>
      <w:pPr>
        <w:ind w:left="360" w:hanging="360"/>
        <w:spacing w:after="0"/>
        <w:tabs>
          <w:tab w:leader="none" w:pos="360" w:val="left"/>
        </w:tabs>
        <w:numPr>
          <w:ilvl w:val="0"/>
          <w:numId w:val="33"/>
        </w:numPr>
        <w:rPr>
          <w:rFonts w:ascii="Arial" w:cs="Arial" w:eastAsia="Arial" w:hAnsi="Arial"/>
          <w:sz w:val="13"/>
          <w:szCs w:val="13"/>
          <w:color w:val="0E2A35"/>
        </w:rPr>
      </w:pPr>
      <w:r>
        <w:rPr>
          <w:rFonts w:ascii="Arial" w:cs="Arial" w:eastAsia="Arial" w:hAnsi="Arial"/>
          <w:sz w:val="13"/>
          <w:szCs w:val="13"/>
          <w:color w:val="0E2A35"/>
        </w:rPr>
        <w:t>Mr. Happe’s target OICP is set at the listed target award amount and is not calculated as a percent of his eligible earnings.</w:t>
      </w:r>
    </w:p>
    <w:p>
      <w:pPr>
        <w:spacing w:after="0" w:line="39" w:lineRule="exact"/>
        <w:rPr>
          <w:rFonts w:ascii="Arial" w:cs="Arial" w:eastAsia="Arial" w:hAnsi="Arial"/>
          <w:sz w:val="13"/>
          <w:szCs w:val="13"/>
          <w:color w:val="0E2A35"/>
        </w:rPr>
      </w:pPr>
    </w:p>
    <w:p>
      <w:pPr>
        <w:ind w:left="360" w:right="240" w:hanging="360"/>
        <w:spacing w:after="0" w:line="259" w:lineRule="auto"/>
        <w:tabs>
          <w:tab w:leader="none" w:pos="360" w:val="left"/>
        </w:tabs>
        <w:numPr>
          <w:ilvl w:val="0"/>
          <w:numId w:val="33"/>
        </w:numPr>
        <w:rPr>
          <w:rFonts w:ascii="Arial" w:cs="Arial" w:eastAsia="Arial" w:hAnsi="Arial"/>
          <w:sz w:val="12"/>
          <w:szCs w:val="12"/>
          <w:color w:val="0E2A35"/>
        </w:rPr>
      </w:pPr>
      <w:r>
        <w:rPr>
          <w:rFonts w:ascii="Arial" w:cs="Arial" w:eastAsia="Arial" w:hAnsi="Arial"/>
          <w:sz w:val="12"/>
          <w:szCs w:val="12"/>
          <w:color w:val="0E2A35"/>
        </w:rPr>
        <w:t>Mr. Clark does not participate in the OICP. For fiscal 2022, Mr. Clark received an incentive bonus of $13,057,292 under the Grand Design MIP that he participates in, which is a 29% increase compared to his fiscal 2021 bonus, based on the strong performance of Grand Design during fiscal 2022. Mr. Clark’s incentive under such plan is calculated as 3.5% of the pretax net income of Grand Design (before taking into account any bonus payments thereunder).</w:t>
      </w:r>
    </w:p>
    <w:p>
      <w:pPr>
        <w:spacing w:after="0" w:line="28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300"/>
          </w:cols>
          <w:pgMar w:left="1300" w:top="263" w:right="1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2022 Equity Awards</w:t>
      </w:r>
    </w:p>
    <w:p>
      <w:pPr>
        <w:spacing w:after="0" w:line="19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0E2A35"/>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3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E2A35"/>
        </w:rPr>
        <w:t>In fiscal 2022 we awarded long-term incentives under our 2019 Plan. We awarded equity in the form of annual LTIP performance share units, restricted stock units and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LTIP / Performance Share Units</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E2A35"/>
        </w:rPr>
        <w:t>Each year, the committee establishes a three-year performance plan to promote our long-term growth and profitability and to attract and retain executives by providing the officers an opportunity for an incentive award consisting of performance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5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In general, the awards are based upon our financial performance as measured against the specific three-year plan established by the committee. The committee has established financial measurements and weightings for each specific three-year plan (as set forth in the following chart).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0E2A35"/>
        </w:rPr>
        <w:t>For the fiscal 2022-2024 LTIP performance share units, the committee selected the following Company performance metrics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Messrs. Happe, Hughes and Bower and Ms. Bogart: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4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434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Weight</w:t>
            </w:r>
          </w:p>
        </w:tc>
      </w:tr>
      <w:tr>
        <w:trPr>
          <w:trHeight w:val="89"/>
        </w:trPr>
        <w:tc>
          <w:tcPr>
            <w:tcW w:w="4940" w:type="dxa"/>
            <w:vAlign w:val="bottom"/>
            <w:shd w:val="clear" w:color="auto" w:fill="0E2A35"/>
          </w:tcPr>
          <w:p>
            <w:pPr>
              <w:spacing w:after="0"/>
              <w:rPr>
                <w:sz w:val="7"/>
                <w:szCs w:val="7"/>
                <w:color w:val="auto"/>
              </w:rPr>
            </w:pPr>
          </w:p>
        </w:tc>
        <w:tc>
          <w:tcPr>
            <w:tcW w:w="4340" w:type="dxa"/>
            <w:vAlign w:val="bottom"/>
            <w:shd w:val="clear" w:color="auto" w:fill="0E2A35"/>
          </w:tcPr>
          <w:p>
            <w:pPr>
              <w:spacing w:after="0"/>
              <w:rPr>
                <w:sz w:val="7"/>
                <w:szCs w:val="7"/>
                <w:color w:val="auto"/>
              </w:rPr>
            </w:pPr>
          </w:p>
        </w:tc>
      </w:tr>
      <w:tr>
        <w:trPr>
          <w:trHeight w:val="289"/>
        </w:trPr>
        <w:tc>
          <w:tcPr>
            <w:tcW w:w="4940" w:type="dxa"/>
            <w:vAlign w:val="bottom"/>
          </w:tcPr>
          <w:p>
            <w:pPr>
              <w:ind w:left="60"/>
              <w:spacing w:after="0"/>
              <w:rPr>
                <w:sz w:val="20"/>
                <w:szCs w:val="20"/>
                <w:color w:val="auto"/>
              </w:rPr>
            </w:pPr>
            <w:r>
              <w:rPr>
                <w:rFonts w:ascii="Arial" w:cs="Arial" w:eastAsia="Arial" w:hAnsi="Arial"/>
                <w:sz w:val="14"/>
                <w:szCs w:val="14"/>
                <w:color w:val="0E2A35"/>
              </w:rPr>
              <w:t>​Incentive ROIC</w:t>
            </w:r>
          </w:p>
        </w:tc>
        <w:tc>
          <w:tcPr>
            <w:tcW w:w="4340" w:type="dxa"/>
            <w:vAlign w:val="bottom"/>
          </w:tcPr>
          <w:p>
            <w:pPr>
              <w:jc w:val="right"/>
              <w:spacing w:after="0"/>
              <w:rPr>
                <w:sz w:val="20"/>
                <w:szCs w:val="20"/>
                <w:color w:val="auto"/>
              </w:rPr>
            </w:pPr>
            <w:r>
              <w:rPr>
                <w:rFonts w:ascii="Arial" w:cs="Arial" w:eastAsia="Arial" w:hAnsi="Arial"/>
                <w:sz w:val="14"/>
                <w:szCs w:val="14"/>
                <w:color w:val="0E2A35"/>
              </w:rPr>
              <w:t>50%</w:t>
            </w:r>
          </w:p>
        </w:tc>
      </w:tr>
      <w:tr>
        <w:trPr>
          <w:trHeight w:val="89"/>
        </w:trPr>
        <w:tc>
          <w:tcPr>
            <w:tcW w:w="4940" w:type="dxa"/>
            <w:vAlign w:val="bottom"/>
            <w:tcBorders>
              <w:bottom w:val="single" w:sz="8" w:color="0E2A35"/>
            </w:tcBorders>
          </w:tcPr>
          <w:p>
            <w:pPr>
              <w:spacing w:after="0"/>
              <w:rPr>
                <w:sz w:val="7"/>
                <w:szCs w:val="7"/>
                <w:color w:val="auto"/>
              </w:rPr>
            </w:pPr>
          </w:p>
        </w:tc>
        <w:tc>
          <w:tcPr>
            <w:tcW w:w="4340" w:type="dxa"/>
            <w:vAlign w:val="bottom"/>
            <w:tcBorders>
              <w:bottom w:val="single" w:sz="8" w:color="0E2A35"/>
            </w:tcBorders>
          </w:tcPr>
          <w:p>
            <w:pPr>
              <w:spacing w:after="0"/>
              <w:rPr>
                <w:sz w:val="7"/>
                <w:szCs w:val="7"/>
                <w:color w:val="auto"/>
              </w:rPr>
            </w:pPr>
          </w:p>
        </w:tc>
      </w:tr>
      <w:tr>
        <w:trPr>
          <w:trHeight w:val="283"/>
        </w:trPr>
        <w:tc>
          <w:tcPr>
            <w:tcW w:w="4940" w:type="dxa"/>
            <w:vAlign w:val="bottom"/>
          </w:tcPr>
          <w:p>
            <w:pPr>
              <w:ind w:left="60"/>
              <w:spacing w:after="0"/>
              <w:rPr>
                <w:sz w:val="20"/>
                <w:szCs w:val="20"/>
                <w:color w:val="auto"/>
              </w:rPr>
            </w:pPr>
            <w:r>
              <w:rPr>
                <w:rFonts w:ascii="Arial" w:cs="Arial" w:eastAsia="Arial" w:hAnsi="Arial"/>
                <w:sz w:val="14"/>
                <w:szCs w:val="14"/>
                <w:color w:val="0E2A35"/>
              </w:rPr>
              <w:t>​Incentive EPS</w:t>
            </w:r>
          </w:p>
        </w:tc>
        <w:tc>
          <w:tcPr>
            <w:tcW w:w="4340" w:type="dxa"/>
            <w:vAlign w:val="bottom"/>
          </w:tcPr>
          <w:p>
            <w:pPr>
              <w:jc w:val="right"/>
              <w:spacing w:after="0"/>
              <w:rPr>
                <w:sz w:val="20"/>
                <w:szCs w:val="20"/>
                <w:color w:val="auto"/>
              </w:rPr>
            </w:pPr>
            <w:r>
              <w:rPr>
                <w:rFonts w:ascii="Arial" w:cs="Arial" w:eastAsia="Arial" w:hAnsi="Arial"/>
                <w:sz w:val="14"/>
                <w:szCs w:val="14"/>
                <w:color w:val="0E2A35"/>
              </w:rPr>
              <w:t>50%</w:t>
            </w:r>
          </w:p>
        </w:tc>
      </w:tr>
      <w:tr>
        <w:trPr>
          <w:trHeight w:val="89"/>
        </w:trPr>
        <w:tc>
          <w:tcPr>
            <w:tcW w:w="4940" w:type="dxa"/>
            <w:vAlign w:val="bottom"/>
            <w:tcBorders>
              <w:bottom w:val="single" w:sz="8" w:color="0E2A35"/>
            </w:tcBorders>
          </w:tcPr>
          <w:p>
            <w:pPr>
              <w:spacing w:after="0"/>
              <w:rPr>
                <w:sz w:val="7"/>
                <w:szCs w:val="7"/>
                <w:color w:val="auto"/>
              </w:rPr>
            </w:pPr>
          </w:p>
        </w:tc>
        <w:tc>
          <w:tcPr>
            <w:tcW w:w="4340" w:type="dxa"/>
            <w:vAlign w:val="bottom"/>
            <w:tcBorders>
              <w:bottom w:val="single" w:sz="8" w:color="0E2A35"/>
            </w:tcBorders>
          </w:tcPr>
          <w:p>
            <w:pPr>
              <w:spacing w:after="0"/>
              <w:rPr>
                <w:sz w:val="7"/>
                <w:szCs w:val="7"/>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0E2A35"/>
        </w:rPr>
        <w:t>The Incentive ROIC metric was adjusted for LTIP to exclude the following: (i) the net financial impacts of the Barletta acquisition,</w:t>
      </w:r>
    </w:p>
    <w:p>
      <w:pPr>
        <w:spacing w:after="0" w:line="21" w:lineRule="exact"/>
        <w:rPr>
          <w:sz w:val="20"/>
          <w:szCs w:val="20"/>
          <w:color w:val="auto"/>
        </w:rPr>
      </w:pPr>
    </w:p>
    <w:p>
      <w:pPr>
        <w:ind w:right="20"/>
        <w:spacing w:after="0" w:line="249" w:lineRule="auto"/>
        <w:tabs>
          <w:tab w:leader="none" w:pos="225" w:val="left"/>
        </w:tabs>
        <w:numPr>
          <w:ilvl w:val="0"/>
          <w:numId w:val="34"/>
        </w:numPr>
        <w:rPr>
          <w:rFonts w:ascii="Arial" w:cs="Arial" w:eastAsia="Arial" w:hAnsi="Arial"/>
          <w:sz w:val="16"/>
          <w:szCs w:val="16"/>
          <w:color w:val="0E2A35"/>
        </w:rPr>
      </w:pPr>
      <w:r>
        <w:rPr>
          <w:rFonts w:ascii="Arial" w:cs="Arial" w:eastAsia="Arial" w:hAnsi="Arial"/>
          <w:sz w:val="16"/>
          <w:szCs w:val="16"/>
          <w:color w:val="0E2A35"/>
        </w:rPr>
        <w:t>the costs associated with the acquisition of Barletta, and (iii) restructuring expenses. The Incentive EPS metric was adjusted from diluted EPS to exclude the following: (i) the pretax net financial impacts of the Barletta acquisition, (ii) pretax acquisition-related costs related to the Newmar and Barletta acquisitions, (iii) pretax earnout valuation adjustments related to the Barletta acquisition, (iv) pretax inventory step-up costs related to the Newmar acquisition, (v) pretax non-cash interest expense, (vi) pretax restructuring expenses, (vii) pretax debt-issuance write-off, (viii) the dilution impact of convertible notes which is economically offset by a call/spread overlay that was put in place upon issuance, and (ix) the tax impact of the aforementioned adjustments, as applicable.</w:t>
      </w:r>
    </w:p>
    <w:p>
      <w:pPr>
        <w:spacing w:after="0" w:line="146" w:lineRule="exact"/>
        <w:rPr>
          <w:sz w:val="20"/>
          <w:szCs w:val="20"/>
          <w:color w:val="auto"/>
        </w:rPr>
      </w:pPr>
    </w:p>
    <w:p>
      <w:pPr>
        <w:jc w:val="both"/>
        <w:ind w:right="280"/>
        <w:spacing w:after="0" w:line="256" w:lineRule="auto"/>
        <w:rPr>
          <w:sz w:val="20"/>
          <w:szCs w:val="20"/>
          <w:color w:val="auto"/>
        </w:rPr>
      </w:pPr>
      <w:r>
        <w:rPr>
          <w:rFonts w:ascii="Arial" w:cs="Arial" w:eastAsia="Arial" w:hAnsi="Arial"/>
          <w:sz w:val="16"/>
          <w:szCs w:val="16"/>
          <w:color w:val="0E2A35"/>
        </w:rPr>
        <w:t>Given the financial challenges of establishing a three-year performance plan in a cyclical industry, the challenge of which has been enhanced given the uncertain COVID-19 environment, the committee decided to split the fiscal 2022-2024 LTIP into four measurement periods. Each of these four measurement periods have the financial performance metrics described above with performance goals set at the beginning of the three-year performance period. The measurement periods and associated plan weighting are indicated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08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Measurement Period</w:t>
            </w:r>
          </w:p>
        </w:tc>
        <w:tc>
          <w:tcPr>
            <w:tcW w:w="120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Weight</w:t>
            </w:r>
          </w:p>
        </w:tc>
      </w:tr>
      <w:tr>
        <w:trPr>
          <w:trHeight w:val="62"/>
        </w:trPr>
        <w:tc>
          <w:tcPr>
            <w:tcW w:w="8080" w:type="dxa"/>
            <w:vAlign w:val="bottom"/>
            <w:shd w:val="clear" w:color="auto" w:fill="0E2A35"/>
          </w:tcPr>
          <w:p>
            <w:pPr>
              <w:spacing w:after="0"/>
              <w:rPr>
                <w:sz w:val="5"/>
                <w:szCs w:val="5"/>
                <w:color w:val="auto"/>
              </w:rPr>
            </w:pPr>
          </w:p>
        </w:tc>
        <w:tc>
          <w:tcPr>
            <w:tcW w:w="1200" w:type="dxa"/>
            <w:vAlign w:val="bottom"/>
            <w:shd w:val="clear" w:color="auto" w:fill="0E2A35"/>
          </w:tcPr>
          <w:p>
            <w:pPr>
              <w:spacing w:after="0"/>
              <w:rPr>
                <w:sz w:val="5"/>
                <w:szCs w:val="5"/>
                <w:color w:val="auto"/>
              </w:rPr>
            </w:pPr>
          </w:p>
        </w:tc>
      </w:tr>
      <w:tr>
        <w:trPr>
          <w:trHeight w:val="268"/>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1: </w:t>
            </w:r>
            <w:r>
              <w:rPr>
                <w:rFonts w:ascii="Arial" w:cs="Arial" w:eastAsia="Arial" w:hAnsi="Arial"/>
                <w:sz w:val="14"/>
                <w:szCs w:val="14"/>
                <w:color w:val="0E2A35"/>
              </w:rPr>
              <w:t>fiscal 2022 (financial performance measured against established fiscal 2022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56"/>
        </w:trPr>
        <w:tc>
          <w:tcPr>
            <w:tcW w:w="8080" w:type="dxa"/>
            <w:vAlign w:val="bottom"/>
            <w:tcBorders>
              <w:bottom w:val="single" w:sz="8" w:color="0E2A35"/>
            </w:tcBorders>
          </w:tcPr>
          <w:p>
            <w:pPr>
              <w:spacing w:after="0"/>
              <w:rPr>
                <w:sz w:val="4"/>
                <w:szCs w:val="4"/>
                <w:color w:val="auto"/>
              </w:rPr>
            </w:pPr>
          </w:p>
        </w:tc>
        <w:tc>
          <w:tcPr>
            <w:tcW w:w="1200" w:type="dxa"/>
            <w:vAlign w:val="bottom"/>
            <w:tcBorders>
              <w:bottom w:val="single" w:sz="8" w:color="0E2A35"/>
            </w:tcBorders>
          </w:tcPr>
          <w:p>
            <w:pPr>
              <w:spacing w:after="0"/>
              <w:rPr>
                <w:sz w:val="4"/>
                <w:szCs w:val="4"/>
                <w:color w:val="auto"/>
              </w:rPr>
            </w:pPr>
          </w:p>
        </w:tc>
      </w:tr>
      <w:tr>
        <w:trPr>
          <w:trHeight w:val="227"/>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2: </w:t>
            </w:r>
            <w:r>
              <w:rPr>
                <w:rFonts w:ascii="Arial" w:cs="Arial" w:eastAsia="Arial" w:hAnsi="Arial"/>
                <w:sz w:val="14"/>
                <w:szCs w:val="14"/>
                <w:color w:val="0E2A35"/>
              </w:rPr>
              <w:t>fiscal 2022-2023 growth (financial performance measured against established fiscal 2022-2023 financial</w:t>
            </w:r>
          </w:p>
        </w:tc>
        <w:tc>
          <w:tcPr>
            <w:tcW w:w="1200" w:type="dxa"/>
            <w:vAlign w:val="bottom"/>
          </w:tcPr>
          <w:p>
            <w:pPr>
              <w:spacing w:after="0"/>
              <w:rPr>
                <w:sz w:val="19"/>
                <w:szCs w:val="19"/>
                <w:color w:val="auto"/>
              </w:rPr>
            </w:pPr>
          </w:p>
        </w:tc>
      </w:tr>
      <w:tr>
        <w:trPr>
          <w:trHeight w:val="190"/>
        </w:trPr>
        <w:tc>
          <w:tcPr>
            <w:tcW w:w="8080" w:type="dxa"/>
            <w:vAlign w:val="bottom"/>
          </w:tcPr>
          <w:p>
            <w:pPr>
              <w:ind w:left="220"/>
              <w:spacing w:after="0"/>
              <w:rPr>
                <w:sz w:val="20"/>
                <w:szCs w:val="20"/>
                <w:color w:val="auto"/>
              </w:rPr>
            </w:pPr>
            <w:r>
              <w:rPr>
                <w:rFonts w:ascii="Arial" w:cs="Arial" w:eastAsia="Arial" w:hAnsi="Arial"/>
                <w:sz w:val="14"/>
                <w:szCs w:val="14"/>
                <w:color w:val="0E2A35"/>
              </w:rPr>
              <w:t>growth rates which contribute to overall fiscal 2022-2024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62"/>
        </w:trPr>
        <w:tc>
          <w:tcPr>
            <w:tcW w:w="8080" w:type="dxa"/>
            <w:vAlign w:val="bottom"/>
            <w:tcBorders>
              <w:bottom w:val="single" w:sz="8" w:color="0E2A35"/>
            </w:tcBorders>
          </w:tcPr>
          <w:p>
            <w:pPr>
              <w:spacing w:after="0"/>
              <w:rPr>
                <w:sz w:val="5"/>
                <w:szCs w:val="5"/>
                <w:color w:val="auto"/>
              </w:rPr>
            </w:pPr>
          </w:p>
        </w:tc>
        <w:tc>
          <w:tcPr>
            <w:tcW w:w="1200" w:type="dxa"/>
            <w:vAlign w:val="bottom"/>
            <w:tcBorders>
              <w:bottom w:val="single" w:sz="8" w:color="0E2A35"/>
            </w:tcBorders>
          </w:tcPr>
          <w:p>
            <w:pPr>
              <w:spacing w:after="0"/>
              <w:rPr>
                <w:sz w:val="5"/>
                <w:szCs w:val="5"/>
                <w:color w:val="auto"/>
              </w:rPr>
            </w:pPr>
          </w:p>
        </w:tc>
      </w:tr>
      <w:tr>
        <w:trPr>
          <w:trHeight w:val="227"/>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3: </w:t>
            </w:r>
            <w:r>
              <w:rPr>
                <w:rFonts w:ascii="Arial" w:cs="Arial" w:eastAsia="Arial" w:hAnsi="Arial"/>
                <w:sz w:val="14"/>
                <w:szCs w:val="14"/>
                <w:color w:val="0E2A35"/>
              </w:rPr>
              <w:t>fiscal 2023-2024 growth (financial performance measured against established fiscal 2023-2024 financial</w:t>
            </w:r>
          </w:p>
        </w:tc>
        <w:tc>
          <w:tcPr>
            <w:tcW w:w="1200" w:type="dxa"/>
            <w:vAlign w:val="bottom"/>
          </w:tcPr>
          <w:p>
            <w:pPr>
              <w:spacing w:after="0"/>
              <w:rPr>
                <w:sz w:val="19"/>
                <w:szCs w:val="19"/>
                <w:color w:val="auto"/>
              </w:rPr>
            </w:pPr>
          </w:p>
        </w:tc>
      </w:tr>
      <w:tr>
        <w:trPr>
          <w:trHeight w:val="190"/>
        </w:trPr>
        <w:tc>
          <w:tcPr>
            <w:tcW w:w="8080" w:type="dxa"/>
            <w:vAlign w:val="bottom"/>
          </w:tcPr>
          <w:p>
            <w:pPr>
              <w:ind w:left="220"/>
              <w:spacing w:after="0"/>
              <w:rPr>
                <w:sz w:val="20"/>
                <w:szCs w:val="20"/>
                <w:color w:val="auto"/>
              </w:rPr>
            </w:pPr>
            <w:r>
              <w:rPr>
                <w:rFonts w:ascii="Arial" w:cs="Arial" w:eastAsia="Arial" w:hAnsi="Arial"/>
                <w:sz w:val="14"/>
                <w:szCs w:val="14"/>
                <w:color w:val="0E2A35"/>
              </w:rPr>
              <w:t>growth rates which contribute to overall fiscal 2023-2024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62"/>
        </w:trPr>
        <w:tc>
          <w:tcPr>
            <w:tcW w:w="8080" w:type="dxa"/>
            <w:vAlign w:val="bottom"/>
            <w:tcBorders>
              <w:bottom w:val="single" w:sz="8" w:color="0E2A35"/>
            </w:tcBorders>
          </w:tcPr>
          <w:p>
            <w:pPr>
              <w:spacing w:after="0"/>
              <w:rPr>
                <w:sz w:val="5"/>
                <w:szCs w:val="5"/>
                <w:color w:val="auto"/>
              </w:rPr>
            </w:pPr>
          </w:p>
        </w:tc>
        <w:tc>
          <w:tcPr>
            <w:tcW w:w="1200" w:type="dxa"/>
            <w:vAlign w:val="bottom"/>
            <w:tcBorders>
              <w:bottom w:val="single" w:sz="8" w:color="0E2A35"/>
            </w:tcBorders>
          </w:tcPr>
          <w:p>
            <w:pPr>
              <w:spacing w:after="0"/>
              <w:rPr>
                <w:sz w:val="5"/>
                <w:szCs w:val="5"/>
                <w:color w:val="auto"/>
              </w:rPr>
            </w:pPr>
          </w:p>
        </w:tc>
      </w:tr>
      <w:tr>
        <w:trPr>
          <w:trHeight w:val="262"/>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4: </w:t>
            </w:r>
            <w:r>
              <w:rPr>
                <w:rFonts w:ascii="Arial" w:cs="Arial" w:eastAsia="Arial" w:hAnsi="Arial"/>
                <w:sz w:val="14"/>
                <w:szCs w:val="14"/>
                <w:color w:val="0E2A35"/>
              </w:rPr>
              <w:t>fiscal 2022-2024 (financial performance measured against established fiscal 2024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83"/>
        </w:trPr>
        <w:tc>
          <w:tcPr>
            <w:tcW w:w="80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tcPr>
          <w:p>
            <w:pPr>
              <w:spacing w:after="0"/>
              <w:rPr>
                <w:sz w:val="7"/>
                <w:szCs w:val="7"/>
                <w:color w:val="auto"/>
              </w:rPr>
            </w:pPr>
          </w:p>
        </w:tc>
      </w:tr>
    </w:tbl>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6"/>
          <w:szCs w:val="16"/>
          <w:color w:val="0E2A35"/>
        </w:rPr>
        <w:t>Following the completion of each of these measurement periods, the results are computed and the payout results are “banked” until the end of the fiscal 2024 performance period. Employees must be employed by the Company on the date of payout, following the end of the fiscal 2022-2024 performance period, to receive any payout. The number of performance shares that may be earned range from 0% to 200% of the target share amount.</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Restricted Stock Units</w:t>
      </w:r>
    </w:p>
    <w:p>
      <w:pPr>
        <w:spacing w:after="0" w:line="193"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0E2A35"/>
        </w:rPr>
        <w:t>NEOs were granted restricted stock units in fiscal 2022 that vest in three equal annual installments, beginning on the first anniversary of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Stock Options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E2A35"/>
        </w:rPr>
        <w:t>NEOs were granted stock options in fiscal 2022 that vest over three years in equal installments, beginning on the first anniversary of the grant date, and can be exercised over ten years.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2022 Awards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0E2A35"/>
        </w:rPr>
        <w:t>The target value of the equity incentive awards granted to the NEOs in fiscal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97880" cy="685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97880" cy="685800"/>
                    </a:xfrm>
                    <a:prstGeom prst="rect">
                      <a:avLst/>
                    </a:prstGeom>
                    <a:noFill/>
                  </pic:spPr>
                </pic:pic>
              </a:graphicData>
            </a:graphic>
          </wp:anchor>
        </w:drawing>
      </w:r>
    </w:p>
    <w:p>
      <w:pPr>
        <w:spacing w:after="0" w:line="170"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FFFFFF"/>
        </w:rPr>
        <w:t>Annual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60" w:type="dxa"/>
            <w:vAlign w:val="bottom"/>
          </w:tcPr>
          <w:p>
            <w:pPr>
              <w:spacing w:after="0"/>
              <w:rPr>
                <w:sz w:val="19"/>
                <w:szCs w:val="19"/>
                <w:color w:val="auto"/>
              </w:rPr>
            </w:pPr>
          </w:p>
        </w:tc>
        <w:tc>
          <w:tcPr>
            <w:tcW w:w="1500" w:type="dxa"/>
            <w:vAlign w:val="bottom"/>
            <w:shd w:val="clear" w:color="auto" w:fill="0E2A35"/>
          </w:tcPr>
          <w:p>
            <w:pPr>
              <w:jc w:val="center"/>
              <w:ind w:left="152"/>
              <w:spacing w:after="0"/>
              <w:rPr>
                <w:sz w:val="20"/>
                <w:szCs w:val="20"/>
                <w:color w:val="auto"/>
              </w:rPr>
            </w:pPr>
            <w:r>
              <w:rPr>
                <w:rFonts w:ascii="Arial" w:cs="Arial" w:eastAsia="Arial" w:hAnsi="Arial"/>
                <w:sz w:val="13"/>
                <w:szCs w:val="13"/>
                <w:b w:val="1"/>
                <w:bCs w:val="1"/>
                <w:color w:val="FFFFFF"/>
                <w:w w:val="90"/>
              </w:rPr>
              <w:t>LTIP /</w:t>
            </w:r>
          </w:p>
        </w:tc>
        <w:tc>
          <w:tcPr>
            <w:tcW w:w="124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860" w:type="dxa"/>
            <w:vAlign w:val="bottom"/>
            <w:vMerge w:val="restart"/>
            <w:shd w:val="clear" w:color="auto" w:fill="0E2A35"/>
          </w:tcPr>
          <w:p>
            <w:pPr>
              <w:jc w:val="center"/>
              <w:ind w:left="131"/>
              <w:spacing w:after="0"/>
              <w:rPr>
                <w:sz w:val="20"/>
                <w:szCs w:val="20"/>
                <w:color w:val="auto"/>
              </w:rPr>
            </w:pPr>
            <w:r>
              <w:rPr>
                <w:rFonts w:ascii="Arial" w:cs="Arial" w:eastAsia="Arial" w:hAnsi="Arial"/>
                <w:sz w:val="13"/>
                <w:szCs w:val="13"/>
                <w:b w:val="1"/>
                <w:bCs w:val="1"/>
                <w:color w:val="FFFFFF"/>
                <w:w w:val="95"/>
              </w:rPr>
              <w:t>Stock</w:t>
            </w:r>
          </w:p>
        </w:tc>
        <w:tc>
          <w:tcPr>
            <w:tcW w:w="22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400" w:type="dxa"/>
            <w:vAlign w:val="bottom"/>
            <w:shd w:val="clear" w:color="auto" w:fill="0E2A35"/>
          </w:tcPr>
          <w:p>
            <w:pPr>
              <w:spacing w:after="0"/>
              <w:rPr>
                <w:sz w:val="19"/>
                <w:szCs w:val="19"/>
                <w:color w:val="auto"/>
              </w:rPr>
            </w:pPr>
          </w:p>
        </w:tc>
        <w:tc>
          <w:tcPr>
            <w:tcW w:w="110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500" w:type="dxa"/>
            <w:vAlign w:val="bottom"/>
            <w:shd w:val="clear" w:color="auto" w:fill="0E2A35"/>
          </w:tcPr>
          <w:p>
            <w:pPr>
              <w:jc w:val="center"/>
              <w:ind w:left="152"/>
              <w:spacing w:after="0" w:line="135" w:lineRule="exact"/>
              <w:rPr>
                <w:sz w:val="20"/>
                <w:szCs w:val="20"/>
                <w:color w:val="auto"/>
              </w:rPr>
            </w:pPr>
            <w:r>
              <w:rPr>
                <w:rFonts w:ascii="Arial" w:cs="Arial" w:eastAsia="Arial" w:hAnsi="Arial"/>
                <w:sz w:val="13"/>
                <w:szCs w:val="13"/>
                <w:b w:val="1"/>
                <w:bCs w:val="1"/>
                <w:color w:val="FFFFFF"/>
                <w:w w:val="95"/>
              </w:rPr>
              <w:t>Performance</w:t>
            </w:r>
          </w:p>
        </w:tc>
        <w:tc>
          <w:tcPr>
            <w:tcW w:w="1240" w:type="dxa"/>
            <w:vAlign w:val="bottom"/>
            <w:vMerge w:val="continue"/>
            <w:shd w:val="clear" w:color="auto" w:fill="0E2A35"/>
          </w:tcPr>
          <w:p>
            <w:pPr>
              <w:spacing w:after="0"/>
              <w:rPr>
                <w:sz w:val="11"/>
                <w:szCs w:val="11"/>
                <w:color w:val="auto"/>
              </w:rPr>
            </w:pPr>
          </w:p>
        </w:tc>
        <w:tc>
          <w:tcPr>
            <w:tcW w:w="860" w:type="dxa"/>
            <w:vAlign w:val="bottom"/>
            <w:vMerge w:val="continue"/>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40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6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Name</w:t>
            </w:r>
          </w:p>
        </w:tc>
        <w:tc>
          <w:tcPr>
            <w:tcW w:w="1500" w:type="dxa"/>
            <w:vAlign w:val="bottom"/>
            <w:shd w:val="clear" w:color="auto" w:fill="0E2A35"/>
          </w:tcPr>
          <w:p>
            <w:pPr>
              <w:jc w:val="center"/>
              <w:ind w:left="172"/>
              <w:spacing w:after="0" w:line="129" w:lineRule="exact"/>
              <w:rPr>
                <w:sz w:val="20"/>
                <w:szCs w:val="20"/>
                <w:color w:val="auto"/>
              </w:rPr>
            </w:pPr>
            <w:r>
              <w:rPr>
                <w:rFonts w:ascii="Arial" w:cs="Arial" w:eastAsia="Arial" w:hAnsi="Arial"/>
                <w:sz w:val="13"/>
                <w:szCs w:val="13"/>
                <w:b w:val="1"/>
                <w:bCs w:val="1"/>
                <w:color w:val="FFFFFF"/>
                <w:w w:val="96"/>
              </w:rPr>
              <w:t>Shares</w:t>
            </w:r>
          </w:p>
        </w:tc>
        <w:tc>
          <w:tcPr>
            <w:tcW w:w="124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5"/>
              </w:rPr>
              <w:t>Stock Units</w:t>
            </w:r>
          </w:p>
        </w:tc>
        <w:tc>
          <w:tcPr>
            <w:tcW w:w="860" w:type="dxa"/>
            <w:vAlign w:val="bottom"/>
            <w:shd w:val="clear" w:color="auto" w:fill="0E2A35"/>
          </w:tcPr>
          <w:p>
            <w:pPr>
              <w:jc w:val="center"/>
              <w:ind w:left="171"/>
              <w:spacing w:after="0" w:line="129" w:lineRule="exact"/>
              <w:rPr>
                <w:sz w:val="20"/>
                <w:szCs w:val="20"/>
                <w:color w:val="auto"/>
              </w:rPr>
            </w:pPr>
            <w:r>
              <w:rPr>
                <w:rFonts w:ascii="Arial" w:cs="Arial" w:eastAsia="Arial" w:hAnsi="Arial"/>
                <w:sz w:val="13"/>
                <w:szCs w:val="13"/>
                <w:b w:val="1"/>
                <w:bCs w:val="1"/>
                <w:color w:val="FFFFFF"/>
                <w:w w:val="93"/>
              </w:rPr>
              <w:t>Options</w:t>
            </w:r>
          </w:p>
        </w:tc>
        <w:tc>
          <w:tcPr>
            <w:tcW w:w="220" w:type="dxa"/>
            <w:vAlign w:val="bottom"/>
            <w:shd w:val="clear" w:color="auto" w:fill="0E2A35"/>
          </w:tcPr>
          <w:p>
            <w:pPr>
              <w:spacing w:after="0"/>
              <w:rPr>
                <w:sz w:val="11"/>
                <w:szCs w:val="11"/>
                <w:color w:val="auto"/>
              </w:rPr>
            </w:pPr>
          </w:p>
        </w:tc>
        <w:tc>
          <w:tcPr>
            <w:tcW w:w="1200" w:type="dxa"/>
            <w:vAlign w:val="bottom"/>
            <w:vMerge w:val="restart"/>
            <w:shd w:val="clear" w:color="auto" w:fill="0E2A35"/>
          </w:tcPr>
          <w:p>
            <w:pPr>
              <w:jc w:val="right"/>
              <w:ind w:right="177"/>
              <w:spacing w:after="0"/>
              <w:rPr>
                <w:sz w:val="20"/>
                <w:szCs w:val="20"/>
                <w:color w:val="auto"/>
              </w:rPr>
            </w:pPr>
            <w:r>
              <w:rPr>
                <w:rFonts w:ascii="Arial" w:cs="Arial" w:eastAsia="Arial" w:hAnsi="Arial"/>
                <w:sz w:val="13"/>
                <w:szCs w:val="13"/>
                <w:b w:val="1"/>
                <w:bCs w:val="1"/>
                <w:color w:val="FFFFFF"/>
              </w:rPr>
              <w:t>Fiscal 2022</w:t>
            </w:r>
          </w:p>
        </w:tc>
        <w:tc>
          <w:tcPr>
            <w:tcW w:w="1400" w:type="dxa"/>
            <w:vAlign w:val="bottom"/>
            <w:vMerge w:val="restart"/>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Fiscal 2021</w:t>
            </w:r>
          </w:p>
        </w:tc>
        <w:tc>
          <w:tcPr>
            <w:tcW w:w="1100" w:type="dxa"/>
            <w:vAlign w:val="bottom"/>
            <w:vMerge w:val="restart"/>
            <w:shd w:val="clear" w:color="auto" w:fill="0E2A35"/>
          </w:tcPr>
          <w:p>
            <w:pPr>
              <w:jc w:val="right"/>
              <w:spacing w:after="0"/>
              <w:rPr>
                <w:sz w:val="20"/>
                <w:szCs w:val="20"/>
                <w:color w:val="auto"/>
              </w:rPr>
            </w:pPr>
            <w:r>
              <w:rPr>
                <w:rFonts w:ascii="Arial" w:cs="Arial" w:eastAsia="Arial" w:hAnsi="Arial"/>
                <w:sz w:val="13"/>
                <w:szCs w:val="13"/>
                <w:b w:val="1"/>
                <w:bCs w:val="1"/>
                <w:color w:val="FFFFFF"/>
              </w:rPr>
              <w:t>%​ Increase</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253"/>
        </w:trPr>
        <w:tc>
          <w:tcPr>
            <w:tcW w:w="1760" w:type="dxa"/>
            <w:vAlign w:val="bottom"/>
            <w:vMerge w:val="continue"/>
          </w:tcPr>
          <w:p>
            <w:pPr>
              <w:spacing w:after="0"/>
              <w:rPr>
                <w:sz w:val="22"/>
                <w:szCs w:val="22"/>
                <w:color w:val="auto"/>
              </w:rPr>
            </w:pPr>
          </w:p>
        </w:tc>
        <w:tc>
          <w:tcPr>
            <w:tcW w:w="1500" w:type="dxa"/>
            <w:vAlign w:val="bottom"/>
            <w:shd w:val="clear" w:color="auto" w:fill="0E2A35"/>
          </w:tcPr>
          <w:p>
            <w:pPr>
              <w:jc w:val="center"/>
              <w:ind w:left="192"/>
              <w:spacing w:after="0"/>
              <w:rPr>
                <w:sz w:val="20"/>
                <w:szCs w:val="20"/>
                <w:color w:val="auto"/>
              </w:rPr>
            </w:pPr>
            <w:r>
              <w:rPr>
                <w:rFonts w:ascii="Arial" w:cs="Arial" w:eastAsia="Arial" w:hAnsi="Arial"/>
                <w:sz w:val="13"/>
                <w:szCs w:val="13"/>
                <w:b w:val="1"/>
                <w:bCs w:val="1"/>
                <w:color w:val="FFFFFF"/>
                <w:w w:val="94"/>
              </w:rPr>
              <w:t>(50%)</w:t>
            </w:r>
            <w:r>
              <w:rPr>
                <w:rFonts w:ascii="Arial" w:cs="Arial" w:eastAsia="Arial" w:hAnsi="Arial"/>
                <w:sz w:val="20"/>
                <w:szCs w:val="20"/>
                <w:b w:val="1"/>
                <w:bCs w:val="1"/>
                <w:color w:val="FFFFFF"/>
                <w:w w:val="94"/>
                <w:vertAlign w:val="superscript"/>
              </w:rPr>
              <w:t>(1)</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(35%)</w:t>
            </w:r>
            <w:r>
              <w:rPr>
                <w:rFonts w:ascii="Arial" w:cs="Arial" w:eastAsia="Arial" w:hAnsi="Arial"/>
                <w:sz w:val="20"/>
                <w:szCs w:val="20"/>
                <w:b w:val="1"/>
                <w:bCs w:val="1"/>
                <w:color w:val="FFFFFF"/>
                <w:w w:val="94"/>
                <w:vertAlign w:val="superscript"/>
              </w:rPr>
              <w:t>(2)</w:t>
            </w:r>
          </w:p>
        </w:tc>
        <w:tc>
          <w:tcPr>
            <w:tcW w:w="860" w:type="dxa"/>
            <w:vAlign w:val="bottom"/>
            <w:shd w:val="clear" w:color="auto" w:fill="0E2A35"/>
          </w:tcPr>
          <w:p>
            <w:pPr>
              <w:jc w:val="center"/>
              <w:ind w:left="171"/>
              <w:spacing w:after="0"/>
              <w:rPr>
                <w:sz w:val="20"/>
                <w:szCs w:val="20"/>
                <w:color w:val="auto"/>
              </w:rPr>
            </w:pPr>
            <w:r>
              <w:rPr>
                <w:rFonts w:ascii="Arial" w:cs="Arial" w:eastAsia="Arial" w:hAnsi="Arial"/>
                <w:sz w:val="13"/>
                <w:szCs w:val="13"/>
                <w:b w:val="1"/>
                <w:bCs w:val="1"/>
                <w:color w:val="FFFFFF"/>
                <w:w w:val="97"/>
              </w:rPr>
              <w:t>(15%)</w:t>
            </w:r>
          </w:p>
        </w:tc>
        <w:tc>
          <w:tcPr>
            <w:tcW w:w="220" w:type="dxa"/>
            <w:vAlign w:val="bottom"/>
            <w:shd w:val="clear" w:color="auto" w:fill="0E2A35"/>
          </w:tcPr>
          <w:p>
            <w:pPr>
              <w:spacing w:after="0"/>
              <w:rPr>
                <w:sz w:val="22"/>
                <w:szCs w:val="22"/>
                <w:color w:val="auto"/>
              </w:rPr>
            </w:pPr>
          </w:p>
        </w:tc>
        <w:tc>
          <w:tcPr>
            <w:tcW w:w="1200" w:type="dxa"/>
            <w:vAlign w:val="bottom"/>
            <w:vMerge w:val="continue"/>
            <w:shd w:val="clear" w:color="auto" w:fill="0E2A35"/>
          </w:tcPr>
          <w:p>
            <w:pPr>
              <w:spacing w:after="0"/>
              <w:rPr>
                <w:sz w:val="22"/>
                <w:szCs w:val="22"/>
                <w:color w:val="auto"/>
              </w:rPr>
            </w:pPr>
          </w:p>
        </w:tc>
        <w:tc>
          <w:tcPr>
            <w:tcW w:w="1400" w:type="dxa"/>
            <w:vAlign w:val="bottom"/>
            <w:vMerge w:val="continue"/>
            <w:shd w:val="clear" w:color="auto" w:fill="0E2A35"/>
          </w:tcPr>
          <w:p>
            <w:pPr>
              <w:spacing w:after="0"/>
              <w:rPr>
                <w:sz w:val="22"/>
                <w:szCs w:val="22"/>
                <w:color w:val="auto"/>
              </w:rPr>
            </w:pPr>
          </w:p>
        </w:tc>
        <w:tc>
          <w:tcPr>
            <w:tcW w:w="1100" w:type="dxa"/>
            <w:vAlign w:val="bottom"/>
            <w:vMerge w:val="continue"/>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17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Michael J. Happe</w:t>
            </w:r>
          </w:p>
        </w:tc>
        <w:tc>
          <w:tcPr>
            <w:tcW w:w="1500" w:type="dxa"/>
            <w:vAlign w:val="bottom"/>
            <w:tcBorders>
              <w:bottom w:val="single" w:sz="8" w:color="0E2A35"/>
            </w:tcBorders>
          </w:tcPr>
          <w:p>
            <w:pPr>
              <w:jc w:val="right"/>
              <w:ind w:right="212"/>
              <w:spacing w:after="0"/>
              <w:rPr>
                <w:sz w:val="20"/>
                <w:szCs w:val="20"/>
                <w:color w:val="auto"/>
              </w:rPr>
            </w:pPr>
            <w:r>
              <w:rPr>
                <w:rFonts w:ascii="Arial" w:cs="Arial" w:eastAsia="Arial" w:hAnsi="Arial"/>
                <w:sz w:val="14"/>
                <w:szCs w:val="14"/>
                <w:color w:val="0E2A35"/>
              </w:rPr>
              <w:t>$2,099,966</w:t>
            </w:r>
          </w:p>
        </w:tc>
        <w:tc>
          <w:tcPr>
            <w:tcW w:w="1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$1,469,999</w:t>
            </w:r>
          </w:p>
        </w:tc>
        <w:tc>
          <w:tcPr>
            <w:tcW w:w="86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$629,991</w:t>
            </w:r>
          </w:p>
        </w:tc>
        <w:tc>
          <w:tcPr>
            <w:tcW w:w="142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4"/>
                <w:szCs w:val="14"/>
                <w:color w:val="0E2A35"/>
              </w:rPr>
              <w:t>$4,199,956</w:t>
            </w:r>
          </w:p>
        </w:tc>
        <w:tc>
          <w:tcPr>
            <w:tcW w:w="14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$4,099,984</w:t>
            </w:r>
            <w:r>
              <w:rPr>
                <w:rFonts w:ascii="Arial" w:cs="Arial" w:eastAsia="Arial" w:hAnsi="Arial"/>
                <w:sz w:val="23"/>
                <w:szCs w:val="23"/>
                <w:color w:val="0E2A35"/>
                <w:vertAlign w:val="superscript"/>
              </w:rPr>
              <w:t>(3)</w:t>
            </w:r>
          </w:p>
        </w:tc>
        <w:tc>
          <w:tcPr>
            <w:tcW w:w="110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2.4%</w:t>
            </w:r>
          </w:p>
        </w:tc>
        <w:tc>
          <w:tcPr>
            <w:tcW w:w="0" w:type="dxa"/>
            <w:vAlign w:val="bottom"/>
          </w:tcPr>
          <w:p>
            <w:pPr>
              <w:spacing w:after="0"/>
              <w:rPr>
                <w:sz w:val="1"/>
                <w:szCs w:val="1"/>
                <w:color w:val="auto"/>
              </w:rPr>
            </w:pPr>
          </w:p>
        </w:tc>
      </w:tr>
      <w:tr>
        <w:trPr>
          <w:trHeight w:val="344"/>
        </w:trPr>
        <w:tc>
          <w:tcPr>
            <w:tcW w:w="17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Bryan L. Hughes</w:t>
            </w:r>
          </w:p>
        </w:tc>
        <w:tc>
          <w:tcPr>
            <w:tcW w:w="1500" w:type="dxa"/>
            <w:vAlign w:val="bottom"/>
            <w:tcBorders>
              <w:bottom w:val="single" w:sz="8" w:color="0E2A35"/>
            </w:tcBorders>
          </w:tcPr>
          <w:p>
            <w:pPr>
              <w:jc w:val="right"/>
              <w:ind w:right="212"/>
              <w:spacing w:after="0"/>
              <w:rPr>
                <w:sz w:val="20"/>
                <w:szCs w:val="20"/>
                <w:color w:val="auto"/>
              </w:rPr>
            </w:pPr>
            <w:r>
              <w:rPr>
                <w:rFonts w:ascii="Arial" w:cs="Arial" w:eastAsia="Arial" w:hAnsi="Arial"/>
                <w:sz w:val="14"/>
                <w:szCs w:val="14"/>
                <w:color w:val="0E2A35"/>
              </w:rPr>
              <w:t>412,495</w:t>
            </w:r>
          </w:p>
        </w:tc>
        <w:tc>
          <w:tcPr>
            <w:tcW w:w="1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343,784</w:t>
            </w:r>
          </w:p>
        </w:tc>
        <w:tc>
          <w:tcPr>
            <w:tcW w:w="86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123,749</w:t>
            </w:r>
          </w:p>
        </w:tc>
        <w:tc>
          <w:tcPr>
            <w:tcW w:w="142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4"/>
                <w:szCs w:val="14"/>
                <w:color w:val="0E2A35"/>
              </w:rPr>
              <w:t>880,028</w:t>
            </w:r>
          </w:p>
        </w:tc>
        <w:tc>
          <w:tcPr>
            <w:tcW w:w="14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866,252</w:t>
            </w:r>
            <w:r>
              <w:rPr>
                <w:rFonts w:ascii="Arial" w:cs="Arial" w:eastAsia="Arial" w:hAnsi="Arial"/>
                <w:sz w:val="23"/>
                <w:szCs w:val="23"/>
                <w:color w:val="0E2A35"/>
                <w:vertAlign w:val="superscript"/>
              </w:rPr>
              <w:t>(3)</w:t>
            </w:r>
          </w:p>
        </w:tc>
        <w:tc>
          <w:tcPr>
            <w:tcW w:w="1100" w:type="dxa"/>
            <w:vAlign w:val="bottom"/>
            <w:tcBorders>
              <w:bottom w:val="single" w:sz="8" w:color="0E2A35"/>
            </w:tcBorders>
          </w:tcPr>
          <w:p>
            <w:pPr>
              <w:jc w:val="right"/>
              <w:ind w:right="230"/>
              <w:spacing w:after="0"/>
              <w:rPr>
                <w:sz w:val="20"/>
                <w:szCs w:val="20"/>
                <w:color w:val="auto"/>
              </w:rPr>
            </w:pPr>
            <w:r>
              <w:rPr>
                <w:rFonts w:ascii="Arial" w:cs="Arial" w:eastAsia="Arial" w:hAnsi="Arial"/>
                <w:sz w:val="14"/>
                <w:szCs w:val="14"/>
                <w:color w:val="0E2A35"/>
              </w:rPr>
              <w:t>1.6</w:t>
            </w:r>
          </w:p>
        </w:tc>
        <w:tc>
          <w:tcPr>
            <w:tcW w:w="0" w:type="dxa"/>
            <w:vAlign w:val="bottom"/>
          </w:tcPr>
          <w:p>
            <w:pPr>
              <w:spacing w:after="0"/>
              <w:rPr>
                <w:sz w:val="1"/>
                <w:szCs w:val="1"/>
                <w:color w:val="auto"/>
              </w:rPr>
            </w:pPr>
          </w:p>
        </w:tc>
      </w:tr>
      <w:tr>
        <w:trPr>
          <w:trHeight w:val="345"/>
        </w:trPr>
        <w:tc>
          <w:tcPr>
            <w:tcW w:w="17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Stacy L. Bogart</w:t>
            </w:r>
          </w:p>
        </w:tc>
        <w:tc>
          <w:tcPr>
            <w:tcW w:w="1500" w:type="dxa"/>
            <w:vAlign w:val="bottom"/>
            <w:tcBorders>
              <w:bottom w:val="single" w:sz="8" w:color="0E2A35"/>
            </w:tcBorders>
          </w:tcPr>
          <w:p>
            <w:pPr>
              <w:jc w:val="right"/>
              <w:ind w:right="212"/>
              <w:spacing w:after="0"/>
              <w:rPr>
                <w:sz w:val="20"/>
                <w:szCs w:val="20"/>
                <w:color w:val="auto"/>
              </w:rPr>
            </w:pPr>
            <w:r>
              <w:rPr>
                <w:rFonts w:ascii="Arial" w:cs="Arial" w:eastAsia="Arial" w:hAnsi="Arial"/>
                <w:sz w:val="14"/>
                <w:szCs w:val="14"/>
                <w:color w:val="0E2A35"/>
              </w:rPr>
              <w:t>330,782</w:t>
            </w:r>
          </w:p>
        </w:tc>
        <w:tc>
          <w:tcPr>
            <w:tcW w:w="1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280,514</w:t>
            </w:r>
          </w:p>
        </w:tc>
        <w:tc>
          <w:tcPr>
            <w:tcW w:w="86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99,212</w:t>
            </w:r>
          </w:p>
        </w:tc>
        <w:tc>
          <w:tcPr>
            <w:tcW w:w="142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4"/>
                <w:szCs w:val="14"/>
                <w:color w:val="0E2A35"/>
              </w:rPr>
              <w:t>710,508</w:t>
            </w:r>
          </w:p>
        </w:tc>
        <w:tc>
          <w:tcPr>
            <w:tcW w:w="14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665,979</w:t>
            </w:r>
            <w:r>
              <w:rPr>
                <w:rFonts w:ascii="Arial" w:cs="Arial" w:eastAsia="Arial" w:hAnsi="Arial"/>
                <w:sz w:val="23"/>
                <w:szCs w:val="23"/>
                <w:color w:val="0E2A35"/>
                <w:vertAlign w:val="superscript"/>
              </w:rPr>
              <w:t>(3)</w:t>
            </w:r>
          </w:p>
        </w:tc>
        <w:tc>
          <w:tcPr>
            <w:tcW w:w="1100" w:type="dxa"/>
            <w:vAlign w:val="bottom"/>
            <w:tcBorders>
              <w:bottom w:val="single" w:sz="8" w:color="0E2A35"/>
            </w:tcBorders>
          </w:tcPr>
          <w:p>
            <w:pPr>
              <w:jc w:val="right"/>
              <w:ind w:right="230"/>
              <w:spacing w:after="0"/>
              <w:rPr>
                <w:sz w:val="20"/>
                <w:szCs w:val="20"/>
                <w:color w:val="auto"/>
              </w:rPr>
            </w:pPr>
            <w:r>
              <w:rPr>
                <w:rFonts w:ascii="Arial" w:cs="Arial" w:eastAsia="Arial" w:hAnsi="Arial"/>
                <w:sz w:val="14"/>
                <w:szCs w:val="14"/>
                <w:color w:val="0E2A35"/>
              </w:rPr>
              <w:t>6.7</w:t>
            </w:r>
          </w:p>
        </w:tc>
        <w:tc>
          <w:tcPr>
            <w:tcW w:w="0" w:type="dxa"/>
            <w:vAlign w:val="bottom"/>
          </w:tcPr>
          <w:p>
            <w:pPr>
              <w:spacing w:after="0"/>
              <w:rPr>
                <w:sz w:val="1"/>
                <w:szCs w:val="1"/>
                <w:color w:val="auto"/>
              </w:rPr>
            </w:pPr>
          </w:p>
        </w:tc>
      </w:tr>
      <w:tr>
        <w:trPr>
          <w:trHeight w:val="344"/>
        </w:trPr>
        <w:tc>
          <w:tcPr>
            <w:tcW w:w="17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Huw S. Bower</w:t>
            </w:r>
          </w:p>
        </w:tc>
        <w:tc>
          <w:tcPr>
            <w:tcW w:w="1500" w:type="dxa"/>
            <w:vAlign w:val="bottom"/>
            <w:tcBorders>
              <w:bottom w:val="single" w:sz="8" w:color="0E2A35"/>
            </w:tcBorders>
          </w:tcPr>
          <w:p>
            <w:pPr>
              <w:jc w:val="right"/>
              <w:ind w:right="212"/>
              <w:spacing w:after="0"/>
              <w:rPr>
                <w:sz w:val="20"/>
                <w:szCs w:val="20"/>
                <w:color w:val="auto"/>
              </w:rPr>
            </w:pPr>
            <w:r>
              <w:rPr>
                <w:rFonts w:ascii="Arial" w:cs="Arial" w:eastAsia="Arial" w:hAnsi="Arial"/>
                <w:sz w:val="14"/>
                <w:szCs w:val="14"/>
                <w:color w:val="0E2A35"/>
              </w:rPr>
              <w:t>509,779</w:t>
            </w:r>
          </w:p>
        </w:tc>
        <w:tc>
          <w:tcPr>
            <w:tcW w:w="1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356,860</w:t>
            </w:r>
          </w:p>
        </w:tc>
        <w:tc>
          <w:tcPr>
            <w:tcW w:w="86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152,918</w:t>
            </w:r>
          </w:p>
        </w:tc>
        <w:tc>
          <w:tcPr>
            <w:tcW w:w="142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4"/>
                <w:szCs w:val="14"/>
                <w:color w:val="0E2A35"/>
              </w:rPr>
              <w:t>1,019,557</w:t>
            </w:r>
          </w:p>
        </w:tc>
        <w:tc>
          <w:tcPr>
            <w:tcW w:w="14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2,140,010</w:t>
            </w:r>
            <w:r>
              <w:rPr>
                <w:rFonts w:ascii="Arial" w:cs="Arial" w:eastAsia="Arial" w:hAnsi="Arial"/>
                <w:sz w:val="23"/>
                <w:szCs w:val="23"/>
                <w:color w:val="0E2A35"/>
                <w:vertAlign w:val="superscript"/>
              </w:rPr>
              <w:t>(4)</w:t>
            </w:r>
          </w:p>
        </w:tc>
        <w:tc>
          <w:tcPr>
            <w:tcW w:w="11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-​52.4</w:t>
            </w:r>
          </w:p>
        </w:tc>
        <w:tc>
          <w:tcPr>
            <w:tcW w:w="0" w:type="dxa"/>
            <w:vAlign w:val="bottom"/>
          </w:tcPr>
          <w:p>
            <w:pPr>
              <w:spacing w:after="0"/>
              <w:rPr>
                <w:sz w:val="1"/>
                <w:szCs w:val="1"/>
                <w:color w:val="auto"/>
              </w:rPr>
            </w:pPr>
          </w:p>
        </w:tc>
      </w:tr>
      <w:tr>
        <w:trPr>
          <w:trHeight w:val="383"/>
        </w:trPr>
        <w:tc>
          <w:tcPr>
            <w:tcW w:w="1760" w:type="dxa"/>
            <w:vAlign w:val="bottom"/>
          </w:tcPr>
          <w:p>
            <w:pPr>
              <w:ind w:left="60"/>
              <w:spacing w:after="0"/>
              <w:rPr>
                <w:sz w:val="20"/>
                <w:szCs w:val="20"/>
                <w:color w:val="auto"/>
              </w:rPr>
            </w:pPr>
            <w:r>
              <w:rPr>
                <w:rFonts w:ascii="Arial" w:cs="Arial" w:eastAsia="Arial" w:hAnsi="Arial"/>
                <w:sz w:val="14"/>
                <w:szCs w:val="14"/>
                <w:color w:val="0E2A35"/>
              </w:rPr>
              <w:t>Donald J. Clark</w:t>
            </w:r>
            <w:r>
              <w:rPr>
                <w:rFonts w:ascii="Arial" w:cs="Arial" w:eastAsia="Arial" w:hAnsi="Arial"/>
                <w:sz w:val="23"/>
                <w:szCs w:val="23"/>
                <w:color w:val="0E2A35"/>
                <w:vertAlign w:val="superscript"/>
              </w:rPr>
              <w:t>(5)</w:t>
            </w:r>
          </w:p>
        </w:tc>
        <w:tc>
          <w:tcPr>
            <w:tcW w:w="1500" w:type="dxa"/>
            <w:vAlign w:val="bottom"/>
          </w:tcPr>
          <w:p>
            <w:pPr>
              <w:jc w:val="right"/>
              <w:ind w:right="212"/>
              <w:spacing w:after="0"/>
              <w:rPr>
                <w:sz w:val="20"/>
                <w:szCs w:val="20"/>
                <w:color w:val="auto"/>
              </w:rPr>
            </w:pPr>
            <w:r>
              <w:rPr>
                <w:rFonts w:ascii="Arial" w:cs="Arial" w:eastAsia="Arial" w:hAnsi="Arial"/>
                <w:sz w:val="14"/>
                <w:szCs w:val="14"/>
                <w:color w:val="0E2A35"/>
              </w:rPr>
              <w:t>N/A</w:t>
            </w:r>
          </w:p>
        </w:tc>
        <w:tc>
          <w:tcPr>
            <w:tcW w:w="1240" w:type="dxa"/>
            <w:vAlign w:val="bottom"/>
          </w:tcPr>
          <w:p>
            <w:pPr>
              <w:jc w:val="right"/>
              <w:ind w:right="171"/>
              <w:spacing w:after="0"/>
              <w:rPr>
                <w:sz w:val="20"/>
                <w:szCs w:val="20"/>
                <w:color w:val="auto"/>
              </w:rPr>
            </w:pPr>
            <w:r>
              <w:rPr>
                <w:rFonts w:ascii="Arial" w:cs="Arial" w:eastAsia="Arial" w:hAnsi="Arial"/>
                <w:sz w:val="14"/>
                <w:szCs w:val="14"/>
                <w:color w:val="0E2A35"/>
              </w:rPr>
              <w:t>​ 1,958,594</w:t>
            </w:r>
          </w:p>
        </w:tc>
        <w:tc>
          <w:tcPr>
            <w:tcW w:w="860" w:type="dxa"/>
            <w:vAlign w:val="bottom"/>
          </w:tcPr>
          <w:p>
            <w:pPr>
              <w:jc w:val="right"/>
              <w:spacing w:after="0"/>
              <w:rPr>
                <w:sz w:val="20"/>
                <w:szCs w:val="20"/>
                <w:color w:val="auto"/>
              </w:rPr>
            </w:pPr>
            <w:r>
              <w:rPr>
                <w:rFonts w:ascii="Arial" w:cs="Arial" w:eastAsia="Arial" w:hAnsi="Arial"/>
                <w:sz w:val="14"/>
                <w:szCs w:val="14"/>
                <w:color w:val="0E2A35"/>
              </w:rPr>
              <w:t>N/A</w:t>
            </w:r>
          </w:p>
        </w:tc>
        <w:tc>
          <w:tcPr>
            <w:tcW w:w="1420" w:type="dxa"/>
            <w:vAlign w:val="bottom"/>
            <w:gridSpan w:val="2"/>
          </w:tcPr>
          <w:p>
            <w:pPr>
              <w:jc w:val="right"/>
              <w:ind w:right="177"/>
              <w:spacing w:after="0"/>
              <w:rPr>
                <w:sz w:val="20"/>
                <w:szCs w:val="20"/>
                <w:color w:val="auto"/>
              </w:rPr>
            </w:pPr>
            <w:r>
              <w:rPr>
                <w:rFonts w:ascii="Arial" w:cs="Arial" w:eastAsia="Arial" w:hAnsi="Arial"/>
                <w:sz w:val="14"/>
                <w:szCs w:val="14"/>
                <w:color w:val="0E2A35"/>
              </w:rPr>
              <w:t>1,958,594</w:t>
            </w:r>
          </w:p>
        </w:tc>
        <w:tc>
          <w:tcPr>
            <w:tcW w:w="1400" w:type="dxa"/>
            <w:vAlign w:val="bottom"/>
          </w:tcPr>
          <w:p>
            <w:pPr>
              <w:jc w:val="right"/>
              <w:ind w:right="370"/>
              <w:spacing w:after="0"/>
              <w:rPr>
                <w:sz w:val="20"/>
                <w:szCs w:val="20"/>
                <w:color w:val="auto"/>
              </w:rPr>
            </w:pPr>
            <w:r>
              <w:rPr>
                <w:rFonts w:ascii="Arial" w:cs="Arial" w:eastAsia="Arial" w:hAnsi="Arial"/>
                <w:sz w:val="14"/>
                <w:szCs w:val="14"/>
                <w:color w:val="0E2A35"/>
              </w:rPr>
              <w:t>1,011,923</w:t>
            </w:r>
          </w:p>
        </w:tc>
        <w:tc>
          <w:tcPr>
            <w:tcW w:w="1100" w:type="dxa"/>
            <w:vAlign w:val="bottom"/>
          </w:tcPr>
          <w:p>
            <w:pPr>
              <w:jc w:val="right"/>
              <w:ind w:right="230"/>
              <w:spacing w:after="0"/>
              <w:rPr>
                <w:sz w:val="20"/>
                <w:szCs w:val="20"/>
                <w:color w:val="auto"/>
              </w:rPr>
            </w:pPr>
            <w:r>
              <w:rPr>
                <w:rFonts w:ascii="Arial" w:cs="Arial" w:eastAsia="Arial" w:hAnsi="Arial"/>
                <w:sz w:val="14"/>
                <w:szCs w:val="14"/>
                <w:color w:val="0E2A35"/>
              </w:rPr>
              <w:t>​93.6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58978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58" w:lineRule="exact"/>
        <w:rPr>
          <w:sz w:val="20"/>
          <w:szCs w:val="20"/>
          <w:color w:val="auto"/>
        </w:rPr>
      </w:pPr>
    </w:p>
    <w:p>
      <w:pPr>
        <w:ind w:left="360" w:hanging="360"/>
        <w:spacing w:after="0"/>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To perform this calculation, we assumed that the LTIP/Performance Share awards for fiscal 2022 and fiscal 2021 were earned at target.</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Mr. Hughes and Ms. Bogart each received an additional RSU grant, of $55,030 and $48,982, respectively, for their work on the Barletta Boats acquisition.</w:t>
      </w:r>
    </w:p>
    <w:p>
      <w:pPr>
        <w:spacing w:after="0" w:line="39" w:lineRule="exact"/>
        <w:rPr>
          <w:rFonts w:ascii="Arial" w:cs="Arial" w:eastAsia="Arial" w:hAnsi="Arial"/>
          <w:sz w:val="13"/>
          <w:szCs w:val="13"/>
          <w:color w:val="0E2A35"/>
        </w:rPr>
      </w:pPr>
    </w:p>
    <w:p>
      <w:pPr>
        <w:ind w:left="360" w:hanging="360"/>
        <w:spacing w:after="0" w:line="243" w:lineRule="auto"/>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Messrs. Happe and Hughes and Ms. Bogart received a fiscal 2021 Performance Stock Unit award, which is valued at target value and included in the fiscal 2021 column.</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Mr. Bower’s restricted stock unit award reflects a new hire stock buyout grant which has pro-rata vesting over three years.</w:t>
      </w:r>
    </w:p>
    <w:p>
      <w:pPr>
        <w:spacing w:after="0" w:line="39" w:lineRule="exact"/>
        <w:rPr>
          <w:rFonts w:ascii="Arial" w:cs="Arial" w:eastAsia="Arial" w:hAnsi="Arial"/>
          <w:sz w:val="13"/>
          <w:szCs w:val="13"/>
          <w:color w:val="0E2A35"/>
        </w:rPr>
      </w:pPr>
    </w:p>
    <w:p>
      <w:pPr>
        <w:ind w:left="360" w:right="100" w:hanging="360"/>
        <w:spacing w:after="0" w:line="243" w:lineRule="auto"/>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Under the terms of his employment agreement, for fiscal 2022, Mr. Clark receives 15% of this Grand Design MIP award delivered in the form of restricted stock units. For fiscal 2021, Mr. Clark received 10% of his Grand Design MIP award in the form of restricted stock units.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Payout of the Fiscal 2020-2022 LTIP Cycle</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0E2A35"/>
        </w:rPr>
        <w:t>For the fiscal 2020-2022 LTIP performance share units, the committee used the metrics of average Incentive ROIC and cumulative Incentive EPS,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 granted and a maximum award of 200% of the shares granted. The table below reflects our performance against these metrics and the amount paid to eligible NEOs under the fiscal 2020-2022 LTIP performance share units: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 w:type="dxa"/>
            <w:vAlign w:val="bottom"/>
            <w:shd w:val="clear" w:color="auto" w:fill="0E2A35"/>
          </w:tcPr>
          <w:p>
            <w:pPr>
              <w:spacing w:after="0"/>
              <w:rPr>
                <w:sz w:val="19"/>
                <w:szCs w:val="19"/>
                <w:color w:val="auto"/>
              </w:rPr>
            </w:pPr>
          </w:p>
        </w:tc>
        <w:tc>
          <w:tcPr>
            <w:tcW w:w="2380" w:type="dxa"/>
            <w:vAlign w:val="bottom"/>
            <w:shd w:val="clear" w:color="auto" w:fill="0E2A35"/>
          </w:tcPr>
          <w:p>
            <w:pPr>
              <w:spacing w:after="0"/>
              <w:rPr>
                <w:sz w:val="19"/>
                <w:szCs w:val="19"/>
                <w:color w:val="auto"/>
              </w:rPr>
            </w:pPr>
          </w:p>
        </w:tc>
        <w:tc>
          <w:tcPr>
            <w:tcW w:w="980" w:type="dxa"/>
            <w:vAlign w:val="bottom"/>
            <w:shd w:val="clear" w:color="auto" w:fill="0E2A35"/>
          </w:tcPr>
          <w:p>
            <w:pPr>
              <w:spacing w:after="0"/>
              <w:rPr>
                <w:sz w:val="19"/>
                <w:szCs w:val="19"/>
                <w:color w:val="auto"/>
              </w:rPr>
            </w:pPr>
          </w:p>
        </w:tc>
        <w:tc>
          <w:tcPr>
            <w:tcW w:w="10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3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780" w:type="dxa"/>
            <w:vAlign w:val="bottom"/>
            <w:gridSpan w:val="2"/>
            <w:vMerge w:val="restart"/>
            <w:shd w:val="clear" w:color="auto" w:fill="0E2A35"/>
          </w:tcPr>
          <w:p>
            <w:pPr>
              <w:ind w:left="260"/>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29"/>
        </w:trPr>
        <w:tc>
          <w:tcPr>
            <w:tcW w:w="42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w w:val="88"/>
              </w:rPr>
              <w:t>Metric</w:t>
            </w:r>
          </w:p>
        </w:tc>
        <w:tc>
          <w:tcPr>
            <w:tcW w:w="2380" w:type="dxa"/>
            <w:vAlign w:val="bottom"/>
            <w:shd w:val="clear" w:color="auto" w:fill="0E2A35"/>
          </w:tcPr>
          <w:p>
            <w:pPr>
              <w:spacing w:after="0"/>
              <w:rPr>
                <w:sz w:val="11"/>
                <w:szCs w:val="11"/>
                <w:color w:val="auto"/>
              </w:rPr>
            </w:pPr>
          </w:p>
        </w:tc>
        <w:tc>
          <w:tcPr>
            <w:tcW w:w="980" w:type="dxa"/>
            <w:vAlign w:val="bottom"/>
            <w:vMerge w:val="restart"/>
            <w:shd w:val="clear" w:color="auto" w:fill="0E2A35"/>
          </w:tcPr>
          <w:p>
            <w:pPr>
              <w:ind w:left="340"/>
              <w:spacing w:after="0"/>
              <w:rPr>
                <w:sz w:val="20"/>
                <w:szCs w:val="20"/>
                <w:color w:val="auto"/>
              </w:rPr>
            </w:pPr>
            <w:r>
              <w:rPr>
                <w:rFonts w:ascii="Arial" w:cs="Arial" w:eastAsia="Arial" w:hAnsi="Arial"/>
                <w:sz w:val="13"/>
                <w:szCs w:val="13"/>
                <w:b w:val="1"/>
                <w:bCs w:val="1"/>
                <w:color w:val="FFFFFF"/>
              </w:rPr>
              <w:t>Weight</w:t>
            </w:r>
          </w:p>
        </w:tc>
        <w:tc>
          <w:tcPr>
            <w:tcW w:w="102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2"/>
              </w:rPr>
              <w:t>(25%</w:t>
            </w:r>
          </w:p>
        </w:tc>
        <w:tc>
          <w:tcPr>
            <w:tcW w:w="136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5"/>
              </w:rPr>
              <w:t>(100%</w:t>
            </w:r>
          </w:p>
        </w:tc>
        <w:tc>
          <w:tcPr>
            <w:tcW w:w="104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rPr>
              <w:t>(200%</w:t>
            </w:r>
          </w:p>
        </w:tc>
        <w:tc>
          <w:tcPr>
            <w:tcW w:w="130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6"/>
              </w:rPr>
              <w:t>2020-2022</w:t>
            </w:r>
          </w:p>
        </w:tc>
        <w:tc>
          <w:tcPr>
            <w:tcW w:w="780" w:type="dxa"/>
            <w:vAlign w:val="bottom"/>
            <w:gridSpan w:val="2"/>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20" w:type="dxa"/>
            <w:vAlign w:val="bottom"/>
            <w:vMerge w:val="continue"/>
            <w:shd w:val="clear" w:color="auto" w:fill="0E2A35"/>
          </w:tcPr>
          <w:p>
            <w:pPr>
              <w:spacing w:after="0"/>
              <w:rPr>
                <w:sz w:val="22"/>
                <w:szCs w:val="22"/>
                <w:color w:val="auto"/>
              </w:rPr>
            </w:pPr>
          </w:p>
        </w:tc>
        <w:tc>
          <w:tcPr>
            <w:tcW w:w="2380" w:type="dxa"/>
            <w:vAlign w:val="bottom"/>
            <w:shd w:val="clear" w:color="auto" w:fill="0E2A35"/>
          </w:tcPr>
          <w:p>
            <w:pPr>
              <w:spacing w:after="0"/>
              <w:rPr>
                <w:sz w:val="22"/>
                <w:szCs w:val="22"/>
                <w:color w:val="auto"/>
              </w:rPr>
            </w:pPr>
          </w:p>
        </w:tc>
        <w:tc>
          <w:tcPr>
            <w:tcW w:w="980" w:type="dxa"/>
            <w:vAlign w:val="bottom"/>
            <w:vMerge w:val="continue"/>
            <w:shd w:val="clear" w:color="auto" w:fill="0E2A35"/>
          </w:tcPr>
          <w:p>
            <w:pPr>
              <w:spacing w:after="0"/>
              <w:rPr>
                <w:sz w:val="22"/>
                <w:szCs w:val="22"/>
                <w:color w:val="auto"/>
              </w:rPr>
            </w:pPr>
          </w:p>
        </w:tc>
        <w:tc>
          <w:tcPr>
            <w:tcW w:w="10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Payout)</w:t>
            </w:r>
          </w:p>
        </w:tc>
        <w:tc>
          <w:tcPr>
            <w:tcW w:w="13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Performance</w:t>
            </w:r>
            <w:r>
              <w:rPr>
                <w:rFonts w:ascii="Arial" w:cs="Arial" w:eastAsia="Arial" w:hAnsi="Arial"/>
                <w:sz w:val="20"/>
                <w:szCs w:val="20"/>
                <w:b w:val="1"/>
                <w:bCs w:val="1"/>
                <w:color w:val="FFFFFF"/>
                <w:w w:val="93"/>
                <w:vertAlign w:val="superscript"/>
              </w:rPr>
              <w:t>(1)</w:t>
            </w:r>
          </w:p>
        </w:tc>
        <w:tc>
          <w:tcPr>
            <w:tcW w:w="780" w:type="dxa"/>
            <w:vAlign w:val="bottom"/>
            <w:gridSpan w:val="2"/>
            <w:shd w:val="clear" w:color="auto" w:fill="0E2A35"/>
          </w:tcPr>
          <w:p>
            <w:pPr>
              <w:ind w:left="180"/>
              <w:spacing w:after="0"/>
              <w:rPr>
                <w:sz w:val="20"/>
                <w:szCs w:val="20"/>
                <w:color w:val="auto"/>
              </w:rPr>
            </w:pPr>
            <w:r>
              <w:rPr>
                <w:rFonts w:ascii="Arial" w:cs="Arial" w:eastAsia="Arial" w:hAnsi="Arial"/>
                <w:sz w:val="13"/>
                <w:szCs w:val="13"/>
                <w:b w:val="1"/>
                <w:bCs w:val="1"/>
                <w:color w:val="FFFFFF"/>
                <w:w w:val="99"/>
              </w:rPr>
              <w:t>Payout %</w:t>
            </w:r>
          </w:p>
        </w:tc>
        <w:tc>
          <w:tcPr>
            <w:tcW w:w="0" w:type="dxa"/>
            <w:vAlign w:val="bottom"/>
          </w:tcPr>
          <w:p>
            <w:pPr>
              <w:spacing w:after="0"/>
              <w:rPr>
                <w:sz w:val="1"/>
                <w:szCs w:val="1"/>
                <w:color w:val="auto"/>
              </w:rPr>
            </w:pPr>
          </w:p>
        </w:tc>
      </w:tr>
      <w:tr>
        <w:trPr>
          <w:trHeight w:val="275"/>
        </w:trPr>
        <w:tc>
          <w:tcPr>
            <w:tcW w:w="420" w:type="dxa"/>
            <w:vAlign w:val="bottom"/>
          </w:tcPr>
          <w:p>
            <w:pPr>
              <w:ind w:left="60"/>
              <w:spacing w:after="0"/>
              <w:rPr>
                <w:sz w:val="20"/>
                <w:szCs w:val="20"/>
                <w:color w:val="auto"/>
              </w:rPr>
            </w:pPr>
            <w:r>
              <w:rPr>
                <w:rFonts w:ascii="Arial" w:cs="Arial" w:eastAsia="Arial" w:hAnsi="Arial"/>
                <w:sz w:val="14"/>
                <w:szCs w:val="14"/>
                <w:color w:val="0E2A35"/>
                <w:w w:val="92"/>
              </w:rPr>
              <w:t>Three​</w:t>
            </w:r>
          </w:p>
        </w:tc>
        <w:tc>
          <w:tcPr>
            <w:tcW w:w="2380" w:type="dxa"/>
            <w:vAlign w:val="bottom"/>
          </w:tcPr>
          <w:p>
            <w:pPr>
              <w:spacing w:after="0"/>
              <w:rPr>
                <w:sz w:val="20"/>
                <w:szCs w:val="20"/>
                <w:color w:val="auto"/>
              </w:rPr>
            </w:pPr>
            <w:r>
              <w:rPr>
                <w:rFonts w:ascii="Arial" w:cs="Arial" w:eastAsia="Arial" w:hAnsi="Arial"/>
                <w:sz w:val="14"/>
                <w:szCs w:val="14"/>
                <w:color w:val="0E2A35"/>
              </w:rPr>
              <w:t>-year Average Incentive ROIC</w:t>
            </w:r>
          </w:p>
        </w:tc>
        <w:tc>
          <w:tcPr>
            <w:tcW w:w="980" w:type="dxa"/>
            <w:vAlign w:val="bottom"/>
          </w:tcPr>
          <w:p>
            <w:pPr>
              <w:ind w:left="380"/>
              <w:spacing w:after="0"/>
              <w:rPr>
                <w:sz w:val="20"/>
                <w:szCs w:val="20"/>
                <w:color w:val="auto"/>
              </w:rPr>
            </w:pPr>
            <w:r>
              <w:rPr>
                <w:rFonts w:ascii="Arial" w:cs="Arial" w:eastAsia="Arial" w:hAnsi="Arial"/>
                <w:sz w:val="14"/>
                <w:szCs w:val="14"/>
                <w:color w:val="0E2A35"/>
              </w:rPr>
              <w:t>​50.0%</w:t>
            </w:r>
          </w:p>
        </w:tc>
        <w:tc>
          <w:tcPr>
            <w:tcW w:w="1020" w:type="dxa"/>
            <w:vAlign w:val="bottom"/>
          </w:tcPr>
          <w:p>
            <w:pPr>
              <w:jc w:val="right"/>
              <w:ind w:right="113"/>
              <w:spacing w:after="0"/>
              <w:rPr>
                <w:sz w:val="20"/>
                <w:szCs w:val="20"/>
                <w:color w:val="auto"/>
              </w:rPr>
            </w:pPr>
            <w:r>
              <w:rPr>
                <w:rFonts w:ascii="Arial" w:cs="Arial" w:eastAsia="Arial" w:hAnsi="Arial"/>
                <w:sz w:val="14"/>
                <w:szCs w:val="14"/>
                <w:color w:val="0E2A35"/>
              </w:rPr>
              <w:t>10​.1%</w:t>
            </w:r>
          </w:p>
        </w:tc>
        <w:tc>
          <w:tcPr>
            <w:tcW w:w="640" w:type="dxa"/>
            <w:vAlign w:val="bottom"/>
          </w:tcPr>
          <w:p>
            <w:pPr>
              <w:jc w:val="right"/>
              <w:spacing w:after="0"/>
              <w:rPr>
                <w:sz w:val="20"/>
                <w:szCs w:val="20"/>
                <w:color w:val="auto"/>
              </w:rPr>
            </w:pPr>
            <w:r>
              <w:rPr>
                <w:rFonts w:ascii="Arial" w:cs="Arial" w:eastAsia="Arial" w:hAnsi="Arial"/>
                <w:sz w:val="14"/>
                <w:szCs w:val="14"/>
                <w:color w:val="0E2A35"/>
              </w:rPr>
              <w:t>12​.0%</w:t>
            </w:r>
          </w:p>
        </w:tc>
        <w:tc>
          <w:tcPr>
            <w:tcW w:w="720" w:type="dxa"/>
            <w:vAlign w:val="bottom"/>
          </w:tcPr>
          <w:p>
            <w:pPr>
              <w:ind w:left="20"/>
              <w:spacing w:after="0"/>
              <w:rPr>
                <w:sz w:val="20"/>
                <w:szCs w:val="20"/>
                <w:color w:val="auto"/>
              </w:rPr>
            </w:pPr>
            <w:r>
              <w:rPr>
                <w:rFonts w:ascii="Arial" w:cs="Arial" w:eastAsia="Arial" w:hAnsi="Arial"/>
                <w:sz w:val="14"/>
                <w:szCs w:val="14"/>
                <w:color w:val="0E2A35"/>
              </w:rPr>
              <w:t>- 13.2%</w:t>
            </w:r>
          </w:p>
        </w:tc>
        <w:tc>
          <w:tcPr>
            <w:tcW w:w="1040" w:type="dxa"/>
            <w:vAlign w:val="bottom"/>
          </w:tcPr>
          <w:p>
            <w:pPr>
              <w:jc w:val="right"/>
              <w:ind w:right="133"/>
              <w:spacing w:after="0"/>
              <w:rPr>
                <w:sz w:val="20"/>
                <w:szCs w:val="20"/>
                <w:color w:val="auto"/>
              </w:rPr>
            </w:pPr>
            <w:r>
              <w:rPr>
                <w:rFonts w:ascii="Arial" w:cs="Arial" w:eastAsia="Arial" w:hAnsi="Arial"/>
                <w:sz w:val="14"/>
                <w:szCs w:val="14"/>
                <w:color w:val="0E2A35"/>
              </w:rPr>
              <w:t>​15.1%</w:t>
            </w:r>
          </w:p>
        </w:tc>
        <w:tc>
          <w:tcPr>
            <w:tcW w:w="1300" w:type="dxa"/>
            <w:vAlign w:val="bottom"/>
          </w:tcPr>
          <w:p>
            <w:pPr>
              <w:ind w:left="400"/>
              <w:spacing w:after="0"/>
              <w:rPr>
                <w:sz w:val="20"/>
                <w:szCs w:val="20"/>
                <w:color w:val="auto"/>
              </w:rPr>
            </w:pPr>
            <w:r>
              <w:rPr>
                <w:rFonts w:ascii="Arial" w:cs="Arial" w:eastAsia="Arial" w:hAnsi="Arial"/>
                <w:sz w:val="14"/>
                <w:szCs w:val="14"/>
                <w:color w:val="0E2A35"/>
              </w:rPr>
              <w:t>​  18.0%</w:t>
            </w:r>
          </w:p>
        </w:tc>
        <w:tc>
          <w:tcPr>
            <w:tcW w:w="500" w:type="dxa"/>
            <w:vAlign w:val="bottom"/>
          </w:tcPr>
          <w:p>
            <w:pPr>
              <w:ind w:left="260"/>
              <w:spacing w:after="0"/>
              <w:rPr>
                <w:sz w:val="20"/>
                <w:szCs w:val="20"/>
                <w:color w:val="auto"/>
              </w:rPr>
            </w:pPr>
            <w:r>
              <w:rPr>
                <w:rFonts w:ascii="Arial" w:cs="Arial" w:eastAsia="Arial" w:hAnsi="Arial"/>
                <w:sz w:val="14"/>
                <w:szCs w:val="14"/>
                <w:color w:val="0E2A35"/>
                <w:w w:val="94"/>
              </w:rPr>
              <w:t>200​</w:t>
            </w:r>
          </w:p>
        </w:tc>
        <w:tc>
          <w:tcPr>
            <w:tcW w:w="280" w:type="dxa"/>
            <w:vAlign w:val="bottom"/>
          </w:tcPr>
          <w:p>
            <w:pPr>
              <w:jc w:val="right"/>
              <w:spacing w:after="0"/>
              <w:rPr>
                <w:sz w:val="20"/>
                <w:szCs w:val="20"/>
                <w:color w:val="auto"/>
              </w:rPr>
            </w:pPr>
            <w:r>
              <w:rPr>
                <w:rFonts w:ascii="Arial" w:cs="Arial" w:eastAsia="Arial" w:hAnsi="Arial"/>
                <w:sz w:val="14"/>
                <w:szCs w:val="14"/>
                <w:color w:val="0E2A35"/>
                <w:w w:val="90"/>
              </w:rPr>
              <w:t>.0%</w:t>
            </w:r>
          </w:p>
        </w:tc>
        <w:tc>
          <w:tcPr>
            <w:tcW w:w="0" w:type="dxa"/>
            <w:vAlign w:val="bottom"/>
          </w:tcPr>
          <w:p>
            <w:pPr>
              <w:spacing w:after="0"/>
              <w:rPr>
                <w:sz w:val="1"/>
                <w:szCs w:val="1"/>
                <w:color w:val="auto"/>
              </w:rPr>
            </w:pPr>
          </w:p>
        </w:tc>
      </w:tr>
      <w:tr>
        <w:trPr>
          <w:trHeight w:val="76"/>
        </w:trPr>
        <w:tc>
          <w:tcPr>
            <w:tcW w:w="420" w:type="dxa"/>
            <w:vAlign w:val="bottom"/>
            <w:tcBorders>
              <w:bottom w:val="single" w:sz="8" w:color="0E2A35"/>
            </w:tcBorders>
          </w:tcPr>
          <w:p>
            <w:pPr>
              <w:spacing w:after="0"/>
              <w:rPr>
                <w:sz w:val="6"/>
                <w:szCs w:val="6"/>
                <w:color w:val="auto"/>
              </w:rPr>
            </w:pPr>
          </w:p>
        </w:tc>
        <w:tc>
          <w:tcPr>
            <w:tcW w:w="238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64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300" w:type="dxa"/>
            <w:vAlign w:val="bottom"/>
            <w:tcBorders>
              <w:bottom w:val="single" w:sz="8" w:color="0E2A35"/>
            </w:tcBorders>
          </w:tcPr>
          <w:p>
            <w:pPr>
              <w:spacing w:after="0"/>
              <w:rPr>
                <w:sz w:val="6"/>
                <w:szCs w:val="6"/>
                <w:color w:val="auto"/>
              </w:rPr>
            </w:pPr>
          </w:p>
        </w:tc>
        <w:tc>
          <w:tcPr>
            <w:tcW w:w="500" w:type="dxa"/>
            <w:vAlign w:val="bottom"/>
            <w:tcBorders>
              <w:bottom w:val="single" w:sz="8" w:color="0E2A35"/>
            </w:tcBorders>
          </w:tcPr>
          <w:p>
            <w:pPr>
              <w:spacing w:after="0"/>
              <w:rPr>
                <w:sz w:val="6"/>
                <w:szCs w:val="6"/>
                <w:color w:val="auto"/>
              </w:rPr>
            </w:pPr>
          </w:p>
        </w:tc>
        <w:tc>
          <w:tcPr>
            <w:tcW w:w="28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20" w:type="dxa"/>
            <w:vAlign w:val="bottom"/>
          </w:tcPr>
          <w:p>
            <w:pPr>
              <w:ind w:left="60"/>
              <w:spacing w:after="0"/>
              <w:rPr>
                <w:sz w:val="20"/>
                <w:szCs w:val="20"/>
                <w:color w:val="auto"/>
              </w:rPr>
            </w:pPr>
            <w:r>
              <w:rPr>
                <w:rFonts w:ascii="Arial" w:cs="Arial" w:eastAsia="Arial" w:hAnsi="Arial"/>
                <w:sz w:val="14"/>
                <w:szCs w:val="14"/>
                <w:color w:val="0E2A35"/>
                <w:w w:val="92"/>
              </w:rPr>
              <w:t>Three​</w:t>
            </w:r>
          </w:p>
        </w:tc>
        <w:tc>
          <w:tcPr>
            <w:tcW w:w="2380" w:type="dxa"/>
            <w:vAlign w:val="bottom"/>
          </w:tcPr>
          <w:p>
            <w:pPr>
              <w:spacing w:after="0"/>
              <w:rPr>
                <w:sz w:val="20"/>
                <w:szCs w:val="20"/>
                <w:color w:val="auto"/>
              </w:rPr>
            </w:pPr>
            <w:r>
              <w:rPr>
                <w:rFonts w:ascii="Arial" w:cs="Arial" w:eastAsia="Arial" w:hAnsi="Arial"/>
                <w:sz w:val="14"/>
                <w:szCs w:val="14"/>
                <w:color w:val="0E2A35"/>
              </w:rPr>
              <w:t>-year Cumulative Incentive EPS</w:t>
            </w:r>
          </w:p>
        </w:tc>
        <w:tc>
          <w:tcPr>
            <w:tcW w:w="980" w:type="dxa"/>
            <w:vAlign w:val="bottom"/>
          </w:tcPr>
          <w:p>
            <w:pPr>
              <w:ind w:left="380"/>
              <w:spacing w:after="0"/>
              <w:rPr>
                <w:sz w:val="20"/>
                <w:szCs w:val="20"/>
                <w:color w:val="auto"/>
              </w:rPr>
            </w:pPr>
            <w:r>
              <w:rPr>
                <w:rFonts w:ascii="Arial" w:cs="Arial" w:eastAsia="Arial" w:hAnsi="Arial"/>
                <w:sz w:val="14"/>
                <w:szCs w:val="14"/>
                <w:color w:val="0E2A35"/>
              </w:rPr>
              <w:t>50​.0%</w:t>
            </w:r>
          </w:p>
        </w:tc>
        <w:tc>
          <w:tcPr>
            <w:tcW w:w="1020" w:type="dxa"/>
            <w:vAlign w:val="bottom"/>
          </w:tcPr>
          <w:p>
            <w:pPr>
              <w:jc w:val="right"/>
              <w:ind w:right="253"/>
              <w:spacing w:after="0"/>
              <w:rPr>
                <w:sz w:val="20"/>
                <w:szCs w:val="20"/>
                <w:color w:val="auto"/>
              </w:rPr>
            </w:pPr>
            <w:r>
              <w:rPr>
                <w:rFonts w:ascii="Arial" w:cs="Arial" w:eastAsia="Arial" w:hAnsi="Arial"/>
                <w:sz w:val="14"/>
                <w:szCs w:val="14"/>
                <w:color w:val="0E2A35"/>
              </w:rPr>
              <w:t>$​11.34</w:t>
            </w:r>
          </w:p>
        </w:tc>
        <w:tc>
          <w:tcPr>
            <w:tcW w:w="640" w:type="dxa"/>
            <w:vAlign w:val="bottom"/>
          </w:tcPr>
          <w:p>
            <w:pPr>
              <w:jc w:val="right"/>
              <w:spacing w:after="0"/>
              <w:rPr>
                <w:sz w:val="20"/>
                <w:szCs w:val="20"/>
                <w:color w:val="auto"/>
              </w:rPr>
            </w:pPr>
            <w:r>
              <w:rPr>
                <w:rFonts w:ascii="Arial" w:cs="Arial" w:eastAsia="Arial" w:hAnsi="Arial"/>
                <w:sz w:val="14"/>
                <w:szCs w:val="14"/>
                <w:color w:val="0E2A35"/>
              </w:rPr>
              <w:t>$​13.47</w:t>
            </w:r>
          </w:p>
        </w:tc>
        <w:tc>
          <w:tcPr>
            <w:tcW w:w="720" w:type="dxa"/>
            <w:vAlign w:val="bottom"/>
          </w:tcPr>
          <w:p>
            <w:pPr>
              <w:ind w:left="20"/>
              <w:spacing w:after="0"/>
              <w:rPr>
                <w:sz w:val="20"/>
                <w:szCs w:val="20"/>
                <w:color w:val="auto"/>
              </w:rPr>
            </w:pPr>
            <w:r>
              <w:rPr>
                <w:rFonts w:ascii="Arial" w:cs="Arial" w:eastAsia="Arial" w:hAnsi="Arial"/>
                <w:sz w:val="14"/>
                <w:szCs w:val="14"/>
                <w:color w:val="0E2A35"/>
              </w:rPr>
              <w:t>- $14.89</w:t>
            </w:r>
          </w:p>
        </w:tc>
        <w:tc>
          <w:tcPr>
            <w:tcW w:w="1040" w:type="dxa"/>
            <w:vAlign w:val="bottom"/>
          </w:tcPr>
          <w:p>
            <w:pPr>
              <w:jc w:val="right"/>
              <w:ind w:right="253"/>
              <w:spacing w:after="0"/>
              <w:rPr>
                <w:sz w:val="20"/>
                <w:szCs w:val="20"/>
                <w:color w:val="auto"/>
              </w:rPr>
            </w:pPr>
            <w:r>
              <w:rPr>
                <w:rFonts w:ascii="Arial" w:cs="Arial" w:eastAsia="Arial" w:hAnsi="Arial"/>
                <w:sz w:val="14"/>
                <w:szCs w:val="14"/>
                <w:color w:val="0E2A35"/>
              </w:rPr>
              <w:t>$​17.02</w:t>
            </w:r>
          </w:p>
        </w:tc>
        <w:tc>
          <w:tcPr>
            <w:tcW w:w="1300" w:type="dxa"/>
            <w:vAlign w:val="bottom"/>
          </w:tcPr>
          <w:p>
            <w:pPr>
              <w:ind w:left="400"/>
              <w:spacing w:after="0"/>
              <w:rPr>
                <w:sz w:val="20"/>
                <w:szCs w:val="20"/>
                <w:color w:val="auto"/>
              </w:rPr>
            </w:pPr>
            <w:r>
              <w:rPr>
                <w:rFonts w:ascii="Arial" w:cs="Arial" w:eastAsia="Arial" w:hAnsi="Arial"/>
                <w:sz w:val="14"/>
                <w:szCs w:val="14"/>
                <w:color w:val="0E2A35"/>
              </w:rPr>
              <w:t>$23.47</w:t>
            </w:r>
          </w:p>
        </w:tc>
        <w:tc>
          <w:tcPr>
            <w:tcW w:w="500" w:type="dxa"/>
            <w:vAlign w:val="bottom"/>
          </w:tcPr>
          <w:p>
            <w:pPr>
              <w:ind w:left="260"/>
              <w:spacing w:after="0"/>
              <w:rPr>
                <w:sz w:val="20"/>
                <w:szCs w:val="20"/>
                <w:color w:val="auto"/>
              </w:rPr>
            </w:pPr>
            <w:r>
              <w:rPr>
                <w:rFonts w:ascii="Arial" w:cs="Arial" w:eastAsia="Arial" w:hAnsi="Arial"/>
                <w:sz w:val="14"/>
                <w:szCs w:val="14"/>
                <w:color w:val="0E2A35"/>
                <w:w w:val="94"/>
              </w:rPr>
              <w:t>200​</w:t>
            </w:r>
          </w:p>
        </w:tc>
        <w:tc>
          <w:tcPr>
            <w:tcW w:w="280" w:type="dxa"/>
            <w:vAlign w:val="bottom"/>
          </w:tcPr>
          <w:p>
            <w:pPr>
              <w:jc w:val="right"/>
              <w:spacing w:after="0"/>
              <w:rPr>
                <w:sz w:val="20"/>
                <w:szCs w:val="20"/>
                <w:color w:val="auto"/>
              </w:rPr>
            </w:pPr>
            <w:r>
              <w:rPr>
                <w:rFonts w:ascii="Arial" w:cs="Arial" w:eastAsia="Arial" w:hAnsi="Arial"/>
                <w:sz w:val="14"/>
                <w:szCs w:val="14"/>
                <w:color w:val="0E2A35"/>
                <w:w w:val="90"/>
              </w:rPr>
              <w:t>.0%</w:t>
            </w:r>
          </w:p>
        </w:tc>
        <w:tc>
          <w:tcPr>
            <w:tcW w:w="0" w:type="dxa"/>
            <w:vAlign w:val="bottom"/>
          </w:tcPr>
          <w:p>
            <w:pPr>
              <w:spacing w:after="0"/>
              <w:rPr>
                <w:sz w:val="1"/>
                <w:szCs w:val="1"/>
                <w:color w:val="auto"/>
              </w:rPr>
            </w:pPr>
          </w:p>
        </w:tc>
      </w:tr>
      <w:tr>
        <w:trPr>
          <w:trHeight w:val="76"/>
        </w:trPr>
        <w:tc>
          <w:tcPr>
            <w:tcW w:w="420" w:type="dxa"/>
            <w:vAlign w:val="bottom"/>
            <w:tcBorders>
              <w:bottom w:val="single" w:sz="8" w:color="0E2A35"/>
            </w:tcBorders>
          </w:tcPr>
          <w:p>
            <w:pPr>
              <w:spacing w:after="0"/>
              <w:rPr>
                <w:sz w:val="6"/>
                <w:szCs w:val="6"/>
                <w:color w:val="auto"/>
              </w:rPr>
            </w:pPr>
          </w:p>
        </w:tc>
        <w:tc>
          <w:tcPr>
            <w:tcW w:w="238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64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2340" w:type="dxa"/>
            <w:vAlign w:val="bottom"/>
            <w:tcBorders>
              <w:bottom w:val="single" w:sz="8" w:color="0E2A35"/>
            </w:tcBorders>
            <w:gridSpan w:val="2"/>
          </w:tcPr>
          <w:p>
            <w:pPr>
              <w:spacing w:after="0"/>
              <w:rPr>
                <w:sz w:val="6"/>
                <w:szCs w:val="6"/>
                <w:color w:val="auto"/>
              </w:rPr>
            </w:pPr>
          </w:p>
        </w:tc>
        <w:tc>
          <w:tcPr>
            <w:tcW w:w="780" w:type="dxa"/>
            <w:vAlign w:val="bottom"/>
            <w:tcBorders>
              <w:bottom w:val="single" w:sz="8" w:color="0E2A35"/>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340" w:type="dxa"/>
            <w:vAlign w:val="bottom"/>
            <w:gridSpan w:val="2"/>
          </w:tcPr>
          <w:p>
            <w:pPr>
              <w:ind w:left="600"/>
              <w:spacing w:after="0"/>
              <w:rPr>
                <w:sz w:val="20"/>
                <w:szCs w:val="20"/>
                <w:color w:val="auto"/>
              </w:rPr>
            </w:pPr>
            <w:r>
              <w:rPr>
                <w:rFonts w:ascii="Arial" w:cs="Arial" w:eastAsia="Arial" w:hAnsi="Arial"/>
                <w:sz w:val="14"/>
                <w:szCs w:val="14"/>
                <w:color w:val="0E2A35"/>
              </w:rPr>
              <w:t>Total Payout Percentage</w:t>
            </w:r>
          </w:p>
        </w:tc>
        <w:tc>
          <w:tcPr>
            <w:tcW w:w="780" w:type="dxa"/>
            <w:vAlign w:val="bottom"/>
            <w:gridSpan w:val="2"/>
          </w:tcPr>
          <w:p>
            <w:pPr>
              <w:jc w:val="right"/>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3" w:lineRule="exact"/>
        <w:rPr>
          <w:sz w:val="20"/>
          <w:szCs w:val="20"/>
          <w:color w:val="auto"/>
        </w:rPr>
      </w:pPr>
    </w:p>
    <w:p>
      <w:pPr>
        <w:ind w:left="360" w:right="80" w:hanging="360"/>
        <w:spacing w:after="0" w:line="242" w:lineRule="auto"/>
        <w:tabs>
          <w:tab w:leader="none" w:pos="360" w:val="left"/>
        </w:tabs>
        <w:numPr>
          <w:ilvl w:val="0"/>
          <w:numId w:val="36"/>
        </w:numPr>
        <w:rPr>
          <w:rFonts w:ascii="Arial" w:cs="Arial" w:eastAsia="Arial" w:hAnsi="Arial"/>
          <w:sz w:val="12"/>
          <w:szCs w:val="12"/>
          <w:color w:val="0E2A35"/>
        </w:rPr>
      </w:pPr>
      <w:r>
        <w:rPr>
          <w:rFonts w:ascii="Arial" w:cs="Arial" w:eastAsia="Arial" w:hAnsi="Arial"/>
          <w:sz w:val="12"/>
          <w:szCs w:val="12"/>
          <w:color w:val="0E2A35"/>
        </w:rPr>
        <w:t>When determining the level of actual performance for the fiscal 2020-2022 LTIP, the committee excluded the impact of certain events not contemplated when creating the initial targets. The Incentive ROIC metric was adjusted for LTIP to exclude the following: (i) the net financial impacts of the Barletta acquisition, (ii) the costs associated with the acquisition of Barletta, and (iii) restructuring expenses. The Incentive EPS metric was adjusted from diluted EPS to exclude the following: (i) the pretax net financial impacts of the Barletta acquisition, (ii) pretax acquisition-related costs related to the Newmar and Barletta acquisitions, (iii) pretax earnout valuation adjustments related to the Barletta acquisition, (iv) pretax inventory step-up costs related to the Newmar acquisition, (v) pretax non-cash interest expense, (vi) pretax restructuring expenses, (vii) pretax debt-issuance write-off, (viii) the dilution impact of convertible notes which is economically offset by a call/spread overlay that was put in place upon issuance, and (ix) the tax impact of the aforementioned adjustments, as applicable.</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2A35"/>
        </w:rPr>
        <w:t>For the fiscal 2020-2022 LTIP performance share units, Messrs. Bower and Clark were not eligible to participate in the award.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The target award and actual payout for the eligible participants is detailed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46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2460" w:type="dxa"/>
            <w:vAlign w:val="bottom"/>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Target Shares</w:t>
            </w:r>
          </w:p>
        </w:tc>
        <w:tc>
          <w:tcPr>
            <w:tcW w:w="1540" w:type="dxa"/>
            <w:vAlign w:val="bottom"/>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Target Value</w:t>
            </w:r>
            <w:r>
              <w:rPr>
                <w:rFonts w:ascii="Arial" w:cs="Arial" w:eastAsia="Arial" w:hAnsi="Arial"/>
                <w:sz w:val="20"/>
                <w:szCs w:val="20"/>
                <w:b w:val="1"/>
                <w:bCs w:val="1"/>
                <w:color w:val="FFFFFF"/>
                <w:vertAlign w:val="superscript"/>
              </w:rPr>
              <w:t>(1)</w:t>
            </w:r>
          </w:p>
        </w:tc>
        <w:tc>
          <w:tcPr>
            <w:tcW w:w="1540" w:type="dxa"/>
            <w:vAlign w:val="bottom"/>
            <w:shd w:val="clear" w:color="auto" w:fill="0E2A35"/>
          </w:tcPr>
          <w:p>
            <w:pPr>
              <w:ind w:left="340"/>
              <w:spacing w:after="0"/>
              <w:rPr>
                <w:sz w:val="20"/>
                <w:szCs w:val="20"/>
                <w:color w:val="auto"/>
              </w:rPr>
            </w:pPr>
            <w:r>
              <w:rPr>
                <w:rFonts w:ascii="Arial" w:cs="Arial" w:eastAsia="Arial" w:hAnsi="Arial"/>
                <w:sz w:val="13"/>
                <w:szCs w:val="13"/>
                <w:b w:val="1"/>
                <w:bCs w:val="1"/>
                <w:color w:val="FFFFFF"/>
              </w:rPr>
              <w:t>Actual Shares</w:t>
            </w:r>
          </w:p>
        </w:tc>
        <w:tc>
          <w:tcPr>
            <w:tcW w:w="1280" w:type="dxa"/>
            <w:vAlign w:val="bottom"/>
            <w:gridSpan w:val="2"/>
            <w:shd w:val="clear" w:color="auto" w:fill="0E2A35"/>
          </w:tcPr>
          <w:p>
            <w:pPr>
              <w:jc w:val="right"/>
              <w:spacing w:after="0"/>
              <w:rPr>
                <w:sz w:val="20"/>
                <w:szCs w:val="20"/>
                <w:color w:val="auto"/>
              </w:rPr>
            </w:pPr>
            <w:r>
              <w:rPr>
                <w:rFonts w:ascii="Arial" w:cs="Arial" w:eastAsia="Arial" w:hAnsi="Arial"/>
                <w:sz w:val="13"/>
                <w:szCs w:val="13"/>
                <w:b w:val="1"/>
                <w:bCs w:val="1"/>
                <w:color w:val="FFFFFF"/>
              </w:rPr>
              <w:t>Actual Value</w:t>
            </w:r>
            <w:r>
              <w:rPr>
                <w:rFonts w:ascii="Arial" w:cs="Arial" w:eastAsia="Arial" w:hAnsi="Arial"/>
                <w:sz w:val="20"/>
                <w:szCs w:val="20"/>
                <w:b w:val="1"/>
                <w:bCs w:val="1"/>
                <w:color w:val="FFFFFF"/>
                <w:vertAlign w:val="superscript"/>
              </w:rPr>
              <w:t>(1)</w:t>
            </w:r>
          </w:p>
        </w:tc>
      </w:tr>
      <w:tr>
        <w:trPr>
          <w:trHeight w:val="275"/>
        </w:trPr>
        <w:tc>
          <w:tcPr>
            <w:tcW w:w="246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2460" w:type="dxa"/>
            <w:vAlign w:val="bottom"/>
          </w:tcPr>
          <w:p>
            <w:pPr>
              <w:jc w:val="right"/>
              <w:ind w:right="490"/>
              <w:spacing w:after="0"/>
              <w:rPr>
                <w:sz w:val="20"/>
                <w:szCs w:val="20"/>
                <w:color w:val="auto"/>
              </w:rPr>
            </w:pPr>
            <w:r>
              <w:rPr>
                <w:rFonts w:ascii="Arial" w:cs="Arial" w:eastAsia="Arial" w:hAnsi="Arial"/>
                <w:sz w:val="14"/>
                <w:szCs w:val="14"/>
                <w:color w:val="0E2A35"/>
              </w:rPr>
              <w:t>32,339</w:t>
            </w:r>
          </w:p>
        </w:tc>
        <w:tc>
          <w:tcPr>
            <w:tcW w:w="1540" w:type="dxa"/>
            <w:vAlign w:val="bottom"/>
          </w:tcPr>
          <w:p>
            <w:pPr>
              <w:jc w:val="right"/>
              <w:ind w:right="350"/>
              <w:spacing w:after="0"/>
              <w:rPr>
                <w:sz w:val="20"/>
                <w:szCs w:val="20"/>
                <w:color w:val="auto"/>
              </w:rPr>
            </w:pPr>
            <w:r>
              <w:rPr>
                <w:rFonts w:ascii="Arial" w:cs="Arial" w:eastAsia="Arial" w:hAnsi="Arial"/>
                <w:sz w:val="14"/>
                <w:szCs w:val="14"/>
                <w:color w:val="0E2A35"/>
              </w:rPr>
              <w:t>$1,550,008</w:t>
            </w:r>
          </w:p>
        </w:tc>
        <w:tc>
          <w:tcPr>
            <w:tcW w:w="1540" w:type="dxa"/>
            <w:vAlign w:val="bottom"/>
          </w:tcPr>
          <w:p>
            <w:pPr>
              <w:ind w:left="520"/>
              <w:spacing w:after="0"/>
              <w:rPr>
                <w:sz w:val="20"/>
                <w:szCs w:val="20"/>
                <w:color w:val="auto"/>
              </w:rPr>
            </w:pPr>
            <w:r>
              <w:rPr>
                <w:rFonts w:ascii="Arial" w:cs="Arial" w:eastAsia="Arial" w:hAnsi="Arial"/>
                <w:sz w:val="14"/>
                <w:szCs w:val="14"/>
                <w:color w:val="0E2A35"/>
              </w:rPr>
              <w:t>64,678​</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0E2A35"/>
              </w:rPr>
              <w:t>$3,627,789</w:t>
            </w:r>
          </w:p>
        </w:tc>
      </w:tr>
      <w:tr>
        <w:trPr>
          <w:trHeight w:val="76"/>
        </w:trPr>
        <w:tc>
          <w:tcPr>
            <w:tcW w:w="2460" w:type="dxa"/>
            <w:vAlign w:val="bottom"/>
            <w:tcBorders>
              <w:bottom w:val="single" w:sz="8" w:color="0E2A35"/>
            </w:tcBorders>
          </w:tcPr>
          <w:p>
            <w:pPr>
              <w:spacing w:after="0"/>
              <w:rPr>
                <w:sz w:val="6"/>
                <w:szCs w:val="6"/>
                <w:color w:val="auto"/>
              </w:rPr>
            </w:pPr>
          </w:p>
        </w:tc>
        <w:tc>
          <w:tcPr>
            <w:tcW w:w="246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54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r>
      <w:tr>
        <w:trPr>
          <w:trHeight w:val="269"/>
        </w:trPr>
        <w:tc>
          <w:tcPr>
            <w:tcW w:w="246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2460" w:type="dxa"/>
            <w:vAlign w:val="bottom"/>
          </w:tcPr>
          <w:p>
            <w:pPr>
              <w:jc w:val="right"/>
              <w:ind w:right="490"/>
              <w:spacing w:after="0"/>
              <w:rPr>
                <w:sz w:val="20"/>
                <w:szCs w:val="20"/>
                <w:color w:val="auto"/>
              </w:rPr>
            </w:pPr>
            <w:r>
              <w:rPr>
                <w:rFonts w:ascii="Arial" w:cs="Arial" w:eastAsia="Arial" w:hAnsi="Arial"/>
                <w:sz w:val="14"/>
                <w:szCs w:val="14"/>
                <w:color w:val="0E2A35"/>
              </w:rPr>
              <w:t>5,818</w:t>
            </w:r>
          </w:p>
        </w:tc>
        <w:tc>
          <w:tcPr>
            <w:tcW w:w="1540" w:type="dxa"/>
            <w:vAlign w:val="bottom"/>
          </w:tcPr>
          <w:p>
            <w:pPr>
              <w:jc w:val="right"/>
              <w:ind w:right="350"/>
              <w:spacing w:after="0"/>
              <w:rPr>
                <w:sz w:val="20"/>
                <w:szCs w:val="20"/>
                <w:color w:val="auto"/>
              </w:rPr>
            </w:pPr>
            <w:r>
              <w:rPr>
                <w:rFonts w:ascii="Arial" w:cs="Arial" w:eastAsia="Arial" w:hAnsi="Arial"/>
                <w:sz w:val="14"/>
                <w:szCs w:val="14"/>
                <w:color w:val="0E2A35"/>
              </w:rPr>
              <w:t>278,857</w:t>
            </w:r>
          </w:p>
        </w:tc>
        <w:tc>
          <w:tcPr>
            <w:tcW w:w="1540" w:type="dxa"/>
            <w:vAlign w:val="bottom"/>
          </w:tcPr>
          <w:p>
            <w:pPr>
              <w:ind w:left="520"/>
              <w:spacing w:after="0"/>
              <w:rPr>
                <w:sz w:val="20"/>
                <w:szCs w:val="20"/>
                <w:color w:val="auto"/>
              </w:rPr>
            </w:pPr>
            <w:r>
              <w:rPr>
                <w:rFonts w:ascii="Arial" w:cs="Arial" w:eastAsia="Arial" w:hAnsi="Arial"/>
                <w:sz w:val="14"/>
                <w:szCs w:val="14"/>
                <w:color w:val="0E2A35"/>
              </w:rPr>
              <w:t>11,636​</w:t>
            </w:r>
          </w:p>
        </w:tc>
        <w:tc>
          <w:tcPr>
            <w:tcW w:w="540" w:type="dxa"/>
            <w:vAlign w:val="bottom"/>
          </w:tcPr>
          <w:p>
            <w:pPr>
              <w:ind w:left="420"/>
              <w:spacing w:after="0"/>
              <w:rPr>
                <w:sz w:val="20"/>
                <w:szCs w:val="20"/>
                <w:color w:val="auto"/>
              </w:rPr>
            </w:pPr>
            <w:r>
              <w:rPr>
                <w:rFonts w:ascii="Arial" w:cs="Arial" w:eastAsia="Arial" w:hAnsi="Arial"/>
                <w:sz w:val="14"/>
                <w:szCs w:val="14"/>
                <w:color w:val="0E2A35"/>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0E2A35"/>
              </w:rPr>
              <w:t>652,663</w:t>
            </w:r>
          </w:p>
        </w:tc>
      </w:tr>
      <w:tr>
        <w:trPr>
          <w:trHeight w:val="76"/>
        </w:trPr>
        <w:tc>
          <w:tcPr>
            <w:tcW w:w="2460" w:type="dxa"/>
            <w:vAlign w:val="bottom"/>
            <w:tcBorders>
              <w:bottom w:val="single" w:sz="8" w:color="0E2A35"/>
            </w:tcBorders>
          </w:tcPr>
          <w:p>
            <w:pPr>
              <w:spacing w:after="0"/>
              <w:rPr>
                <w:sz w:val="6"/>
                <w:szCs w:val="6"/>
                <w:color w:val="auto"/>
              </w:rPr>
            </w:pPr>
          </w:p>
        </w:tc>
        <w:tc>
          <w:tcPr>
            <w:tcW w:w="246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54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r>
      <w:tr>
        <w:trPr>
          <w:trHeight w:val="269"/>
        </w:trPr>
        <w:tc>
          <w:tcPr>
            <w:tcW w:w="2460" w:type="dxa"/>
            <w:vAlign w:val="bottom"/>
          </w:tcPr>
          <w:p>
            <w:pPr>
              <w:ind w:left="60"/>
              <w:spacing w:after="0"/>
              <w:rPr>
                <w:sz w:val="20"/>
                <w:szCs w:val="20"/>
                <w:color w:val="auto"/>
              </w:rPr>
            </w:pPr>
            <w:r>
              <w:rPr>
                <w:rFonts w:ascii="Arial" w:cs="Arial" w:eastAsia="Arial" w:hAnsi="Arial"/>
                <w:sz w:val="14"/>
                <w:szCs w:val="14"/>
                <w:color w:val="0E2A35"/>
              </w:rPr>
              <w:t>Stacy L. Bogart</w:t>
            </w:r>
          </w:p>
        </w:tc>
        <w:tc>
          <w:tcPr>
            <w:tcW w:w="2460" w:type="dxa"/>
            <w:vAlign w:val="bottom"/>
          </w:tcPr>
          <w:p>
            <w:pPr>
              <w:jc w:val="right"/>
              <w:ind w:right="490"/>
              <w:spacing w:after="0"/>
              <w:rPr>
                <w:sz w:val="20"/>
                <w:szCs w:val="20"/>
                <w:color w:val="auto"/>
              </w:rPr>
            </w:pPr>
            <w:r>
              <w:rPr>
                <w:rFonts w:ascii="Arial" w:cs="Arial" w:eastAsia="Arial" w:hAnsi="Arial"/>
                <w:sz w:val="14"/>
                <w:szCs w:val="14"/>
                <w:color w:val="0E2A35"/>
              </w:rPr>
              <w:t>4,825</w:t>
            </w:r>
          </w:p>
        </w:tc>
        <w:tc>
          <w:tcPr>
            <w:tcW w:w="1540" w:type="dxa"/>
            <w:vAlign w:val="bottom"/>
          </w:tcPr>
          <w:p>
            <w:pPr>
              <w:jc w:val="right"/>
              <w:ind w:right="350"/>
              <w:spacing w:after="0"/>
              <w:rPr>
                <w:sz w:val="20"/>
                <w:szCs w:val="20"/>
                <w:color w:val="auto"/>
              </w:rPr>
            </w:pPr>
            <w:r>
              <w:rPr>
                <w:rFonts w:ascii="Arial" w:cs="Arial" w:eastAsia="Arial" w:hAnsi="Arial"/>
                <w:sz w:val="14"/>
                <w:szCs w:val="14"/>
                <w:color w:val="0E2A35"/>
              </w:rPr>
              <w:t>231,262</w:t>
            </w:r>
          </w:p>
        </w:tc>
        <w:tc>
          <w:tcPr>
            <w:tcW w:w="1540" w:type="dxa"/>
            <w:vAlign w:val="bottom"/>
          </w:tcPr>
          <w:p>
            <w:pPr>
              <w:ind w:left="520"/>
              <w:spacing w:after="0"/>
              <w:rPr>
                <w:sz w:val="20"/>
                <w:szCs w:val="20"/>
                <w:color w:val="auto"/>
              </w:rPr>
            </w:pPr>
            <w:r>
              <w:rPr>
                <w:rFonts w:ascii="Arial" w:cs="Arial" w:eastAsia="Arial" w:hAnsi="Arial"/>
                <w:sz w:val="14"/>
                <w:szCs w:val="14"/>
                <w:color w:val="0E2A35"/>
              </w:rPr>
              <w:t>​ 9,650</w:t>
            </w:r>
          </w:p>
        </w:tc>
        <w:tc>
          <w:tcPr>
            <w:tcW w:w="540" w:type="dxa"/>
            <w:vAlign w:val="bottom"/>
          </w:tcPr>
          <w:p>
            <w:pPr>
              <w:ind w:left="420"/>
              <w:spacing w:after="0"/>
              <w:rPr>
                <w:sz w:val="20"/>
                <w:szCs w:val="20"/>
                <w:color w:val="auto"/>
              </w:rPr>
            </w:pPr>
            <w:r>
              <w:rPr>
                <w:rFonts w:ascii="Arial" w:cs="Arial" w:eastAsia="Arial" w:hAnsi="Arial"/>
                <w:sz w:val="14"/>
                <w:szCs w:val="14"/>
                <w:color w:val="0E2A35"/>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0E2A35"/>
              </w:rPr>
              <w:t>541,269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3" w:lineRule="exact"/>
        <w:rPr>
          <w:sz w:val="20"/>
          <w:szCs w:val="20"/>
          <w:color w:val="auto"/>
        </w:rPr>
      </w:pPr>
    </w:p>
    <w:p>
      <w:pPr>
        <w:ind w:left="360" w:right="260" w:hanging="360"/>
        <w:spacing w:after="0" w:line="243" w:lineRule="auto"/>
        <w:tabs>
          <w:tab w:leader="none" w:pos="360" w:val="left"/>
        </w:tabs>
        <w:numPr>
          <w:ilvl w:val="0"/>
          <w:numId w:val="37"/>
        </w:numPr>
        <w:rPr>
          <w:rFonts w:ascii="Arial" w:cs="Arial" w:eastAsia="Arial" w:hAnsi="Arial"/>
          <w:sz w:val="13"/>
          <w:szCs w:val="13"/>
          <w:color w:val="0E2A35"/>
        </w:rPr>
      </w:pPr>
      <w:r>
        <w:rPr>
          <w:rFonts w:ascii="Arial" w:cs="Arial" w:eastAsia="Arial" w:hAnsi="Arial"/>
          <w:sz w:val="13"/>
          <w:szCs w:val="13"/>
          <w:color w:val="0E2A35"/>
        </w:rPr>
        <w:t>Target payout is valued at the closing market price of our common stock on the grant date as quoted on the NYSE, which was $47.93 (December 19, 2019). Actual payout is valued at the closing market price of our common stock on October 11, 2022, which was $56.09.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Benefits</w:t>
      </w:r>
    </w:p>
    <w:p>
      <w:pPr>
        <w:spacing w:after="0" w:line="180"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0E2A35"/>
        </w:rPr>
        <w:t>Our NEOs are eligible to participate in the same benefit plans designed for all our full-time employees. The basic insurance package includes health, dental, disability and basic group life insurance.</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color w:val="0E2A35"/>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Profit Sharing and Deferred Savings and Investment Plan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0E2A35"/>
        </w:rPr>
        <w:t>We maintain a 401(k) plan, the Winnebago Industries, Inc. Profit Sharing and Deferred Savings and Investment Plan (the 401(k)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Plan), which is a tax-qualified defined contribution plan maintained for the benefit of substantially all hourly and salaried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employees, including our executives. The 401(k) Plan offers NEOs and all other employees the opportunity to defer a percentage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of income that is a part of their base compensation, and effective January 1, 2021, employees may defer a percentage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that is part of their base salary and incentive pay (401(k) Eligible Compensation). Effective January 1, 2022,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matching contribution increased to $1.00 per $1.00 of employee contribution, up to 3% of 401(k) Eligible Compensation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$0.50 per $1.00 of employee contribution up to the next 2% of 401(k) Eligible Compensation (subject to IRS limits and 401(k) safe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harbor considerations), subject to a two-year, pro-rata vesting period for those employees hired after January 1, 2018. Effective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April 1, 2022, Grand Design employees became eligible for the 401(k) Plan. Although executives, including the NEOs, are eligible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to participate in the 401(k) Plan, the application of the annual limitation on contributions under the Internal Revenue Code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prevents executives from participating at the same level as non-executives. This compensation element is tax-deferred and is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intended to affect the value of any other compensation element.</w:t>
      </w:r>
    </w:p>
    <w:p>
      <w:pPr>
        <w:spacing w:after="0" w:line="191" w:lineRule="exact"/>
        <w:rPr>
          <w:sz w:val="20"/>
          <w:szCs w:val="20"/>
          <w:color w:val="auto"/>
        </w:rPr>
      </w:pPr>
    </w:p>
    <w:p>
      <w:pPr>
        <w:ind w:right="500"/>
        <w:spacing w:after="0" w:line="272" w:lineRule="auto"/>
        <w:rPr>
          <w:sz w:val="20"/>
          <w:szCs w:val="20"/>
          <w:color w:val="auto"/>
        </w:rPr>
      </w:pPr>
      <w:r>
        <w:rPr>
          <w:rFonts w:ascii="Arial" w:cs="Arial" w:eastAsia="Arial" w:hAnsi="Arial"/>
          <w:sz w:val="22"/>
          <w:szCs w:val="22"/>
          <w:b w:val="1"/>
          <w:bCs w:val="1"/>
          <w:color w:val="C7D265"/>
        </w:rPr>
        <w:t>Executive Deferred Compensation Plan (2007) (Non-Qualified Deferred Compensation Plan)</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0E2A35"/>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Perquisites</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0E2A35"/>
        </w:rPr>
        <w:t>The perquisites provided to our NEOs include:</w:t>
      </w:r>
    </w:p>
    <w:p>
      <w:pPr>
        <w:spacing w:after="0" w:line="181" w:lineRule="exact"/>
        <w:rPr>
          <w:sz w:val="20"/>
          <w:szCs w:val="20"/>
          <w:color w:val="auto"/>
        </w:rPr>
      </w:pPr>
    </w:p>
    <w:p>
      <w:pPr>
        <w:ind w:left="720" w:right="520" w:hanging="360"/>
        <w:spacing w:after="0" w:line="286" w:lineRule="auto"/>
        <w:tabs>
          <w:tab w:leader="none" w:pos="720" w:val="left"/>
        </w:tabs>
        <w:numPr>
          <w:ilvl w:val="0"/>
          <w:numId w:val="38"/>
        </w:numPr>
        <w:rPr>
          <w:rFonts w:ascii="Arial" w:cs="Arial" w:eastAsia="Arial" w:hAnsi="Arial"/>
          <w:sz w:val="16"/>
          <w:szCs w:val="16"/>
          <w:color w:val="C7D265"/>
        </w:rPr>
      </w:pPr>
      <w:r>
        <w:rPr>
          <w:rFonts w:ascii="Arial" w:cs="Arial" w:eastAsia="Arial" w:hAnsi="Arial"/>
          <w:sz w:val="16"/>
          <w:szCs w:val="16"/>
          <w:b w:val="1"/>
          <w:bCs w:val="1"/>
          <w:color w:val="0E2A35"/>
        </w:rPr>
        <w:t xml:space="preserve">Executive Physical. </w:t>
      </w:r>
      <w:r>
        <w:rPr>
          <w:rFonts w:ascii="Arial" w:cs="Arial" w:eastAsia="Arial" w:hAnsi="Arial"/>
          <w:sz w:val="16"/>
          <w:szCs w:val="16"/>
          <w:color w:val="0E2A35"/>
        </w:rPr>
        <w:t>To encourage executives to monitor and maintain good health, we pay for voluntary annual</w:t>
      </w:r>
      <w:r>
        <w:rPr>
          <w:rFonts w:ascii="Arial" w:cs="Arial" w:eastAsia="Arial" w:hAnsi="Arial"/>
          <w:sz w:val="16"/>
          <w:szCs w:val="16"/>
          <w:b w:val="1"/>
          <w:bCs w:val="1"/>
          <w:color w:val="0E2A35"/>
        </w:rPr>
        <w:t xml:space="preserve"> </w:t>
      </w:r>
      <w:r>
        <w:rPr>
          <w:rFonts w:ascii="Arial" w:cs="Arial" w:eastAsia="Arial" w:hAnsi="Arial"/>
          <w:sz w:val="16"/>
          <w:szCs w:val="16"/>
          <w:color w:val="0E2A35"/>
        </w:rPr>
        <w:t>physical examinations for executives, including the NEOs.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80" w:hanging="360"/>
        <w:spacing w:after="0" w:line="259" w:lineRule="auto"/>
        <w:tabs>
          <w:tab w:leader="none" w:pos="720" w:val="left"/>
        </w:tabs>
        <w:numPr>
          <w:ilvl w:val="0"/>
          <w:numId w:val="39"/>
        </w:numPr>
        <w:rPr>
          <w:rFonts w:ascii="Arial" w:cs="Arial" w:eastAsia="Arial" w:hAnsi="Arial"/>
          <w:sz w:val="16"/>
          <w:szCs w:val="16"/>
          <w:color w:val="C7D265"/>
        </w:rPr>
      </w:pPr>
      <w:r>
        <w:rPr>
          <w:rFonts w:ascii="Arial" w:cs="Arial" w:eastAsia="Arial" w:hAnsi="Arial"/>
          <w:sz w:val="16"/>
          <w:szCs w:val="16"/>
          <w:b w:val="1"/>
          <w:bCs w:val="1"/>
          <w:color w:val="0E2A35"/>
        </w:rPr>
        <w:t xml:space="preserve">Recreational Vehicle and Boat Use. </w:t>
      </w:r>
      <w:r>
        <w:rPr>
          <w:rFonts w:ascii="Arial" w:cs="Arial" w:eastAsia="Arial" w:hAnsi="Arial"/>
          <w:sz w:val="16"/>
          <w:szCs w:val="16"/>
          <w:color w:val="0E2A35"/>
        </w:rPr>
        <w:t>Our executives, including NEOs, can use our recreational vehicles and boats on</w:t>
      </w:r>
      <w:r>
        <w:rPr>
          <w:rFonts w:ascii="Arial" w:cs="Arial" w:eastAsia="Arial" w:hAnsi="Arial"/>
          <w:sz w:val="16"/>
          <w:szCs w:val="16"/>
          <w:b w:val="1"/>
          <w:bCs w:val="1"/>
          <w:color w:val="0E2A35"/>
        </w:rPr>
        <w:t xml:space="preserve"> </w:t>
      </w:r>
      <w:r>
        <w:rPr>
          <w:rFonts w:ascii="Arial" w:cs="Arial" w:eastAsia="Arial" w:hAnsi="Arial"/>
          <w:sz w:val="16"/>
          <w:szCs w:val="16"/>
          <w:color w:val="0E2A35"/>
        </w:rPr>
        <w:t>a periodic and temporary basis. We encourage the executive to have a first-hand understanding of the outdoor lifestyle experienced by our customers and to provide the executive with the opportunity to evaluate product design and efficiency.</w:t>
      </w:r>
    </w:p>
    <w:p>
      <w:pPr>
        <w:spacing w:after="0" w:line="150" w:lineRule="exact"/>
        <w:rPr>
          <w:rFonts w:ascii="Arial" w:cs="Arial" w:eastAsia="Arial" w:hAnsi="Arial"/>
          <w:sz w:val="16"/>
          <w:szCs w:val="16"/>
          <w:color w:val="C7D265"/>
        </w:rPr>
      </w:pPr>
    </w:p>
    <w:p>
      <w:pPr>
        <w:ind w:left="720" w:hanging="360"/>
        <w:spacing w:after="0"/>
        <w:tabs>
          <w:tab w:leader="none" w:pos="720" w:val="left"/>
        </w:tabs>
        <w:numPr>
          <w:ilvl w:val="0"/>
          <w:numId w:val="39"/>
        </w:numPr>
        <w:rPr>
          <w:rFonts w:ascii="Arial" w:cs="Arial" w:eastAsia="Arial" w:hAnsi="Arial"/>
          <w:sz w:val="16"/>
          <w:szCs w:val="16"/>
          <w:color w:val="C7D265"/>
        </w:rPr>
      </w:pPr>
      <w:r>
        <w:rPr>
          <w:rFonts w:ascii="Arial" w:cs="Arial" w:eastAsia="Arial" w:hAnsi="Arial"/>
          <w:sz w:val="16"/>
          <w:szCs w:val="16"/>
          <w:b w:val="1"/>
          <w:bCs w:val="1"/>
          <w:color w:val="0E2A35"/>
        </w:rPr>
        <w:t xml:space="preserve">Car Allowance. </w:t>
      </w:r>
      <w:r>
        <w:rPr>
          <w:rFonts w:ascii="Arial" w:cs="Arial" w:eastAsia="Arial" w:hAnsi="Arial"/>
          <w:sz w:val="16"/>
          <w:szCs w:val="16"/>
          <w:color w:val="0E2A35"/>
        </w:rPr>
        <w:t>A car allowance is provided as frequent travel is required.</w:t>
      </w:r>
    </w:p>
    <w:p>
      <w:pPr>
        <w:spacing w:after="0" w:line="180" w:lineRule="exact"/>
        <w:rPr>
          <w:rFonts w:ascii="Arial" w:cs="Arial" w:eastAsia="Arial" w:hAnsi="Arial"/>
          <w:sz w:val="16"/>
          <w:szCs w:val="16"/>
          <w:color w:val="C7D265"/>
        </w:rPr>
      </w:pPr>
    </w:p>
    <w:p>
      <w:pPr>
        <w:ind w:left="720" w:right="300" w:hanging="360"/>
        <w:spacing w:after="0" w:line="286" w:lineRule="auto"/>
        <w:tabs>
          <w:tab w:leader="none" w:pos="720" w:val="left"/>
        </w:tabs>
        <w:numPr>
          <w:ilvl w:val="0"/>
          <w:numId w:val="39"/>
        </w:numPr>
        <w:rPr>
          <w:rFonts w:ascii="Arial" w:cs="Arial" w:eastAsia="Arial" w:hAnsi="Arial"/>
          <w:sz w:val="16"/>
          <w:szCs w:val="16"/>
          <w:color w:val="C7D265"/>
        </w:rPr>
      </w:pPr>
      <w:r>
        <w:rPr>
          <w:rFonts w:ascii="Arial" w:cs="Arial" w:eastAsia="Arial" w:hAnsi="Arial"/>
          <w:sz w:val="16"/>
          <w:szCs w:val="16"/>
          <w:b w:val="1"/>
          <w:bCs w:val="1"/>
          <w:color w:val="0E2A35"/>
        </w:rPr>
        <w:t xml:space="preserve">Financial &amp; Tax Planning. </w:t>
      </w:r>
      <w:r>
        <w:rPr>
          <w:rFonts w:ascii="Arial" w:cs="Arial" w:eastAsia="Arial" w:hAnsi="Arial"/>
          <w:sz w:val="16"/>
          <w:szCs w:val="16"/>
          <w:color w:val="0E2A35"/>
        </w:rPr>
        <w:t>To address complex tax and financial situations, a tax and financial planning payment is</w:t>
      </w:r>
      <w:r>
        <w:rPr>
          <w:rFonts w:ascii="Arial" w:cs="Arial" w:eastAsia="Arial" w:hAnsi="Arial"/>
          <w:sz w:val="16"/>
          <w:szCs w:val="16"/>
          <w:b w:val="1"/>
          <w:bCs w:val="1"/>
          <w:color w:val="0E2A35"/>
        </w:rPr>
        <w:t xml:space="preserve"> </w:t>
      </w:r>
      <w:r>
        <w:rPr>
          <w:rFonts w:ascii="Arial" w:cs="Arial" w:eastAsia="Arial" w:hAnsi="Arial"/>
          <w:sz w:val="16"/>
          <w:szCs w:val="16"/>
          <w:color w:val="0E2A35"/>
        </w:rPr>
        <w:t>provided.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Additional Compensation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Ownership Guidelines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The committee has adopted stock ownership guidelines for executives. In general, each executive has five years from the date he or she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13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We review our stock ownership guidelines on a periodic basis. The table below describes the current ownership guidelines for the NEOs. Each of our NEOs has either met his or her stock ownership guideline goal or is on track to meet this goal within the prescribed five-year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897880" cy="4286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97880" cy="428625"/>
                    </a:xfrm>
                    <a:prstGeom prst="rect">
                      <a:avLst/>
                    </a:prstGeom>
                    <a:noFill/>
                  </pic:spPr>
                </pic:pic>
              </a:graphicData>
            </a:graphic>
          </wp:anchor>
        </w:drawing>
      </w:r>
    </w:p>
    <w:p>
      <w:pPr>
        <w:spacing w:after="0" w:line="107" w:lineRule="exact"/>
        <w:rPr>
          <w:sz w:val="20"/>
          <w:szCs w:val="20"/>
          <w:color w:val="auto"/>
        </w:rPr>
      </w:pPr>
    </w:p>
    <w:p>
      <w:pPr>
        <w:ind w:left="7260"/>
        <w:spacing w:after="0"/>
        <w:rPr>
          <w:sz w:val="20"/>
          <w:szCs w:val="20"/>
          <w:color w:val="auto"/>
        </w:rPr>
      </w:pPr>
      <w:r>
        <w:rPr>
          <w:rFonts w:ascii="Arial" w:cs="Arial" w:eastAsia="Arial" w:hAnsi="Arial"/>
          <w:sz w:val="13"/>
          <w:szCs w:val="13"/>
          <w:b w:val="1"/>
          <w:bCs w:val="1"/>
          <w:color w:val="FFFFFF"/>
        </w:rPr>
        <w:t>Stock Ownership Guideline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00" w:type="dxa"/>
            <w:vAlign w:val="bottom"/>
            <w:gridSpan w:val="2"/>
          </w:tcPr>
          <w:p>
            <w:pPr>
              <w:ind w:left="60"/>
              <w:spacing w:after="0"/>
              <w:rPr>
                <w:sz w:val="20"/>
                <w:szCs w:val="20"/>
                <w:color w:val="auto"/>
              </w:rPr>
            </w:pPr>
            <w:r>
              <w:rPr>
                <w:rFonts w:ascii="Arial" w:cs="Arial" w:eastAsia="Arial" w:hAnsi="Arial"/>
                <w:sz w:val="13"/>
                <w:szCs w:val="13"/>
                <w:b w:val="1"/>
                <w:bCs w:val="1"/>
                <w:color w:val="FFFFFF"/>
              </w:rPr>
              <w:t>Name</w:t>
            </w:r>
          </w:p>
        </w:tc>
        <w:tc>
          <w:tcPr>
            <w:tcW w:w="1820" w:type="dxa"/>
            <w:vAlign w:val="bottom"/>
            <w:shd w:val="clear" w:color="auto" w:fill="0E2A35"/>
          </w:tcPr>
          <w:p>
            <w:pPr>
              <w:jc w:val="right"/>
              <w:ind w:right="330"/>
              <w:spacing w:after="0"/>
              <w:rPr>
                <w:sz w:val="20"/>
                <w:szCs w:val="20"/>
                <w:color w:val="auto"/>
              </w:rPr>
            </w:pPr>
            <w:r>
              <w:rPr>
                <w:rFonts w:ascii="Arial" w:cs="Arial" w:eastAsia="Arial" w:hAnsi="Arial"/>
                <w:sz w:val="13"/>
                <w:szCs w:val="13"/>
                <w:b w:val="1"/>
                <w:bCs w:val="1"/>
                <w:color w:val="FFFFFF"/>
              </w:rPr>
              <w:t>%​ of Salary</w:t>
            </w:r>
          </w:p>
        </w:tc>
        <w:tc>
          <w:tcPr>
            <w:tcW w:w="1260" w:type="dxa"/>
            <w:vAlign w:val="bottom"/>
            <w:shd w:val="clear" w:color="auto" w:fill="0E2A35"/>
          </w:tcPr>
          <w:p>
            <w:pPr>
              <w:jc w:val="right"/>
              <w:ind w:right="210"/>
              <w:spacing w:after="0"/>
              <w:rPr>
                <w:sz w:val="20"/>
                <w:szCs w:val="20"/>
                <w:color w:val="auto"/>
              </w:rPr>
            </w:pPr>
            <w:r>
              <w:rPr>
                <w:rFonts w:ascii="Arial" w:cs="Arial" w:eastAsia="Arial" w:hAnsi="Arial"/>
                <w:sz w:val="13"/>
                <w:szCs w:val="13"/>
                <w:b w:val="1"/>
                <w:bCs w:val="1"/>
                <w:color w:val="FFFFFF"/>
              </w:rPr>
              <w:t>Value</w:t>
            </w:r>
          </w:p>
        </w:tc>
      </w:tr>
      <w:tr>
        <w:trPr>
          <w:trHeight w:val="76"/>
        </w:trPr>
        <w:tc>
          <w:tcPr>
            <w:tcW w:w="6200" w:type="dxa"/>
            <w:vAlign w:val="bottom"/>
            <w:gridSpan w:val="2"/>
          </w:tcPr>
          <w:p>
            <w:pPr>
              <w:spacing w:after="0"/>
              <w:rPr>
                <w:sz w:val="6"/>
                <w:szCs w:val="6"/>
                <w:color w:val="auto"/>
              </w:rPr>
            </w:pPr>
          </w:p>
        </w:tc>
        <w:tc>
          <w:tcPr>
            <w:tcW w:w="1820" w:type="dxa"/>
            <w:vAlign w:val="bottom"/>
            <w:shd w:val="clear" w:color="auto" w:fill="0E2A35"/>
          </w:tcPr>
          <w:p>
            <w:pPr>
              <w:spacing w:after="0"/>
              <w:rPr>
                <w:sz w:val="6"/>
                <w:szCs w:val="6"/>
                <w:color w:val="auto"/>
              </w:rPr>
            </w:pPr>
          </w:p>
        </w:tc>
        <w:tc>
          <w:tcPr>
            <w:tcW w:w="1260" w:type="dxa"/>
            <w:vAlign w:val="bottom"/>
            <w:shd w:val="clear" w:color="auto" w:fill="0E2A35"/>
          </w:tcPr>
          <w:p>
            <w:pPr>
              <w:spacing w:after="0"/>
              <w:rPr>
                <w:sz w:val="6"/>
                <w:szCs w:val="6"/>
                <w:color w:val="auto"/>
              </w:rPr>
            </w:pPr>
          </w:p>
        </w:tc>
      </w:tr>
      <w:tr>
        <w:trPr>
          <w:trHeight w:val="276"/>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Michael J. Happe</w:t>
            </w:r>
          </w:p>
        </w:tc>
        <w:tc>
          <w:tcPr>
            <w:tcW w:w="1820" w:type="dxa"/>
            <w:vAlign w:val="bottom"/>
          </w:tcPr>
          <w:p>
            <w:pPr>
              <w:jc w:val="right"/>
              <w:ind w:right="430"/>
              <w:spacing w:after="0"/>
              <w:rPr>
                <w:sz w:val="20"/>
                <w:szCs w:val="20"/>
                <w:color w:val="auto"/>
              </w:rPr>
            </w:pPr>
            <w:r>
              <w:rPr>
                <w:rFonts w:ascii="Arial" w:cs="Arial" w:eastAsia="Arial" w:hAnsi="Arial"/>
                <w:sz w:val="14"/>
                <w:szCs w:val="14"/>
                <w:color w:val="0E2A35"/>
              </w:rPr>
              <w:t>500%</w:t>
            </w:r>
          </w:p>
        </w:tc>
        <w:tc>
          <w:tcPr>
            <w:tcW w:w="1260" w:type="dxa"/>
            <w:vAlign w:val="bottom"/>
          </w:tcPr>
          <w:p>
            <w:pPr>
              <w:jc w:val="right"/>
              <w:ind w:right="70"/>
              <w:spacing w:after="0"/>
              <w:rPr>
                <w:sz w:val="20"/>
                <w:szCs w:val="20"/>
                <w:color w:val="auto"/>
              </w:rPr>
            </w:pPr>
            <w:r>
              <w:rPr>
                <w:rFonts w:ascii="Arial" w:cs="Arial" w:eastAsia="Arial" w:hAnsi="Arial"/>
                <w:sz w:val="14"/>
                <w:szCs w:val="14"/>
                <w:color w:val="0E2A35"/>
              </w:rPr>
              <w:t>$5,000,000</w:t>
            </w:r>
          </w:p>
        </w:tc>
      </w:tr>
      <w:tr>
        <w:trPr>
          <w:trHeight w:val="75"/>
        </w:trPr>
        <w:tc>
          <w:tcPr>
            <w:tcW w:w="6200" w:type="dxa"/>
            <w:vAlign w:val="bottom"/>
            <w:tcBorders>
              <w:bottom w:val="single" w:sz="8" w:color="0E2A35"/>
            </w:tcBorders>
            <w:gridSpan w:val="2"/>
          </w:tcPr>
          <w:p>
            <w:pPr>
              <w:spacing w:after="0"/>
              <w:rPr>
                <w:sz w:val="6"/>
                <w:szCs w:val="6"/>
                <w:color w:val="auto"/>
              </w:rPr>
            </w:pPr>
          </w:p>
        </w:tc>
        <w:tc>
          <w:tcPr>
            <w:tcW w:w="1820" w:type="dxa"/>
            <w:vAlign w:val="bottom"/>
            <w:tcBorders>
              <w:bottom w:val="single" w:sz="8" w:color="0E2A35"/>
            </w:tcBorders>
          </w:tcPr>
          <w:p>
            <w:pPr>
              <w:spacing w:after="0"/>
              <w:rPr>
                <w:sz w:val="6"/>
                <w:szCs w:val="6"/>
                <w:color w:val="auto"/>
              </w:rPr>
            </w:pPr>
          </w:p>
        </w:tc>
        <w:tc>
          <w:tcPr>
            <w:tcW w:w="1260" w:type="dxa"/>
            <w:vAlign w:val="bottom"/>
            <w:tcBorders>
              <w:bottom w:val="single" w:sz="8" w:color="0E2A35"/>
            </w:tcBorders>
          </w:tcPr>
          <w:p>
            <w:pPr>
              <w:spacing w:after="0"/>
              <w:rPr>
                <w:sz w:val="6"/>
                <w:szCs w:val="6"/>
                <w:color w:val="auto"/>
              </w:rPr>
            </w:pPr>
          </w:p>
        </w:tc>
      </w:tr>
      <w:tr>
        <w:trPr>
          <w:trHeight w:val="269"/>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Bryan L. Hughes</w:t>
            </w:r>
          </w:p>
        </w:tc>
        <w:tc>
          <w:tcPr>
            <w:tcW w:w="1820" w:type="dxa"/>
            <w:vAlign w:val="bottom"/>
          </w:tcPr>
          <w:p>
            <w:pPr>
              <w:jc w:val="right"/>
              <w:ind w:right="430"/>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70"/>
              <w:spacing w:after="0"/>
              <w:rPr>
                <w:sz w:val="20"/>
                <w:szCs w:val="20"/>
                <w:color w:val="auto"/>
              </w:rPr>
            </w:pPr>
            <w:r>
              <w:rPr>
                <w:rFonts w:ascii="Arial" w:cs="Arial" w:eastAsia="Arial" w:hAnsi="Arial"/>
                <w:sz w:val="14"/>
                <w:szCs w:val="14"/>
                <w:color w:val="0E2A35"/>
              </w:rPr>
              <w:t>1,375,000</w:t>
            </w:r>
          </w:p>
        </w:tc>
      </w:tr>
      <w:tr>
        <w:trPr>
          <w:trHeight w:val="76"/>
        </w:trPr>
        <w:tc>
          <w:tcPr>
            <w:tcW w:w="6200" w:type="dxa"/>
            <w:vAlign w:val="bottom"/>
            <w:tcBorders>
              <w:bottom w:val="single" w:sz="8" w:color="0E2A35"/>
            </w:tcBorders>
            <w:gridSpan w:val="2"/>
          </w:tcPr>
          <w:p>
            <w:pPr>
              <w:spacing w:after="0"/>
              <w:rPr>
                <w:sz w:val="6"/>
                <w:szCs w:val="6"/>
                <w:color w:val="auto"/>
              </w:rPr>
            </w:pPr>
          </w:p>
        </w:tc>
        <w:tc>
          <w:tcPr>
            <w:tcW w:w="1820" w:type="dxa"/>
            <w:vAlign w:val="bottom"/>
            <w:tcBorders>
              <w:bottom w:val="single" w:sz="8" w:color="0E2A35"/>
            </w:tcBorders>
          </w:tcPr>
          <w:p>
            <w:pPr>
              <w:spacing w:after="0"/>
              <w:rPr>
                <w:sz w:val="6"/>
                <w:szCs w:val="6"/>
                <w:color w:val="auto"/>
              </w:rPr>
            </w:pPr>
          </w:p>
        </w:tc>
        <w:tc>
          <w:tcPr>
            <w:tcW w:w="1260" w:type="dxa"/>
            <w:vAlign w:val="bottom"/>
            <w:tcBorders>
              <w:bottom w:val="single" w:sz="8" w:color="0E2A35"/>
            </w:tcBorders>
          </w:tcPr>
          <w:p>
            <w:pPr>
              <w:spacing w:after="0"/>
              <w:rPr>
                <w:sz w:val="6"/>
                <w:szCs w:val="6"/>
                <w:color w:val="auto"/>
              </w:rPr>
            </w:pPr>
          </w:p>
        </w:tc>
      </w:tr>
      <w:tr>
        <w:trPr>
          <w:trHeight w:val="269"/>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Stacy L. Bogart</w:t>
            </w:r>
          </w:p>
        </w:tc>
        <w:tc>
          <w:tcPr>
            <w:tcW w:w="1820" w:type="dxa"/>
            <w:vAlign w:val="bottom"/>
          </w:tcPr>
          <w:p>
            <w:pPr>
              <w:jc w:val="right"/>
              <w:ind w:right="430"/>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70"/>
              <w:spacing w:after="0"/>
              <w:rPr>
                <w:sz w:val="20"/>
                <w:szCs w:val="20"/>
                <w:color w:val="auto"/>
              </w:rPr>
            </w:pPr>
            <w:r>
              <w:rPr>
                <w:rFonts w:ascii="Arial" w:cs="Arial" w:eastAsia="Arial" w:hAnsi="Arial"/>
                <w:sz w:val="14"/>
                <w:szCs w:val="14"/>
                <w:color w:val="0E2A35"/>
              </w:rPr>
              <w:t>1,225,000</w:t>
            </w:r>
          </w:p>
        </w:tc>
      </w:tr>
      <w:tr>
        <w:trPr>
          <w:trHeight w:val="75"/>
        </w:trPr>
        <w:tc>
          <w:tcPr>
            <w:tcW w:w="360" w:type="dxa"/>
            <w:vAlign w:val="bottom"/>
            <w:tcBorders>
              <w:bottom w:val="single" w:sz="8" w:color="0E2A35"/>
            </w:tcBorders>
          </w:tcPr>
          <w:p>
            <w:pPr>
              <w:spacing w:after="0"/>
              <w:rPr>
                <w:sz w:val="6"/>
                <w:szCs w:val="6"/>
                <w:color w:val="auto"/>
              </w:rPr>
            </w:pPr>
          </w:p>
        </w:tc>
        <w:tc>
          <w:tcPr>
            <w:tcW w:w="5840" w:type="dxa"/>
            <w:vAlign w:val="bottom"/>
            <w:tcBorders>
              <w:bottom w:val="single" w:sz="8" w:color="0E2A35"/>
            </w:tcBorders>
          </w:tcPr>
          <w:p>
            <w:pPr>
              <w:spacing w:after="0"/>
              <w:rPr>
                <w:sz w:val="6"/>
                <w:szCs w:val="6"/>
                <w:color w:val="auto"/>
              </w:rPr>
            </w:pPr>
          </w:p>
        </w:tc>
        <w:tc>
          <w:tcPr>
            <w:tcW w:w="1820" w:type="dxa"/>
            <w:vAlign w:val="bottom"/>
            <w:tcBorders>
              <w:bottom w:val="single" w:sz="8" w:color="0E2A35"/>
            </w:tcBorders>
          </w:tcPr>
          <w:p>
            <w:pPr>
              <w:spacing w:after="0"/>
              <w:rPr>
                <w:sz w:val="6"/>
                <w:szCs w:val="6"/>
                <w:color w:val="auto"/>
              </w:rPr>
            </w:pPr>
          </w:p>
        </w:tc>
        <w:tc>
          <w:tcPr>
            <w:tcW w:w="1260" w:type="dxa"/>
            <w:vAlign w:val="bottom"/>
            <w:tcBorders>
              <w:bottom w:val="single" w:sz="8" w:color="0E2A35"/>
            </w:tcBorders>
          </w:tcPr>
          <w:p>
            <w:pPr>
              <w:spacing w:after="0"/>
              <w:rPr>
                <w:sz w:val="6"/>
                <w:szCs w:val="6"/>
                <w:color w:val="auto"/>
              </w:rPr>
            </w:pPr>
          </w:p>
        </w:tc>
      </w:tr>
      <w:tr>
        <w:trPr>
          <w:trHeight w:val="269"/>
        </w:trPr>
        <w:tc>
          <w:tcPr>
            <w:tcW w:w="360" w:type="dxa"/>
            <w:vAlign w:val="bottom"/>
          </w:tcPr>
          <w:p>
            <w:pPr>
              <w:ind w:left="60"/>
              <w:spacing w:after="0"/>
              <w:rPr>
                <w:sz w:val="20"/>
                <w:szCs w:val="20"/>
                <w:color w:val="auto"/>
              </w:rPr>
            </w:pPr>
            <w:r>
              <w:rPr>
                <w:rFonts w:ascii="Arial" w:cs="Arial" w:eastAsia="Arial" w:hAnsi="Arial"/>
                <w:sz w:val="14"/>
                <w:szCs w:val="14"/>
                <w:color w:val="0E2A35"/>
                <w:w w:val="99"/>
              </w:rPr>
              <w:t>Huw​</w:t>
            </w:r>
          </w:p>
        </w:tc>
        <w:tc>
          <w:tcPr>
            <w:tcW w:w="5840" w:type="dxa"/>
            <w:vAlign w:val="bottom"/>
          </w:tcPr>
          <w:p>
            <w:pPr>
              <w:ind w:left="20"/>
              <w:spacing w:after="0"/>
              <w:rPr>
                <w:sz w:val="20"/>
                <w:szCs w:val="20"/>
                <w:color w:val="auto"/>
              </w:rPr>
            </w:pPr>
            <w:r>
              <w:rPr>
                <w:rFonts w:ascii="Arial" w:cs="Arial" w:eastAsia="Arial" w:hAnsi="Arial"/>
                <w:sz w:val="14"/>
                <w:szCs w:val="14"/>
                <w:color w:val="0E2A35"/>
              </w:rPr>
              <w:t>S. Bower</w:t>
            </w:r>
          </w:p>
        </w:tc>
        <w:tc>
          <w:tcPr>
            <w:tcW w:w="1820" w:type="dxa"/>
            <w:vAlign w:val="bottom"/>
          </w:tcPr>
          <w:p>
            <w:pPr>
              <w:jc w:val="right"/>
              <w:ind w:right="430"/>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70"/>
              <w:spacing w:after="0"/>
              <w:rPr>
                <w:sz w:val="20"/>
                <w:szCs w:val="20"/>
                <w:color w:val="auto"/>
              </w:rPr>
            </w:pPr>
            <w:r>
              <w:rPr>
                <w:rFonts w:ascii="Arial" w:cs="Arial" w:eastAsia="Arial" w:hAnsi="Arial"/>
                <w:sz w:val="14"/>
                <w:szCs w:val="14"/>
                <w:color w:val="0E2A35"/>
              </w:rPr>
              <w:t>1,416,000</w:t>
            </w:r>
          </w:p>
        </w:tc>
      </w:tr>
      <w:tr>
        <w:trPr>
          <w:trHeight w:val="76"/>
        </w:trPr>
        <w:tc>
          <w:tcPr>
            <w:tcW w:w="6200" w:type="dxa"/>
            <w:vAlign w:val="bottom"/>
            <w:tcBorders>
              <w:bottom w:val="single" w:sz="8" w:color="0E2A35"/>
            </w:tcBorders>
            <w:gridSpan w:val="2"/>
          </w:tcPr>
          <w:p>
            <w:pPr>
              <w:spacing w:after="0"/>
              <w:rPr>
                <w:sz w:val="6"/>
                <w:szCs w:val="6"/>
                <w:color w:val="auto"/>
              </w:rPr>
            </w:pPr>
          </w:p>
        </w:tc>
        <w:tc>
          <w:tcPr>
            <w:tcW w:w="1820" w:type="dxa"/>
            <w:vAlign w:val="bottom"/>
            <w:tcBorders>
              <w:bottom w:val="single" w:sz="8" w:color="0E2A35"/>
            </w:tcBorders>
          </w:tcPr>
          <w:p>
            <w:pPr>
              <w:spacing w:after="0"/>
              <w:rPr>
                <w:sz w:val="6"/>
                <w:szCs w:val="6"/>
                <w:color w:val="auto"/>
              </w:rPr>
            </w:pPr>
          </w:p>
        </w:tc>
        <w:tc>
          <w:tcPr>
            <w:tcW w:w="1260" w:type="dxa"/>
            <w:vAlign w:val="bottom"/>
            <w:tcBorders>
              <w:bottom w:val="single" w:sz="8" w:color="0E2A35"/>
            </w:tcBorders>
          </w:tcPr>
          <w:p>
            <w:pPr>
              <w:spacing w:after="0"/>
              <w:rPr>
                <w:sz w:val="6"/>
                <w:szCs w:val="6"/>
                <w:color w:val="auto"/>
              </w:rPr>
            </w:pPr>
          </w:p>
        </w:tc>
      </w:tr>
      <w:tr>
        <w:trPr>
          <w:trHeight w:val="269"/>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Donald J. Clark</w:t>
            </w:r>
          </w:p>
        </w:tc>
        <w:tc>
          <w:tcPr>
            <w:tcW w:w="1820" w:type="dxa"/>
            <w:vAlign w:val="bottom"/>
          </w:tcPr>
          <w:p>
            <w:pPr>
              <w:jc w:val="right"/>
              <w:ind w:right="430"/>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70"/>
              <w:spacing w:after="0"/>
              <w:rPr>
                <w:sz w:val="20"/>
                <w:szCs w:val="20"/>
                <w:color w:val="auto"/>
              </w:rPr>
            </w:pPr>
            <w:r>
              <w:rPr>
                <w:rFonts w:ascii="Arial" w:cs="Arial" w:eastAsia="Arial" w:hAnsi="Arial"/>
                <w:sz w:val="14"/>
                <w:szCs w:val="14"/>
                <w:color w:val="0E2A35"/>
              </w:rPr>
              <w:t>1,000,000</w:t>
            </w:r>
          </w:p>
        </w:tc>
      </w:tr>
      <w:tr>
        <w:trPr>
          <w:trHeight w:val="89"/>
        </w:trPr>
        <w:tc>
          <w:tcPr>
            <w:tcW w:w="360" w:type="dxa"/>
            <w:vAlign w:val="bottom"/>
            <w:tcBorders>
              <w:bottom w:val="single" w:sz="8" w:color="0E2A35"/>
            </w:tcBorders>
          </w:tcPr>
          <w:p>
            <w:pPr>
              <w:spacing w:after="0"/>
              <w:rPr>
                <w:sz w:val="7"/>
                <w:szCs w:val="7"/>
                <w:color w:val="auto"/>
              </w:rPr>
            </w:pPr>
          </w:p>
        </w:tc>
        <w:tc>
          <w:tcPr>
            <w:tcW w:w="5840" w:type="dxa"/>
            <w:vAlign w:val="bottom"/>
            <w:tcBorders>
              <w:bottom w:val="single" w:sz="8" w:color="0E2A35"/>
            </w:tcBorders>
          </w:tcPr>
          <w:p>
            <w:pPr>
              <w:spacing w:after="0"/>
              <w:rPr>
                <w:sz w:val="7"/>
                <w:szCs w:val="7"/>
                <w:color w:val="auto"/>
              </w:rPr>
            </w:pPr>
          </w:p>
        </w:tc>
        <w:tc>
          <w:tcPr>
            <w:tcW w:w="1820" w:type="dxa"/>
            <w:vAlign w:val="bottom"/>
            <w:tcBorders>
              <w:bottom w:val="single" w:sz="8" w:color="0E2A35"/>
            </w:tcBorders>
          </w:tcPr>
          <w:p>
            <w:pPr>
              <w:spacing w:after="0"/>
              <w:rPr>
                <w:sz w:val="7"/>
                <w:szCs w:val="7"/>
                <w:color w:val="auto"/>
              </w:rPr>
            </w:pPr>
          </w:p>
        </w:tc>
        <w:tc>
          <w:tcPr>
            <w:tcW w:w="1260" w:type="dxa"/>
            <w:vAlign w:val="bottom"/>
            <w:tcBorders>
              <w:bottom w:val="single" w:sz="8" w:color="0E2A35"/>
            </w:tcBorders>
          </w:tcPr>
          <w:p>
            <w:pPr>
              <w:spacing w:after="0"/>
              <w:rPr>
                <w:sz w:val="7"/>
                <w:szCs w:val="7"/>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Severance and Change in Control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Employment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E2A35"/>
        </w:rPr>
        <w:t>Mr. Happe and Mr. Clark are the only NEOs with individual employment agreements with the Company.</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E2A35"/>
        </w:rPr>
        <w:t>In December 2021, the committee completed a review of benchmarking data and market practices regarding executive officer severance outside of a change in control. Following that review, the committee approved, and Mr. Happe and the Company entered into an amended and restated employment agreement, which amended the pre-change in control severance benefits for Mr. Happe. If Mr. Happe is terminated by the Company without cause or terminates employment with the Company for good reason (as such terms are defined in his employment agreement), he is entitled to severance pay of two times his annual base salary, payable in installments over 24 months, and an amount equal to two times his target annual bonus plus the annual COBRA premium cost for Mr. Happe’s group medical, dental and vision insurance coverage, payable in a lump sum. Mr. Happe also is subject to one-year non-competition and non-solicitation covenants following termination of employment.</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6"/>
          <w:szCs w:val="16"/>
          <w:color w:val="0E2A35"/>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 Mr. Clark is subject to a non-compete and non-solicitation covenant that terminates one year from cessation of employment.</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Officer Severance Plan</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E2A35"/>
        </w:rPr>
        <w:t>In December 2021, in connection with the review of severance practices described above, the committee approved a new Winnebago Executive Officer Severance Plan (the Executive Severance Plan) that applies to all of the Company’s executive officers, including the NEOs, other than Messrs. Happe and Clark and provides severance benefits for eligible executives outside of a change in control of the Company. The Executive Severance Plan provides that, in the event of a termination of an eligible executive’s employment without cause or for good reason, the eligible executive would receive 12 months of salary continuation and a payment equal to the target annual inventive under the OICP (as well as annual COBRA premium cost).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Change in Control Agreement</w:t>
      </w:r>
    </w:p>
    <w:p>
      <w:pPr>
        <w:spacing w:after="0" w:line="15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0E2A35"/>
        </w:rPr>
        <w:t>Each of the NEOs, including Mr. Happe and Mr. Clark, have also entered into an Executive Change in Control Agreement (CIC Agreement) with the Company.</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0E2A35"/>
        </w:rPr>
        <w:t>The CIC Agreements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0E2A35"/>
        </w:rPr>
        <w:t>The committee believes these arrangements are an important part of the total executive compensation program because they protect our interest in the continuity and stability of the executive group, and to facilitate a smooth transition in the event that an executive’s employment is terminated under circumstances covered by the arrangements. The committee also believes that the CIC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Insider Trading and Hedging</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E2A35"/>
        </w:rPr>
        <w:t>The Company’s insider trading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in the Corporate Governance section of this proxy statement under the heading “Anti-Hedging and Anti-Pledging.”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Clawback Policy</w:t>
      </w:r>
    </w:p>
    <w:p>
      <w:pPr>
        <w:spacing w:after="0" w:line="14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0E2A35"/>
        </w:rPr>
        <w:t>Our incentive compensation programs include “clawback” provisions for each of the OICP and LTIP programs, which, in part, provide for the recoupment of incentive compensation payouts if payments are made based upon the achievement of financial results that are subsequently subject to a restatement due to material noncompliance with financial reporting requirements. In addition, our Executive Officer Incentive Compensation Recovery Policy (the Clawback Policy),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Tax Considerations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Deductibility of Executive Compensation</w:t>
      </w:r>
    </w:p>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Due to the enactment of the Tax Cuts and Jobs Act of 2017 in December 2017, compensation paid in fiscal 2019 and later years to our NEOs in excess of $1 million is not deductible under Section 162(m) of the Internal Revenue Code of 1986 (the Code) unless it qualifies for transitional relief applicable to certain binding, written performance-based compensation arrangements that were in place as of November 2, 2017. While our committee is mindful of the benefit to us of the deductibility, it believes that we should maintain flexibility in compensating our executive officers in a manner that best promotes our corporate objectives.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Section 409A of the Internal Revenue Code</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E2A35"/>
        </w:rPr>
        <w:t>Section 409A of the Code deals specifically with non-qualified deferred compensation plans. Although the Company makes no guarantees with respect to exemption from, or compliance with, Section 409A of the Code, we have designed all of our executive benefit plans and severance arrangements with the intention that they are exempt from, or otherwise comply with, the requirements of Section 409A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Compensation-Related Risk Assessment</w:t>
      </w:r>
    </w:p>
    <w:p>
      <w:pPr>
        <w:spacing w:after="0" w:line="15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0E2A35"/>
        </w:rPr>
        <w:t>Our committee has analyzed the potential risks arising from our compensation policies and practices and has determined that there are no such risks that are reasonably likely to have a material adverse effect on us.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Human Resources Committee Report</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E2A35"/>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E2A35"/>
        </w:rPr>
        <w:t>Human Resources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John M. Murabito,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Sara E. Armbruster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Robert M. Chiusano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Jacqueline D. Woods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Human Resources Committee Interlocks and Insider Participation</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E2A35"/>
        </w:rPr>
        <w:t>The current members of the Human Resources Committee, Mses. Armbruster and Woods and Messrs. Murabito and Chiusano, were not at any time during fiscal 2022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2022.</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Compensation Tables and Narrative Disclosure</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Summary Compensation Table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0E2A35"/>
        </w:rPr>
        <w:t>The tables below contain compensation information for each of our NEOs for fiscal years 2022, 2021, and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00" w:type="dxa"/>
            <w:vAlign w:val="bottom"/>
            <w:shd w:val="clear" w:color="auto" w:fill="0E2A35"/>
          </w:tcPr>
          <w:p>
            <w:pPr>
              <w:spacing w:after="0"/>
              <w:rPr>
                <w:sz w:val="19"/>
                <w:szCs w:val="19"/>
                <w:color w:val="auto"/>
              </w:rPr>
            </w:pPr>
          </w:p>
        </w:tc>
        <w:tc>
          <w:tcPr>
            <w:tcW w:w="52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640" w:type="dxa"/>
            <w:vAlign w:val="bottom"/>
            <w:shd w:val="clear" w:color="auto" w:fill="0E2A35"/>
          </w:tcPr>
          <w:p>
            <w:pPr>
              <w:spacing w:after="0"/>
              <w:rPr>
                <w:sz w:val="19"/>
                <w:szCs w:val="19"/>
                <w:color w:val="auto"/>
              </w:rPr>
            </w:pPr>
          </w:p>
        </w:tc>
        <w:tc>
          <w:tcPr>
            <w:tcW w:w="760" w:type="dxa"/>
            <w:vAlign w:val="bottom"/>
            <w:shd w:val="clear" w:color="auto" w:fill="0E2A35"/>
          </w:tcPr>
          <w:p>
            <w:pPr>
              <w:spacing w:after="0"/>
              <w:rPr>
                <w:sz w:val="19"/>
                <w:szCs w:val="19"/>
                <w:color w:val="auto"/>
              </w:rPr>
            </w:pPr>
          </w:p>
        </w:tc>
        <w:tc>
          <w:tcPr>
            <w:tcW w:w="780" w:type="dxa"/>
            <w:vAlign w:val="bottom"/>
            <w:shd w:val="clear" w:color="auto" w:fill="0E2A35"/>
          </w:tcPr>
          <w:p>
            <w:pPr>
              <w:spacing w:after="0"/>
              <w:rPr>
                <w:sz w:val="19"/>
                <w:szCs w:val="19"/>
                <w:color w:val="auto"/>
              </w:rPr>
            </w:pPr>
          </w:p>
        </w:tc>
        <w:tc>
          <w:tcPr>
            <w:tcW w:w="340" w:type="dxa"/>
            <w:vAlign w:val="bottom"/>
            <w:shd w:val="clear" w:color="auto" w:fill="0E2A35"/>
          </w:tcPr>
          <w:p>
            <w:pPr>
              <w:spacing w:after="0"/>
              <w:rPr>
                <w:sz w:val="19"/>
                <w:szCs w:val="19"/>
                <w:color w:val="auto"/>
              </w:rPr>
            </w:pPr>
          </w:p>
        </w:tc>
        <w:tc>
          <w:tcPr>
            <w:tcW w:w="600" w:type="dxa"/>
            <w:vAlign w:val="bottom"/>
            <w:shd w:val="clear" w:color="auto" w:fill="0E2A35"/>
          </w:tcPr>
          <w:p>
            <w:pPr>
              <w:spacing w:after="0"/>
              <w:rPr>
                <w:sz w:val="19"/>
                <w:szCs w:val="19"/>
                <w:color w:val="auto"/>
              </w:rPr>
            </w:pPr>
          </w:p>
        </w:tc>
        <w:tc>
          <w:tcPr>
            <w:tcW w:w="300" w:type="dxa"/>
            <w:vAlign w:val="bottom"/>
            <w:shd w:val="clear" w:color="auto" w:fill="0E2A35"/>
          </w:tcPr>
          <w:p>
            <w:pPr>
              <w:spacing w:after="0"/>
              <w:rPr>
                <w:sz w:val="19"/>
                <w:szCs w:val="19"/>
                <w:color w:val="auto"/>
              </w:rPr>
            </w:pPr>
          </w:p>
        </w:tc>
        <w:tc>
          <w:tcPr>
            <w:tcW w:w="11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40" w:type="dxa"/>
            <w:vAlign w:val="bottom"/>
            <w:shd w:val="clear" w:color="auto" w:fill="0E2A35"/>
          </w:tcPr>
          <w:p>
            <w:pPr>
              <w:spacing w:after="0"/>
              <w:rPr>
                <w:sz w:val="19"/>
                <w:szCs w:val="19"/>
                <w:color w:val="auto"/>
              </w:rPr>
            </w:pPr>
          </w:p>
        </w:tc>
        <w:tc>
          <w:tcPr>
            <w:tcW w:w="76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64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60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1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4"/>
              </w:rPr>
              <w:t>Pension Value</w:t>
            </w:r>
          </w:p>
        </w:tc>
        <w:tc>
          <w:tcPr>
            <w:tcW w:w="124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64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1240" w:type="dxa"/>
            <w:vAlign w:val="bottom"/>
            <w:gridSpan w:val="3"/>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Non-Equity</w:t>
            </w:r>
          </w:p>
        </w:tc>
        <w:tc>
          <w:tcPr>
            <w:tcW w:w="11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and Non-</w:t>
            </w:r>
          </w:p>
        </w:tc>
        <w:tc>
          <w:tcPr>
            <w:tcW w:w="124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64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1240" w:type="dxa"/>
            <w:vAlign w:val="bottom"/>
            <w:gridSpan w:val="3"/>
            <w:vMerge w:val="continue"/>
            <w:shd w:val="clear" w:color="auto" w:fill="0E2A35"/>
          </w:tcPr>
          <w:p>
            <w:pPr>
              <w:spacing w:after="0"/>
              <w:rPr>
                <w:sz w:val="11"/>
                <w:szCs w:val="11"/>
                <w:color w:val="auto"/>
              </w:rPr>
            </w:pPr>
          </w:p>
        </w:tc>
        <w:tc>
          <w:tcPr>
            <w:tcW w:w="11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qualified</w:t>
            </w:r>
          </w:p>
        </w:tc>
        <w:tc>
          <w:tcPr>
            <w:tcW w:w="124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shd w:val="clear" w:color="auto" w:fill="0E2A35"/>
          </w:tcPr>
          <w:p>
            <w:pPr>
              <w:spacing w:after="0"/>
              <w:rPr>
                <w:sz w:val="11"/>
                <w:szCs w:val="11"/>
                <w:color w:val="auto"/>
              </w:rPr>
            </w:pPr>
          </w:p>
        </w:tc>
        <w:tc>
          <w:tcPr>
            <w:tcW w:w="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640" w:type="dxa"/>
            <w:vAlign w:val="bottom"/>
            <w:shd w:val="clear" w:color="auto" w:fill="0E2A35"/>
          </w:tcPr>
          <w:p>
            <w:pPr>
              <w:spacing w:after="0"/>
              <w:rPr>
                <w:sz w:val="11"/>
                <w:szCs w:val="11"/>
                <w:color w:val="auto"/>
              </w:rPr>
            </w:pPr>
          </w:p>
        </w:tc>
        <w:tc>
          <w:tcPr>
            <w:tcW w:w="76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7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340" w:type="dxa"/>
            <w:vAlign w:val="bottom"/>
            <w:shd w:val="clear" w:color="auto" w:fill="0E2A35"/>
          </w:tcPr>
          <w:p>
            <w:pPr>
              <w:spacing w:after="0"/>
              <w:rPr>
                <w:sz w:val="11"/>
                <w:szCs w:val="11"/>
                <w:color w:val="auto"/>
              </w:rPr>
            </w:pPr>
          </w:p>
        </w:tc>
        <w:tc>
          <w:tcPr>
            <w:tcW w:w="6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300" w:type="dxa"/>
            <w:vAlign w:val="bottom"/>
            <w:shd w:val="clear" w:color="auto" w:fill="0E2A35"/>
          </w:tcPr>
          <w:p>
            <w:pPr>
              <w:spacing w:after="0"/>
              <w:rPr>
                <w:sz w:val="11"/>
                <w:szCs w:val="11"/>
                <w:color w:val="auto"/>
              </w:rPr>
            </w:pPr>
          </w:p>
        </w:tc>
        <w:tc>
          <w:tcPr>
            <w:tcW w:w="11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4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76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00" w:type="dxa"/>
            <w:vAlign w:val="bottom"/>
            <w:shd w:val="clear" w:color="auto" w:fill="0E2A35"/>
          </w:tcPr>
          <w:p>
            <w:pPr>
              <w:ind w:left="60"/>
              <w:spacing w:after="0" w:line="129" w:lineRule="exact"/>
              <w:rPr>
                <w:sz w:val="20"/>
                <w:szCs w:val="20"/>
                <w:color w:val="auto"/>
              </w:rPr>
            </w:pPr>
            <w:r>
              <w:rPr>
                <w:rFonts w:ascii="Arial" w:cs="Arial" w:eastAsia="Arial" w:hAnsi="Arial"/>
                <w:sz w:val="13"/>
                <w:szCs w:val="13"/>
                <w:b w:val="1"/>
                <w:bCs w:val="1"/>
                <w:color w:val="FFFFFF"/>
              </w:rPr>
              <w:t>and</w:t>
            </w:r>
          </w:p>
        </w:tc>
        <w:tc>
          <w:tcPr>
            <w:tcW w:w="52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82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89"/>
              </w:rPr>
              <w:t>Salary</w:t>
            </w:r>
            <w:r>
              <w:rPr>
                <w:rFonts w:ascii="Arial" w:cs="Arial" w:eastAsia="Arial" w:hAnsi="Arial"/>
                <w:sz w:val="20"/>
                <w:szCs w:val="20"/>
                <w:b w:val="1"/>
                <w:bCs w:val="1"/>
                <w:color w:val="FFFFFF"/>
                <w:w w:val="89"/>
                <w:vertAlign w:val="superscript"/>
              </w:rPr>
              <w:t>(1)(2)</w:t>
            </w:r>
          </w:p>
        </w:tc>
        <w:tc>
          <w:tcPr>
            <w:tcW w:w="640" w:type="dxa"/>
            <w:vAlign w:val="bottom"/>
            <w:vMerge w:val="restart"/>
            <w:shd w:val="clear" w:color="auto" w:fill="0E2A35"/>
          </w:tcPr>
          <w:p>
            <w:pPr>
              <w:jc w:val="right"/>
              <w:ind w:right="77"/>
              <w:spacing w:after="0"/>
              <w:rPr>
                <w:sz w:val="20"/>
                <w:szCs w:val="20"/>
                <w:color w:val="auto"/>
              </w:rPr>
            </w:pPr>
            <w:r>
              <w:rPr>
                <w:rFonts w:ascii="Arial" w:cs="Arial" w:eastAsia="Arial" w:hAnsi="Arial"/>
                <w:sz w:val="13"/>
                <w:szCs w:val="13"/>
                <w:b w:val="1"/>
                <w:bCs w:val="1"/>
                <w:color w:val="FFFFFF"/>
              </w:rPr>
              <w:t>Bonus</w:t>
            </w:r>
          </w:p>
        </w:tc>
        <w:tc>
          <w:tcPr>
            <w:tcW w:w="760" w:type="dxa"/>
            <w:vAlign w:val="bottom"/>
            <w:vMerge w:val="continue"/>
            <w:shd w:val="clear" w:color="auto" w:fill="0E2A35"/>
          </w:tcPr>
          <w:p>
            <w:pPr>
              <w:spacing w:after="0"/>
              <w:rPr>
                <w:sz w:val="11"/>
                <w:szCs w:val="11"/>
                <w:color w:val="auto"/>
              </w:rPr>
            </w:pPr>
          </w:p>
        </w:tc>
        <w:tc>
          <w:tcPr>
            <w:tcW w:w="780" w:type="dxa"/>
            <w:vAlign w:val="bottom"/>
            <w:vMerge w:val="continue"/>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60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rPr>
              <w:t>Plan</w:t>
            </w:r>
          </w:p>
        </w:tc>
        <w:tc>
          <w:tcPr>
            <w:tcW w:w="300" w:type="dxa"/>
            <w:vAlign w:val="bottom"/>
            <w:shd w:val="clear" w:color="auto" w:fill="0E2A35"/>
          </w:tcPr>
          <w:p>
            <w:pPr>
              <w:spacing w:after="0"/>
              <w:rPr>
                <w:sz w:val="11"/>
                <w:szCs w:val="11"/>
                <w:color w:val="auto"/>
              </w:rPr>
            </w:pPr>
          </w:p>
        </w:tc>
        <w:tc>
          <w:tcPr>
            <w:tcW w:w="112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7"/>
              </w:rPr>
              <w:t>Compensation</w:t>
            </w:r>
          </w:p>
        </w:tc>
        <w:tc>
          <w:tcPr>
            <w:tcW w:w="1240" w:type="dxa"/>
            <w:vAlign w:val="bottom"/>
            <w:vMerge w:val="continue"/>
            <w:shd w:val="clear" w:color="auto" w:fill="0E2A35"/>
          </w:tcPr>
          <w:p>
            <w:pPr>
              <w:spacing w:after="0"/>
              <w:rPr>
                <w:sz w:val="11"/>
                <w:szCs w:val="11"/>
                <w:color w:val="auto"/>
              </w:rPr>
            </w:pPr>
          </w:p>
        </w:tc>
        <w:tc>
          <w:tcPr>
            <w:tcW w:w="760" w:type="dxa"/>
            <w:vAlign w:val="bottom"/>
            <w:vMerge w:val="restart"/>
            <w:shd w:val="clear" w:color="auto" w:fill="0E2A35"/>
          </w:tcPr>
          <w:p>
            <w:pPr>
              <w:jc w:val="right"/>
              <w:ind w:right="13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1"/>
        </w:trPr>
        <w:tc>
          <w:tcPr>
            <w:tcW w:w="1400" w:type="dxa"/>
            <w:vAlign w:val="bottom"/>
            <w:shd w:val="clear" w:color="auto" w:fill="0E2A35"/>
          </w:tcPr>
          <w:p>
            <w:pPr>
              <w:ind w:left="60"/>
              <w:spacing w:after="0" w:line="141" w:lineRule="exact"/>
              <w:rPr>
                <w:sz w:val="20"/>
                <w:szCs w:val="20"/>
                <w:color w:val="auto"/>
              </w:rPr>
            </w:pPr>
            <w:r>
              <w:rPr>
                <w:rFonts w:ascii="Arial" w:cs="Arial" w:eastAsia="Arial" w:hAnsi="Arial"/>
                <w:sz w:val="13"/>
                <w:szCs w:val="13"/>
                <w:b w:val="1"/>
                <w:bCs w:val="1"/>
                <w:color w:val="FFFFFF"/>
              </w:rPr>
              <w:t>Principal</w:t>
            </w:r>
          </w:p>
        </w:tc>
        <w:tc>
          <w:tcPr>
            <w:tcW w:w="520" w:type="dxa"/>
            <w:vAlign w:val="bottom"/>
            <w:vMerge w:val="continue"/>
            <w:shd w:val="clear" w:color="auto" w:fill="0E2A35"/>
          </w:tcPr>
          <w:p>
            <w:pPr>
              <w:spacing w:after="0"/>
              <w:rPr>
                <w:sz w:val="12"/>
                <w:szCs w:val="12"/>
                <w:color w:val="auto"/>
              </w:rPr>
            </w:pPr>
          </w:p>
        </w:tc>
        <w:tc>
          <w:tcPr>
            <w:tcW w:w="820" w:type="dxa"/>
            <w:vAlign w:val="bottom"/>
            <w:vMerge w:val="continue"/>
            <w:shd w:val="clear" w:color="auto" w:fill="0E2A35"/>
          </w:tcPr>
          <w:p>
            <w:pPr>
              <w:spacing w:after="0"/>
              <w:rPr>
                <w:sz w:val="12"/>
                <w:szCs w:val="12"/>
                <w:color w:val="auto"/>
              </w:rPr>
            </w:pPr>
          </w:p>
        </w:tc>
        <w:tc>
          <w:tcPr>
            <w:tcW w:w="640" w:type="dxa"/>
            <w:vAlign w:val="bottom"/>
            <w:vMerge w:val="continue"/>
            <w:shd w:val="clear" w:color="auto" w:fill="0E2A35"/>
          </w:tcPr>
          <w:p>
            <w:pPr>
              <w:spacing w:after="0"/>
              <w:rPr>
                <w:sz w:val="12"/>
                <w:szCs w:val="12"/>
                <w:color w:val="auto"/>
              </w:rPr>
            </w:pPr>
          </w:p>
        </w:tc>
        <w:tc>
          <w:tcPr>
            <w:tcW w:w="760" w:type="dxa"/>
            <w:vAlign w:val="bottom"/>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780" w:type="dxa"/>
            <w:vAlign w:val="bottom"/>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(4)</w:t>
            </w:r>
          </w:p>
        </w:tc>
        <w:tc>
          <w:tcPr>
            <w:tcW w:w="1240" w:type="dxa"/>
            <w:vAlign w:val="bottom"/>
            <w:gridSpan w:val="3"/>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(5)</w:t>
            </w:r>
          </w:p>
        </w:tc>
        <w:tc>
          <w:tcPr>
            <w:tcW w:w="1120" w:type="dxa"/>
            <w:vAlign w:val="bottom"/>
            <w:shd w:val="clear" w:color="auto" w:fill="0E2A35"/>
          </w:tcPr>
          <w:p>
            <w:pPr>
              <w:jc w:val="center"/>
              <w:spacing w:after="0" w:line="141"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(6)</w:t>
            </w:r>
          </w:p>
        </w:tc>
        <w:tc>
          <w:tcPr>
            <w:tcW w:w="760" w:type="dxa"/>
            <w:vAlign w:val="bottom"/>
            <w:vMerge w:val="continue"/>
            <w:shd w:val="clear" w:color="auto" w:fill="0E2A35"/>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Position</w:t>
            </w:r>
          </w:p>
        </w:tc>
        <w:tc>
          <w:tcPr>
            <w:tcW w:w="5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9"/>
              </w:rPr>
              <w:t>Year</w:t>
            </w:r>
          </w:p>
        </w:tc>
        <w:tc>
          <w:tcPr>
            <w:tcW w:w="8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0E2A35"/>
          </w:tcPr>
          <w:p>
            <w:pPr>
              <w:jc w:val="right"/>
              <w:ind w:right="177"/>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340" w:type="dxa"/>
            <w:vAlign w:val="bottom"/>
            <w:shd w:val="clear" w:color="auto" w:fill="0E2A35"/>
          </w:tcPr>
          <w:p>
            <w:pPr>
              <w:spacing w:after="0"/>
              <w:rPr>
                <w:sz w:val="14"/>
                <w:szCs w:val="14"/>
                <w:color w:val="auto"/>
              </w:rPr>
            </w:pPr>
          </w:p>
        </w:tc>
        <w:tc>
          <w:tcPr>
            <w:tcW w:w="6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E2A35"/>
          </w:tcPr>
          <w:p>
            <w:pPr>
              <w:spacing w:after="0"/>
              <w:rPr>
                <w:sz w:val="14"/>
                <w:szCs w:val="14"/>
                <w:color w:val="auto"/>
              </w:rPr>
            </w:pPr>
          </w:p>
        </w:tc>
        <w:tc>
          <w:tcPr>
            <w:tcW w:w="1120" w:type="dxa"/>
            <w:vAlign w:val="bottom"/>
            <w:shd w:val="clear" w:color="auto" w:fill="0E2A35"/>
          </w:tcPr>
          <w:p>
            <w:pPr>
              <w:ind w:left="500"/>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E2A35"/>
          </w:tcPr>
          <w:p>
            <w:pPr>
              <w:jc w:val="right"/>
              <w:ind w:right="17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1400" w:type="dxa"/>
            <w:vAlign w:val="bottom"/>
            <w:shd w:val="clear" w:color="auto" w:fill="0E2A35"/>
          </w:tcPr>
          <w:p>
            <w:pPr>
              <w:spacing w:after="0"/>
              <w:rPr>
                <w:sz w:val="7"/>
                <w:szCs w:val="7"/>
                <w:color w:val="auto"/>
              </w:rPr>
            </w:pPr>
          </w:p>
        </w:tc>
        <w:tc>
          <w:tcPr>
            <w:tcW w:w="52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640" w:type="dxa"/>
            <w:vAlign w:val="bottom"/>
            <w:shd w:val="clear" w:color="auto" w:fill="0E2A35"/>
          </w:tcPr>
          <w:p>
            <w:pPr>
              <w:spacing w:after="0"/>
              <w:rPr>
                <w:sz w:val="7"/>
                <w:szCs w:val="7"/>
                <w:color w:val="auto"/>
              </w:rPr>
            </w:pPr>
          </w:p>
        </w:tc>
        <w:tc>
          <w:tcPr>
            <w:tcW w:w="760" w:type="dxa"/>
            <w:vAlign w:val="bottom"/>
            <w:shd w:val="clear" w:color="auto" w:fill="0E2A35"/>
          </w:tcPr>
          <w:p>
            <w:pPr>
              <w:spacing w:after="0"/>
              <w:rPr>
                <w:sz w:val="7"/>
                <w:szCs w:val="7"/>
                <w:color w:val="auto"/>
              </w:rPr>
            </w:pPr>
          </w:p>
        </w:tc>
        <w:tc>
          <w:tcPr>
            <w:tcW w:w="780" w:type="dxa"/>
            <w:vAlign w:val="bottom"/>
            <w:shd w:val="clear" w:color="auto" w:fill="0E2A35"/>
          </w:tcPr>
          <w:p>
            <w:pPr>
              <w:spacing w:after="0"/>
              <w:rPr>
                <w:sz w:val="7"/>
                <w:szCs w:val="7"/>
                <w:color w:val="auto"/>
              </w:rPr>
            </w:pPr>
          </w:p>
        </w:tc>
        <w:tc>
          <w:tcPr>
            <w:tcW w:w="940" w:type="dxa"/>
            <w:vAlign w:val="bottom"/>
            <w:gridSpan w:val="2"/>
            <w:shd w:val="clear" w:color="auto" w:fill="0E2A35"/>
          </w:tcPr>
          <w:p>
            <w:pPr>
              <w:spacing w:after="0"/>
              <w:rPr>
                <w:sz w:val="7"/>
                <w:szCs w:val="7"/>
                <w:color w:val="auto"/>
              </w:rPr>
            </w:pPr>
          </w:p>
        </w:tc>
        <w:tc>
          <w:tcPr>
            <w:tcW w:w="30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76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400" w:type="dxa"/>
            <w:vAlign w:val="bottom"/>
          </w:tcPr>
          <w:p>
            <w:pPr>
              <w:ind w:left="60"/>
              <w:spacing w:after="0"/>
              <w:rPr>
                <w:sz w:val="20"/>
                <w:szCs w:val="20"/>
                <w:color w:val="auto"/>
              </w:rPr>
            </w:pPr>
            <w:r>
              <w:rPr>
                <w:rFonts w:ascii="Arial" w:cs="Arial" w:eastAsia="Arial" w:hAnsi="Arial"/>
                <w:sz w:val="13"/>
                <w:szCs w:val="13"/>
                <w:color w:val="0E2A35"/>
              </w:rPr>
              <w:t>Michael J. Happe</w:t>
            </w: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2022</w:t>
            </w:r>
          </w:p>
        </w:tc>
        <w:tc>
          <w:tcPr>
            <w:tcW w:w="820" w:type="dxa"/>
            <w:vAlign w:val="bottom"/>
          </w:tcPr>
          <w:p>
            <w:pPr>
              <w:jc w:val="right"/>
              <w:ind w:right="97"/>
              <w:spacing w:after="0"/>
              <w:rPr>
                <w:sz w:val="20"/>
                <w:szCs w:val="20"/>
                <w:color w:val="auto"/>
              </w:rPr>
            </w:pPr>
            <w:r>
              <w:rPr>
                <w:rFonts w:ascii="Arial" w:cs="Arial" w:eastAsia="Arial" w:hAnsi="Arial"/>
                <w:sz w:val="13"/>
                <w:szCs w:val="13"/>
                <w:color w:val="0E2A35"/>
              </w:rPr>
              <w:t>1,000,000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0E2A35"/>
              </w:rPr>
              <w:t>3,569,965​</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629,991​</w:t>
            </w:r>
          </w:p>
        </w:tc>
        <w:tc>
          <w:tcPr>
            <w:tcW w:w="940" w:type="dxa"/>
            <w:vAlign w:val="bottom"/>
            <w:gridSpan w:val="2"/>
          </w:tcPr>
          <w:p>
            <w:pPr>
              <w:jc w:val="right"/>
              <w:spacing w:after="0"/>
              <w:rPr>
                <w:sz w:val="20"/>
                <w:szCs w:val="20"/>
                <w:color w:val="auto"/>
              </w:rPr>
            </w:pPr>
            <w:r>
              <w:rPr>
                <w:rFonts w:ascii="Arial" w:cs="Arial" w:eastAsia="Arial" w:hAnsi="Arial"/>
                <w:sz w:val="13"/>
                <w:szCs w:val="13"/>
                <w:color w:val="0E2A35"/>
              </w:rPr>
              <w:t>​ 1,439,700</w:t>
            </w:r>
          </w:p>
        </w:tc>
        <w:tc>
          <w:tcPr>
            <w:tcW w:w="300" w:type="dxa"/>
            <w:vAlign w:val="bottom"/>
          </w:tcPr>
          <w:p>
            <w:pPr>
              <w:spacing w:after="0"/>
              <w:rPr>
                <w:sz w:val="19"/>
                <w:szCs w:val="19"/>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36,913​</w:t>
            </w:r>
          </w:p>
        </w:tc>
        <w:tc>
          <w:tcPr>
            <w:tcW w:w="760" w:type="dxa"/>
            <w:vAlign w:val="bottom"/>
          </w:tcPr>
          <w:p>
            <w:pPr>
              <w:jc w:val="right"/>
              <w:spacing w:after="0"/>
              <w:rPr>
                <w:sz w:val="20"/>
                <w:szCs w:val="20"/>
                <w:color w:val="auto"/>
              </w:rPr>
            </w:pPr>
            <w:r>
              <w:rPr>
                <w:rFonts w:ascii="Arial" w:cs="Arial" w:eastAsia="Arial" w:hAnsi="Arial"/>
                <w:sz w:val="13"/>
                <w:szCs w:val="13"/>
                <w:color w:val="0E2A35"/>
              </w:rPr>
              <w:t>6,676,569</w:t>
            </w:r>
          </w:p>
        </w:tc>
        <w:tc>
          <w:tcPr>
            <w:tcW w:w="0" w:type="dxa"/>
            <w:vAlign w:val="bottom"/>
          </w:tcPr>
          <w:p>
            <w:pPr>
              <w:spacing w:after="0"/>
              <w:rPr>
                <w:sz w:val="1"/>
                <w:szCs w:val="1"/>
                <w:color w:val="auto"/>
              </w:rPr>
            </w:pPr>
          </w:p>
        </w:tc>
      </w:tr>
      <w:tr>
        <w:trPr>
          <w:trHeight w:val="126"/>
        </w:trPr>
        <w:tc>
          <w:tcPr>
            <w:tcW w:w="1400" w:type="dxa"/>
            <w:vAlign w:val="bottom"/>
          </w:tcPr>
          <w:p>
            <w:pPr>
              <w:ind w:left="60"/>
              <w:spacing w:after="0" w:line="106" w:lineRule="exact"/>
              <w:rPr>
                <w:sz w:val="20"/>
                <w:szCs w:val="20"/>
                <w:color w:val="auto"/>
              </w:rPr>
            </w:pPr>
            <w:r>
              <w:rPr>
                <w:rFonts w:ascii="Arial" w:cs="Arial" w:eastAsia="Arial" w:hAnsi="Arial"/>
                <w:sz w:val="12"/>
                <w:szCs w:val="12"/>
                <w:color w:val="0E2A35"/>
              </w:rPr>
              <w:t>President, CEO​</w:t>
            </w:r>
          </w:p>
        </w:tc>
        <w:tc>
          <w:tcPr>
            <w:tcW w:w="520" w:type="dxa"/>
            <w:vAlign w:val="bottom"/>
            <w:tcBorders>
              <w:bottom w:val="single" w:sz="8" w:color="0E2A35"/>
            </w:tcBorders>
          </w:tcPr>
          <w:p>
            <w:pPr>
              <w:spacing w:after="0"/>
              <w:rPr>
                <w:sz w:val="10"/>
                <w:szCs w:val="10"/>
                <w:color w:val="auto"/>
              </w:rPr>
            </w:pPr>
          </w:p>
        </w:tc>
        <w:tc>
          <w:tcPr>
            <w:tcW w:w="820" w:type="dxa"/>
            <w:vAlign w:val="bottom"/>
            <w:tcBorders>
              <w:bottom w:val="single" w:sz="8" w:color="0E2A35"/>
            </w:tcBorders>
          </w:tcPr>
          <w:p>
            <w:pPr>
              <w:spacing w:after="0"/>
              <w:rPr>
                <w:sz w:val="10"/>
                <w:szCs w:val="10"/>
                <w:color w:val="auto"/>
              </w:rPr>
            </w:pPr>
          </w:p>
        </w:tc>
        <w:tc>
          <w:tcPr>
            <w:tcW w:w="6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600" w:type="dxa"/>
            <w:vAlign w:val="bottom"/>
            <w:tcBorders>
              <w:bottom w:val="single" w:sz="8" w:color="0E2A35"/>
            </w:tcBorders>
          </w:tcPr>
          <w:p>
            <w:pPr>
              <w:spacing w:after="0"/>
              <w:rPr>
                <w:sz w:val="10"/>
                <w:szCs w:val="10"/>
                <w:color w:val="auto"/>
              </w:rPr>
            </w:pPr>
          </w:p>
        </w:tc>
        <w:tc>
          <w:tcPr>
            <w:tcW w:w="30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1400" w:type="dxa"/>
            <w:vAlign w:val="bottom"/>
          </w:tcPr>
          <w:p>
            <w:pPr>
              <w:spacing w:after="0"/>
              <w:rPr>
                <w:sz w:val="21"/>
                <w:szCs w:val="21"/>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2021</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900,000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0E2A35"/>
              </w:rPr>
              <w:t>3,574,980​</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525,004​</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0E2A35"/>
              </w:rPr>
              <w:t>1,600,000​</w:t>
            </w:r>
          </w:p>
        </w:tc>
        <w:tc>
          <w:tcPr>
            <w:tcW w:w="30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49,202​</w:t>
            </w:r>
          </w:p>
        </w:tc>
        <w:tc>
          <w:tcPr>
            <w:tcW w:w="760" w:type="dxa"/>
            <w:vAlign w:val="bottom"/>
          </w:tcPr>
          <w:p>
            <w:pPr>
              <w:jc w:val="right"/>
              <w:spacing w:after="0"/>
              <w:rPr>
                <w:sz w:val="20"/>
                <w:szCs w:val="20"/>
                <w:color w:val="auto"/>
              </w:rPr>
            </w:pPr>
            <w:r>
              <w:rPr>
                <w:rFonts w:ascii="Arial" w:cs="Arial" w:eastAsia="Arial" w:hAnsi="Arial"/>
                <w:sz w:val="13"/>
                <w:szCs w:val="13"/>
                <w:color w:val="0E2A35"/>
              </w:rPr>
              <w:t>6,649,186​</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2020</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739,423​</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0E2A35"/>
              </w:rPr>
              <w:t>2,634,999​</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464,992​</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0E2A35"/>
              </w:rPr>
              <w:t>500,000​</w:t>
            </w:r>
          </w:p>
        </w:tc>
        <w:tc>
          <w:tcPr>
            <w:tcW w:w="30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31,354​</w:t>
            </w:r>
          </w:p>
        </w:tc>
        <w:tc>
          <w:tcPr>
            <w:tcW w:w="760" w:type="dxa"/>
            <w:vAlign w:val="bottom"/>
          </w:tcPr>
          <w:p>
            <w:pPr>
              <w:jc w:val="right"/>
              <w:spacing w:after="0"/>
              <w:rPr>
                <w:sz w:val="20"/>
                <w:szCs w:val="20"/>
                <w:color w:val="auto"/>
              </w:rPr>
            </w:pPr>
            <w:r>
              <w:rPr>
                <w:rFonts w:ascii="Arial" w:cs="Arial" w:eastAsia="Arial" w:hAnsi="Arial"/>
                <w:sz w:val="13"/>
                <w:szCs w:val="13"/>
                <w:color w:val="0E2A35"/>
              </w:rPr>
              <w:t>4,370,768​</w:t>
            </w:r>
          </w:p>
        </w:tc>
        <w:tc>
          <w:tcPr>
            <w:tcW w:w="0" w:type="dxa"/>
            <w:vAlign w:val="bottom"/>
          </w:tcPr>
          <w:p>
            <w:pPr>
              <w:spacing w:after="0"/>
              <w:rPr>
                <w:sz w:val="1"/>
                <w:szCs w:val="1"/>
                <w:color w:val="auto"/>
              </w:rPr>
            </w:pPr>
          </w:p>
        </w:tc>
      </w:tr>
      <w:tr>
        <w:trPr>
          <w:trHeight w:val="95"/>
        </w:trPr>
        <w:tc>
          <w:tcPr>
            <w:tcW w:w="140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00" w:type="dxa"/>
            <w:vAlign w:val="bottom"/>
          </w:tcPr>
          <w:p>
            <w:pPr>
              <w:ind w:left="60"/>
              <w:spacing w:after="0"/>
              <w:rPr>
                <w:sz w:val="20"/>
                <w:szCs w:val="20"/>
                <w:color w:val="auto"/>
              </w:rPr>
            </w:pPr>
            <w:r>
              <w:rPr>
                <w:rFonts w:ascii="Arial" w:cs="Arial" w:eastAsia="Arial" w:hAnsi="Arial"/>
                <w:sz w:val="13"/>
                <w:szCs w:val="13"/>
                <w:color w:val="0E2A35"/>
              </w:rPr>
              <w:t>Bryan L. Hughes</w:t>
            </w: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2022</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550,000​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756,278</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123,749</w:t>
            </w:r>
          </w:p>
        </w:tc>
        <w:tc>
          <w:tcPr>
            <w:tcW w:w="340" w:type="dxa"/>
            <w:vAlign w:val="bottom"/>
          </w:tcPr>
          <w:p>
            <w:pPr>
              <w:ind w:left="320"/>
              <w:spacing w:after="0"/>
              <w:rPr>
                <w:sz w:val="20"/>
                <w:szCs w:val="20"/>
                <w:color w:val="auto"/>
              </w:rPr>
            </w:pPr>
            <w:r>
              <w:rPr>
                <w:rFonts w:ascii="Arial" w:cs="Arial" w:eastAsia="Arial" w:hAnsi="Arial"/>
                <w:sz w:val="1"/>
                <w:szCs w:val="1"/>
                <w:color w:val="0E2A35"/>
                <w:w w:val="4294942296"/>
              </w:rPr>
              <w:t>​</w:t>
            </w:r>
          </w:p>
        </w:tc>
        <w:tc>
          <w:tcPr>
            <w:tcW w:w="600" w:type="dxa"/>
            <w:vAlign w:val="bottom"/>
          </w:tcPr>
          <w:p>
            <w:pPr>
              <w:jc w:val="right"/>
              <w:spacing w:after="0"/>
              <w:rPr>
                <w:sz w:val="20"/>
                <w:szCs w:val="20"/>
                <w:color w:val="auto"/>
              </w:rPr>
            </w:pPr>
            <w:r>
              <w:rPr>
                <w:rFonts w:ascii="Arial" w:cs="Arial" w:eastAsia="Arial" w:hAnsi="Arial"/>
                <w:sz w:val="13"/>
                <w:szCs w:val="13"/>
                <w:color w:val="0E2A35"/>
              </w:rPr>
              <w:t>560,883</w:t>
            </w:r>
          </w:p>
        </w:tc>
        <w:tc>
          <w:tcPr>
            <w:tcW w:w="300" w:type="dxa"/>
            <w:vAlign w:val="bottom"/>
          </w:tcPr>
          <w:p>
            <w:pPr>
              <w:spacing w:after="0"/>
              <w:rPr>
                <w:sz w:val="19"/>
                <w:szCs w:val="19"/>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40,609​</w:t>
            </w:r>
          </w:p>
        </w:tc>
        <w:tc>
          <w:tcPr>
            <w:tcW w:w="760" w:type="dxa"/>
            <w:vAlign w:val="bottom"/>
          </w:tcPr>
          <w:p>
            <w:pPr>
              <w:jc w:val="right"/>
              <w:spacing w:after="0"/>
              <w:rPr>
                <w:sz w:val="20"/>
                <w:szCs w:val="20"/>
                <w:color w:val="auto"/>
              </w:rPr>
            </w:pPr>
            <w:r>
              <w:rPr>
                <w:rFonts w:ascii="Arial" w:cs="Arial" w:eastAsia="Arial" w:hAnsi="Arial"/>
                <w:sz w:val="13"/>
                <w:szCs w:val="13"/>
                <w:color w:val="0E2A35"/>
              </w:rPr>
              <w:t>2,031,519</w:t>
            </w:r>
          </w:p>
        </w:tc>
        <w:tc>
          <w:tcPr>
            <w:tcW w:w="0" w:type="dxa"/>
            <w:vAlign w:val="bottom"/>
          </w:tcPr>
          <w:p>
            <w:pPr>
              <w:spacing w:after="0"/>
              <w:rPr>
                <w:sz w:val="1"/>
                <w:szCs w:val="1"/>
                <w:color w:val="auto"/>
              </w:rPr>
            </w:pPr>
          </w:p>
        </w:tc>
      </w:tr>
      <w:tr>
        <w:trPr>
          <w:trHeight w:val="126"/>
        </w:trPr>
        <w:tc>
          <w:tcPr>
            <w:tcW w:w="1400" w:type="dxa"/>
            <w:vAlign w:val="bottom"/>
          </w:tcPr>
          <w:p>
            <w:pPr>
              <w:ind w:left="60"/>
              <w:spacing w:after="0" w:line="106" w:lineRule="exact"/>
              <w:rPr>
                <w:sz w:val="20"/>
                <w:szCs w:val="20"/>
                <w:color w:val="auto"/>
              </w:rPr>
            </w:pPr>
            <w:r>
              <w:rPr>
                <w:rFonts w:ascii="Arial" w:cs="Arial" w:eastAsia="Arial" w:hAnsi="Arial"/>
                <w:sz w:val="12"/>
                <w:szCs w:val="12"/>
                <w:color w:val="0E2A35"/>
              </w:rPr>
              <w:t>CFO; Senior Vice</w:t>
            </w:r>
          </w:p>
        </w:tc>
        <w:tc>
          <w:tcPr>
            <w:tcW w:w="520" w:type="dxa"/>
            <w:vAlign w:val="bottom"/>
            <w:tcBorders>
              <w:bottom w:val="single" w:sz="8" w:color="0E2A35"/>
            </w:tcBorders>
          </w:tcPr>
          <w:p>
            <w:pPr>
              <w:spacing w:after="0"/>
              <w:rPr>
                <w:sz w:val="10"/>
                <w:szCs w:val="10"/>
                <w:color w:val="auto"/>
              </w:rPr>
            </w:pPr>
          </w:p>
        </w:tc>
        <w:tc>
          <w:tcPr>
            <w:tcW w:w="820" w:type="dxa"/>
            <w:vAlign w:val="bottom"/>
            <w:tcBorders>
              <w:bottom w:val="single" w:sz="8" w:color="0E2A35"/>
            </w:tcBorders>
          </w:tcPr>
          <w:p>
            <w:pPr>
              <w:spacing w:after="0"/>
              <w:rPr>
                <w:sz w:val="10"/>
                <w:szCs w:val="10"/>
                <w:color w:val="auto"/>
              </w:rPr>
            </w:pPr>
          </w:p>
        </w:tc>
        <w:tc>
          <w:tcPr>
            <w:tcW w:w="6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600" w:type="dxa"/>
            <w:vAlign w:val="bottom"/>
            <w:tcBorders>
              <w:bottom w:val="single" w:sz="8" w:color="0E2A35"/>
            </w:tcBorders>
          </w:tcPr>
          <w:p>
            <w:pPr>
              <w:spacing w:after="0"/>
              <w:rPr>
                <w:sz w:val="10"/>
                <w:szCs w:val="10"/>
                <w:color w:val="auto"/>
              </w:rPr>
            </w:pPr>
          </w:p>
        </w:tc>
        <w:tc>
          <w:tcPr>
            <w:tcW w:w="30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tcPr>
          <w:p>
            <w:pPr>
              <w:ind w:left="60"/>
              <w:spacing w:after="0" w:line="124" w:lineRule="exact"/>
              <w:rPr>
                <w:sz w:val="20"/>
                <w:szCs w:val="20"/>
                <w:color w:val="auto"/>
              </w:rPr>
            </w:pPr>
            <w:r>
              <w:rPr>
                <w:rFonts w:ascii="Arial" w:cs="Arial" w:eastAsia="Arial" w:hAnsi="Arial"/>
                <w:sz w:val="13"/>
                <w:szCs w:val="13"/>
                <w:color w:val="0E2A35"/>
              </w:rPr>
              <w:t>President, Finance,</w:t>
            </w: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E2A35"/>
                <w:w w:val="96"/>
              </w:rPr>
              <w:t>2021</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2A35"/>
                <w:w w:val="97"/>
              </w:rPr>
              <w:t>525,000​</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0E2A35"/>
              </w:rPr>
              <w:t>767,819</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0E2A35"/>
              </w:rPr>
              <w:t>98,433</w:t>
            </w:r>
          </w:p>
        </w:tc>
        <w:tc>
          <w:tcPr>
            <w:tcW w:w="3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0E2A35"/>
              </w:rPr>
              <w:t>668,535​</w:t>
            </w:r>
          </w:p>
        </w:tc>
        <w:tc>
          <w:tcPr>
            <w:tcW w:w="300" w:type="dxa"/>
            <w:vAlign w:val="bottom"/>
          </w:tcPr>
          <w:p>
            <w:pPr>
              <w:spacing w:after="0"/>
              <w:rPr>
                <w:sz w:val="10"/>
                <w:szCs w:val="10"/>
                <w:color w:val="auto"/>
              </w:rPr>
            </w:pPr>
          </w:p>
        </w:tc>
        <w:tc>
          <w:tcPr>
            <w:tcW w:w="112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78"/>
              <w:spacing w:after="0"/>
              <w:rPr>
                <w:sz w:val="20"/>
                <w:szCs w:val="20"/>
                <w:color w:val="auto"/>
              </w:rPr>
            </w:pPr>
            <w:r>
              <w:rPr>
                <w:rFonts w:ascii="Arial" w:cs="Arial" w:eastAsia="Arial" w:hAnsi="Arial"/>
                <w:sz w:val="13"/>
                <w:szCs w:val="13"/>
                <w:color w:val="0E2A35"/>
              </w:rPr>
              <w:t>45,914​</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E2A35"/>
              </w:rPr>
              <w:t>2,105,701​</w:t>
            </w:r>
          </w:p>
        </w:tc>
        <w:tc>
          <w:tcPr>
            <w:tcW w:w="0" w:type="dxa"/>
            <w:vAlign w:val="bottom"/>
          </w:tcPr>
          <w:p>
            <w:pPr>
              <w:spacing w:after="0"/>
              <w:rPr>
                <w:sz w:val="1"/>
                <w:szCs w:val="1"/>
                <w:color w:val="auto"/>
              </w:rPr>
            </w:pPr>
          </w:p>
        </w:tc>
      </w:tr>
      <w:tr>
        <w:trPr>
          <w:trHeight w:val="135"/>
        </w:trPr>
        <w:tc>
          <w:tcPr>
            <w:tcW w:w="1400" w:type="dxa"/>
            <w:vAlign w:val="bottom"/>
          </w:tcPr>
          <w:p>
            <w:pPr>
              <w:ind w:left="60"/>
              <w:spacing w:after="0" w:line="135" w:lineRule="exact"/>
              <w:rPr>
                <w:sz w:val="20"/>
                <w:szCs w:val="20"/>
                <w:color w:val="auto"/>
              </w:rPr>
            </w:pPr>
            <w:r>
              <w:rPr>
                <w:rFonts w:ascii="Arial" w:cs="Arial" w:eastAsia="Arial" w:hAnsi="Arial"/>
                <w:sz w:val="13"/>
                <w:szCs w:val="13"/>
                <w:color w:val="0E2A35"/>
              </w:rPr>
              <w:t>IT and Strategic</w:t>
            </w:r>
          </w:p>
        </w:tc>
        <w:tc>
          <w:tcPr>
            <w:tcW w:w="5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00" w:type="dxa"/>
            <w:vAlign w:val="bottom"/>
            <w:vMerge w:val="restart"/>
          </w:tcPr>
          <w:p>
            <w:pPr>
              <w:ind w:left="60"/>
              <w:spacing w:after="0"/>
              <w:rPr>
                <w:sz w:val="20"/>
                <w:szCs w:val="20"/>
                <w:color w:val="auto"/>
              </w:rPr>
            </w:pPr>
            <w:r>
              <w:rPr>
                <w:rFonts w:ascii="Arial" w:cs="Arial" w:eastAsia="Arial" w:hAnsi="Arial"/>
                <w:sz w:val="13"/>
                <w:szCs w:val="13"/>
                <w:color w:val="0E2A35"/>
              </w:rPr>
              <w:t>Planning</w:t>
            </w:r>
          </w:p>
        </w:tc>
        <w:tc>
          <w:tcPr>
            <w:tcW w:w="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64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c>
          <w:tcPr>
            <w:tcW w:w="780" w:type="dxa"/>
            <w:vAlign w:val="bottom"/>
            <w:tcBorders>
              <w:bottom w:val="single" w:sz="8" w:color="0E2A35"/>
            </w:tcBorders>
          </w:tcPr>
          <w:p>
            <w:pPr>
              <w:spacing w:after="0"/>
              <w:rPr>
                <w:sz w:val="7"/>
                <w:szCs w:val="7"/>
                <w:color w:val="auto"/>
              </w:rPr>
            </w:pPr>
          </w:p>
        </w:tc>
        <w:tc>
          <w:tcPr>
            <w:tcW w:w="34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400" w:type="dxa"/>
            <w:vAlign w:val="bottom"/>
            <w:vMerge w:val="continue"/>
          </w:tcPr>
          <w:p>
            <w:pPr>
              <w:spacing w:after="0"/>
              <w:rPr>
                <w:sz w:val="5"/>
                <w:szCs w:val="5"/>
                <w:color w:val="auto"/>
              </w:rPr>
            </w:pP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E2A35"/>
                <w:w w:val="96"/>
              </w:rPr>
              <w:t>2020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2A35"/>
                <w:w w:val="97"/>
              </w:rPr>
              <w:t>469,267</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0E2A35"/>
              </w:rPr>
              <w:t>46,980</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0E2A35"/>
              </w:rPr>
              <w:t>524,786</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0E2A35"/>
              </w:rPr>
              <w:t>83,647</w:t>
            </w:r>
          </w:p>
        </w:tc>
        <w:tc>
          <w:tcPr>
            <w:tcW w:w="34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0E2A35"/>
              </w:rPr>
              <w:t>216,106</w:t>
            </w:r>
          </w:p>
        </w:tc>
        <w:tc>
          <w:tcPr>
            <w:tcW w:w="300" w:type="dxa"/>
            <w:vAlign w:val="bottom"/>
          </w:tcPr>
          <w:p>
            <w:pPr>
              <w:spacing w:after="0"/>
              <w:rPr>
                <w:sz w:val="5"/>
                <w:szCs w:val="5"/>
                <w:color w:val="auto"/>
              </w:rPr>
            </w:pPr>
          </w:p>
        </w:tc>
        <w:tc>
          <w:tcPr>
            <w:tcW w:w="112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78"/>
              <w:spacing w:after="0"/>
              <w:rPr>
                <w:sz w:val="20"/>
                <w:szCs w:val="20"/>
                <w:color w:val="auto"/>
              </w:rPr>
            </w:pPr>
            <w:r>
              <w:rPr>
                <w:rFonts w:ascii="Arial" w:cs="Arial" w:eastAsia="Arial" w:hAnsi="Arial"/>
                <w:sz w:val="13"/>
                <w:szCs w:val="13"/>
                <w:color w:val="0E2A35"/>
              </w:rPr>
              <w:t>34,506</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E2A35"/>
              </w:rPr>
              <w:t>1,375,292</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40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00" w:type="dxa"/>
            <w:vAlign w:val="bottom"/>
          </w:tcPr>
          <w:p>
            <w:pPr>
              <w:ind w:left="60"/>
              <w:spacing w:after="0"/>
              <w:rPr>
                <w:sz w:val="20"/>
                <w:szCs w:val="20"/>
                <w:color w:val="auto"/>
              </w:rPr>
            </w:pPr>
            <w:r>
              <w:rPr>
                <w:rFonts w:ascii="Arial" w:cs="Arial" w:eastAsia="Arial" w:hAnsi="Arial"/>
                <w:sz w:val="13"/>
                <w:szCs w:val="13"/>
                <w:color w:val="0E2A35"/>
              </w:rPr>
              <w:t>Stacy L. Bogart,</w:t>
            </w: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2022</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490,000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611,296</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99,212</w:t>
            </w:r>
          </w:p>
        </w:tc>
        <w:tc>
          <w:tcPr>
            <w:tcW w:w="340" w:type="dxa"/>
            <w:vAlign w:val="bottom"/>
          </w:tcPr>
          <w:p>
            <w:pPr>
              <w:ind w:left="320"/>
              <w:spacing w:after="0"/>
              <w:rPr>
                <w:sz w:val="20"/>
                <w:szCs w:val="20"/>
                <w:color w:val="auto"/>
              </w:rPr>
            </w:pPr>
            <w:r>
              <w:rPr>
                <w:rFonts w:ascii="Arial" w:cs="Arial" w:eastAsia="Arial" w:hAnsi="Arial"/>
                <w:sz w:val="1"/>
                <w:szCs w:val="1"/>
                <w:color w:val="0E2A35"/>
                <w:w w:val="4294942296"/>
              </w:rPr>
              <w:t>​</w:t>
            </w:r>
          </w:p>
        </w:tc>
        <w:tc>
          <w:tcPr>
            <w:tcW w:w="600" w:type="dxa"/>
            <w:vAlign w:val="bottom"/>
          </w:tcPr>
          <w:p>
            <w:pPr>
              <w:jc w:val="right"/>
              <w:spacing w:after="0"/>
              <w:rPr>
                <w:sz w:val="20"/>
                <w:szCs w:val="20"/>
                <w:color w:val="auto"/>
              </w:rPr>
            </w:pPr>
            <w:r>
              <w:rPr>
                <w:rFonts w:ascii="Arial" w:cs="Arial" w:eastAsia="Arial" w:hAnsi="Arial"/>
                <w:sz w:val="13"/>
                <w:szCs w:val="13"/>
                <w:color w:val="0E2A35"/>
              </w:rPr>
              <w:t>470,302</w:t>
            </w:r>
          </w:p>
        </w:tc>
        <w:tc>
          <w:tcPr>
            <w:tcW w:w="300" w:type="dxa"/>
            <w:vAlign w:val="bottom"/>
          </w:tcPr>
          <w:p>
            <w:pPr>
              <w:spacing w:after="0"/>
              <w:rPr>
                <w:sz w:val="19"/>
                <w:szCs w:val="19"/>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40,990​</w:t>
            </w:r>
          </w:p>
        </w:tc>
        <w:tc>
          <w:tcPr>
            <w:tcW w:w="760" w:type="dxa"/>
            <w:vAlign w:val="bottom"/>
          </w:tcPr>
          <w:p>
            <w:pPr>
              <w:jc w:val="right"/>
              <w:spacing w:after="0"/>
              <w:rPr>
                <w:sz w:val="20"/>
                <w:szCs w:val="20"/>
                <w:color w:val="auto"/>
              </w:rPr>
            </w:pPr>
            <w:r>
              <w:rPr>
                <w:rFonts w:ascii="Arial" w:cs="Arial" w:eastAsia="Arial" w:hAnsi="Arial"/>
                <w:sz w:val="13"/>
                <w:szCs w:val="13"/>
                <w:color w:val="0E2A35"/>
              </w:rPr>
              <w:t>1,711,800</w:t>
            </w:r>
          </w:p>
        </w:tc>
        <w:tc>
          <w:tcPr>
            <w:tcW w:w="0" w:type="dxa"/>
            <w:vAlign w:val="bottom"/>
          </w:tcPr>
          <w:p>
            <w:pPr>
              <w:spacing w:after="0"/>
              <w:rPr>
                <w:sz w:val="1"/>
                <w:szCs w:val="1"/>
                <w:color w:val="auto"/>
              </w:rPr>
            </w:pPr>
          </w:p>
        </w:tc>
      </w:tr>
      <w:tr>
        <w:trPr>
          <w:trHeight w:val="126"/>
        </w:trPr>
        <w:tc>
          <w:tcPr>
            <w:tcW w:w="1400" w:type="dxa"/>
            <w:vAlign w:val="bottom"/>
          </w:tcPr>
          <w:p>
            <w:pPr>
              <w:ind w:left="60"/>
              <w:spacing w:after="0" w:line="106" w:lineRule="exact"/>
              <w:rPr>
                <w:sz w:val="20"/>
                <w:szCs w:val="20"/>
                <w:color w:val="auto"/>
              </w:rPr>
            </w:pPr>
            <w:r>
              <w:rPr>
                <w:rFonts w:ascii="Arial" w:cs="Arial" w:eastAsia="Arial" w:hAnsi="Arial"/>
                <w:sz w:val="12"/>
                <w:szCs w:val="12"/>
                <w:color w:val="0E2A35"/>
              </w:rPr>
              <w:t>Senior Vice President,</w:t>
            </w:r>
          </w:p>
        </w:tc>
        <w:tc>
          <w:tcPr>
            <w:tcW w:w="520" w:type="dxa"/>
            <w:vAlign w:val="bottom"/>
            <w:tcBorders>
              <w:bottom w:val="single" w:sz="8" w:color="0E2A35"/>
            </w:tcBorders>
          </w:tcPr>
          <w:p>
            <w:pPr>
              <w:spacing w:after="0"/>
              <w:rPr>
                <w:sz w:val="10"/>
                <w:szCs w:val="10"/>
                <w:color w:val="auto"/>
              </w:rPr>
            </w:pPr>
          </w:p>
        </w:tc>
        <w:tc>
          <w:tcPr>
            <w:tcW w:w="820" w:type="dxa"/>
            <w:vAlign w:val="bottom"/>
            <w:tcBorders>
              <w:bottom w:val="single" w:sz="8" w:color="0E2A35"/>
            </w:tcBorders>
          </w:tcPr>
          <w:p>
            <w:pPr>
              <w:spacing w:after="0"/>
              <w:rPr>
                <w:sz w:val="10"/>
                <w:szCs w:val="10"/>
                <w:color w:val="auto"/>
              </w:rPr>
            </w:pPr>
          </w:p>
        </w:tc>
        <w:tc>
          <w:tcPr>
            <w:tcW w:w="6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600" w:type="dxa"/>
            <w:vAlign w:val="bottom"/>
            <w:tcBorders>
              <w:bottom w:val="single" w:sz="8" w:color="0E2A35"/>
            </w:tcBorders>
          </w:tcPr>
          <w:p>
            <w:pPr>
              <w:spacing w:after="0"/>
              <w:rPr>
                <w:sz w:val="10"/>
                <w:szCs w:val="10"/>
                <w:color w:val="auto"/>
              </w:rPr>
            </w:pPr>
          </w:p>
        </w:tc>
        <w:tc>
          <w:tcPr>
            <w:tcW w:w="30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tcPr>
          <w:p>
            <w:pPr>
              <w:ind w:left="60"/>
              <w:spacing w:after="0" w:line="124" w:lineRule="exact"/>
              <w:rPr>
                <w:sz w:val="20"/>
                <w:szCs w:val="20"/>
                <w:color w:val="auto"/>
              </w:rPr>
            </w:pPr>
            <w:r>
              <w:rPr>
                <w:rFonts w:ascii="Arial" w:cs="Arial" w:eastAsia="Arial" w:hAnsi="Arial"/>
                <w:sz w:val="13"/>
                <w:szCs w:val="13"/>
                <w:color w:val="0E2A35"/>
              </w:rPr>
              <w:t>General Counsel,</w:t>
            </w: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E2A35"/>
                <w:w w:val="96"/>
              </w:rPr>
              <w:t>2021</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2A35"/>
                <w:w w:val="97"/>
              </w:rPr>
              <w:t>460,000</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0E2A35"/>
              </w:rPr>
              <w:t>590,072</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0E2A35"/>
              </w:rPr>
              <w:t>75,907</w:t>
            </w:r>
          </w:p>
        </w:tc>
        <w:tc>
          <w:tcPr>
            <w:tcW w:w="3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0E2A35"/>
              </w:rPr>
              <w:t>483,782</w:t>
            </w:r>
          </w:p>
        </w:tc>
        <w:tc>
          <w:tcPr>
            <w:tcW w:w="300" w:type="dxa"/>
            <w:vAlign w:val="bottom"/>
          </w:tcPr>
          <w:p>
            <w:pPr>
              <w:spacing w:after="0"/>
              <w:rPr>
                <w:sz w:val="10"/>
                <w:szCs w:val="10"/>
                <w:color w:val="auto"/>
              </w:rPr>
            </w:pPr>
          </w:p>
        </w:tc>
        <w:tc>
          <w:tcPr>
            <w:tcW w:w="112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78"/>
              <w:spacing w:after="0"/>
              <w:rPr>
                <w:sz w:val="20"/>
                <w:szCs w:val="20"/>
                <w:color w:val="auto"/>
              </w:rPr>
            </w:pPr>
            <w:r>
              <w:rPr>
                <w:rFonts w:ascii="Arial" w:cs="Arial" w:eastAsia="Arial" w:hAnsi="Arial"/>
                <w:sz w:val="13"/>
                <w:szCs w:val="13"/>
                <w:color w:val="0E2A35"/>
              </w:rPr>
              <w:t>40,601​</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E2A35"/>
              </w:rPr>
              <w:t>1,650,362</w:t>
            </w:r>
          </w:p>
        </w:tc>
        <w:tc>
          <w:tcPr>
            <w:tcW w:w="0" w:type="dxa"/>
            <w:vAlign w:val="bottom"/>
          </w:tcPr>
          <w:p>
            <w:pPr>
              <w:spacing w:after="0"/>
              <w:rPr>
                <w:sz w:val="1"/>
                <w:szCs w:val="1"/>
                <w:color w:val="auto"/>
              </w:rPr>
            </w:pPr>
          </w:p>
        </w:tc>
      </w:tr>
      <w:tr>
        <w:trPr>
          <w:trHeight w:val="135"/>
        </w:trPr>
        <w:tc>
          <w:tcPr>
            <w:tcW w:w="1400" w:type="dxa"/>
            <w:vAlign w:val="bottom"/>
          </w:tcPr>
          <w:p>
            <w:pPr>
              <w:ind w:left="60"/>
              <w:spacing w:after="0" w:line="135" w:lineRule="exact"/>
              <w:rPr>
                <w:sz w:val="20"/>
                <w:szCs w:val="20"/>
                <w:color w:val="auto"/>
              </w:rPr>
            </w:pPr>
            <w:r>
              <w:rPr>
                <w:rFonts w:ascii="Arial" w:cs="Arial" w:eastAsia="Arial" w:hAnsi="Arial"/>
                <w:sz w:val="13"/>
                <w:szCs w:val="13"/>
                <w:color w:val="0E2A35"/>
              </w:rPr>
              <w:t>Secretary and</w:t>
            </w:r>
          </w:p>
        </w:tc>
        <w:tc>
          <w:tcPr>
            <w:tcW w:w="5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00" w:type="dxa"/>
            <w:vAlign w:val="bottom"/>
            <w:vMerge w:val="restart"/>
          </w:tcPr>
          <w:p>
            <w:pPr>
              <w:ind w:left="60"/>
              <w:spacing w:after="0" w:line="135" w:lineRule="exact"/>
              <w:rPr>
                <w:sz w:val="20"/>
                <w:szCs w:val="20"/>
                <w:color w:val="auto"/>
              </w:rPr>
            </w:pPr>
            <w:r>
              <w:rPr>
                <w:rFonts w:ascii="Arial" w:cs="Arial" w:eastAsia="Arial" w:hAnsi="Arial"/>
                <w:sz w:val="13"/>
                <w:szCs w:val="13"/>
                <w:color w:val="0E2A35"/>
              </w:rPr>
              <w:t>Corporate</w:t>
            </w:r>
          </w:p>
        </w:tc>
        <w:tc>
          <w:tcPr>
            <w:tcW w:w="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64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c>
          <w:tcPr>
            <w:tcW w:w="780" w:type="dxa"/>
            <w:vAlign w:val="bottom"/>
            <w:tcBorders>
              <w:bottom w:val="single" w:sz="8" w:color="0E2A35"/>
            </w:tcBorders>
          </w:tcPr>
          <w:p>
            <w:pPr>
              <w:spacing w:after="0"/>
              <w:rPr>
                <w:sz w:val="7"/>
                <w:szCs w:val="7"/>
                <w:color w:val="auto"/>
              </w:rPr>
            </w:pPr>
          </w:p>
        </w:tc>
        <w:tc>
          <w:tcPr>
            <w:tcW w:w="34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4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00" w:type="dxa"/>
            <w:vAlign w:val="bottom"/>
          </w:tcPr>
          <w:p>
            <w:pPr>
              <w:ind w:left="60"/>
              <w:spacing w:after="0"/>
              <w:rPr>
                <w:sz w:val="20"/>
                <w:szCs w:val="20"/>
                <w:color w:val="auto"/>
              </w:rPr>
            </w:pPr>
            <w:r>
              <w:rPr>
                <w:rFonts w:ascii="Arial" w:cs="Arial" w:eastAsia="Arial" w:hAnsi="Arial"/>
                <w:sz w:val="13"/>
                <w:szCs w:val="13"/>
                <w:color w:val="0E2A35"/>
              </w:rPr>
              <w:t>Responsibility</w:t>
            </w: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E2A35"/>
                <w:w w:val="96"/>
              </w:rPr>
              <w:t>2020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2A35"/>
                <w:w w:val="97"/>
              </w:rPr>
              <w:t>440,500</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0E2A35"/>
              </w:rPr>
              <w:t>437,217</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0E2A35"/>
              </w:rPr>
              <w:t>70,283</w:t>
            </w:r>
          </w:p>
        </w:tc>
        <w:tc>
          <w:tcPr>
            <w:tcW w:w="3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0E2A35"/>
              </w:rPr>
              <w:t>163,500</w:t>
            </w:r>
          </w:p>
        </w:tc>
        <w:tc>
          <w:tcPr>
            <w:tcW w:w="300" w:type="dxa"/>
            <w:vAlign w:val="bottom"/>
          </w:tcPr>
          <w:p>
            <w:pPr>
              <w:spacing w:after="0"/>
              <w:rPr>
                <w:sz w:val="14"/>
                <w:szCs w:val="14"/>
                <w:color w:val="auto"/>
              </w:rPr>
            </w:pPr>
          </w:p>
        </w:tc>
        <w:tc>
          <w:tcPr>
            <w:tcW w:w="112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78"/>
              <w:spacing w:after="0"/>
              <w:rPr>
                <w:sz w:val="20"/>
                <w:szCs w:val="20"/>
                <w:color w:val="auto"/>
              </w:rPr>
            </w:pPr>
            <w:r>
              <w:rPr>
                <w:rFonts w:ascii="Arial" w:cs="Arial" w:eastAsia="Arial" w:hAnsi="Arial"/>
                <w:sz w:val="13"/>
                <w:szCs w:val="13"/>
                <w:color w:val="0E2A35"/>
              </w:rPr>
              <w:t>28,183​</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E2A35"/>
              </w:rPr>
              <w:t>1,139,683</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0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00" w:type="dxa"/>
            <w:vAlign w:val="bottom"/>
          </w:tcPr>
          <w:p>
            <w:pPr>
              <w:ind w:left="60"/>
              <w:spacing w:after="0" w:line="219" w:lineRule="exact"/>
              <w:rPr>
                <w:sz w:val="20"/>
                <w:szCs w:val="20"/>
                <w:color w:val="auto"/>
              </w:rPr>
            </w:pPr>
            <w:r>
              <w:rPr>
                <w:rFonts w:ascii="Arial" w:cs="Arial" w:eastAsia="Arial" w:hAnsi="Arial"/>
                <w:sz w:val="13"/>
                <w:szCs w:val="13"/>
                <w:color w:val="0E2A35"/>
              </w:rPr>
              <w:t>Huw S. Bower</w:t>
            </w:r>
            <w:r>
              <w:rPr>
                <w:rFonts w:ascii="Arial" w:cs="Arial" w:eastAsia="Arial" w:hAnsi="Arial"/>
                <w:sz w:val="20"/>
                <w:szCs w:val="20"/>
                <w:color w:val="0E2A35"/>
                <w:vertAlign w:val="superscript"/>
              </w:rPr>
              <w:t>(7)</w:t>
            </w: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2022</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566,400​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866,639</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152,918</w:t>
            </w:r>
          </w:p>
        </w:tc>
        <w:tc>
          <w:tcPr>
            <w:tcW w:w="340" w:type="dxa"/>
            <w:vAlign w:val="bottom"/>
          </w:tcPr>
          <w:p>
            <w:pPr>
              <w:ind w:left="320"/>
              <w:spacing w:after="0"/>
              <w:rPr>
                <w:sz w:val="20"/>
                <w:szCs w:val="20"/>
                <w:color w:val="auto"/>
              </w:rPr>
            </w:pPr>
            <w:r>
              <w:rPr>
                <w:rFonts w:ascii="Arial" w:cs="Arial" w:eastAsia="Arial" w:hAnsi="Arial"/>
                <w:sz w:val="1"/>
                <w:szCs w:val="1"/>
                <w:color w:val="0E2A35"/>
                <w:w w:val="4294942296"/>
              </w:rPr>
              <w:t>​</w:t>
            </w:r>
          </w:p>
        </w:tc>
        <w:tc>
          <w:tcPr>
            <w:tcW w:w="600" w:type="dxa"/>
            <w:vAlign w:val="bottom"/>
          </w:tcPr>
          <w:p>
            <w:pPr>
              <w:jc w:val="right"/>
              <w:spacing w:after="0"/>
              <w:rPr>
                <w:sz w:val="20"/>
                <w:szCs w:val="20"/>
                <w:color w:val="auto"/>
              </w:rPr>
            </w:pPr>
            <w:r>
              <w:rPr>
                <w:rFonts w:ascii="Arial" w:cs="Arial" w:eastAsia="Arial" w:hAnsi="Arial"/>
                <w:sz w:val="13"/>
                <w:szCs w:val="13"/>
                <w:color w:val="0E2A35"/>
              </w:rPr>
              <w:t>460,016​</w:t>
            </w:r>
          </w:p>
        </w:tc>
        <w:tc>
          <w:tcPr>
            <w:tcW w:w="300" w:type="dxa"/>
            <w:vAlign w:val="bottom"/>
          </w:tcPr>
          <w:p>
            <w:pPr>
              <w:spacing w:after="0"/>
              <w:rPr>
                <w:sz w:val="19"/>
                <w:szCs w:val="19"/>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39,091​</w:t>
            </w:r>
          </w:p>
        </w:tc>
        <w:tc>
          <w:tcPr>
            <w:tcW w:w="760" w:type="dxa"/>
            <w:vAlign w:val="bottom"/>
          </w:tcPr>
          <w:p>
            <w:pPr>
              <w:jc w:val="right"/>
              <w:spacing w:after="0"/>
              <w:rPr>
                <w:sz w:val="20"/>
                <w:szCs w:val="20"/>
                <w:color w:val="auto"/>
              </w:rPr>
            </w:pPr>
            <w:r>
              <w:rPr>
                <w:rFonts w:ascii="Arial" w:cs="Arial" w:eastAsia="Arial" w:hAnsi="Arial"/>
                <w:sz w:val="13"/>
                <w:szCs w:val="13"/>
                <w:color w:val="0E2A35"/>
              </w:rPr>
              <w:t>2,085,064</w:t>
            </w:r>
          </w:p>
        </w:tc>
        <w:tc>
          <w:tcPr>
            <w:tcW w:w="0" w:type="dxa"/>
            <w:vAlign w:val="bottom"/>
          </w:tcPr>
          <w:p>
            <w:pPr>
              <w:spacing w:after="0"/>
              <w:rPr>
                <w:sz w:val="1"/>
                <w:szCs w:val="1"/>
                <w:color w:val="auto"/>
              </w:rPr>
            </w:pPr>
          </w:p>
        </w:tc>
      </w:tr>
      <w:tr>
        <w:trPr>
          <w:trHeight w:val="126"/>
        </w:trPr>
        <w:tc>
          <w:tcPr>
            <w:tcW w:w="1400" w:type="dxa"/>
            <w:vAlign w:val="bottom"/>
          </w:tcPr>
          <w:p>
            <w:pPr>
              <w:ind w:left="60"/>
              <w:spacing w:after="0" w:line="106" w:lineRule="exact"/>
              <w:rPr>
                <w:sz w:val="20"/>
                <w:szCs w:val="20"/>
                <w:color w:val="auto"/>
              </w:rPr>
            </w:pPr>
            <w:r>
              <w:rPr>
                <w:rFonts w:ascii="Arial" w:cs="Arial" w:eastAsia="Arial" w:hAnsi="Arial"/>
                <w:sz w:val="12"/>
                <w:szCs w:val="12"/>
                <w:color w:val="0E2A35"/>
              </w:rPr>
              <w:t>President,</w:t>
            </w:r>
          </w:p>
        </w:tc>
        <w:tc>
          <w:tcPr>
            <w:tcW w:w="520" w:type="dxa"/>
            <w:vAlign w:val="bottom"/>
            <w:tcBorders>
              <w:bottom w:val="single" w:sz="8" w:color="0E2A35"/>
            </w:tcBorders>
          </w:tcPr>
          <w:p>
            <w:pPr>
              <w:spacing w:after="0"/>
              <w:rPr>
                <w:sz w:val="10"/>
                <w:szCs w:val="10"/>
                <w:color w:val="auto"/>
              </w:rPr>
            </w:pPr>
          </w:p>
        </w:tc>
        <w:tc>
          <w:tcPr>
            <w:tcW w:w="820" w:type="dxa"/>
            <w:vAlign w:val="bottom"/>
            <w:tcBorders>
              <w:bottom w:val="single" w:sz="8" w:color="0E2A35"/>
            </w:tcBorders>
          </w:tcPr>
          <w:p>
            <w:pPr>
              <w:spacing w:after="0"/>
              <w:rPr>
                <w:sz w:val="10"/>
                <w:szCs w:val="10"/>
                <w:color w:val="auto"/>
              </w:rPr>
            </w:pPr>
          </w:p>
        </w:tc>
        <w:tc>
          <w:tcPr>
            <w:tcW w:w="6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600" w:type="dxa"/>
            <w:vAlign w:val="bottom"/>
            <w:tcBorders>
              <w:bottom w:val="single" w:sz="8" w:color="0E2A35"/>
            </w:tcBorders>
          </w:tcPr>
          <w:p>
            <w:pPr>
              <w:spacing w:after="0"/>
              <w:rPr>
                <w:sz w:val="10"/>
                <w:szCs w:val="10"/>
                <w:color w:val="auto"/>
              </w:rPr>
            </w:pPr>
          </w:p>
        </w:tc>
        <w:tc>
          <w:tcPr>
            <w:tcW w:w="30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00" w:type="dxa"/>
            <w:vAlign w:val="bottom"/>
          </w:tcPr>
          <w:p>
            <w:pPr>
              <w:ind w:left="60"/>
              <w:spacing w:after="0"/>
              <w:rPr>
                <w:sz w:val="20"/>
                <w:szCs w:val="20"/>
                <w:color w:val="auto"/>
              </w:rPr>
            </w:pPr>
            <w:r>
              <w:rPr>
                <w:rFonts w:ascii="Arial" w:cs="Arial" w:eastAsia="Arial" w:hAnsi="Arial"/>
                <w:sz w:val="13"/>
                <w:szCs w:val="13"/>
                <w:color w:val="0E2A35"/>
              </w:rPr>
              <w:t>Winnebago Outdoors​</w:t>
            </w: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E2A35"/>
                <w:w w:val="96"/>
              </w:rPr>
              <w:t>2021</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2A35"/>
                <w:w w:val="97"/>
              </w:rPr>
              <w:t>486,539​</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0E2A35"/>
              </w:rPr>
              <w:t>275,000</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0E2A35"/>
              </w:rPr>
              <w:t>1,991,511</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0E2A35"/>
              </w:rPr>
              <w:t>148,499</w:t>
            </w:r>
          </w:p>
        </w:tc>
        <w:tc>
          <w:tcPr>
            <w:tcW w:w="3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0E2A35"/>
              </w:rPr>
              <w:t>645,254​</w:t>
            </w:r>
          </w:p>
        </w:tc>
        <w:tc>
          <w:tcPr>
            <w:tcW w:w="300" w:type="dxa"/>
            <w:vAlign w:val="bottom"/>
          </w:tcPr>
          <w:p>
            <w:pPr>
              <w:spacing w:after="0"/>
              <w:rPr>
                <w:sz w:val="13"/>
                <w:szCs w:val="13"/>
                <w:color w:val="auto"/>
              </w:rPr>
            </w:pPr>
          </w:p>
        </w:tc>
        <w:tc>
          <w:tcPr>
            <w:tcW w:w="112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78"/>
              <w:spacing w:after="0"/>
              <w:rPr>
                <w:sz w:val="20"/>
                <w:szCs w:val="20"/>
                <w:color w:val="auto"/>
              </w:rPr>
            </w:pPr>
            <w:r>
              <w:rPr>
                <w:rFonts w:ascii="Arial" w:cs="Arial" w:eastAsia="Arial" w:hAnsi="Arial"/>
                <w:sz w:val="13"/>
                <w:szCs w:val="13"/>
                <w:color w:val="0E2A35"/>
              </w:rPr>
              <w:t>36,947</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E2A35"/>
              </w:rPr>
              <w:t>3,583,750​</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400" w:type="dxa"/>
            <w:vAlign w:val="bottom"/>
          </w:tcPr>
          <w:p>
            <w:pPr>
              <w:spacing w:after="0"/>
              <w:rPr>
                <w:sz w:val="21"/>
                <w:szCs w:val="21"/>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2019</w:t>
            </w:r>
          </w:p>
        </w:tc>
        <w:tc>
          <w:tcPr>
            <w:tcW w:w="8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0E2A35"/>
              </w:rPr>
              <w:t>—</w:t>
            </w:r>
          </w:p>
        </w:tc>
        <w:tc>
          <w:tcPr>
            <w:tcW w:w="300" w:type="dxa"/>
            <w:vAlign w:val="bottom"/>
          </w:tcPr>
          <w:p>
            <w:pPr>
              <w:spacing w:after="0"/>
              <w:rPr>
                <w:sz w:val="21"/>
                <w:szCs w:val="21"/>
                <w:color w:val="auto"/>
              </w:rPr>
            </w:pP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w:t>
            </w:r>
          </w:p>
        </w:tc>
        <w:tc>
          <w:tcPr>
            <w:tcW w:w="760" w:type="dxa"/>
            <w:vAlign w:val="bottom"/>
          </w:tcPr>
          <w:p>
            <w:pPr>
              <w:jc w:val="right"/>
              <w:spacing w:after="0"/>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r>
        <w:trPr>
          <w:trHeight w:val="95"/>
        </w:trPr>
        <w:tc>
          <w:tcPr>
            <w:tcW w:w="140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940" w:type="dxa"/>
            <w:vAlign w:val="bottom"/>
            <w:tcBorders>
              <w:bottom w:val="single" w:sz="8" w:color="0E2A35"/>
            </w:tcBorders>
            <w:gridSpan w:val="2"/>
          </w:tcPr>
          <w:p>
            <w:pPr>
              <w:spacing w:after="0"/>
              <w:rPr>
                <w:sz w:val="8"/>
                <w:szCs w:val="8"/>
                <w:color w:val="auto"/>
              </w:rPr>
            </w:pPr>
          </w:p>
        </w:tc>
        <w:tc>
          <w:tcPr>
            <w:tcW w:w="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00" w:type="dxa"/>
            <w:vAlign w:val="bottom"/>
          </w:tcPr>
          <w:p>
            <w:pPr>
              <w:ind w:left="60"/>
              <w:spacing w:after="0" w:line="219" w:lineRule="exact"/>
              <w:rPr>
                <w:sz w:val="20"/>
                <w:szCs w:val="20"/>
                <w:color w:val="auto"/>
              </w:rPr>
            </w:pPr>
            <w:r>
              <w:rPr>
                <w:rFonts w:ascii="Arial" w:cs="Arial" w:eastAsia="Arial" w:hAnsi="Arial"/>
                <w:sz w:val="13"/>
                <w:szCs w:val="13"/>
                <w:color w:val="0E2A35"/>
              </w:rPr>
              <w:t>Donald J. Clark</w:t>
            </w:r>
            <w:r>
              <w:rPr>
                <w:rFonts w:ascii="Arial" w:cs="Arial" w:eastAsia="Arial" w:hAnsi="Arial"/>
                <w:sz w:val="20"/>
                <w:szCs w:val="20"/>
                <w:color w:val="0E2A35"/>
                <w:vertAlign w:val="superscript"/>
              </w:rPr>
              <w:t>(8)</w:t>
            </w: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2022</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400,000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0E2A35"/>
              </w:rPr>
              <w:t>13,057,292​</w:t>
            </w:r>
          </w:p>
        </w:tc>
        <w:tc>
          <w:tcPr>
            <w:tcW w:w="300" w:type="dxa"/>
            <w:vAlign w:val="bottom"/>
          </w:tcPr>
          <w:p>
            <w:pPr>
              <w:spacing w:after="0"/>
              <w:rPr>
                <w:sz w:val="20"/>
                <w:szCs w:val="20"/>
                <w:color w:val="auto"/>
              </w:rPr>
            </w:pPr>
            <w:r>
              <w:rPr>
                <w:rFonts w:ascii="Arial" w:cs="Arial" w:eastAsia="Arial" w:hAnsi="Arial"/>
                <w:sz w:val="10"/>
                <w:szCs w:val="10"/>
                <w:color w:val="0E2A35"/>
              </w:rPr>
              <w:t>(9)</w:t>
            </w: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12,200​</w:t>
            </w:r>
          </w:p>
        </w:tc>
        <w:tc>
          <w:tcPr>
            <w:tcW w:w="760" w:type="dxa"/>
            <w:vAlign w:val="bottom"/>
          </w:tcPr>
          <w:p>
            <w:pPr>
              <w:jc w:val="right"/>
              <w:spacing w:after="0"/>
              <w:rPr>
                <w:sz w:val="20"/>
                <w:szCs w:val="20"/>
                <w:color w:val="auto"/>
              </w:rPr>
            </w:pPr>
            <w:r>
              <w:rPr>
                <w:rFonts w:ascii="Arial" w:cs="Arial" w:eastAsia="Arial" w:hAnsi="Arial"/>
                <w:sz w:val="13"/>
                <w:szCs w:val="13"/>
                <w:color w:val="0E2A35"/>
              </w:rPr>
              <w:t>13,469,492​</w:t>
            </w:r>
          </w:p>
        </w:tc>
        <w:tc>
          <w:tcPr>
            <w:tcW w:w="0" w:type="dxa"/>
            <w:vAlign w:val="bottom"/>
          </w:tcPr>
          <w:p>
            <w:pPr>
              <w:spacing w:after="0"/>
              <w:rPr>
                <w:sz w:val="1"/>
                <w:szCs w:val="1"/>
                <w:color w:val="auto"/>
              </w:rPr>
            </w:pPr>
          </w:p>
        </w:tc>
      </w:tr>
      <w:tr>
        <w:trPr>
          <w:trHeight w:val="126"/>
        </w:trPr>
        <w:tc>
          <w:tcPr>
            <w:tcW w:w="1400" w:type="dxa"/>
            <w:vAlign w:val="bottom"/>
          </w:tcPr>
          <w:p>
            <w:pPr>
              <w:ind w:left="60"/>
              <w:spacing w:after="0" w:line="106" w:lineRule="exact"/>
              <w:rPr>
                <w:sz w:val="20"/>
                <w:szCs w:val="20"/>
                <w:color w:val="auto"/>
              </w:rPr>
            </w:pPr>
            <w:r>
              <w:rPr>
                <w:rFonts w:ascii="Arial" w:cs="Arial" w:eastAsia="Arial" w:hAnsi="Arial"/>
                <w:sz w:val="12"/>
                <w:szCs w:val="12"/>
                <w:color w:val="0E2A35"/>
              </w:rPr>
              <w:t>President,</w:t>
            </w:r>
          </w:p>
        </w:tc>
        <w:tc>
          <w:tcPr>
            <w:tcW w:w="520" w:type="dxa"/>
            <w:vAlign w:val="bottom"/>
            <w:tcBorders>
              <w:bottom w:val="single" w:sz="8" w:color="0E2A35"/>
            </w:tcBorders>
          </w:tcPr>
          <w:p>
            <w:pPr>
              <w:spacing w:after="0"/>
              <w:rPr>
                <w:sz w:val="10"/>
                <w:szCs w:val="10"/>
                <w:color w:val="auto"/>
              </w:rPr>
            </w:pPr>
          </w:p>
        </w:tc>
        <w:tc>
          <w:tcPr>
            <w:tcW w:w="820" w:type="dxa"/>
            <w:vAlign w:val="bottom"/>
            <w:tcBorders>
              <w:bottom w:val="single" w:sz="8" w:color="0E2A35"/>
            </w:tcBorders>
          </w:tcPr>
          <w:p>
            <w:pPr>
              <w:spacing w:after="0"/>
              <w:rPr>
                <w:sz w:val="10"/>
                <w:szCs w:val="10"/>
                <w:color w:val="auto"/>
              </w:rPr>
            </w:pPr>
          </w:p>
        </w:tc>
        <w:tc>
          <w:tcPr>
            <w:tcW w:w="6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600" w:type="dxa"/>
            <w:vAlign w:val="bottom"/>
            <w:tcBorders>
              <w:bottom w:val="single" w:sz="8" w:color="0E2A35"/>
            </w:tcBorders>
          </w:tcPr>
          <w:p>
            <w:pPr>
              <w:spacing w:after="0"/>
              <w:rPr>
                <w:sz w:val="10"/>
                <w:szCs w:val="10"/>
                <w:color w:val="auto"/>
              </w:rPr>
            </w:pPr>
          </w:p>
        </w:tc>
        <w:tc>
          <w:tcPr>
            <w:tcW w:w="30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00" w:type="dxa"/>
            <w:vAlign w:val="bottom"/>
          </w:tcPr>
          <w:p>
            <w:pPr>
              <w:ind w:left="60"/>
              <w:spacing w:after="0"/>
              <w:rPr>
                <w:sz w:val="20"/>
                <w:szCs w:val="20"/>
                <w:color w:val="auto"/>
              </w:rPr>
            </w:pPr>
            <w:r>
              <w:rPr>
                <w:rFonts w:ascii="Arial" w:cs="Arial" w:eastAsia="Arial" w:hAnsi="Arial"/>
                <w:sz w:val="13"/>
                <w:szCs w:val="13"/>
                <w:color w:val="0E2A35"/>
              </w:rPr>
              <w:t>Grand Design​</w:t>
            </w: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E2A35"/>
                <w:w w:val="96"/>
              </w:rPr>
              <w:t>2021</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2A35"/>
                <w:w w:val="97"/>
              </w:rPr>
              <w:t>400,000</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0E2A35"/>
              </w:rPr>
              <w:t>—​</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0E2A35"/>
              </w:rPr>
              <w:t>10,119,386​</w:t>
            </w:r>
          </w:p>
        </w:tc>
        <w:tc>
          <w:tcPr>
            <w:tcW w:w="300" w:type="dxa"/>
            <w:vAlign w:val="bottom"/>
            <w:vMerge w:val="restart"/>
          </w:tcPr>
          <w:p>
            <w:pPr>
              <w:spacing w:after="0"/>
              <w:rPr>
                <w:sz w:val="20"/>
                <w:szCs w:val="20"/>
                <w:color w:val="auto"/>
              </w:rPr>
            </w:pPr>
            <w:r>
              <w:rPr>
                <w:rFonts w:ascii="Arial" w:cs="Arial" w:eastAsia="Arial" w:hAnsi="Arial"/>
                <w:sz w:val="10"/>
                <w:szCs w:val="10"/>
                <w:color w:val="0E2A35"/>
              </w:rPr>
              <w:t>(10)</w:t>
            </w:r>
          </w:p>
        </w:tc>
        <w:tc>
          <w:tcPr>
            <w:tcW w:w="112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78"/>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E2A35"/>
              </w:rPr>
              <w:t>10,519,386​</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gridSpan w:val="2"/>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1400" w:type="dxa"/>
            <w:vAlign w:val="bottom"/>
          </w:tcPr>
          <w:p>
            <w:pPr>
              <w:spacing w:after="0"/>
              <w:rPr>
                <w:sz w:val="24"/>
                <w:szCs w:val="24"/>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E2A35"/>
                <w:w w:val="96"/>
              </w:rPr>
              <w:t>2020</w:t>
            </w:r>
          </w:p>
        </w:tc>
        <w:tc>
          <w:tcPr>
            <w:tcW w:w="820" w:type="dxa"/>
            <w:vAlign w:val="bottom"/>
          </w:tcPr>
          <w:p>
            <w:pPr>
              <w:jc w:val="center"/>
              <w:spacing w:after="0"/>
              <w:rPr>
                <w:sz w:val="20"/>
                <w:szCs w:val="20"/>
                <w:color w:val="auto"/>
              </w:rPr>
            </w:pPr>
            <w:r>
              <w:rPr>
                <w:rFonts w:ascii="Arial" w:cs="Arial" w:eastAsia="Arial" w:hAnsi="Arial"/>
                <w:sz w:val="13"/>
                <w:szCs w:val="13"/>
                <w:color w:val="0E2A35"/>
                <w:w w:val="97"/>
              </w:rPr>
              <w:t>400,000</w:t>
            </w:r>
          </w:p>
        </w:tc>
        <w:tc>
          <w:tcPr>
            <w:tcW w:w="64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24"/>
                <w:szCs w:val="2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3"/>
                <w:szCs w:val="13"/>
                <w:color w:val="0E2A35"/>
                <w:w w:val="93"/>
              </w:rPr>
              <w:t>5,515,397</w:t>
            </w:r>
            <w:r>
              <w:rPr>
                <w:rFonts w:ascii="Arial" w:cs="Arial" w:eastAsia="Arial" w:hAnsi="Arial"/>
                <w:sz w:val="20"/>
                <w:szCs w:val="20"/>
                <w:color w:val="0E2A35"/>
                <w:w w:val="93"/>
                <w:vertAlign w:val="superscript"/>
              </w:rPr>
              <w:t>(11)</w:t>
            </w:r>
          </w:p>
        </w:tc>
        <w:tc>
          <w:tcPr>
            <w:tcW w:w="112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78"/>
              <w:spacing w:after="0"/>
              <w:rPr>
                <w:sz w:val="20"/>
                <w:szCs w:val="20"/>
                <w:color w:val="auto"/>
              </w:rPr>
            </w:pPr>
            <w:r>
              <w:rPr>
                <w:rFonts w:ascii="Arial" w:cs="Arial" w:eastAsia="Arial" w:hAnsi="Arial"/>
                <w:sz w:val="13"/>
                <w:szCs w:val="13"/>
                <w:color w:val="0E2A35"/>
              </w:rPr>
              <w:t>—</w:t>
            </w:r>
          </w:p>
        </w:tc>
        <w:tc>
          <w:tcPr>
            <w:tcW w:w="760" w:type="dxa"/>
            <w:vAlign w:val="bottom"/>
          </w:tcPr>
          <w:p>
            <w:pPr>
              <w:jc w:val="right"/>
              <w:spacing w:after="0"/>
              <w:rPr>
                <w:sz w:val="20"/>
                <w:szCs w:val="20"/>
                <w:color w:val="auto"/>
              </w:rPr>
            </w:pPr>
            <w:r>
              <w:rPr>
                <w:rFonts w:ascii="Arial" w:cs="Arial" w:eastAsia="Arial" w:hAnsi="Arial"/>
                <w:sz w:val="13"/>
                <w:szCs w:val="13"/>
                <w:color w:val="0E2A35"/>
              </w:rPr>
              <w:t>5,915,397​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8978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71" w:lineRule="exact"/>
        <w:rPr>
          <w:sz w:val="20"/>
          <w:szCs w:val="20"/>
          <w:color w:val="auto"/>
        </w:rPr>
      </w:pPr>
    </w:p>
    <w:p>
      <w:pPr>
        <w:ind w:left="360" w:hanging="360"/>
        <w:spacing w:after="0" w:line="229" w:lineRule="auto"/>
        <w:tabs>
          <w:tab w:leader="none" w:pos="360" w:val="left"/>
        </w:tabs>
        <w:numPr>
          <w:ilvl w:val="0"/>
          <w:numId w:val="40"/>
        </w:numPr>
        <w:rPr>
          <w:rFonts w:ascii="Arial" w:cs="Arial" w:eastAsia="Arial" w:hAnsi="Arial"/>
          <w:sz w:val="13"/>
          <w:szCs w:val="13"/>
          <w:color w:val="0E2A35"/>
        </w:rPr>
      </w:pPr>
      <w:r>
        <w:rPr>
          <w:rFonts w:ascii="Arial" w:cs="Arial" w:eastAsia="Arial" w:hAnsi="Arial"/>
          <w:sz w:val="13"/>
          <w:szCs w:val="13"/>
          <w:color w:val="0E2A35"/>
        </w:rPr>
        <w:t>Amounts for fiscal 2020 represent actual base salary paid during fiscal 2020. Effective from April 1, 2020 through the remainder of fiscal 2020, the base salary of each of our NEOs (with the exception of Messrs. Bower and Clark) was reduced by 15%, or, in the case of Mr. Happe, 25%. These temporary reductions were approved by the Board and were taken in response to the economic disruption created by COVID-19. These reductions in base salary did not impact the calculation of incentive compensation or equity awards.</w:t>
      </w:r>
    </w:p>
    <w:p>
      <w:pPr>
        <w:spacing w:after="0" w:line="23" w:lineRule="exact"/>
        <w:rPr>
          <w:rFonts w:ascii="Arial" w:cs="Arial" w:eastAsia="Arial" w:hAnsi="Arial"/>
          <w:sz w:val="13"/>
          <w:szCs w:val="13"/>
          <w:color w:val="0E2A35"/>
        </w:rPr>
      </w:pPr>
    </w:p>
    <w:p>
      <w:pPr>
        <w:ind w:left="360" w:right="200" w:hanging="360"/>
        <w:spacing w:after="0" w:line="243" w:lineRule="auto"/>
        <w:tabs>
          <w:tab w:leader="none" w:pos="360" w:val="left"/>
        </w:tabs>
        <w:numPr>
          <w:ilvl w:val="0"/>
          <w:numId w:val="40"/>
        </w:numPr>
        <w:rPr>
          <w:rFonts w:ascii="Arial" w:cs="Arial" w:eastAsia="Arial" w:hAnsi="Arial"/>
          <w:sz w:val="13"/>
          <w:szCs w:val="13"/>
          <w:color w:val="0E2A35"/>
        </w:rPr>
      </w:pPr>
      <w:r>
        <w:rPr>
          <w:rFonts w:ascii="Arial" w:cs="Arial" w:eastAsia="Arial" w:hAnsi="Arial"/>
          <w:sz w:val="13"/>
          <w:szCs w:val="13"/>
          <w:color w:val="0E2A35"/>
        </w:rPr>
        <w:t>For calendar years 2021 and 2022, Mr. Hughes elected to defer 10% of his annual base salary into the Executive Deferred Compensation Plan. For calendar year 2022, Mr. Bower elected to defer 5% of his annual base salary into the Executive Deferred Compensation Plan.</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60" w:hanging="360"/>
        <w:spacing w:after="0"/>
        <w:tabs>
          <w:tab w:leader="none" w:pos="360" w:val="left"/>
        </w:tabs>
        <w:numPr>
          <w:ilvl w:val="0"/>
          <w:numId w:val="41"/>
        </w:numPr>
        <w:rPr>
          <w:rFonts w:ascii="Arial" w:cs="Arial" w:eastAsia="Arial" w:hAnsi="Arial"/>
          <w:sz w:val="13"/>
          <w:szCs w:val="13"/>
          <w:color w:val="0E2A35"/>
        </w:rPr>
      </w:pPr>
      <w:r>
        <w:rPr>
          <w:rFonts w:ascii="Arial" w:cs="Arial" w:eastAsia="Arial" w:hAnsi="Arial"/>
          <w:sz w:val="13"/>
          <w:szCs w:val="13"/>
          <w:color w:val="0E2A35"/>
        </w:rPr>
        <w:t>The table below illustrates the two categories of stock awards as presented above:</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2360" w:type="dxa"/>
            <w:vAlign w:val="bottom"/>
            <w:shd w:val="clear" w:color="auto" w:fill="0E2A35"/>
          </w:tcPr>
          <w:p>
            <w:pPr>
              <w:spacing w:after="0"/>
              <w:rPr>
                <w:sz w:val="19"/>
                <w:szCs w:val="19"/>
                <w:color w:val="auto"/>
              </w:rPr>
            </w:pPr>
          </w:p>
        </w:tc>
        <w:tc>
          <w:tcPr>
            <w:tcW w:w="120" w:type="dxa"/>
            <w:vAlign w:val="bottom"/>
            <w:shd w:val="clear" w:color="auto" w:fill="0E2A35"/>
          </w:tcPr>
          <w:p>
            <w:pPr>
              <w:spacing w:after="0"/>
              <w:rPr>
                <w:sz w:val="19"/>
                <w:szCs w:val="19"/>
                <w:color w:val="auto"/>
              </w:rPr>
            </w:pPr>
          </w:p>
        </w:tc>
        <w:tc>
          <w:tcPr>
            <w:tcW w:w="600" w:type="dxa"/>
            <w:vAlign w:val="bottom"/>
            <w:shd w:val="clear" w:color="auto" w:fill="0E2A35"/>
          </w:tcPr>
          <w:p>
            <w:pPr>
              <w:spacing w:after="0"/>
              <w:rPr>
                <w:sz w:val="19"/>
                <w:szCs w:val="19"/>
                <w:color w:val="auto"/>
              </w:rPr>
            </w:pPr>
          </w:p>
        </w:tc>
        <w:tc>
          <w:tcPr>
            <w:tcW w:w="120" w:type="dxa"/>
            <w:vAlign w:val="bottom"/>
            <w:shd w:val="clear" w:color="auto" w:fill="0E2A35"/>
          </w:tcPr>
          <w:p>
            <w:pPr>
              <w:spacing w:after="0"/>
              <w:rPr>
                <w:sz w:val="19"/>
                <w:szCs w:val="19"/>
                <w:color w:val="auto"/>
              </w:rPr>
            </w:pPr>
          </w:p>
        </w:tc>
        <w:tc>
          <w:tcPr>
            <w:tcW w:w="240" w:type="dxa"/>
            <w:vAlign w:val="bottom"/>
            <w:shd w:val="clear" w:color="auto" w:fill="0E2A35"/>
          </w:tcPr>
          <w:p>
            <w:pPr>
              <w:spacing w:after="0"/>
              <w:rPr>
                <w:sz w:val="19"/>
                <w:szCs w:val="19"/>
                <w:color w:val="auto"/>
              </w:rPr>
            </w:pPr>
          </w:p>
        </w:tc>
        <w:tc>
          <w:tcPr>
            <w:tcW w:w="1160" w:type="dxa"/>
            <w:vAlign w:val="bottom"/>
            <w:shd w:val="clear" w:color="auto" w:fill="0E2A35"/>
          </w:tcPr>
          <w:p>
            <w:pPr>
              <w:jc w:val="center"/>
              <w:ind w:left="38"/>
              <w:spacing w:after="0"/>
              <w:rPr>
                <w:sz w:val="20"/>
                <w:szCs w:val="20"/>
                <w:color w:val="auto"/>
              </w:rPr>
            </w:pPr>
            <w:r>
              <w:rPr>
                <w:rFonts w:ascii="Arial" w:cs="Arial" w:eastAsia="Arial" w:hAnsi="Arial"/>
                <w:sz w:val="13"/>
                <w:szCs w:val="13"/>
                <w:b w:val="1"/>
                <w:bCs w:val="1"/>
                <w:color w:val="FFFFFF"/>
              </w:rPr>
              <w:t>Non-</w:t>
            </w:r>
          </w:p>
        </w:tc>
        <w:tc>
          <w:tcPr>
            <w:tcW w:w="160" w:type="dxa"/>
            <w:vAlign w:val="bottom"/>
            <w:shd w:val="clear" w:color="auto" w:fill="0E2A35"/>
          </w:tcPr>
          <w:p>
            <w:pPr>
              <w:spacing w:after="0"/>
              <w:rPr>
                <w:sz w:val="19"/>
                <w:szCs w:val="19"/>
                <w:color w:val="auto"/>
              </w:rPr>
            </w:pPr>
          </w:p>
        </w:tc>
        <w:tc>
          <w:tcPr>
            <w:tcW w:w="240" w:type="dxa"/>
            <w:vAlign w:val="bottom"/>
            <w:shd w:val="clear" w:color="auto" w:fill="0E2A35"/>
          </w:tcPr>
          <w:p>
            <w:pPr>
              <w:spacing w:after="0"/>
              <w:rPr>
                <w:sz w:val="19"/>
                <w:szCs w:val="19"/>
                <w:color w:val="auto"/>
              </w:rPr>
            </w:pPr>
          </w:p>
        </w:tc>
        <w:tc>
          <w:tcPr>
            <w:tcW w:w="580" w:type="dxa"/>
            <w:vAlign w:val="bottom"/>
            <w:shd w:val="clear" w:color="auto" w:fill="0E2A35"/>
          </w:tcPr>
          <w:p>
            <w:pPr>
              <w:spacing w:after="0"/>
              <w:rPr>
                <w:sz w:val="19"/>
                <w:szCs w:val="19"/>
                <w:color w:val="auto"/>
              </w:rPr>
            </w:pPr>
          </w:p>
        </w:tc>
        <w:tc>
          <w:tcPr>
            <w:tcW w:w="400" w:type="dxa"/>
            <w:vAlign w:val="bottom"/>
            <w:shd w:val="clear" w:color="auto" w:fill="0E2A35"/>
          </w:tcPr>
          <w:p>
            <w:pPr>
              <w:spacing w:after="0"/>
              <w:rPr>
                <w:sz w:val="19"/>
                <w:szCs w:val="19"/>
                <w:color w:val="auto"/>
              </w:rPr>
            </w:pPr>
          </w:p>
        </w:tc>
        <w:tc>
          <w:tcPr>
            <w:tcW w:w="160" w:type="dxa"/>
            <w:vAlign w:val="bottom"/>
            <w:shd w:val="clear" w:color="auto" w:fill="0E2A35"/>
          </w:tcPr>
          <w:p>
            <w:pPr>
              <w:spacing w:after="0"/>
              <w:rPr>
                <w:sz w:val="19"/>
                <w:szCs w:val="19"/>
                <w:color w:val="auto"/>
              </w:rPr>
            </w:pPr>
          </w:p>
        </w:tc>
        <w:tc>
          <w:tcPr>
            <w:tcW w:w="280" w:type="dxa"/>
            <w:vAlign w:val="bottom"/>
            <w:shd w:val="clear" w:color="auto" w:fill="0E2A35"/>
          </w:tcPr>
          <w:p>
            <w:pPr>
              <w:spacing w:after="0"/>
              <w:rPr>
                <w:sz w:val="19"/>
                <w:szCs w:val="19"/>
                <w:color w:val="auto"/>
              </w:rPr>
            </w:pPr>
          </w:p>
        </w:tc>
        <w:tc>
          <w:tcPr>
            <w:tcW w:w="1340" w:type="dxa"/>
            <w:vAlign w:val="bottom"/>
            <w:shd w:val="clear" w:color="auto" w:fill="0E2A35"/>
          </w:tcPr>
          <w:p>
            <w:pPr>
              <w:spacing w:after="0"/>
              <w:rPr>
                <w:sz w:val="19"/>
                <w:szCs w:val="19"/>
                <w:color w:val="auto"/>
              </w:rPr>
            </w:pPr>
          </w:p>
        </w:tc>
        <w:tc>
          <w:tcPr>
            <w:tcW w:w="180" w:type="dxa"/>
            <w:vAlign w:val="bottom"/>
            <w:shd w:val="clear" w:color="auto" w:fill="0E2A35"/>
          </w:tcPr>
          <w:p>
            <w:pPr>
              <w:spacing w:after="0"/>
              <w:rPr>
                <w:sz w:val="19"/>
                <w:szCs w:val="19"/>
                <w:color w:val="auto"/>
              </w:rPr>
            </w:pPr>
          </w:p>
        </w:tc>
        <w:tc>
          <w:tcPr>
            <w:tcW w:w="240" w:type="dxa"/>
            <w:vAlign w:val="bottom"/>
            <w:shd w:val="clear" w:color="auto" w:fill="0E2A35"/>
          </w:tcPr>
          <w:p>
            <w:pPr>
              <w:spacing w:after="0"/>
              <w:rPr>
                <w:sz w:val="19"/>
                <w:szCs w:val="19"/>
                <w:color w:val="auto"/>
              </w:rPr>
            </w:pPr>
          </w:p>
        </w:tc>
        <w:tc>
          <w:tcPr>
            <w:tcW w:w="74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0E2A35"/>
          </w:tcPr>
          <w:p>
            <w:pPr>
              <w:spacing w:after="0"/>
              <w:rPr>
                <w:sz w:val="11"/>
                <w:szCs w:val="11"/>
                <w:color w:val="auto"/>
              </w:rPr>
            </w:pPr>
          </w:p>
        </w:tc>
        <w:tc>
          <w:tcPr>
            <w:tcW w:w="120" w:type="dxa"/>
            <w:vAlign w:val="bottom"/>
            <w:shd w:val="clear" w:color="auto" w:fill="0E2A35"/>
          </w:tcPr>
          <w:p>
            <w:pPr>
              <w:spacing w:after="0"/>
              <w:rPr>
                <w:sz w:val="11"/>
                <w:szCs w:val="11"/>
                <w:color w:val="auto"/>
              </w:rPr>
            </w:pPr>
          </w:p>
        </w:tc>
        <w:tc>
          <w:tcPr>
            <w:tcW w:w="600" w:type="dxa"/>
            <w:vAlign w:val="bottom"/>
            <w:shd w:val="clear" w:color="auto" w:fill="0E2A35"/>
          </w:tcPr>
          <w:p>
            <w:pPr>
              <w:spacing w:after="0"/>
              <w:rPr>
                <w:sz w:val="11"/>
                <w:szCs w:val="11"/>
                <w:color w:val="auto"/>
              </w:rPr>
            </w:pPr>
          </w:p>
        </w:tc>
        <w:tc>
          <w:tcPr>
            <w:tcW w:w="12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1160" w:type="dxa"/>
            <w:vAlign w:val="bottom"/>
            <w:shd w:val="clear" w:color="auto" w:fill="0E2A35"/>
          </w:tcPr>
          <w:p>
            <w:pPr>
              <w:jc w:val="center"/>
              <w:ind w:left="38"/>
              <w:spacing w:after="0" w:line="135" w:lineRule="exact"/>
              <w:rPr>
                <w:sz w:val="20"/>
                <w:szCs w:val="20"/>
                <w:color w:val="auto"/>
              </w:rPr>
            </w:pPr>
            <w:r>
              <w:rPr>
                <w:rFonts w:ascii="Arial" w:cs="Arial" w:eastAsia="Arial" w:hAnsi="Arial"/>
                <w:sz w:val="13"/>
                <w:szCs w:val="13"/>
                <w:b w:val="1"/>
                <w:bCs w:val="1"/>
                <w:color w:val="FFFFFF"/>
                <w:w w:val="97"/>
              </w:rPr>
              <w:t>Performance-</w:t>
            </w:r>
          </w:p>
        </w:tc>
        <w:tc>
          <w:tcPr>
            <w:tcW w:w="16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580" w:type="dxa"/>
            <w:vAlign w:val="bottom"/>
            <w:shd w:val="clear" w:color="auto" w:fill="0E2A35"/>
          </w:tcPr>
          <w:p>
            <w:pPr>
              <w:spacing w:after="0"/>
              <w:rPr>
                <w:sz w:val="11"/>
                <w:szCs w:val="11"/>
                <w:color w:val="auto"/>
              </w:rPr>
            </w:pPr>
          </w:p>
        </w:tc>
        <w:tc>
          <w:tcPr>
            <w:tcW w:w="400" w:type="dxa"/>
            <w:vAlign w:val="bottom"/>
            <w:shd w:val="clear" w:color="auto" w:fill="0E2A35"/>
          </w:tcPr>
          <w:p>
            <w:pPr>
              <w:spacing w:after="0"/>
              <w:rPr>
                <w:sz w:val="11"/>
                <w:szCs w:val="11"/>
                <w:color w:val="auto"/>
              </w:rPr>
            </w:pPr>
          </w:p>
        </w:tc>
        <w:tc>
          <w:tcPr>
            <w:tcW w:w="160" w:type="dxa"/>
            <w:vAlign w:val="bottom"/>
            <w:shd w:val="clear" w:color="auto" w:fill="0E2A35"/>
          </w:tcPr>
          <w:p>
            <w:pPr>
              <w:spacing w:after="0"/>
              <w:rPr>
                <w:sz w:val="11"/>
                <w:szCs w:val="11"/>
                <w:color w:val="auto"/>
              </w:rPr>
            </w:pPr>
          </w:p>
        </w:tc>
        <w:tc>
          <w:tcPr>
            <w:tcW w:w="280" w:type="dxa"/>
            <w:vAlign w:val="bottom"/>
            <w:shd w:val="clear" w:color="auto" w:fill="0E2A35"/>
          </w:tcPr>
          <w:p>
            <w:pPr>
              <w:spacing w:after="0"/>
              <w:rPr>
                <w:sz w:val="11"/>
                <w:szCs w:val="11"/>
                <w:color w:val="auto"/>
              </w:rPr>
            </w:pPr>
          </w:p>
        </w:tc>
        <w:tc>
          <w:tcPr>
            <w:tcW w:w="1340" w:type="dxa"/>
            <w:vAlign w:val="bottom"/>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360" w:type="dxa"/>
            <w:vAlign w:val="bottom"/>
            <w:shd w:val="clear" w:color="auto" w:fill="0E2A35"/>
          </w:tcPr>
          <w:p>
            <w:pPr>
              <w:ind w:left="22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0E2A35"/>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shd w:val="clear" w:color="auto" w:fill="0E2A35"/>
          </w:tcPr>
          <w:p>
            <w:pPr>
              <w:spacing w:after="0"/>
              <w:rPr>
                <w:sz w:val="12"/>
                <w:szCs w:val="12"/>
                <w:color w:val="auto"/>
              </w:rPr>
            </w:pPr>
          </w:p>
        </w:tc>
        <w:tc>
          <w:tcPr>
            <w:tcW w:w="120" w:type="dxa"/>
            <w:vAlign w:val="bottom"/>
            <w:shd w:val="clear" w:color="auto" w:fill="0E2A35"/>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shd w:val="clear" w:color="auto" w:fill="0E2A3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shd w:val="clear" w:color="auto" w:fill="0E2A35"/>
          </w:tcPr>
          <w:p>
            <w:pPr>
              <w:ind w:left="440"/>
              <w:spacing w:after="0" w:line="147" w:lineRule="exact"/>
              <w:rPr>
                <w:sz w:val="20"/>
                <w:szCs w:val="20"/>
                <w:color w:val="auto"/>
              </w:rPr>
            </w:pPr>
            <w:r>
              <w:rPr>
                <w:rFonts w:ascii="Arial" w:cs="Arial" w:eastAsia="Arial" w:hAnsi="Arial"/>
                <w:sz w:val="13"/>
                <w:szCs w:val="13"/>
                <w:b w:val="1"/>
                <w:bCs w:val="1"/>
                <w:color w:val="FFFFFF"/>
              </w:rPr>
              <w:t>Based</w:t>
            </w:r>
          </w:p>
        </w:tc>
        <w:tc>
          <w:tcPr>
            <w:tcW w:w="160" w:type="dxa"/>
            <w:vAlign w:val="bottom"/>
            <w:shd w:val="clear" w:color="auto" w:fill="0E2A3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shd w:val="clear" w:color="auto" w:fill="0E2A35"/>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0E2A35"/>
          </w:tcPr>
          <w:p>
            <w:pPr>
              <w:ind w:left="200"/>
              <w:spacing w:after="0" w:line="147" w:lineRule="exact"/>
              <w:rPr>
                <w:sz w:val="20"/>
                <w:szCs w:val="20"/>
                <w:color w:val="auto"/>
              </w:rPr>
            </w:pPr>
            <w:r>
              <w:rPr>
                <w:rFonts w:ascii="Arial" w:cs="Arial" w:eastAsia="Arial" w:hAnsi="Arial"/>
                <w:sz w:val="13"/>
                <w:szCs w:val="13"/>
                <w:b w:val="1"/>
                <w:bCs w:val="1"/>
                <w:color w:val="FFFFFF"/>
                <w:w w:val="97"/>
              </w:rPr>
              <w:t>Fiscal​</w:t>
            </w:r>
          </w:p>
        </w:tc>
        <w:tc>
          <w:tcPr>
            <w:tcW w:w="400" w:type="dxa"/>
            <w:vAlign w:val="bottom"/>
            <w:shd w:val="clear" w:color="auto" w:fill="0E2A35"/>
          </w:tcPr>
          <w:p>
            <w:pPr>
              <w:jc w:val="right"/>
              <w:ind w:right="37"/>
              <w:spacing w:after="0" w:line="147" w:lineRule="exact"/>
              <w:rPr>
                <w:sz w:val="20"/>
                <w:szCs w:val="20"/>
                <w:color w:val="auto"/>
              </w:rPr>
            </w:pPr>
            <w:r>
              <w:rPr>
                <w:rFonts w:ascii="Arial" w:cs="Arial" w:eastAsia="Arial" w:hAnsi="Arial"/>
                <w:sz w:val="13"/>
                <w:szCs w:val="13"/>
                <w:b w:val="1"/>
                <w:bCs w:val="1"/>
                <w:color w:val="FFFFFF"/>
                <w:w w:val="96"/>
              </w:rPr>
              <w:t>2021</w:t>
            </w:r>
          </w:p>
        </w:tc>
        <w:tc>
          <w:tcPr>
            <w:tcW w:w="160" w:type="dxa"/>
            <w:vAlign w:val="bottom"/>
            <w:shd w:val="clear" w:color="auto" w:fill="0E2A3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shd w:val="clear" w:color="auto" w:fill="0E2A35"/>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vMerge w:val="restart"/>
            <w:shd w:val="clear" w:color="auto" w:fill="0E2A35"/>
          </w:tcPr>
          <w:p>
            <w:pPr>
              <w:jc w:val="right"/>
              <w:spacing w:after="0"/>
              <w:rPr>
                <w:sz w:val="20"/>
                <w:szCs w:val="20"/>
                <w:color w:val="auto"/>
              </w:rPr>
            </w:pPr>
            <w:r>
              <w:rPr>
                <w:rFonts w:ascii="Arial" w:cs="Arial" w:eastAsia="Arial" w:hAnsi="Arial"/>
                <w:sz w:val="13"/>
                <w:szCs w:val="13"/>
                <w:b w:val="1"/>
                <w:bCs w:val="1"/>
                <w:color w:val="FFFFFF"/>
              </w:rPr>
              <w:t>LTIP / Performance</w:t>
            </w:r>
          </w:p>
        </w:tc>
        <w:tc>
          <w:tcPr>
            <w:tcW w:w="180" w:type="dxa"/>
            <w:vAlign w:val="bottom"/>
            <w:shd w:val="clear" w:color="auto" w:fill="0E2A35"/>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shd w:val="clear" w:color="auto" w:fill="0E2A35"/>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0E2A35"/>
          </w:tcPr>
          <w:p>
            <w:pPr>
              <w:jc w:val="center"/>
              <w:ind w:left="17"/>
              <w:spacing w:after="0" w:line="147" w:lineRule="exact"/>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117"/>
        </w:trPr>
        <w:tc>
          <w:tcPr>
            <w:tcW w:w="2360" w:type="dxa"/>
            <w:vAlign w:val="bottom"/>
            <w:shd w:val="clear" w:color="auto" w:fill="0E2A35"/>
          </w:tcPr>
          <w:p>
            <w:pPr>
              <w:spacing w:after="0"/>
              <w:rPr>
                <w:sz w:val="10"/>
                <w:szCs w:val="10"/>
                <w:color w:val="auto"/>
              </w:rPr>
            </w:pPr>
          </w:p>
        </w:tc>
        <w:tc>
          <w:tcPr>
            <w:tcW w:w="120" w:type="dxa"/>
            <w:vAlign w:val="bottom"/>
            <w:shd w:val="clear" w:color="auto" w:fill="0E2A35"/>
          </w:tcPr>
          <w:p>
            <w:pPr>
              <w:spacing w:after="0"/>
              <w:rPr>
                <w:sz w:val="10"/>
                <w:szCs w:val="10"/>
                <w:color w:val="auto"/>
              </w:rPr>
            </w:pPr>
          </w:p>
        </w:tc>
        <w:tc>
          <w:tcPr>
            <w:tcW w:w="600" w:type="dxa"/>
            <w:vAlign w:val="bottom"/>
            <w:vMerge w:val="restart"/>
            <w:shd w:val="clear" w:color="auto" w:fill="0E2A35"/>
          </w:tcPr>
          <w:p>
            <w:pPr>
              <w:ind w:left="240"/>
              <w:spacing w:after="0"/>
              <w:rPr>
                <w:sz w:val="20"/>
                <w:szCs w:val="20"/>
                <w:color w:val="auto"/>
              </w:rPr>
            </w:pPr>
            <w:r>
              <w:rPr>
                <w:rFonts w:ascii="Arial" w:cs="Arial" w:eastAsia="Arial" w:hAnsi="Arial"/>
                <w:sz w:val="13"/>
                <w:szCs w:val="13"/>
                <w:b w:val="1"/>
                <w:bCs w:val="1"/>
                <w:color w:val="FFFFFF"/>
                <w:w w:val="92"/>
              </w:rPr>
              <w:t>Fiscal</w:t>
            </w:r>
          </w:p>
        </w:tc>
        <w:tc>
          <w:tcPr>
            <w:tcW w:w="120" w:type="dxa"/>
            <w:vAlign w:val="bottom"/>
            <w:shd w:val="clear" w:color="auto" w:fill="0E2A35"/>
          </w:tcPr>
          <w:p>
            <w:pPr>
              <w:spacing w:after="0"/>
              <w:rPr>
                <w:sz w:val="10"/>
                <w:szCs w:val="10"/>
                <w:color w:val="auto"/>
              </w:rPr>
            </w:pPr>
          </w:p>
        </w:tc>
        <w:tc>
          <w:tcPr>
            <w:tcW w:w="240" w:type="dxa"/>
            <w:vAlign w:val="bottom"/>
            <w:shd w:val="clear" w:color="auto" w:fill="0E2A35"/>
          </w:tcPr>
          <w:p>
            <w:pPr>
              <w:spacing w:after="0"/>
              <w:rPr>
                <w:sz w:val="10"/>
                <w:szCs w:val="10"/>
                <w:color w:val="auto"/>
              </w:rPr>
            </w:pPr>
          </w:p>
        </w:tc>
        <w:tc>
          <w:tcPr>
            <w:tcW w:w="1160" w:type="dxa"/>
            <w:vAlign w:val="bottom"/>
            <w:shd w:val="clear" w:color="auto" w:fill="0E2A35"/>
          </w:tcPr>
          <w:p>
            <w:pPr>
              <w:jc w:val="center"/>
              <w:ind w:left="38"/>
              <w:spacing w:after="0" w:line="117" w:lineRule="exact"/>
              <w:rPr>
                <w:sz w:val="20"/>
                <w:szCs w:val="20"/>
                <w:color w:val="auto"/>
              </w:rPr>
            </w:pPr>
            <w:r>
              <w:rPr>
                <w:rFonts w:ascii="Arial" w:cs="Arial" w:eastAsia="Arial" w:hAnsi="Arial"/>
                <w:sz w:val="13"/>
                <w:szCs w:val="13"/>
                <w:b w:val="1"/>
                <w:bCs w:val="1"/>
                <w:color w:val="FFFFFF"/>
                <w:w w:val="95"/>
              </w:rPr>
              <w:t>Restricted Stock</w:t>
            </w:r>
          </w:p>
        </w:tc>
        <w:tc>
          <w:tcPr>
            <w:tcW w:w="160" w:type="dxa"/>
            <w:vAlign w:val="bottom"/>
            <w:shd w:val="clear" w:color="auto" w:fill="0E2A35"/>
          </w:tcPr>
          <w:p>
            <w:pPr>
              <w:spacing w:after="0"/>
              <w:rPr>
                <w:sz w:val="10"/>
                <w:szCs w:val="10"/>
                <w:color w:val="auto"/>
              </w:rPr>
            </w:pPr>
          </w:p>
        </w:tc>
        <w:tc>
          <w:tcPr>
            <w:tcW w:w="240" w:type="dxa"/>
            <w:vAlign w:val="bottom"/>
            <w:shd w:val="clear" w:color="auto" w:fill="0E2A35"/>
          </w:tcPr>
          <w:p>
            <w:pPr>
              <w:spacing w:after="0"/>
              <w:rPr>
                <w:sz w:val="10"/>
                <w:szCs w:val="10"/>
                <w:color w:val="auto"/>
              </w:rPr>
            </w:pPr>
          </w:p>
        </w:tc>
        <w:tc>
          <w:tcPr>
            <w:tcW w:w="980" w:type="dxa"/>
            <w:vAlign w:val="bottom"/>
            <w:gridSpan w:val="2"/>
            <w:shd w:val="clear" w:color="auto" w:fill="0E2A35"/>
          </w:tcPr>
          <w:p>
            <w:pPr>
              <w:jc w:val="center"/>
              <w:ind w:left="39"/>
              <w:spacing w:after="0" w:line="117" w:lineRule="exact"/>
              <w:rPr>
                <w:sz w:val="20"/>
                <w:szCs w:val="20"/>
                <w:color w:val="auto"/>
              </w:rPr>
            </w:pPr>
            <w:r>
              <w:rPr>
                <w:rFonts w:ascii="Arial" w:cs="Arial" w:eastAsia="Arial" w:hAnsi="Arial"/>
                <w:sz w:val="13"/>
                <w:szCs w:val="13"/>
                <w:b w:val="1"/>
                <w:bCs w:val="1"/>
                <w:color w:val="FFFFFF"/>
                <w:w w:val="95"/>
              </w:rPr>
              <w:t>Performance</w:t>
            </w:r>
          </w:p>
        </w:tc>
        <w:tc>
          <w:tcPr>
            <w:tcW w:w="160" w:type="dxa"/>
            <w:vAlign w:val="bottom"/>
            <w:shd w:val="clear" w:color="auto" w:fill="0E2A35"/>
          </w:tcPr>
          <w:p>
            <w:pPr>
              <w:spacing w:after="0"/>
              <w:rPr>
                <w:sz w:val="10"/>
                <w:szCs w:val="10"/>
                <w:color w:val="auto"/>
              </w:rPr>
            </w:pPr>
          </w:p>
        </w:tc>
        <w:tc>
          <w:tcPr>
            <w:tcW w:w="280" w:type="dxa"/>
            <w:vAlign w:val="bottom"/>
            <w:shd w:val="clear" w:color="auto" w:fill="0E2A35"/>
          </w:tcPr>
          <w:p>
            <w:pPr>
              <w:spacing w:after="0"/>
              <w:rPr>
                <w:sz w:val="10"/>
                <w:szCs w:val="10"/>
                <w:color w:val="auto"/>
              </w:rPr>
            </w:pPr>
          </w:p>
        </w:tc>
        <w:tc>
          <w:tcPr>
            <w:tcW w:w="1340" w:type="dxa"/>
            <w:vAlign w:val="bottom"/>
            <w:vMerge w:val="continue"/>
            <w:shd w:val="clear" w:color="auto" w:fill="0E2A35"/>
          </w:tcPr>
          <w:p>
            <w:pPr>
              <w:spacing w:after="0"/>
              <w:rPr>
                <w:sz w:val="10"/>
                <w:szCs w:val="10"/>
                <w:color w:val="auto"/>
              </w:rPr>
            </w:pPr>
          </w:p>
        </w:tc>
        <w:tc>
          <w:tcPr>
            <w:tcW w:w="180" w:type="dxa"/>
            <w:vAlign w:val="bottom"/>
            <w:shd w:val="clear" w:color="auto" w:fill="0E2A35"/>
          </w:tcPr>
          <w:p>
            <w:pPr>
              <w:spacing w:after="0"/>
              <w:rPr>
                <w:sz w:val="10"/>
                <w:szCs w:val="10"/>
                <w:color w:val="auto"/>
              </w:rPr>
            </w:pPr>
          </w:p>
        </w:tc>
        <w:tc>
          <w:tcPr>
            <w:tcW w:w="240" w:type="dxa"/>
            <w:vAlign w:val="bottom"/>
            <w:shd w:val="clear" w:color="auto" w:fill="0E2A35"/>
          </w:tcPr>
          <w:p>
            <w:pPr>
              <w:spacing w:after="0"/>
              <w:rPr>
                <w:sz w:val="10"/>
                <w:szCs w:val="10"/>
                <w:color w:val="auto"/>
              </w:rPr>
            </w:pPr>
          </w:p>
        </w:tc>
        <w:tc>
          <w:tcPr>
            <w:tcW w:w="740" w:type="dxa"/>
            <w:vAlign w:val="bottom"/>
            <w:shd w:val="clear" w:color="auto" w:fill="0E2A35"/>
          </w:tcPr>
          <w:p>
            <w:pPr>
              <w:jc w:val="center"/>
              <w:ind w:left="17"/>
              <w:spacing w:after="0" w:line="117" w:lineRule="exact"/>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41"/>
        </w:trPr>
        <w:tc>
          <w:tcPr>
            <w:tcW w:w="23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0E2A35"/>
          </w:tcPr>
          <w:p>
            <w:pPr>
              <w:spacing w:after="0"/>
              <w:rPr>
                <w:sz w:val="12"/>
                <w:szCs w:val="12"/>
                <w:color w:val="auto"/>
              </w:rPr>
            </w:pPr>
          </w:p>
        </w:tc>
        <w:tc>
          <w:tcPr>
            <w:tcW w:w="600" w:type="dxa"/>
            <w:vAlign w:val="bottom"/>
            <w:vMerge w:val="continue"/>
            <w:shd w:val="clear" w:color="auto" w:fill="0E2A35"/>
          </w:tcPr>
          <w:p>
            <w:pPr>
              <w:spacing w:after="0"/>
              <w:rPr>
                <w:sz w:val="12"/>
                <w:szCs w:val="12"/>
                <w:color w:val="auto"/>
              </w:rPr>
            </w:pPr>
          </w:p>
        </w:tc>
        <w:tc>
          <w:tcPr>
            <w:tcW w:w="120" w:type="dxa"/>
            <w:vAlign w:val="bottom"/>
            <w:shd w:val="clear" w:color="auto" w:fill="0E2A35"/>
          </w:tcPr>
          <w:p>
            <w:pPr>
              <w:spacing w:after="0"/>
              <w:rPr>
                <w:sz w:val="12"/>
                <w:szCs w:val="12"/>
                <w:color w:val="auto"/>
              </w:rPr>
            </w:pPr>
          </w:p>
        </w:tc>
        <w:tc>
          <w:tcPr>
            <w:tcW w:w="240" w:type="dxa"/>
            <w:vAlign w:val="bottom"/>
            <w:shd w:val="clear" w:color="auto" w:fill="0E2A35"/>
          </w:tcPr>
          <w:p>
            <w:pPr>
              <w:spacing w:after="0"/>
              <w:rPr>
                <w:sz w:val="12"/>
                <w:szCs w:val="12"/>
                <w:color w:val="auto"/>
              </w:rPr>
            </w:pPr>
          </w:p>
        </w:tc>
        <w:tc>
          <w:tcPr>
            <w:tcW w:w="1160" w:type="dxa"/>
            <w:vAlign w:val="bottom"/>
            <w:shd w:val="clear" w:color="auto" w:fill="0E2A35"/>
          </w:tcPr>
          <w:p>
            <w:pPr>
              <w:jc w:val="center"/>
              <w:ind w:left="38"/>
              <w:spacing w:after="0" w:line="141" w:lineRule="exact"/>
              <w:rPr>
                <w:sz w:val="20"/>
                <w:szCs w:val="20"/>
                <w:color w:val="auto"/>
              </w:rPr>
            </w:pPr>
            <w:r>
              <w:rPr>
                <w:rFonts w:ascii="Arial" w:cs="Arial" w:eastAsia="Arial" w:hAnsi="Arial"/>
                <w:sz w:val="10"/>
                <w:szCs w:val="10"/>
                <w:b w:val="1"/>
                <w:bCs w:val="1"/>
                <w:color w:val="FFFFFF"/>
              </w:rPr>
              <w:t>Grant</w:t>
            </w:r>
            <w:r>
              <w:rPr>
                <w:rFonts w:ascii="Arial" w:cs="Arial" w:eastAsia="Arial" w:hAnsi="Arial"/>
                <w:sz w:val="16"/>
                <w:szCs w:val="16"/>
                <w:b w:val="1"/>
                <w:bCs w:val="1"/>
                <w:color w:val="FFFFFF"/>
                <w:vertAlign w:val="superscript"/>
              </w:rPr>
              <w:t>(a)</w:t>
            </w:r>
          </w:p>
        </w:tc>
        <w:tc>
          <w:tcPr>
            <w:tcW w:w="160" w:type="dxa"/>
            <w:vAlign w:val="bottom"/>
            <w:shd w:val="clear" w:color="auto" w:fill="0E2A35"/>
          </w:tcPr>
          <w:p>
            <w:pPr>
              <w:spacing w:after="0"/>
              <w:rPr>
                <w:sz w:val="12"/>
                <w:szCs w:val="12"/>
                <w:color w:val="auto"/>
              </w:rPr>
            </w:pPr>
          </w:p>
        </w:tc>
        <w:tc>
          <w:tcPr>
            <w:tcW w:w="240" w:type="dxa"/>
            <w:vAlign w:val="bottom"/>
            <w:shd w:val="clear" w:color="auto" w:fill="0E2A35"/>
          </w:tcPr>
          <w:p>
            <w:pPr>
              <w:spacing w:after="0"/>
              <w:rPr>
                <w:sz w:val="12"/>
                <w:szCs w:val="12"/>
                <w:color w:val="auto"/>
              </w:rPr>
            </w:pPr>
          </w:p>
        </w:tc>
        <w:tc>
          <w:tcPr>
            <w:tcW w:w="980" w:type="dxa"/>
            <w:vAlign w:val="bottom"/>
            <w:gridSpan w:val="2"/>
            <w:shd w:val="clear" w:color="auto" w:fill="0E2A35"/>
          </w:tcPr>
          <w:p>
            <w:pPr>
              <w:jc w:val="center"/>
              <w:ind w:left="59"/>
              <w:spacing w:after="0" w:line="141" w:lineRule="exact"/>
              <w:rPr>
                <w:sz w:val="20"/>
                <w:szCs w:val="20"/>
                <w:color w:val="auto"/>
              </w:rPr>
            </w:pPr>
            <w:r>
              <w:rPr>
                <w:rFonts w:ascii="Arial" w:cs="Arial" w:eastAsia="Arial" w:hAnsi="Arial"/>
                <w:sz w:val="10"/>
                <w:szCs w:val="10"/>
                <w:b w:val="1"/>
                <w:bCs w:val="1"/>
                <w:color w:val="FFFFFF"/>
              </w:rPr>
              <w:t>Stock Units</w:t>
            </w:r>
            <w:r>
              <w:rPr>
                <w:rFonts w:ascii="Arial" w:cs="Arial" w:eastAsia="Arial" w:hAnsi="Arial"/>
                <w:sz w:val="16"/>
                <w:szCs w:val="16"/>
                <w:b w:val="1"/>
                <w:bCs w:val="1"/>
                <w:color w:val="FFFFFF"/>
                <w:vertAlign w:val="superscript"/>
              </w:rPr>
              <w:t>(b)</w:t>
            </w:r>
          </w:p>
        </w:tc>
        <w:tc>
          <w:tcPr>
            <w:tcW w:w="160" w:type="dxa"/>
            <w:vAlign w:val="bottom"/>
            <w:shd w:val="clear" w:color="auto" w:fill="0E2A35"/>
          </w:tcPr>
          <w:p>
            <w:pPr>
              <w:spacing w:after="0"/>
              <w:rPr>
                <w:sz w:val="12"/>
                <w:szCs w:val="12"/>
                <w:color w:val="auto"/>
              </w:rPr>
            </w:pPr>
          </w:p>
        </w:tc>
        <w:tc>
          <w:tcPr>
            <w:tcW w:w="280" w:type="dxa"/>
            <w:vAlign w:val="bottom"/>
            <w:shd w:val="clear" w:color="auto" w:fill="0E2A35"/>
          </w:tcPr>
          <w:p>
            <w:pPr>
              <w:spacing w:after="0"/>
              <w:rPr>
                <w:sz w:val="12"/>
                <w:szCs w:val="12"/>
                <w:color w:val="auto"/>
              </w:rPr>
            </w:pPr>
          </w:p>
        </w:tc>
        <w:tc>
          <w:tcPr>
            <w:tcW w:w="1340" w:type="dxa"/>
            <w:vAlign w:val="bottom"/>
            <w:shd w:val="clear" w:color="auto" w:fill="0E2A35"/>
          </w:tcPr>
          <w:p>
            <w:pPr>
              <w:jc w:val="right"/>
              <w:ind w:right="278"/>
              <w:spacing w:after="0" w:line="141"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(c)</w:t>
            </w:r>
          </w:p>
        </w:tc>
        <w:tc>
          <w:tcPr>
            <w:tcW w:w="180" w:type="dxa"/>
            <w:vAlign w:val="bottom"/>
            <w:shd w:val="clear" w:color="auto" w:fill="0E2A35"/>
          </w:tcPr>
          <w:p>
            <w:pPr>
              <w:spacing w:after="0"/>
              <w:rPr>
                <w:sz w:val="12"/>
                <w:szCs w:val="12"/>
                <w:color w:val="auto"/>
              </w:rPr>
            </w:pPr>
          </w:p>
        </w:tc>
        <w:tc>
          <w:tcPr>
            <w:tcW w:w="240" w:type="dxa"/>
            <w:vAlign w:val="bottom"/>
            <w:shd w:val="clear" w:color="auto" w:fill="0E2A35"/>
          </w:tcPr>
          <w:p>
            <w:pPr>
              <w:spacing w:after="0"/>
              <w:rPr>
                <w:sz w:val="12"/>
                <w:szCs w:val="12"/>
                <w:color w:val="auto"/>
              </w:rPr>
            </w:pPr>
          </w:p>
        </w:tc>
        <w:tc>
          <w:tcPr>
            <w:tcW w:w="740" w:type="dxa"/>
            <w:vAlign w:val="bottom"/>
            <w:shd w:val="clear" w:color="auto" w:fill="0E2A35"/>
          </w:tcPr>
          <w:p>
            <w:pPr>
              <w:jc w:val="center"/>
              <w:ind w:left="17"/>
              <w:spacing w:after="0" w:line="141"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72"/>
        </w:trPr>
        <w:tc>
          <w:tcPr>
            <w:tcW w:w="2360" w:type="dxa"/>
            <w:vAlign w:val="bottom"/>
            <w:vMerge w:val="continue"/>
            <w:shd w:val="clear" w:color="auto" w:fill="0E2A35"/>
          </w:tcPr>
          <w:p>
            <w:pPr>
              <w:spacing w:after="0"/>
              <w:rPr>
                <w:sz w:val="14"/>
                <w:szCs w:val="14"/>
                <w:color w:val="auto"/>
              </w:rPr>
            </w:pPr>
          </w:p>
        </w:tc>
        <w:tc>
          <w:tcPr>
            <w:tcW w:w="120" w:type="dxa"/>
            <w:vAlign w:val="bottom"/>
            <w:shd w:val="clear" w:color="auto" w:fill="0E2A35"/>
          </w:tcPr>
          <w:p>
            <w:pPr>
              <w:spacing w:after="0"/>
              <w:rPr>
                <w:sz w:val="14"/>
                <w:szCs w:val="14"/>
                <w:color w:val="auto"/>
              </w:rPr>
            </w:pPr>
          </w:p>
        </w:tc>
        <w:tc>
          <w:tcPr>
            <w:tcW w:w="600" w:type="dxa"/>
            <w:vAlign w:val="bottom"/>
            <w:shd w:val="clear" w:color="auto" w:fill="0E2A35"/>
          </w:tcPr>
          <w:p>
            <w:pPr>
              <w:ind w:left="280"/>
              <w:spacing w:after="0"/>
              <w:rPr>
                <w:sz w:val="20"/>
                <w:szCs w:val="20"/>
                <w:color w:val="auto"/>
              </w:rPr>
            </w:pPr>
            <w:r>
              <w:rPr>
                <w:rFonts w:ascii="Arial" w:cs="Arial" w:eastAsia="Arial" w:hAnsi="Arial"/>
                <w:sz w:val="13"/>
                <w:szCs w:val="13"/>
                <w:b w:val="1"/>
                <w:bCs w:val="1"/>
                <w:color w:val="FFFFFF"/>
              </w:rPr>
              <w:t>Year</w:t>
            </w:r>
          </w:p>
        </w:tc>
        <w:tc>
          <w:tcPr>
            <w:tcW w:w="120" w:type="dxa"/>
            <w:vAlign w:val="bottom"/>
            <w:shd w:val="clear" w:color="auto" w:fill="0E2A35"/>
          </w:tcPr>
          <w:p>
            <w:pPr>
              <w:spacing w:after="0"/>
              <w:rPr>
                <w:sz w:val="14"/>
                <w:szCs w:val="14"/>
                <w:color w:val="auto"/>
              </w:rPr>
            </w:pPr>
          </w:p>
        </w:tc>
        <w:tc>
          <w:tcPr>
            <w:tcW w:w="240" w:type="dxa"/>
            <w:vAlign w:val="bottom"/>
            <w:shd w:val="clear" w:color="auto" w:fill="0E2A35"/>
          </w:tcPr>
          <w:p>
            <w:pPr>
              <w:spacing w:after="0"/>
              <w:rPr>
                <w:sz w:val="14"/>
                <w:szCs w:val="14"/>
                <w:color w:val="auto"/>
              </w:rPr>
            </w:pPr>
          </w:p>
        </w:tc>
        <w:tc>
          <w:tcPr>
            <w:tcW w:w="1160" w:type="dxa"/>
            <w:vAlign w:val="bottom"/>
            <w:shd w:val="clear" w:color="auto" w:fill="0E2A35"/>
          </w:tcPr>
          <w:p>
            <w:pPr>
              <w:jc w:val="center"/>
              <w:ind w:left="78"/>
              <w:spacing w:after="0"/>
              <w:rPr>
                <w:sz w:val="20"/>
                <w:szCs w:val="20"/>
                <w:color w:val="auto"/>
              </w:rPr>
            </w:pPr>
            <w:r>
              <w:rPr>
                <w:rFonts w:ascii="Arial" w:cs="Arial" w:eastAsia="Arial" w:hAnsi="Arial"/>
                <w:sz w:val="13"/>
                <w:szCs w:val="13"/>
                <w:b w:val="1"/>
                <w:bCs w:val="1"/>
                <w:color w:val="FFFFFF"/>
                <w:w w:val="87"/>
              </w:rPr>
              <w:t>($)</w:t>
            </w:r>
          </w:p>
        </w:tc>
        <w:tc>
          <w:tcPr>
            <w:tcW w:w="160" w:type="dxa"/>
            <w:vAlign w:val="bottom"/>
            <w:shd w:val="clear" w:color="auto" w:fill="0E2A35"/>
          </w:tcPr>
          <w:p>
            <w:pPr>
              <w:spacing w:after="0"/>
              <w:rPr>
                <w:sz w:val="14"/>
                <w:szCs w:val="14"/>
                <w:color w:val="auto"/>
              </w:rPr>
            </w:pPr>
          </w:p>
        </w:tc>
        <w:tc>
          <w:tcPr>
            <w:tcW w:w="240" w:type="dxa"/>
            <w:vAlign w:val="bottom"/>
            <w:shd w:val="clear" w:color="auto" w:fill="0E2A35"/>
          </w:tcPr>
          <w:p>
            <w:pPr>
              <w:spacing w:after="0"/>
              <w:rPr>
                <w:sz w:val="14"/>
                <w:szCs w:val="14"/>
                <w:color w:val="auto"/>
              </w:rPr>
            </w:pPr>
          </w:p>
        </w:tc>
        <w:tc>
          <w:tcPr>
            <w:tcW w:w="980" w:type="dxa"/>
            <w:vAlign w:val="bottom"/>
            <w:gridSpan w:val="2"/>
            <w:shd w:val="clear" w:color="auto" w:fill="0E2A35"/>
          </w:tcPr>
          <w:p>
            <w:pPr>
              <w:jc w:val="center"/>
              <w:ind w:left="79"/>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E2A35"/>
          </w:tcPr>
          <w:p>
            <w:pPr>
              <w:spacing w:after="0"/>
              <w:rPr>
                <w:sz w:val="14"/>
                <w:szCs w:val="14"/>
                <w:color w:val="auto"/>
              </w:rPr>
            </w:pPr>
          </w:p>
        </w:tc>
        <w:tc>
          <w:tcPr>
            <w:tcW w:w="280" w:type="dxa"/>
            <w:vAlign w:val="bottom"/>
            <w:shd w:val="clear" w:color="auto" w:fill="0E2A35"/>
          </w:tcPr>
          <w:p>
            <w:pPr>
              <w:spacing w:after="0"/>
              <w:rPr>
                <w:sz w:val="14"/>
                <w:szCs w:val="14"/>
                <w:color w:val="auto"/>
              </w:rPr>
            </w:pPr>
          </w:p>
        </w:tc>
        <w:tc>
          <w:tcPr>
            <w:tcW w:w="1340" w:type="dxa"/>
            <w:vAlign w:val="bottom"/>
            <w:shd w:val="clear" w:color="auto" w:fill="0E2A35"/>
          </w:tcPr>
          <w:p>
            <w:pPr>
              <w:jc w:val="center"/>
              <w:ind w:left="78"/>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E2A35"/>
          </w:tcPr>
          <w:p>
            <w:pPr>
              <w:spacing w:after="0"/>
              <w:rPr>
                <w:sz w:val="14"/>
                <w:szCs w:val="14"/>
                <w:color w:val="auto"/>
              </w:rPr>
            </w:pPr>
          </w:p>
        </w:tc>
        <w:tc>
          <w:tcPr>
            <w:tcW w:w="240" w:type="dxa"/>
            <w:vAlign w:val="bottom"/>
            <w:shd w:val="clear" w:color="auto" w:fill="0E2A35"/>
          </w:tcPr>
          <w:p>
            <w:pPr>
              <w:spacing w:after="0"/>
              <w:rPr>
                <w:sz w:val="14"/>
                <w:szCs w:val="14"/>
                <w:color w:val="auto"/>
              </w:rPr>
            </w:pPr>
          </w:p>
        </w:tc>
        <w:tc>
          <w:tcPr>
            <w:tcW w:w="740" w:type="dxa"/>
            <w:vAlign w:val="bottom"/>
            <w:shd w:val="clear" w:color="auto" w:fill="0E2A35"/>
          </w:tcPr>
          <w:p>
            <w:pPr>
              <w:jc w:val="center"/>
              <w:ind w:left="57"/>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76"/>
        </w:trPr>
        <w:tc>
          <w:tcPr>
            <w:tcW w:w="2360" w:type="dxa"/>
            <w:vAlign w:val="bottom"/>
            <w:shd w:val="clear" w:color="auto" w:fill="0E2A35"/>
          </w:tcPr>
          <w:p>
            <w:pPr>
              <w:spacing w:after="0"/>
              <w:rPr>
                <w:sz w:val="6"/>
                <w:szCs w:val="6"/>
                <w:color w:val="auto"/>
              </w:rPr>
            </w:pPr>
          </w:p>
        </w:tc>
        <w:tc>
          <w:tcPr>
            <w:tcW w:w="120" w:type="dxa"/>
            <w:vAlign w:val="bottom"/>
            <w:shd w:val="clear" w:color="auto" w:fill="0E2A35"/>
          </w:tcPr>
          <w:p>
            <w:pPr>
              <w:spacing w:after="0"/>
              <w:rPr>
                <w:sz w:val="6"/>
                <w:szCs w:val="6"/>
                <w:color w:val="auto"/>
              </w:rPr>
            </w:pPr>
          </w:p>
        </w:tc>
        <w:tc>
          <w:tcPr>
            <w:tcW w:w="600" w:type="dxa"/>
            <w:vAlign w:val="bottom"/>
            <w:shd w:val="clear" w:color="auto" w:fill="0E2A35"/>
          </w:tcPr>
          <w:p>
            <w:pPr>
              <w:spacing w:after="0"/>
              <w:rPr>
                <w:sz w:val="6"/>
                <w:szCs w:val="6"/>
                <w:color w:val="auto"/>
              </w:rPr>
            </w:pPr>
          </w:p>
        </w:tc>
        <w:tc>
          <w:tcPr>
            <w:tcW w:w="120" w:type="dxa"/>
            <w:vAlign w:val="bottom"/>
            <w:shd w:val="clear" w:color="auto" w:fill="0E2A35"/>
          </w:tcPr>
          <w:p>
            <w:pPr>
              <w:spacing w:after="0"/>
              <w:rPr>
                <w:sz w:val="6"/>
                <w:szCs w:val="6"/>
                <w:color w:val="auto"/>
              </w:rPr>
            </w:pPr>
          </w:p>
        </w:tc>
        <w:tc>
          <w:tcPr>
            <w:tcW w:w="240" w:type="dxa"/>
            <w:vAlign w:val="bottom"/>
            <w:shd w:val="clear" w:color="auto" w:fill="0E2A35"/>
          </w:tcPr>
          <w:p>
            <w:pPr>
              <w:spacing w:after="0"/>
              <w:rPr>
                <w:sz w:val="6"/>
                <w:szCs w:val="6"/>
                <w:color w:val="auto"/>
              </w:rPr>
            </w:pPr>
          </w:p>
        </w:tc>
        <w:tc>
          <w:tcPr>
            <w:tcW w:w="1160" w:type="dxa"/>
            <w:vAlign w:val="bottom"/>
            <w:shd w:val="clear" w:color="auto" w:fill="0E2A35"/>
          </w:tcPr>
          <w:p>
            <w:pPr>
              <w:spacing w:after="0"/>
              <w:rPr>
                <w:sz w:val="6"/>
                <w:szCs w:val="6"/>
                <w:color w:val="auto"/>
              </w:rPr>
            </w:pPr>
          </w:p>
        </w:tc>
        <w:tc>
          <w:tcPr>
            <w:tcW w:w="160" w:type="dxa"/>
            <w:vAlign w:val="bottom"/>
            <w:shd w:val="clear" w:color="auto" w:fill="0E2A35"/>
          </w:tcPr>
          <w:p>
            <w:pPr>
              <w:spacing w:after="0"/>
              <w:rPr>
                <w:sz w:val="6"/>
                <w:szCs w:val="6"/>
                <w:color w:val="auto"/>
              </w:rPr>
            </w:pPr>
          </w:p>
        </w:tc>
        <w:tc>
          <w:tcPr>
            <w:tcW w:w="240" w:type="dxa"/>
            <w:vAlign w:val="bottom"/>
            <w:shd w:val="clear" w:color="auto" w:fill="0E2A35"/>
          </w:tcPr>
          <w:p>
            <w:pPr>
              <w:spacing w:after="0"/>
              <w:rPr>
                <w:sz w:val="6"/>
                <w:szCs w:val="6"/>
                <w:color w:val="auto"/>
              </w:rPr>
            </w:pPr>
          </w:p>
        </w:tc>
        <w:tc>
          <w:tcPr>
            <w:tcW w:w="580" w:type="dxa"/>
            <w:vAlign w:val="bottom"/>
            <w:shd w:val="clear" w:color="auto" w:fill="0E2A35"/>
          </w:tcPr>
          <w:p>
            <w:pPr>
              <w:spacing w:after="0"/>
              <w:rPr>
                <w:sz w:val="6"/>
                <w:szCs w:val="6"/>
                <w:color w:val="auto"/>
              </w:rPr>
            </w:pPr>
          </w:p>
        </w:tc>
        <w:tc>
          <w:tcPr>
            <w:tcW w:w="400" w:type="dxa"/>
            <w:vAlign w:val="bottom"/>
            <w:shd w:val="clear" w:color="auto" w:fill="0E2A35"/>
          </w:tcPr>
          <w:p>
            <w:pPr>
              <w:spacing w:after="0"/>
              <w:rPr>
                <w:sz w:val="6"/>
                <w:szCs w:val="6"/>
                <w:color w:val="auto"/>
              </w:rPr>
            </w:pPr>
          </w:p>
        </w:tc>
        <w:tc>
          <w:tcPr>
            <w:tcW w:w="160" w:type="dxa"/>
            <w:vAlign w:val="bottom"/>
            <w:shd w:val="clear" w:color="auto" w:fill="0E2A35"/>
          </w:tcPr>
          <w:p>
            <w:pPr>
              <w:spacing w:after="0"/>
              <w:rPr>
                <w:sz w:val="6"/>
                <w:szCs w:val="6"/>
                <w:color w:val="auto"/>
              </w:rPr>
            </w:pPr>
          </w:p>
        </w:tc>
        <w:tc>
          <w:tcPr>
            <w:tcW w:w="280" w:type="dxa"/>
            <w:vAlign w:val="bottom"/>
            <w:shd w:val="clear" w:color="auto" w:fill="0E2A35"/>
          </w:tcPr>
          <w:p>
            <w:pPr>
              <w:spacing w:after="0"/>
              <w:rPr>
                <w:sz w:val="6"/>
                <w:szCs w:val="6"/>
                <w:color w:val="auto"/>
              </w:rPr>
            </w:pPr>
          </w:p>
        </w:tc>
        <w:tc>
          <w:tcPr>
            <w:tcW w:w="1340" w:type="dxa"/>
            <w:vAlign w:val="bottom"/>
            <w:shd w:val="clear" w:color="auto" w:fill="0E2A35"/>
          </w:tcPr>
          <w:p>
            <w:pPr>
              <w:spacing w:after="0"/>
              <w:rPr>
                <w:sz w:val="6"/>
                <w:szCs w:val="6"/>
                <w:color w:val="auto"/>
              </w:rPr>
            </w:pPr>
          </w:p>
        </w:tc>
        <w:tc>
          <w:tcPr>
            <w:tcW w:w="180" w:type="dxa"/>
            <w:vAlign w:val="bottom"/>
            <w:shd w:val="clear" w:color="auto" w:fill="0E2A35"/>
          </w:tcPr>
          <w:p>
            <w:pPr>
              <w:spacing w:after="0"/>
              <w:rPr>
                <w:sz w:val="6"/>
                <w:szCs w:val="6"/>
                <w:color w:val="auto"/>
              </w:rPr>
            </w:pPr>
          </w:p>
        </w:tc>
        <w:tc>
          <w:tcPr>
            <w:tcW w:w="240" w:type="dxa"/>
            <w:vAlign w:val="bottom"/>
            <w:shd w:val="clear" w:color="auto" w:fill="0E2A35"/>
          </w:tcPr>
          <w:p>
            <w:pPr>
              <w:spacing w:after="0"/>
              <w:rPr>
                <w:sz w:val="6"/>
                <w:szCs w:val="6"/>
                <w:color w:val="auto"/>
              </w:rPr>
            </w:pPr>
          </w:p>
        </w:tc>
        <w:tc>
          <w:tcPr>
            <w:tcW w:w="740" w:type="dxa"/>
            <w:vAlign w:val="bottom"/>
            <w:shd w:val="clear" w:color="auto" w:fill="0E2A35"/>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60"/>
              <w:spacing w:after="0"/>
              <w:rPr>
                <w:sz w:val="20"/>
                <w:szCs w:val="20"/>
                <w:color w:val="auto"/>
              </w:rPr>
            </w:pPr>
            <w:r>
              <w:rPr>
                <w:rFonts w:ascii="Arial" w:cs="Arial" w:eastAsia="Arial" w:hAnsi="Arial"/>
                <w:sz w:val="13"/>
                <w:szCs w:val="13"/>
                <w:color w:val="0E2A35"/>
              </w:rPr>
              <w:t>Michael J. Happe​</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2022​</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78"/>
              <w:spacing w:after="0"/>
              <w:rPr>
                <w:sz w:val="20"/>
                <w:szCs w:val="20"/>
                <w:color w:val="auto"/>
              </w:rPr>
            </w:pPr>
            <w:r>
              <w:rPr>
                <w:rFonts w:ascii="Arial" w:cs="Arial" w:eastAsia="Arial" w:hAnsi="Arial"/>
                <w:sz w:val="13"/>
                <w:szCs w:val="13"/>
                <w:color w:val="0E2A35"/>
              </w:rPr>
              <w:t>1,469,999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1"/>
                <w:szCs w:val="21"/>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298"/>
              <w:spacing w:after="0"/>
              <w:rPr>
                <w:sz w:val="20"/>
                <w:szCs w:val="20"/>
                <w:color w:val="auto"/>
              </w:rPr>
            </w:pPr>
            <w:r>
              <w:rPr>
                <w:rFonts w:ascii="Arial" w:cs="Arial" w:eastAsia="Arial" w:hAnsi="Arial"/>
                <w:sz w:val="13"/>
                <w:szCs w:val="13"/>
                <w:color w:val="0E2A35"/>
              </w:rPr>
              <w:t>2,099,966​</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3,569,965​</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gridSpan w:val="2"/>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ind w:left="22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2021​</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78"/>
              <w:spacing w:after="0"/>
              <w:rPr>
                <w:sz w:val="20"/>
                <w:szCs w:val="20"/>
                <w:color w:val="auto"/>
              </w:rPr>
            </w:pPr>
            <w:r>
              <w:rPr>
                <w:rFonts w:ascii="Arial" w:cs="Arial" w:eastAsia="Arial" w:hAnsi="Arial"/>
                <w:sz w:val="13"/>
                <w:szCs w:val="13"/>
                <w:color w:val="0E2A35"/>
              </w:rPr>
              <w:t>1,224,990​</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157"/>
              <w:spacing w:after="0"/>
              <w:rPr>
                <w:sz w:val="20"/>
                <w:szCs w:val="20"/>
                <w:color w:val="auto"/>
              </w:rPr>
            </w:pPr>
            <w:r>
              <w:rPr>
                <w:rFonts w:ascii="Arial" w:cs="Arial" w:eastAsia="Arial" w:hAnsi="Arial"/>
                <w:sz w:val="13"/>
                <w:szCs w:val="13"/>
                <w:color w:val="0E2A35"/>
              </w:rPr>
              <w:t>599,989​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298"/>
              <w:spacing w:after="0"/>
              <w:rPr>
                <w:sz w:val="20"/>
                <w:szCs w:val="20"/>
                <w:color w:val="auto"/>
              </w:rPr>
            </w:pPr>
            <w:r>
              <w:rPr>
                <w:rFonts w:ascii="Arial" w:cs="Arial" w:eastAsia="Arial" w:hAnsi="Arial"/>
                <w:sz w:val="13"/>
                <w:szCs w:val="13"/>
                <w:color w:val="0E2A35"/>
              </w:rPr>
              <w:t>1,750,001​</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3,574,980​</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2020</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78"/>
              <w:spacing w:after="0"/>
              <w:rPr>
                <w:sz w:val="20"/>
                <w:szCs w:val="20"/>
                <w:color w:val="auto"/>
              </w:rPr>
            </w:pPr>
            <w:r>
              <w:rPr>
                <w:rFonts w:ascii="Arial" w:cs="Arial" w:eastAsia="Arial" w:hAnsi="Arial"/>
                <w:sz w:val="13"/>
                <w:szCs w:val="13"/>
                <w:color w:val="0E2A35"/>
              </w:rPr>
              <w:t>1,084,991</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298"/>
              <w:spacing w:after="0"/>
              <w:rPr>
                <w:sz w:val="20"/>
                <w:szCs w:val="20"/>
                <w:color w:val="auto"/>
              </w:rPr>
            </w:pPr>
            <w:r>
              <w:rPr>
                <w:rFonts w:ascii="Arial" w:cs="Arial" w:eastAsia="Arial" w:hAnsi="Arial"/>
                <w:sz w:val="13"/>
                <w:szCs w:val="13"/>
                <w:color w:val="0E2A35"/>
              </w:rPr>
              <w:t>1,550,008</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2,634,999</w:t>
            </w:r>
          </w:p>
        </w:tc>
        <w:tc>
          <w:tcPr>
            <w:tcW w:w="0" w:type="dxa"/>
            <w:vAlign w:val="bottom"/>
          </w:tcPr>
          <w:p>
            <w:pPr>
              <w:spacing w:after="0"/>
              <w:rPr>
                <w:sz w:val="1"/>
                <w:szCs w:val="1"/>
                <w:color w:val="auto"/>
              </w:rPr>
            </w:pPr>
          </w:p>
        </w:tc>
      </w:tr>
      <w:tr>
        <w:trPr>
          <w:trHeight w:val="82"/>
        </w:trPr>
        <w:tc>
          <w:tcPr>
            <w:tcW w:w="236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ind w:left="60"/>
              <w:spacing w:after="0"/>
              <w:rPr>
                <w:sz w:val="20"/>
                <w:szCs w:val="20"/>
                <w:color w:val="auto"/>
              </w:rPr>
            </w:pPr>
            <w:r>
              <w:rPr>
                <w:rFonts w:ascii="Arial" w:cs="Arial" w:eastAsia="Arial" w:hAnsi="Arial"/>
                <w:sz w:val="13"/>
                <w:szCs w:val="13"/>
                <w:color w:val="0E2A35"/>
              </w:rPr>
              <w:t>Bryan L. Hughes​</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2022​</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343,783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412,495​</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756,278</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gridSpan w:val="2"/>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ind w:left="22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2021​</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229,675</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157"/>
              <w:spacing w:after="0"/>
              <w:rPr>
                <w:sz w:val="20"/>
                <w:szCs w:val="20"/>
                <w:color w:val="auto"/>
              </w:rPr>
            </w:pPr>
            <w:r>
              <w:rPr>
                <w:rFonts w:ascii="Arial" w:cs="Arial" w:eastAsia="Arial" w:hAnsi="Arial"/>
                <w:sz w:val="13"/>
                <w:szCs w:val="13"/>
                <w:color w:val="0E2A35"/>
              </w:rPr>
              <w:t>210,004​</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328,139​</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767,818</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2020​</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245,929​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278,857​</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524,786​</w:t>
            </w:r>
          </w:p>
        </w:tc>
        <w:tc>
          <w:tcPr>
            <w:tcW w:w="0" w:type="dxa"/>
            <w:vAlign w:val="bottom"/>
          </w:tcPr>
          <w:p>
            <w:pPr>
              <w:spacing w:after="0"/>
              <w:rPr>
                <w:sz w:val="1"/>
                <w:szCs w:val="1"/>
                <w:color w:val="auto"/>
              </w:rPr>
            </w:pPr>
          </w:p>
        </w:tc>
      </w:tr>
      <w:tr>
        <w:trPr>
          <w:trHeight w:val="82"/>
        </w:trPr>
        <w:tc>
          <w:tcPr>
            <w:tcW w:w="236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ind w:left="60"/>
              <w:spacing w:after="0"/>
              <w:rPr>
                <w:sz w:val="20"/>
                <w:szCs w:val="20"/>
                <w:color w:val="auto"/>
              </w:rPr>
            </w:pPr>
            <w:r>
              <w:rPr>
                <w:rFonts w:ascii="Arial" w:cs="Arial" w:eastAsia="Arial" w:hAnsi="Arial"/>
                <w:sz w:val="13"/>
                <w:szCs w:val="13"/>
                <w:color w:val="0E2A35"/>
              </w:rPr>
              <w:t>Stacy L. Bogart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2022 </w:t>
            </w:r>
            <w:r>
              <w:rPr>
                <w:rFonts w:ascii="Times New Roman" w:cs="Times New Roman" w:eastAsia="Times New Roman" w:hAnsi="Times New Roman"/>
                <w:sz w:val="3"/>
                <w:szCs w:val="3"/>
                <w:color w:val="000000"/>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280,514</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330,782</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611,296</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gridSpan w:val="2"/>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ind w:left="22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2021 </w:t>
            </w:r>
            <w:r>
              <w:rPr>
                <w:rFonts w:ascii="Times New Roman" w:cs="Times New Roman" w:eastAsia="Times New Roman" w:hAnsi="Times New Roman"/>
                <w:sz w:val="3"/>
                <w:szCs w:val="3"/>
                <w:color w:val="000000"/>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177,093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157"/>
              <w:spacing w:after="0"/>
              <w:rPr>
                <w:sz w:val="20"/>
                <w:szCs w:val="20"/>
                <w:color w:val="auto"/>
              </w:rPr>
            </w:pPr>
            <w:r>
              <w:rPr>
                <w:rFonts w:ascii="Arial" w:cs="Arial" w:eastAsia="Arial" w:hAnsi="Arial"/>
                <w:sz w:val="13"/>
                <w:szCs w:val="13"/>
                <w:color w:val="0E2A35"/>
              </w:rPr>
              <w:t>159,983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252,997</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590,073</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2020 </w:t>
            </w:r>
            <w:r>
              <w:rPr>
                <w:rFonts w:ascii="Times New Roman" w:cs="Times New Roman" w:eastAsia="Times New Roman" w:hAnsi="Times New Roman"/>
                <w:sz w:val="3"/>
                <w:szCs w:val="3"/>
                <w:color w:val="000000"/>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205,955</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231,262</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437,217</w:t>
            </w:r>
          </w:p>
        </w:tc>
        <w:tc>
          <w:tcPr>
            <w:tcW w:w="0" w:type="dxa"/>
            <w:vAlign w:val="bottom"/>
          </w:tcPr>
          <w:p>
            <w:pPr>
              <w:spacing w:after="0"/>
              <w:rPr>
                <w:sz w:val="1"/>
                <w:szCs w:val="1"/>
                <w:color w:val="auto"/>
              </w:rPr>
            </w:pPr>
          </w:p>
        </w:tc>
      </w:tr>
      <w:tr>
        <w:trPr>
          <w:trHeight w:val="82"/>
        </w:trPr>
        <w:tc>
          <w:tcPr>
            <w:tcW w:w="236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360" w:type="dxa"/>
            <w:vAlign w:val="bottom"/>
          </w:tcPr>
          <w:p>
            <w:pPr>
              <w:ind w:left="60"/>
              <w:spacing w:after="0"/>
              <w:rPr>
                <w:sz w:val="20"/>
                <w:szCs w:val="20"/>
                <w:color w:val="auto"/>
              </w:rPr>
            </w:pPr>
            <w:r>
              <w:rPr>
                <w:rFonts w:ascii="Arial" w:cs="Arial" w:eastAsia="Arial" w:hAnsi="Arial"/>
                <w:sz w:val="13"/>
                <w:szCs w:val="13"/>
                <w:color w:val="0E2A35"/>
              </w:rPr>
              <w:t>​Huw S. Bower</w:t>
            </w:r>
            <w:r>
              <w:rPr>
                <w:rFonts w:ascii="Arial" w:cs="Arial" w:eastAsia="Arial" w:hAnsi="Arial"/>
                <w:sz w:val="20"/>
                <w:szCs w:val="20"/>
                <w:color w:val="0E2A35"/>
                <w:vertAlign w:val="superscript"/>
              </w:rPr>
              <w:t>(d)</w:t>
            </w:r>
            <w:r>
              <w:rPr>
                <w:rFonts w:ascii="Arial" w:cs="Arial" w:eastAsia="Arial" w:hAnsi="Arial"/>
                <w:sz w:val="13"/>
                <w:szCs w:val="13"/>
                <w:color w:val="0E2A35"/>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0E2A35"/>
            </w:tcBorders>
          </w:tcPr>
          <w:p>
            <w:pPr>
              <w:ind w:left="240"/>
              <w:spacing w:after="0"/>
              <w:rPr>
                <w:sz w:val="20"/>
                <w:szCs w:val="20"/>
                <w:color w:val="auto"/>
              </w:rPr>
            </w:pPr>
            <w:r>
              <w:rPr>
                <w:rFonts w:ascii="Arial" w:cs="Arial" w:eastAsia="Arial" w:hAnsi="Arial"/>
                <w:sz w:val="13"/>
                <w:szCs w:val="13"/>
                <w:color w:val="0E2A35"/>
              </w:rPr>
              <w:t>2022​</w:t>
            </w:r>
          </w:p>
        </w:tc>
        <w:tc>
          <w:tcPr>
            <w:tcW w:w="120" w:type="dxa"/>
            <w:vAlign w:val="bottom"/>
            <w:tcBorders>
              <w:bottom w:val="single" w:sz="8" w:color="0E2A35"/>
            </w:tcBorders>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0E2A35"/>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Borders>
              <w:bottom w:val="single" w:sz="8" w:color="0E2A35"/>
            </w:tcBorders>
          </w:tcPr>
          <w:p>
            <w:pPr>
              <w:ind w:left="440"/>
              <w:spacing w:after="0"/>
              <w:rPr>
                <w:sz w:val="20"/>
                <w:szCs w:val="20"/>
                <w:color w:val="auto"/>
              </w:rPr>
            </w:pPr>
            <w:r>
              <w:rPr>
                <w:rFonts w:ascii="Arial" w:cs="Arial" w:eastAsia="Arial" w:hAnsi="Arial"/>
                <w:sz w:val="13"/>
                <w:szCs w:val="13"/>
                <w:color w:val="0E2A35"/>
              </w:rPr>
              <w:t>356,860</w:t>
            </w:r>
          </w:p>
        </w:tc>
        <w:tc>
          <w:tcPr>
            <w:tcW w:w="160" w:type="dxa"/>
            <w:vAlign w:val="bottom"/>
            <w:tcBorders>
              <w:bottom w:val="single" w:sz="8" w:color="0E2A35"/>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0E2A35"/>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0E2A35"/>
            </w:tcBorders>
          </w:tcPr>
          <w:p>
            <w:pPr>
              <w:spacing w:after="0"/>
              <w:rPr>
                <w:sz w:val="24"/>
                <w:szCs w:val="24"/>
                <w:color w:val="auto"/>
              </w:rPr>
            </w:pPr>
          </w:p>
        </w:tc>
        <w:tc>
          <w:tcPr>
            <w:tcW w:w="400" w:type="dxa"/>
            <w:vAlign w:val="bottom"/>
            <w:tcBorders>
              <w:bottom w:val="single" w:sz="8" w:color="0E2A35"/>
            </w:tcBorders>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Borders>
              <w:bottom w:val="single" w:sz="8" w:color="0E2A35"/>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0E2A35"/>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0E2A35"/>
            </w:tcBorders>
          </w:tcPr>
          <w:p>
            <w:pPr>
              <w:jc w:val="center"/>
              <w:ind w:left="78"/>
              <w:spacing w:after="0"/>
              <w:rPr>
                <w:sz w:val="20"/>
                <w:szCs w:val="20"/>
                <w:color w:val="auto"/>
              </w:rPr>
            </w:pPr>
            <w:r>
              <w:rPr>
                <w:rFonts w:ascii="Arial" w:cs="Arial" w:eastAsia="Arial" w:hAnsi="Arial"/>
                <w:sz w:val="13"/>
                <w:szCs w:val="13"/>
                <w:color w:val="0E2A35"/>
                <w:w w:val="93"/>
              </w:rPr>
              <w:t>509,779</w:t>
            </w:r>
          </w:p>
        </w:tc>
        <w:tc>
          <w:tcPr>
            <w:tcW w:w="180" w:type="dxa"/>
            <w:vAlign w:val="bottom"/>
            <w:tcBorders>
              <w:bottom w:val="single" w:sz="8" w:color="0E2A35"/>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0E2A35"/>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866,639</w:t>
            </w:r>
          </w:p>
        </w:tc>
        <w:tc>
          <w:tcPr>
            <w:tcW w:w="0" w:type="dxa"/>
            <w:vAlign w:val="bottom"/>
          </w:tcPr>
          <w:p>
            <w:pPr>
              <w:spacing w:after="0"/>
              <w:rPr>
                <w:sz w:val="1"/>
                <w:szCs w:val="1"/>
                <w:color w:val="auto"/>
              </w:rPr>
            </w:pPr>
          </w:p>
        </w:tc>
      </w:tr>
      <w:tr>
        <w:trPr>
          <w:trHeight w:val="236"/>
        </w:trPr>
        <w:tc>
          <w:tcPr>
            <w:tcW w:w="2360" w:type="dxa"/>
            <w:vAlign w:val="bottom"/>
          </w:tcPr>
          <w:p>
            <w:pPr>
              <w:ind w:left="22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2021​</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78"/>
              <w:spacing w:after="0"/>
              <w:rPr>
                <w:sz w:val="20"/>
                <w:szCs w:val="20"/>
                <w:color w:val="auto"/>
              </w:rPr>
            </w:pPr>
            <w:r>
              <w:rPr>
                <w:rFonts w:ascii="Arial" w:cs="Arial" w:eastAsia="Arial" w:hAnsi="Arial"/>
                <w:sz w:val="13"/>
                <w:szCs w:val="13"/>
                <w:color w:val="0E2A35"/>
              </w:rPr>
              <w:t>1,496,524</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center"/>
              <w:ind w:left="78"/>
              <w:spacing w:after="0"/>
              <w:rPr>
                <w:sz w:val="20"/>
                <w:szCs w:val="20"/>
                <w:color w:val="auto"/>
              </w:rPr>
            </w:pPr>
            <w:r>
              <w:rPr>
                <w:rFonts w:ascii="Arial" w:cs="Arial" w:eastAsia="Arial" w:hAnsi="Arial"/>
                <w:sz w:val="13"/>
                <w:szCs w:val="13"/>
                <w:color w:val="0E2A35"/>
                <w:w w:val="93"/>
              </w:rPr>
              <w:t>494,987</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1,991,511</w:t>
            </w:r>
          </w:p>
        </w:tc>
        <w:tc>
          <w:tcPr>
            <w:tcW w:w="0" w:type="dxa"/>
            <w:vAlign w:val="bottom"/>
          </w:tcPr>
          <w:p>
            <w:pPr>
              <w:spacing w:after="0"/>
              <w:rPr>
                <w:sz w:val="1"/>
                <w:szCs w:val="1"/>
                <w:color w:val="auto"/>
              </w:rPr>
            </w:pPr>
          </w:p>
        </w:tc>
      </w:tr>
      <w:tr>
        <w:trPr>
          <w:trHeight w:val="82"/>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2020​</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298"/>
              <w:spacing w:after="0"/>
              <w:rPr>
                <w:sz w:val="20"/>
                <w:szCs w:val="20"/>
                <w:color w:val="auto"/>
              </w:rPr>
            </w:pPr>
            <w:r>
              <w:rPr>
                <w:rFonts w:ascii="Arial" w:cs="Arial" w:eastAsia="Arial" w:hAnsi="Arial"/>
                <w:sz w:val="13"/>
                <w:szCs w:val="13"/>
                <w:color w:val="0E2A35"/>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r>
        <w:trPr>
          <w:trHeight w:val="82"/>
        </w:trPr>
        <w:tc>
          <w:tcPr>
            <w:tcW w:w="236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60" w:type="dxa"/>
            <w:vAlign w:val="bottom"/>
          </w:tcPr>
          <w:p>
            <w:pPr>
              <w:ind w:left="60"/>
              <w:spacing w:after="0"/>
              <w:rPr>
                <w:sz w:val="20"/>
                <w:szCs w:val="20"/>
                <w:color w:val="auto"/>
              </w:rPr>
            </w:pPr>
            <w:r>
              <w:rPr>
                <w:rFonts w:ascii="Arial" w:cs="Arial" w:eastAsia="Arial" w:hAnsi="Arial"/>
                <w:sz w:val="13"/>
                <w:szCs w:val="13"/>
                <w:color w:val="0E2A35"/>
              </w:rPr>
              <w:t>Donald J. Clark​</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240"/>
              <w:spacing w:after="0"/>
              <w:rPr>
                <w:sz w:val="20"/>
                <w:szCs w:val="20"/>
                <w:color w:val="auto"/>
              </w:rPr>
            </w:pPr>
            <w:r>
              <w:rPr>
                <w:rFonts w:ascii="Arial" w:cs="Arial" w:eastAsia="Arial" w:hAnsi="Arial"/>
                <w:sz w:val="13"/>
                <w:szCs w:val="13"/>
                <w:color w:val="0E2A35"/>
              </w:rPr>
              <w:t>2022​</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0"/>
                <w:szCs w:val="20"/>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298"/>
              <w:spacing w:after="0"/>
              <w:rPr>
                <w:sz w:val="20"/>
                <w:szCs w:val="20"/>
                <w:color w:val="auto"/>
              </w:rPr>
            </w:pPr>
            <w:r>
              <w:rPr>
                <w:rFonts w:ascii="Arial" w:cs="Arial" w:eastAsia="Arial" w:hAnsi="Arial"/>
                <w:sz w:val="13"/>
                <w:szCs w:val="13"/>
                <w:color w:val="0E2A35"/>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52070</wp:posOffset>
            </wp:positionV>
            <wp:extent cx="40976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187" w:lineRule="exact"/>
        <w:rPr>
          <w:sz w:val="20"/>
          <w:szCs w:val="20"/>
          <w:color w:val="auto"/>
        </w:rPr>
      </w:pPr>
    </w:p>
    <w:p>
      <w:pPr>
        <w:ind w:left="2600"/>
        <w:spacing w:after="0"/>
        <w:tabs>
          <w:tab w:leader="none" w:pos="2820" w:val="left"/>
        </w:tabs>
        <w:rPr>
          <w:sz w:val="20"/>
          <w:szCs w:val="20"/>
          <w:color w:val="auto"/>
        </w:rPr>
      </w:pPr>
      <w:r>
        <w:rPr>
          <w:rFonts w:ascii="Times New Roman" w:cs="Times New Roman" w:eastAsia="Times New Roman" w:hAnsi="Times New Roman"/>
          <w:sz w:val="1"/>
          <w:szCs w:val="1"/>
          <w:color w:val="auto"/>
          <w:vertAlign w:val="subscript"/>
        </w:rPr>
        <w:t>​</w:t>
      </w:r>
      <w:r>
        <w:rPr>
          <w:sz w:val="20"/>
          <w:szCs w:val="20"/>
          <w:color w:val="auto"/>
        </w:rPr>
        <w:tab/>
      </w:r>
      <w:r>
        <w:rPr>
          <w:rFonts w:ascii="Times New Roman" w:cs="Times New Roman" w:eastAsia="Times New Roman" w:hAnsi="Times New Roman"/>
          <w:sz w:val="1"/>
          <w:szCs w:val="1"/>
          <w:color w:val="auto"/>
        </w:rPr>
        <w:t>​</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20" w:type="dxa"/>
            <w:vAlign w:val="bottom"/>
          </w:tcPr>
          <w:p>
            <w:pPr>
              <w:spacing w:after="0"/>
              <w:rPr>
                <w:sz w:val="20"/>
                <w:szCs w:val="20"/>
                <w:color w:val="auto"/>
              </w:rPr>
            </w:pPr>
            <w:r>
              <w:rPr>
                <w:rFonts w:ascii="Arial" w:cs="Arial" w:eastAsia="Arial" w:hAnsi="Arial"/>
                <w:sz w:val="13"/>
                <w:szCs w:val="13"/>
                <w:color w:val="0E2A35"/>
              </w:rPr>
              <w:t>2021​</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0E2A35"/>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0E2A35"/>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500"/>
              <w:spacing w:after="0"/>
              <w:rPr>
                <w:sz w:val="20"/>
                <w:szCs w:val="20"/>
                <w:color w:val="auto"/>
              </w:rPr>
            </w:pPr>
            <w:r>
              <w:rPr>
                <w:rFonts w:ascii="Arial" w:cs="Arial" w:eastAsia="Arial" w:hAnsi="Arial"/>
                <w:sz w:val="13"/>
                <w:szCs w:val="13"/>
                <w:color w:val="0E2A35"/>
              </w:rPr>
              <w:t>—</w:t>
            </w:r>
          </w:p>
        </w:tc>
        <w:tc>
          <w:tcPr>
            <w:tcW w:w="3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337"/>
        </w:trPr>
        <w:tc>
          <w:tcPr>
            <w:tcW w:w="320" w:type="dxa"/>
            <w:vAlign w:val="bottom"/>
          </w:tcPr>
          <w:p>
            <w:pPr>
              <w:spacing w:after="0"/>
              <w:rPr>
                <w:sz w:val="20"/>
                <w:szCs w:val="20"/>
                <w:color w:val="auto"/>
              </w:rPr>
            </w:pPr>
            <w:r>
              <w:rPr>
                <w:rFonts w:ascii="Arial" w:cs="Arial" w:eastAsia="Arial" w:hAnsi="Arial"/>
                <w:sz w:val="13"/>
                <w:szCs w:val="13"/>
                <w:color w:val="0E2A35"/>
              </w:rPr>
              <w:t>2020​</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440"/>
              <w:spacing w:after="0"/>
              <w:rPr>
                <w:sz w:val="20"/>
                <w:szCs w:val="20"/>
                <w:color w:val="auto"/>
              </w:rPr>
            </w:pPr>
            <w:r>
              <w:rPr>
                <w:rFonts w:ascii="Arial" w:cs="Arial" w:eastAsia="Arial" w:hAnsi="Arial"/>
                <w:sz w:val="13"/>
                <w:szCs w:val="13"/>
                <w:color w:val="0E2A35"/>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0E2A35"/>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500"/>
              <w:spacing w:after="0"/>
              <w:rPr>
                <w:sz w:val="20"/>
                <w:szCs w:val="20"/>
                <w:color w:val="auto"/>
              </w:rPr>
            </w:pPr>
            <w:r>
              <w:rPr>
                <w:rFonts w:ascii="Arial" w:cs="Arial" w:eastAsia="Arial" w:hAnsi="Arial"/>
                <w:sz w:val="13"/>
                <w:szCs w:val="13"/>
                <w:color w:val="0E2A35"/>
              </w:rPr>
              <w:t>—</w:t>
            </w:r>
          </w:p>
        </w:tc>
        <w:tc>
          <w:tcPr>
            <w:tcW w:w="3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-161925</wp:posOffset>
            </wp:positionV>
            <wp:extent cx="40976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97655" cy="889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60325</wp:posOffset>
            </wp:positionV>
            <wp:extent cx="56661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0E2A35"/>
        </w:rPr>
        <w:t>—</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0E2A35"/>
        </w:rPr>
        <w:t>—</w:t>
      </w:r>
    </w:p>
    <w:p>
      <w:pPr>
        <w:spacing w:after="0" w:line="226" w:lineRule="exact"/>
        <w:rPr>
          <w:sz w:val="20"/>
          <w:szCs w:val="20"/>
          <w:color w:val="auto"/>
        </w:rPr>
      </w:pPr>
    </w:p>
    <w:p>
      <w:pPr>
        <w:sectPr>
          <w:pgSz w:w="11900" w:h="16838" w:orient="portrait"/>
          <w:cols w:equalWidth="0" w:num="3">
            <w:col w:w="2840" w:space="240"/>
            <w:col w:w="5340" w:space="680"/>
            <w:col w:w="180"/>
          </w:cols>
          <w:pgMar w:left="1300" w:top="263" w:right="1319" w:bottom="1440" w:gutter="0" w:footer="0" w:header="0"/>
          <w:type w:val="continuous"/>
        </w:sectPr>
      </w:pPr>
    </w:p>
    <w:p>
      <w:pPr>
        <w:jc w:val="both"/>
        <w:ind w:left="720" w:right="60" w:hanging="360"/>
        <w:spacing w:after="0" w:line="233" w:lineRule="auto"/>
        <w:tabs>
          <w:tab w:leader="none" w:pos="720" w:val="left"/>
        </w:tabs>
        <w:numPr>
          <w:ilvl w:val="1"/>
          <w:numId w:val="42"/>
        </w:numPr>
        <w:rPr>
          <w:rFonts w:ascii="Arial" w:cs="Arial" w:eastAsia="Arial" w:hAnsi="Arial"/>
          <w:sz w:val="13"/>
          <w:szCs w:val="13"/>
          <w:color w:val="0E2A35"/>
        </w:rPr>
      </w:pPr>
      <w:r>
        <w:rPr>
          <w:rFonts w:ascii="Arial" w:cs="Arial" w:eastAsia="Arial" w:hAnsi="Arial"/>
          <w:sz w:val="13"/>
          <w:szCs w:val="13"/>
          <w:color w:val="0E2A35"/>
        </w:rPr>
        <w:t>These amounts represent restricted stock and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23" w:lineRule="exact"/>
        <w:rPr>
          <w:rFonts w:ascii="Arial" w:cs="Arial" w:eastAsia="Arial" w:hAnsi="Arial"/>
          <w:sz w:val="13"/>
          <w:szCs w:val="13"/>
          <w:color w:val="0E2A35"/>
        </w:rPr>
      </w:pPr>
    </w:p>
    <w:p>
      <w:pPr>
        <w:ind w:left="720" w:right="340" w:hanging="360"/>
        <w:spacing w:after="0" w:line="229" w:lineRule="auto"/>
        <w:tabs>
          <w:tab w:leader="none" w:pos="720" w:val="left"/>
        </w:tabs>
        <w:numPr>
          <w:ilvl w:val="1"/>
          <w:numId w:val="42"/>
        </w:numPr>
        <w:rPr>
          <w:rFonts w:ascii="Arial" w:cs="Arial" w:eastAsia="Arial" w:hAnsi="Arial"/>
          <w:sz w:val="13"/>
          <w:szCs w:val="13"/>
          <w:color w:val="0E2A35"/>
        </w:rPr>
      </w:pPr>
      <w:r>
        <w:rPr>
          <w:rFonts w:ascii="Arial" w:cs="Arial" w:eastAsia="Arial" w:hAnsi="Arial"/>
          <w:sz w:val="13"/>
          <w:szCs w:val="13"/>
          <w:color w:val="0E2A35"/>
        </w:rPr>
        <w:t>These amounts represent the grant date fair value computed in accordance with ASC 718 of the performance stock units specific to fiscal 2021. Assuming achievement of the maximum 200% of the target performance, the value of the PSUs would be: $1,199,979 for Mr. Happe; $420,009 for Mr. Hughes; and $319,966 for Ms. Bogart. Actual awards based upon performance against established performance metrics were at 200% of target, which vested 50% on October 12, 2021 and 50% on October 12, 2022.</w:t>
      </w:r>
    </w:p>
    <w:p>
      <w:pPr>
        <w:spacing w:after="0" w:line="23" w:lineRule="exact"/>
        <w:rPr>
          <w:rFonts w:ascii="Arial" w:cs="Arial" w:eastAsia="Arial" w:hAnsi="Arial"/>
          <w:sz w:val="13"/>
          <w:szCs w:val="13"/>
          <w:color w:val="0E2A35"/>
        </w:rPr>
      </w:pPr>
    </w:p>
    <w:p>
      <w:pPr>
        <w:ind w:left="720" w:right="120" w:hanging="360"/>
        <w:spacing w:after="0" w:line="246" w:lineRule="auto"/>
        <w:tabs>
          <w:tab w:leader="none" w:pos="720" w:val="left"/>
        </w:tabs>
        <w:numPr>
          <w:ilvl w:val="1"/>
          <w:numId w:val="42"/>
        </w:numPr>
        <w:rPr>
          <w:rFonts w:ascii="Arial" w:cs="Arial" w:eastAsia="Arial" w:hAnsi="Arial"/>
          <w:sz w:val="12"/>
          <w:szCs w:val="12"/>
          <w:color w:val="0E2A35"/>
        </w:rPr>
      </w:pPr>
      <w:r>
        <w:rPr>
          <w:rFonts w:ascii="Arial" w:cs="Arial" w:eastAsia="Arial" w:hAnsi="Arial"/>
          <w:sz w:val="12"/>
          <w:szCs w:val="12"/>
          <w:color w:val="0E2A35"/>
        </w:rPr>
        <w:t xml:space="preserve">These amounts represent the grant date fair value computed in accordance with ASC 718 of the LTIP / performance share awards. These amounts for fiscal 2022-2024 LTIP represent the values that are based on achievement of 100% of the target performance. Assuming achievement of the maximum 200% of target performance, the value of the fiscal 2022-2024 LTIP awards would be: $4,199,932 for Mr. Happe; $824,990 for Mr. Hughes; $661,564 for Ms. Bogart; and $1,019,558 for Mr. Bower.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2022 Form 10-K.</w:t>
      </w:r>
    </w:p>
    <w:p>
      <w:pPr>
        <w:spacing w:after="0" w:line="21" w:lineRule="exact"/>
        <w:rPr>
          <w:rFonts w:ascii="Arial" w:cs="Arial" w:eastAsia="Arial" w:hAnsi="Arial"/>
          <w:sz w:val="12"/>
          <w:szCs w:val="12"/>
          <w:color w:val="0E2A35"/>
        </w:rPr>
      </w:pPr>
    </w:p>
    <w:p>
      <w:pPr>
        <w:ind w:left="720" w:right="120" w:hanging="360"/>
        <w:spacing w:after="0" w:line="243" w:lineRule="auto"/>
        <w:tabs>
          <w:tab w:leader="none" w:pos="720" w:val="left"/>
        </w:tabs>
        <w:numPr>
          <w:ilvl w:val="1"/>
          <w:numId w:val="42"/>
        </w:numPr>
        <w:rPr>
          <w:rFonts w:ascii="Arial" w:cs="Arial" w:eastAsia="Arial" w:hAnsi="Arial"/>
          <w:sz w:val="13"/>
          <w:szCs w:val="13"/>
          <w:color w:val="0E2A35"/>
        </w:rPr>
      </w:pPr>
      <w:r>
        <w:rPr>
          <w:rFonts w:ascii="Arial" w:cs="Arial" w:eastAsia="Arial" w:hAnsi="Arial"/>
          <w:sz w:val="13"/>
          <w:szCs w:val="13"/>
          <w:color w:val="0E2A35"/>
        </w:rPr>
        <w:t>Mr. Bower joined the Company in October 2020. Mr. Bower received a new hire RSU award which is included in the Non-Performance-Based Restricted Stock Grant column for fiscal 2021.</w:t>
      </w:r>
    </w:p>
    <w:p>
      <w:pPr>
        <w:spacing w:after="0" w:line="21" w:lineRule="exact"/>
        <w:rPr>
          <w:rFonts w:ascii="Arial" w:cs="Arial" w:eastAsia="Arial" w:hAnsi="Arial"/>
          <w:sz w:val="13"/>
          <w:szCs w:val="13"/>
          <w:color w:val="0E2A35"/>
        </w:rPr>
      </w:pPr>
    </w:p>
    <w:p>
      <w:pPr>
        <w:jc w:val="both"/>
        <w:ind w:left="360" w:right="280" w:hanging="360"/>
        <w:spacing w:after="0" w:line="281" w:lineRule="auto"/>
        <w:tabs>
          <w:tab w:leader="none" w:pos="360" w:val="left"/>
        </w:tabs>
        <w:numPr>
          <w:ilvl w:val="0"/>
          <w:numId w:val="43"/>
        </w:numPr>
        <w:rPr>
          <w:rFonts w:ascii="Arial" w:cs="Arial" w:eastAsia="Arial" w:hAnsi="Arial"/>
          <w:sz w:val="12"/>
          <w:szCs w:val="12"/>
          <w:color w:val="0E2A35"/>
        </w:rPr>
      </w:pPr>
      <w:r>
        <w:rPr>
          <w:rFonts w:ascii="Arial" w:cs="Arial" w:eastAsia="Arial" w:hAnsi="Arial"/>
          <w:sz w:val="12"/>
          <w:szCs w:val="12"/>
          <w:color w:val="0E2A35"/>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2022 Form 10-K.</w:t>
      </w:r>
    </w:p>
    <w:p>
      <w:pPr>
        <w:ind w:left="360" w:right="120" w:hanging="360"/>
        <w:spacing w:after="0" w:line="226" w:lineRule="auto"/>
        <w:tabs>
          <w:tab w:leader="none" w:pos="360" w:val="left"/>
        </w:tabs>
        <w:numPr>
          <w:ilvl w:val="0"/>
          <w:numId w:val="43"/>
        </w:numPr>
        <w:rPr>
          <w:rFonts w:ascii="Arial" w:cs="Arial" w:eastAsia="Arial" w:hAnsi="Arial"/>
          <w:sz w:val="13"/>
          <w:szCs w:val="13"/>
          <w:color w:val="0E2A35"/>
        </w:rPr>
      </w:pPr>
      <w:r>
        <w:rPr>
          <w:rFonts w:ascii="Arial" w:cs="Arial" w:eastAsia="Arial" w:hAnsi="Arial"/>
          <w:sz w:val="13"/>
          <w:szCs w:val="13"/>
          <w:color w:val="0E2A35"/>
        </w:rPr>
        <w:t>These amounts represent actual annual incentive plan award payouts made in cash to NEOs under the 2020, 2021, and 2022 OICPs. In the case of Mr. Clark, these amounts do not represent award payouts under such OICPs, but instead represent award payouts under the pre-existing Grand Design MIP that he participates in. Mr. Hughes elected to defer 100% of his fiscal 2021 OICP that is eligible for deferral and 75% of his fiscal 2022 OICP that is eligible for deferral into the Executive Deferral Compensation Plan. Mr. Bower elected to defer 25% of his fiscal 2020 OICP that is eligible for deferral into the Executive Deferral Compensation Plan.</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60" w:hanging="360"/>
        <w:spacing w:after="0"/>
        <w:tabs>
          <w:tab w:leader="none" w:pos="360" w:val="left"/>
        </w:tabs>
        <w:numPr>
          <w:ilvl w:val="0"/>
          <w:numId w:val="44"/>
        </w:numPr>
        <w:rPr>
          <w:rFonts w:ascii="Arial" w:cs="Arial" w:eastAsia="Arial" w:hAnsi="Arial"/>
          <w:sz w:val="13"/>
          <w:szCs w:val="13"/>
          <w:color w:val="0E2A35"/>
        </w:rPr>
      </w:pPr>
      <w:r>
        <w:rPr>
          <w:rFonts w:ascii="Arial" w:cs="Arial" w:eastAsia="Arial" w:hAnsi="Arial"/>
          <w:sz w:val="13"/>
          <w:szCs w:val="13"/>
          <w:color w:val="0E2A35"/>
        </w:rPr>
        <w:t>Amounts reported in this column for fiscal 2022 include the following:</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1940" w:type="dxa"/>
            <w:vAlign w:val="bottom"/>
            <w:shd w:val="clear" w:color="auto" w:fill="0E2A35"/>
          </w:tcPr>
          <w:p>
            <w:pPr>
              <w:spacing w:after="0"/>
              <w:rPr>
                <w:sz w:val="19"/>
                <w:szCs w:val="19"/>
                <w:color w:val="auto"/>
              </w:rPr>
            </w:pPr>
          </w:p>
        </w:tc>
        <w:tc>
          <w:tcPr>
            <w:tcW w:w="860" w:type="dxa"/>
            <w:vAlign w:val="bottom"/>
            <w:shd w:val="clear" w:color="auto" w:fill="0E2A35"/>
          </w:tcPr>
          <w:p>
            <w:pPr>
              <w:spacing w:after="0"/>
              <w:rPr>
                <w:sz w:val="19"/>
                <w:szCs w:val="19"/>
                <w:color w:val="auto"/>
              </w:rPr>
            </w:pPr>
          </w:p>
        </w:tc>
        <w:tc>
          <w:tcPr>
            <w:tcW w:w="200" w:type="dxa"/>
            <w:vAlign w:val="bottom"/>
            <w:shd w:val="clear" w:color="auto" w:fill="0E2A35"/>
          </w:tcPr>
          <w:p>
            <w:pPr>
              <w:spacing w:after="0"/>
              <w:rPr>
                <w:sz w:val="19"/>
                <w:szCs w:val="19"/>
                <w:color w:val="auto"/>
              </w:rPr>
            </w:pPr>
          </w:p>
        </w:tc>
        <w:tc>
          <w:tcPr>
            <w:tcW w:w="660" w:type="dxa"/>
            <w:vAlign w:val="bottom"/>
            <w:vMerge w:val="restart"/>
            <w:shd w:val="clear" w:color="auto" w:fill="0E2A35"/>
          </w:tcPr>
          <w:p>
            <w:pPr>
              <w:jc w:val="center"/>
              <w:ind w:left="12"/>
              <w:spacing w:after="0"/>
              <w:rPr>
                <w:sz w:val="20"/>
                <w:szCs w:val="20"/>
                <w:color w:val="auto"/>
              </w:rPr>
            </w:pPr>
            <w:r>
              <w:rPr>
                <w:rFonts w:ascii="Arial" w:cs="Arial" w:eastAsia="Arial" w:hAnsi="Arial"/>
                <w:sz w:val="13"/>
                <w:szCs w:val="13"/>
                <w:b w:val="1"/>
                <w:bCs w:val="1"/>
                <w:color w:val="FFFFFF"/>
                <w:w w:val="93"/>
              </w:rPr>
              <w:t>Tax and</w:t>
            </w:r>
          </w:p>
        </w:tc>
        <w:tc>
          <w:tcPr>
            <w:tcW w:w="120" w:type="dxa"/>
            <w:vAlign w:val="bottom"/>
            <w:shd w:val="clear" w:color="auto" w:fill="0E2A35"/>
          </w:tcPr>
          <w:p>
            <w:pPr>
              <w:spacing w:after="0"/>
              <w:rPr>
                <w:sz w:val="19"/>
                <w:szCs w:val="19"/>
                <w:color w:val="auto"/>
              </w:rPr>
            </w:pPr>
          </w:p>
        </w:tc>
        <w:tc>
          <w:tcPr>
            <w:tcW w:w="200" w:type="dxa"/>
            <w:vAlign w:val="bottom"/>
            <w:shd w:val="clear" w:color="auto" w:fill="0E2A35"/>
          </w:tcPr>
          <w:p>
            <w:pPr>
              <w:spacing w:after="0"/>
              <w:rPr>
                <w:sz w:val="19"/>
                <w:szCs w:val="19"/>
                <w:color w:val="auto"/>
              </w:rPr>
            </w:pPr>
          </w:p>
        </w:tc>
        <w:tc>
          <w:tcPr>
            <w:tcW w:w="760" w:type="dxa"/>
            <w:vAlign w:val="bottom"/>
            <w:shd w:val="clear" w:color="auto" w:fill="0E2A35"/>
          </w:tcPr>
          <w:p>
            <w:pPr>
              <w:spacing w:after="0"/>
              <w:rPr>
                <w:sz w:val="19"/>
                <w:szCs w:val="19"/>
                <w:color w:val="auto"/>
              </w:rPr>
            </w:pPr>
          </w:p>
        </w:tc>
        <w:tc>
          <w:tcPr>
            <w:tcW w:w="120" w:type="dxa"/>
            <w:vAlign w:val="bottom"/>
            <w:shd w:val="clear" w:color="auto" w:fill="0E2A35"/>
          </w:tcPr>
          <w:p>
            <w:pPr>
              <w:spacing w:after="0"/>
              <w:rPr>
                <w:sz w:val="19"/>
                <w:szCs w:val="19"/>
                <w:color w:val="auto"/>
              </w:rPr>
            </w:pPr>
          </w:p>
        </w:tc>
        <w:tc>
          <w:tcPr>
            <w:tcW w:w="200" w:type="dxa"/>
            <w:vAlign w:val="bottom"/>
            <w:shd w:val="clear" w:color="auto" w:fill="0E2A35"/>
          </w:tcPr>
          <w:p>
            <w:pPr>
              <w:spacing w:after="0"/>
              <w:rPr>
                <w:sz w:val="19"/>
                <w:szCs w:val="19"/>
                <w:color w:val="auto"/>
              </w:rPr>
            </w:pPr>
          </w:p>
        </w:tc>
        <w:tc>
          <w:tcPr>
            <w:tcW w:w="7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Life</w:t>
            </w:r>
          </w:p>
        </w:tc>
        <w:tc>
          <w:tcPr>
            <w:tcW w:w="140" w:type="dxa"/>
            <w:vAlign w:val="bottom"/>
            <w:shd w:val="clear" w:color="auto" w:fill="0E2A35"/>
          </w:tcPr>
          <w:p>
            <w:pPr>
              <w:spacing w:after="0"/>
              <w:rPr>
                <w:sz w:val="19"/>
                <w:szCs w:val="19"/>
                <w:color w:val="auto"/>
              </w:rPr>
            </w:pPr>
          </w:p>
        </w:tc>
        <w:tc>
          <w:tcPr>
            <w:tcW w:w="200" w:type="dxa"/>
            <w:vAlign w:val="bottom"/>
            <w:shd w:val="clear" w:color="auto" w:fill="0E2A35"/>
          </w:tcPr>
          <w:p>
            <w:pPr>
              <w:spacing w:after="0"/>
              <w:rPr>
                <w:sz w:val="19"/>
                <w:szCs w:val="19"/>
                <w:color w:val="auto"/>
              </w:rPr>
            </w:pPr>
          </w:p>
        </w:tc>
        <w:tc>
          <w:tcPr>
            <w:tcW w:w="440" w:type="dxa"/>
            <w:vAlign w:val="bottom"/>
            <w:shd w:val="clear" w:color="auto" w:fill="0E2A35"/>
          </w:tcPr>
          <w:p>
            <w:pPr>
              <w:spacing w:after="0"/>
              <w:rPr>
                <w:sz w:val="19"/>
                <w:szCs w:val="19"/>
                <w:color w:val="auto"/>
              </w:rPr>
            </w:pPr>
          </w:p>
        </w:tc>
        <w:tc>
          <w:tcPr>
            <w:tcW w:w="140" w:type="dxa"/>
            <w:vAlign w:val="bottom"/>
            <w:shd w:val="clear" w:color="auto" w:fill="0E2A35"/>
          </w:tcPr>
          <w:p>
            <w:pPr>
              <w:spacing w:after="0"/>
              <w:rPr>
                <w:sz w:val="19"/>
                <w:szCs w:val="19"/>
                <w:color w:val="auto"/>
              </w:rPr>
            </w:pPr>
          </w:p>
        </w:tc>
        <w:tc>
          <w:tcPr>
            <w:tcW w:w="200" w:type="dxa"/>
            <w:vAlign w:val="bottom"/>
            <w:shd w:val="clear" w:color="auto" w:fill="0E2A35"/>
          </w:tcPr>
          <w:p>
            <w:pPr>
              <w:spacing w:after="0"/>
              <w:rPr>
                <w:sz w:val="19"/>
                <w:szCs w:val="19"/>
                <w:color w:val="auto"/>
              </w:rPr>
            </w:pPr>
          </w:p>
        </w:tc>
        <w:tc>
          <w:tcPr>
            <w:tcW w:w="560" w:type="dxa"/>
            <w:vAlign w:val="bottom"/>
            <w:shd w:val="clear" w:color="auto" w:fill="0E2A35"/>
          </w:tcPr>
          <w:p>
            <w:pPr>
              <w:spacing w:after="0"/>
              <w:rPr>
                <w:sz w:val="19"/>
                <w:szCs w:val="19"/>
                <w:color w:val="auto"/>
              </w:rPr>
            </w:pPr>
          </w:p>
        </w:tc>
        <w:tc>
          <w:tcPr>
            <w:tcW w:w="120" w:type="dxa"/>
            <w:vAlign w:val="bottom"/>
            <w:shd w:val="clear" w:color="auto" w:fill="0E2A35"/>
          </w:tcPr>
          <w:p>
            <w:pPr>
              <w:spacing w:after="0"/>
              <w:rPr>
                <w:sz w:val="19"/>
                <w:szCs w:val="19"/>
                <w:color w:val="auto"/>
              </w:rPr>
            </w:pPr>
          </w:p>
        </w:tc>
        <w:tc>
          <w:tcPr>
            <w:tcW w:w="220" w:type="dxa"/>
            <w:vAlign w:val="bottom"/>
            <w:shd w:val="clear" w:color="auto" w:fill="0E2A35"/>
          </w:tcPr>
          <w:p>
            <w:pPr>
              <w:spacing w:after="0"/>
              <w:rPr>
                <w:sz w:val="19"/>
                <w:szCs w:val="19"/>
                <w:color w:val="auto"/>
              </w:rPr>
            </w:pPr>
          </w:p>
        </w:tc>
        <w:tc>
          <w:tcPr>
            <w:tcW w:w="620" w:type="dxa"/>
            <w:vAlign w:val="bottom"/>
            <w:vMerge w:val="restart"/>
            <w:shd w:val="clear" w:color="auto" w:fill="0E2A35"/>
          </w:tcPr>
          <w:p>
            <w:pPr>
              <w:ind w:left="320"/>
              <w:spacing w:after="0"/>
              <w:rPr>
                <w:sz w:val="20"/>
                <w:szCs w:val="20"/>
                <w:color w:val="auto"/>
              </w:rPr>
            </w:pPr>
            <w:r>
              <w:rPr>
                <w:rFonts w:ascii="Arial" w:cs="Arial" w:eastAsia="Arial" w:hAnsi="Arial"/>
                <w:sz w:val="13"/>
                <w:szCs w:val="13"/>
                <w:b w:val="1"/>
                <w:bCs w:val="1"/>
                <w:color w:val="FFFFFF"/>
                <w:w w:val="89"/>
              </w:rPr>
              <w:t>Total​</w:t>
            </w:r>
          </w:p>
        </w:tc>
        <w:tc>
          <w:tcPr>
            <w:tcW w:w="460" w:type="dxa"/>
            <w:vAlign w:val="bottom"/>
            <w:gridSpan w:val="2"/>
            <w:vMerge w:val="restart"/>
            <w:shd w:val="clear" w:color="auto" w:fill="0E2A35"/>
          </w:tcPr>
          <w:p>
            <w:pPr>
              <w:ind w:left="20"/>
              <w:spacing w:after="0"/>
              <w:rPr>
                <w:sz w:val="20"/>
                <w:szCs w:val="20"/>
                <w:color w:val="auto"/>
              </w:rPr>
            </w:pPr>
            <w:r>
              <w:rPr>
                <w:rFonts w:ascii="Arial" w:cs="Arial" w:eastAsia="Arial" w:hAnsi="Arial"/>
                <w:sz w:val="13"/>
                <w:szCs w:val="13"/>
                <w:b w:val="1"/>
                <w:bCs w:val="1"/>
                <w:color w:val="FFFFFF"/>
              </w:rPr>
              <w:t>All</w:t>
            </w:r>
          </w:p>
        </w:tc>
        <w:tc>
          <w:tcPr>
            <w:tcW w:w="0" w:type="dxa"/>
            <w:vAlign w:val="bottom"/>
          </w:tcPr>
          <w:p>
            <w:pPr>
              <w:spacing w:after="0"/>
              <w:rPr>
                <w:sz w:val="1"/>
                <w:szCs w:val="1"/>
                <w:color w:val="auto"/>
              </w:rPr>
            </w:pPr>
          </w:p>
        </w:tc>
      </w:tr>
      <w:tr>
        <w:trPr>
          <w:trHeight w:val="135"/>
        </w:trPr>
        <w:tc>
          <w:tcPr>
            <w:tcW w:w="1940" w:type="dxa"/>
            <w:vAlign w:val="bottom"/>
            <w:shd w:val="clear" w:color="auto" w:fill="0E2A35"/>
          </w:tcPr>
          <w:p>
            <w:pPr>
              <w:spacing w:after="0"/>
              <w:rPr>
                <w:sz w:val="11"/>
                <w:szCs w:val="11"/>
                <w:color w:val="auto"/>
              </w:rPr>
            </w:pPr>
          </w:p>
        </w:tc>
        <w:tc>
          <w:tcPr>
            <w:tcW w:w="86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660" w:type="dxa"/>
            <w:vAlign w:val="bottom"/>
            <w:vMerge w:val="continue"/>
            <w:shd w:val="clear" w:color="auto" w:fill="0E2A35"/>
          </w:tcPr>
          <w:p>
            <w:pPr>
              <w:spacing w:after="0"/>
              <w:rPr>
                <w:sz w:val="11"/>
                <w:szCs w:val="11"/>
                <w:color w:val="auto"/>
              </w:rPr>
            </w:pPr>
          </w:p>
        </w:tc>
        <w:tc>
          <w:tcPr>
            <w:tcW w:w="12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760" w:type="dxa"/>
            <w:vAlign w:val="bottom"/>
            <w:vMerge w:val="restart"/>
            <w:shd w:val="clear" w:color="auto" w:fill="0E2A35"/>
          </w:tcPr>
          <w:p>
            <w:pPr>
              <w:jc w:val="center"/>
              <w:ind w:left="11"/>
              <w:spacing w:after="0"/>
              <w:rPr>
                <w:sz w:val="20"/>
                <w:szCs w:val="20"/>
                <w:color w:val="auto"/>
              </w:rPr>
            </w:pPr>
            <w:r>
              <w:rPr>
                <w:rFonts w:ascii="Arial" w:cs="Arial" w:eastAsia="Arial" w:hAnsi="Arial"/>
                <w:sz w:val="13"/>
                <w:szCs w:val="13"/>
                <w:b w:val="1"/>
                <w:bCs w:val="1"/>
                <w:color w:val="FFFFFF"/>
                <w:w w:val="92"/>
              </w:rPr>
              <w:t>Car</w:t>
            </w:r>
          </w:p>
        </w:tc>
        <w:tc>
          <w:tcPr>
            <w:tcW w:w="12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760" w:type="dxa"/>
            <w:vAlign w:val="bottom"/>
            <w:shd w:val="clear" w:color="auto" w:fill="0E2A35"/>
          </w:tcPr>
          <w:p>
            <w:pPr>
              <w:jc w:val="center"/>
              <w:ind w:left="13"/>
              <w:spacing w:after="0" w:line="135" w:lineRule="exact"/>
              <w:rPr>
                <w:sz w:val="20"/>
                <w:szCs w:val="20"/>
                <w:color w:val="auto"/>
              </w:rPr>
            </w:pPr>
            <w:r>
              <w:rPr>
                <w:rFonts w:ascii="Arial" w:cs="Arial" w:eastAsia="Arial" w:hAnsi="Arial"/>
                <w:sz w:val="13"/>
                <w:szCs w:val="13"/>
                <w:b w:val="1"/>
                <w:bCs w:val="1"/>
                <w:color w:val="FFFFFF"/>
                <w:w w:val="97"/>
              </w:rPr>
              <w:t>Insurance</w:t>
            </w:r>
          </w:p>
        </w:tc>
        <w:tc>
          <w:tcPr>
            <w:tcW w:w="14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44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560" w:type="dxa"/>
            <w:vAlign w:val="bottom"/>
            <w:vMerge w:val="restart"/>
            <w:shd w:val="clear" w:color="auto" w:fill="0E2A35"/>
          </w:tcPr>
          <w:p>
            <w:pPr>
              <w:jc w:val="center"/>
              <w:ind w:left="11"/>
              <w:spacing w:after="0"/>
              <w:rPr>
                <w:sz w:val="20"/>
                <w:szCs w:val="20"/>
                <w:color w:val="auto"/>
              </w:rPr>
            </w:pPr>
            <w:r>
              <w:rPr>
                <w:rFonts w:ascii="Arial" w:cs="Arial" w:eastAsia="Arial" w:hAnsi="Arial"/>
                <w:sz w:val="13"/>
                <w:szCs w:val="13"/>
                <w:b w:val="1"/>
                <w:bCs w:val="1"/>
                <w:color w:val="FFFFFF"/>
                <w:w w:val="95"/>
              </w:rPr>
              <w:t>401(k)​</w:t>
            </w:r>
          </w:p>
        </w:tc>
        <w:tc>
          <w:tcPr>
            <w:tcW w:w="12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620" w:type="dxa"/>
            <w:vAlign w:val="bottom"/>
            <w:vMerge w:val="continue"/>
            <w:shd w:val="clear" w:color="auto" w:fill="0E2A35"/>
          </w:tcPr>
          <w:p>
            <w:pPr>
              <w:spacing w:after="0"/>
              <w:rPr>
                <w:sz w:val="11"/>
                <w:szCs w:val="11"/>
                <w:color w:val="auto"/>
              </w:rPr>
            </w:pPr>
          </w:p>
        </w:tc>
        <w:tc>
          <w:tcPr>
            <w:tcW w:w="460" w:type="dxa"/>
            <w:vAlign w:val="bottom"/>
            <w:gridSpan w:val="2"/>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0E2A35"/>
          </w:tcPr>
          <w:p>
            <w:pPr>
              <w:spacing w:after="0"/>
              <w:rPr>
                <w:sz w:val="11"/>
                <w:szCs w:val="11"/>
                <w:color w:val="auto"/>
              </w:rPr>
            </w:pPr>
          </w:p>
        </w:tc>
        <w:tc>
          <w:tcPr>
            <w:tcW w:w="860" w:type="dxa"/>
            <w:vAlign w:val="bottom"/>
            <w:shd w:val="clear" w:color="auto" w:fill="0E2A35"/>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0E2A3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shd w:val="clear" w:color="auto" w:fill="0E2A35"/>
          </w:tcPr>
          <w:p>
            <w:pPr>
              <w:jc w:val="right"/>
              <w:ind w:right="62"/>
              <w:spacing w:after="0" w:line="135" w:lineRule="exact"/>
              <w:rPr>
                <w:sz w:val="20"/>
                <w:szCs w:val="20"/>
                <w:color w:val="auto"/>
              </w:rPr>
            </w:pPr>
            <w:r>
              <w:rPr>
                <w:rFonts w:ascii="Arial" w:cs="Arial" w:eastAsia="Arial" w:hAnsi="Arial"/>
                <w:sz w:val="13"/>
                <w:szCs w:val="13"/>
                <w:b w:val="1"/>
                <w:bCs w:val="1"/>
                <w:color w:val="FFFFFF"/>
              </w:rPr>
              <w:t xml:space="preserve">Financial </w:t>
            </w:r>
            <w:r>
              <w:rPr>
                <w:rFonts w:ascii="Times New Roman" w:cs="Times New Roman" w:eastAsia="Times New Roman" w:hAnsi="Times New Roman"/>
                <w:sz w:val="3"/>
                <w:szCs w:val="3"/>
                <w:color w:val="000000"/>
              </w:rPr>
              <w:t>​</w:t>
            </w:r>
          </w:p>
        </w:tc>
        <w:tc>
          <w:tcPr>
            <w:tcW w:w="200" w:type="dxa"/>
            <w:vAlign w:val="bottom"/>
            <w:shd w:val="clear" w:color="auto" w:fill="0E2A3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vMerge w:val="continue"/>
            <w:shd w:val="clear" w:color="auto" w:fill="0E2A35"/>
          </w:tcPr>
          <w:p>
            <w:pPr>
              <w:spacing w:after="0"/>
              <w:rPr>
                <w:sz w:val="11"/>
                <w:szCs w:val="11"/>
                <w:color w:val="auto"/>
              </w:rPr>
            </w:pPr>
          </w:p>
        </w:tc>
        <w:tc>
          <w:tcPr>
            <w:tcW w:w="120" w:type="dxa"/>
            <w:vAlign w:val="bottom"/>
            <w:shd w:val="clear" w:color="auto" w:fill="0E2A3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0E2A3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shd w:val="clear" w:color="auto" w:fill="0E2A35"/>
          </w:tcPr>
          <w:p>
            <w:pPr>
              <w:jc w:val="right"/>
              <w:ind w:right="82"/>
              <w:spacing w:after="0" w:line="135" w:lineRule="exact"/>
              <w:rPr>
                <w:sz w:val="20"/>
                <w:szCs w:val="20"/>
                <w:color w:val="auto"/>
              </w:rPr>
            </w:pPr>
            <w:r>
              <w:rPr>
                <w:rFonts w:ascii="Arial" w:cs="Arial" w:eastAsia="Arial" w:hAnsi="Arial"/>
                <w:sz w:val="13"/>
                <w:szCs w:val="13"/>
                <w:b w:val="1"/>
                <w:bCs w:val="1"/>
                <w:color w:val="FFFFFF"/>
              </w:rPr>
              <w:t xml:space="preserve">Premiums </w:t>
            </w:r>
            <w:r>
              <w:rPr>
                <w:rFonts w:ascii="Times New Roman" w:cs="Times New Roman" w:eastAsia="Times New Roman" w:hAnsi="Times New Roman"/>
                <w:sz w:val="3"/>
                <w:szCs w:val="3"/>
                <w:color w:val="000000"/>
              </w:rPr>
              <w:t>​</w:t>
            </w:r>
          </w:p>
        </w:tc>
        <w:tc>
          <w:tcPr>
            <w:tcW w:w="200" w:type="dxa"/>
            <w:vAlign w:val="bottom"/>
            <w:shd w:val="clear" w:color="auto" w:fill="0E2A3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vMerge w:val="restart"/>
            <w:shd w:val="clear" w:color="auto" w:fill="0E2A35"/>
          </w:tcPr>
          <w:p>
            <w:pPr>
              <w:jc w:val="center"/>
              <w:ind w:left="11"/>
              <w:spacing w:after="0"/>
              <w:rPr>
                <w:sz w:val="20"/>
                <w:szCs w:val="20"/>
                <w:color w:val="auto"/>
              </w:rPr>
            </w:pPr>
            <w:r>
              <w:rPr>
                <w:rFonts w:ascii="Arial" w:cs="Arial" w:eastAsia="Arial" w:hAnsi="Arial"/>
                <w:sz w:val="13"/>
                <w:szCs w:val="13"/>
                <w:b w:val="1"/>
                <w:bCs w:val="1"/>
                <w:color w:val="FFFFFF"/>
                <w:w w:val="92"/>
              </w:rPr>
              <w:t>Other​</w:t>
            </w:r>
          </w:p>
        </w:tc>
        <w:tc>
          <w:tcPr>
            <w:tcW w:w="140" w:type="dxa"/>
            <w:vAlign w:val="bottom"/>
            <w:shd w:val="clear" w:color="auto" w:fill="0E2A3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0E2A3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shd w:val="clear" w:color="auto" w:fill="0E2A35"/>
          </w:tcPr>
          <w:p>
            <w:pPr>
              <w:spacing w:after="0"/>
              <w:rPr>
                <w:sz w:val="11"/>
                <w:szCs w:val="11"/>
                <w:color w:val="auto"/>
              </w:rPr>
            </w:pPr>
          </w:p>
        </w:tc>
        <w:tc>
          <w:tcPr>
            <w:tcW w:w="120" w:type="dxa"/>
            <w:vAlign w:val="bottom"/>
            <w:shd w:val="clear" w:color="auto" w:fill="0E2A35"/>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0E2A3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shd w:val="clear" w:color="auto" w:fill="0E2A35"/>
          </w:tcPr>
          <w:p>
            <w:pPr>
              <w:jc w:val="center"/>
              <w:ind w:left="292"/>
              <w:spacing w:after="0" w:line="135" w:lineRule="exact"/>
              <w:rPr>
                <w:sz w:val="20"/>
                <w:szCs w:val="20"/>
                <w:color w:val="auto"/>
              </w:rPr>
            </w:pPr>
            <w:r>
              <w:rPr>
                <w:rFonts w:ascii="Arial" w:cs="Arial" w:eastAsia="Arial" w:hAnsi="Arial"/>
                <w:sz w:val="13"/>
                <w:szCs w:val="13"/>
                <w:b w:val="1"/>
                <w:bCs w:val="1"/>
                <w:color w:val="FFFFFF"/>
                <w:w w:val="92"/>
              </w:rPr>
              <w:t>Other</w:t>
            </w:r>
          </w:p>
        </w:tc>
        <w:tc>
          <w:tcPr>
            <w:tcW w:w="3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86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660" w:type="dxa"/>
            <w:vAlign w:val="bottom"/>
            <w:shd w:val="clear" w:color="auto" w:fill="0E2A35"/>
          </w:tcPr>
          <w:p>
            <w:pPr>
              <w:jc w:val="center"/>
              <w:ind w:left="12"/>
              <w:spacing w:after="0" w:line="135" w:lineRule="exact"/>
              <w:rPr>
                <w:sz w:val="20"/>
                <w:szCs w:val="20"/>
                <w:color w:val="auto"/>
              </w:rPr>
            </w:pPr>
            <w:r>
              <w:rPr>
                <w:rFonts w:ascii="Arial" w:cs="Arial" w:eastAsia="Arial" w:hAnsi="Arial"/>
                <w:sz w:val="13"/>
                <w:szCs w:val="13"/>
                <w:b w:val="1"/>
                <w:bCs w:val="1"/>
                <w:color w:val="FFFFFF"/>
                <w:w w:val="98"/>
              </w:rPr>
              <w:t>Planning</w:t>
            </w:r>
          </w:p>
        </w:tc>
        <w:tc>
          <w:tcPr>
            <w:tcW w:w="12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Allowance</w:t>
            </w:r>
          </w:p>
        </w:tc>
        <w:tc>
          <w:tcPr>
            <w:tcW w:w="12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760" w:type="dxa"/>
            <w:vAlign w:val="bottom"/>
            <w:shd w:val="clear" w:color="auto" w:fill="0E2A35"/>
          </w:tcPr>
          <w:p>
            <w:pPr>
              <w:jc w:val="center"/>
              <w:ind w:left="13"/>
              <w:spacing w:after="0" w:line="135" w:lineRule="exact"/>
              <w:rPr>
                <w:sz w:val="20"/>
                <w:szCs w:val="20"/>
                <w:color w:val="auto"/>
              </w:rPr>
            </w:pPr>
            <w:r>
              <w:rPr>
                <w:rFonts w:ascii="Arial" w:cs="Arial" w:eastAsia="Arial" w:hAnsi="Arial"/>
                <w:sz w:val="13"/>
                <w:szCs w:val="13"/>
                <w:b w:val="1"/>
                <w:bCs w:val="1"/>
                <w:color w:val="FFFFFF"/>
                <w:w w:val="94"/>
              </w:rPr>
              <w:t>STD &amp; LTD</w:t>
            </w:r>
          </w:p>
        </w:tc>
        <w:tc>
          <w:tcPr>
            <w:tcW w:w="14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440" w:type="dxa"/>
            <w:vAlign w:val="bottom"/>
            <w:vMerge w:val="continue"/>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200" w:type="dxa"/>
            <w:vAlign w:val="bottom"/>
            <w:shd w:val="clear" w:color="auto" w:fill="0E2A35"/>
          </w:tcPr>
          <w:p>
            <w:pPr>
              <w:spacing w:after="0"/>
              <w:rPr>
                <w:sz w:val="11"/>
                <w:szCs w:val="11"/>
                <w:color w:val="auto"/>
              </w:rPr>
            </w:pPr>
          </w:p>
        </w:tc>
        <w:tc>
          <w:tcPr>
            <w:tcW w:w="560" w:type="dxa"/>
            <w:vAlign w:val="bottom"/>
            <w:shd w:val="clear" w:color="auto" w:fill="0E2A35"/>
          </w:tcPr>
          <w:p>
            <w:pPr>
              <w:jc w:val="center"/>
              <w:ind w:left="11"/>
              <w:spacing w:after="0" w:line="135" w:lineRule="exact"/>
              <w:rPr>
                <w:sz w:val="20"/>
                <w:szCs w:val="20"/>
                <w:color w:val="auto"/>
              </w:rPr>
            </w:pPr>
            <w:r>
              <w:rPr>
                <w:rFonts w:ascii="Arial" w:cs="Arial" w:eastAsia="Arial" w:hAnsi="Arial"/>
                <w:sz w:val="13"/>
                <w:szCs w:val="13"/>
                <w:b w:val="1"/>
                <w:bCs w:val="1"/>
                <w:color w:val="FFFFFF"/>
                <w:w w:val="95"/>
              </w:rPr>
              <w:t>Match</w:t>
            </w:r>
          </w:p>
        </w:tc>
        <w:tc>
          <w:tcPr>
            <w:tcW w:w="12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1080" w:type="dxa"/>
            <w:vAlign w:val="bottom"/>
            <w:gridSpan w:val="3"/>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72"/>
        </w:trPr>
        <w:tc>
          <w:tcPr>
            <w:tcW w:w="1940" w:type="dxa"/>
            <w:vAlign w:val="bottom"/>
            <w:vMerge w:val="continue"/>
            <w:shd w:val="clear" w:color="auto" w:fill="0E2A35"/>
          </w:tcPr>
          <w:p>
            <w:pPr>
              <w:spacing w:after="0"/>
              <w:rPr>
                <w:sz w:val="14"/>
                <w:szCs w:val="14"/>
                <w:color w:val="auto"/>
              </w:rPr>
            </w:pPr>
          </w:p>
        </w:tc>
        <w:tc>
          <w:tcPr>
            <w:tcW w:w="860" w:type="dxa"/>
            <w:vAlign w:val="bottom"/>
            <w:shd w:val="clear" w:color="auto" w:fill="0E2A35"/>
          </w:tcPr>
          <w:p>
            <w:pPr>
              <w:spacing w:after="0"/>
              <w:rPr>
                <w:sz w:val="14"/>
                <w:szCs w:val="14"/>
                <w:color w:val="auto"/>
              </w:rPr>
            </w:pPr>
          </w:p>
        </w:tc>
        <w:tc>
          <w:tcPr>
            <w:tcW w:w="200" w:type="dxa"/>
            <w:vAlign w:val="bottom"/>
            <w:shd w:val="clear" w:color="auto" w:fill="0E2A35"/>
          </w:tcPr>
          <w:p>
            <w:pPr>
              <w:spacing w:after="0"/>
              <w:rPr>
                <w:sz w:val="14"/>
                <w:szCs w:val="14"/>
                <w:color w:val="auto"/>
              </w:rPr>
            </w:pPr>
          </w:p>
        </w:tc>
        <w:tc>
          <w:tcPr>
            <w:tcW w:w="660" w:type="dxa"/>
            <w:vAlign w:val="bottom"/>
            <w:shd w:val="clear" w:color="auto" w:fill="0E2A35"/>
          </w:tcPr>
          <w:p>
            <w:pPr>
              <w:jc w:val="center"/>
              <w:ind w:left="32"/>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E2A35"/>
          </w:tcPr>
          <w:p>
            <w:pPr>
              <w:spacing w:after="0"/>
              <w:rPr>
                <w:sz w:val="14"/>
                <w:szCs w:val="14"/>
                <w:color w:val="auto"/>
              </w:rPr>
            </w:pPr>
          </w:p>
        </w:tc>
        <w:tc>
          <w:tcPr>
            <w:tcW w:w="200" w:type="dxa"/>
            <w:vAlign w:val="bottom"/>
            <w:shd w:val="clear" w:color="auto" w:fill="0E2A35"/>
          </w:tcPr>
          <w:p>
            <w:pPr>
              <w:spacing w:after="0"/>
              <w:rPr>
                <w:sz w:val="14"/>
                <w:szCs w:val="14"/>
                <w:color w:val="auto"/>
              </w:rPr>
            </w:pPr>
          </w:p>
        </w:tc>
        <w:tc>
          <w:tcPr>
            <w:tcW w:w="760" w:type="dxa"/>
            <w:vAlign w:val="bottom"/>
            <w:shd w:val="clear" w:color="auto" w:fill="0E2A35"/>
          </w:tcPr>
          <w:p>
            <w:pPr>
              <w:jc w:val="center"/>
              <w:ind w:left="51"/>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E2A35"/>
          </w:tcPr>
          <w:p>
            <w:pPr>
              <w:spacing w:after="0"/>
              <w:rPr>
                <w:sz w:val="14"/>
                <w:szCs w:val="14"/>
                <w:color w:val="auto"/>
              </w:rPr>
            </w:pPr>
          </w:p>
        </w:tc>
        <w:tc>
          <w:tcPr>
            <w:tcW w:w="200" w:type="dxa"/>
            <w:vAlign w:val="bottom"/>
            <w:shd w:val="clear" w:color="auto" w:fill="0E2A35"/>
          </w:tcPr>
          <w:p>
            <w:pPr>
              <w:spacing w:after="0"/>
              <w:rPr>
                <w:sz w:val="14"/>
                <w:szCs w:val="14"/>
                <w:color w:val="auto"/>
              </w:rPr>
            </w:pPr>
          </w:p>
        </w:tc>
        <w:tc>
          <w:tcPr>
            <w:tcW w:w="760" w:type="dxa"/>
            <w:vAlign w:val="bottom"/>
            <w:shd w:val="clear" w:color="auto" w:fill="0E2A35"/>
          </w:tcPr>
          <w:p>
            <w:pPr>
              <w:jc w:val="center"/>
              <w:ind w:left="53"/>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E2A35"/>
          </w:tcPr>
          <w:p>
            <w:pPr>
              <w:spacing w:after="0"/>
              <w:rPr>
                <w:sz w:val="14"/>
                <w:szCs w:val="14"/>
                <w:color w:val="auto"/>
              </w:rPr>
            </w:pPr>
          </w:p>
        </w:tc>
        <w:tc>
          <w:tcPr>
            <w:tcW w:w="200" w:type="dxa"/>
            <w:vAlign w:val="bottom"/>
            <w:shd w:val="clear" w:color="auto" w:fill="0E2A35"/>
          </w:tcPr>
          <w:p>
            <w:pPr>
              <w:spacing w:after="0"/>
              <w:rPr>
                <w:sz w:val="14"/>
                <w:szCs w:val="14"/>
                <w:color w:val="auto"/>
              </w:rPr>
            </w:pPr>
          </w:p>
        </w:tc>
        <w:tc>
          <w:tcPr>
            <w:tcW w:w="440" w:type="dxa"/>
            <w:vAlign w:val="bottom"/>
            <w:shd w:val="clear" w:color="auto" w:fill="0E2A35"/>
          </w:tcPr>
          <w:p>
            <w:pPr>
              <w:jc w:val="center"/>
              <w:ind w:left="51"/>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E2A35"/>
          </w:tcPr>
          <w:p>
            <w:pPr>
              <w:spacing w:after="0"/>
              <w:rPr>
                <w:sz w:val="14"/>
                <w:szCs w:val="14"/>
                <w:color w:val="auto"/>
              </w:rPr>
            </w:pPr>
          </w:p>
        </w:tc>
        <w:tc>
          <w:tcPr>
            <w:tcW w:w="200" w:type="dxa"/>
            <w:vAlign w:val="bottom"/>
            <w:shd w:val="clear" w:color="auto" w:fill="0E2A35"/>
          </w:tcPr>
          <w:p>
            <w:pPr>
              <w:spacing w:after="0"/>
              <w:rPr>
                <w:sz w:val="14"/>
                <w:szCs w:val="14"/>
                <w:color w:val="auto"/>
              </w:rPr>
            </w:pPr>
          </w:p>
        </w:tc>
        <w:tc>
          <w:tcPr>
            <w:tcW w:w="560" w:type="dxa"/>
            <w:vAlign w:val="bottom"/>
            <w:shd w:val="clear" w:color="auto" w:fill="0E2A35"/>
          </w:tcPr>
          <w:p>
            <w:pPr>
              <w:jc w:val="center"/>
              <w:ind w:left="31"/>
              <w:spacing w:after="0"/>
              <w:rPr>
                <w:sz w:val="20"/>
                <w:szCs w:val="20"/>
                <w:color w:val="auto"/>
              </w:rPr>
            </w:pPr>
            <w:r>
              <w:rPr>
                <w:rFonts w:ascii="Arial" w:cs="Arial" w:eastAsia="Arial" w:hAnsi="Arial"/>
                <w:sz w:val="13"/>
                <w:szCs w:val="13"/>
                <w:b w:val="1"/>
                <w:bCs w:val="1"/>
                <w:color w:val="FFFFFF"/>
                <w:w w:val="87"/>
              </w:rPr>
              <w:t>($)</w:t>
            </w:r>
          </w:p>
        </w:tc>
        <w:tc>
          <w:tcPr>
            <w:tcW w:w="120" w:type="dxa"/>
            <w:vAlign w:val="bottom"/>
            <w:shd w:val="clear" w:color="auto" w:fill="0E2A35"/>
          </w:tcPr>
          <w:p>
            <w:pPr>
              <w:spacing w:after="0"/>
              <w:rPr>
                <w:sz w:val="14"/>
                <w:szCs w:val="14"/>
                <w:color w:val="auto"/>
              </w:rPr>
            </w:pPr>
          </w:p>
        </w:tc>
        <w:tc>
          <w:tcPr>
            <w:tcW w:w="220" w:type="dxa"/>
            <w:vAlign w:val="bottom"/>
            <w:shd w:val="clear" w:color="auto" w:fill="0E2A35"/>
          </w:tcPr>
          <w:p>
            <w:pPr>
              <w:spacing w:after="0"/>
              <w:rPr>
                <w:sz w:val="14"/>
                <w:szCs w:val="14"/>
                <w:color w:val="auto"/>
              </w:rPr>
            </w:pPr>
          </w:p>
        </w:tc>
        <w:tc>
          <w:tcPr>
            <w:tcW w:w="760" w:type="dxa"/>
            <w:vAlign w:val="bottom"/>
            <w:gridSpan w:val="2"/>
            <w:shd w:val="clear" w:color="auto" w:fill="0E2A35"/>
          </w:tcPr>
          <w:p>
            <w:pPr>
              <w:jc w:val="center"/>
              <w:ind w:left="332"/>
              <w:spacing w:after="0"/>
              <w:rPr>
                <w:sz w:val="20"/>
                <w:szCs w:val="20"/>
                <w:color w:val="auto"/>
              </w:rPr>
            </w:pPr>
            <w:r>
              <w:rPr>
                <w:rFonts w:ascii="Arial" w:cs="Arial" w:eastAsia="Arial" w:hAnsi="Arial"/>
                <w:sz w:val="13"/>
                <w:szCs w:val="13"/>
                <w:b w:val="1"/>
                <w:bCs w:val="1"/>
                <w:color w:val="FFFFFF"/>
              </w:rPr>
              <w:t>($)</w:t>
            </w:r>
          </w:p>
        </w:tc>
        <w:tc>
          <w:tcPr>
            <w:tcW w:w="320" w:type="dxa"/>
            <w:vAlign w:val="bottom"/>
            <w:shd w:val="clear" w:color="auto" w:fill="0E2A35"/>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940" w:type="dxa"/>
            <w:vAlign w:val="bottom"/>
            <w:shd w:val="clear" w:color="auto" w:fill="0E2A35"/>
          </w:tcPr>
          <w:p>
            <w:pPr>
              <w:spacing w:after="0"/>
              <w:rPr>
                <w:sz w:val="6"/>
                <w:szCs w:val="6"/>
                <w:color w:val="auto"/>
              </w:rPr>
            </w:pPr>
          </w:p>
        </w:tc>
        <w:tc>
          <w:tcPr>
            <w:tcW w:w="860" w:type="dxa"/>
            <w:vAlign w:val="bottom"/>
            <w:shd w:val="clear" w:color="auto" w:fill="0E2A35"/>
          </w:tcPr>
          <w:p>
            <w:pPr>
              <w:spacing w:after="0"/>
              <w:rPr>
                <w:sz w:val="6"/>
                <w:szCs w:val="6"/>
                <w:color w:val="auto"/>
              </w:rPr>
            </w:pPr>
          </w:p>
        </w:tc>
        <w:tc>
          <w:tcPr>
            <w:tcW w:w="200" w:type="dxa"/>
            <w:vAlign w:val="bottom"/>
            <w:shd w:val="clear" w:color="auto" w:fill="0E2A35"/>
          </w:tcPr>
          <w:p>
            <w:pPr>
              <w:spacing w:after="0"/>
              <w:rPr>
                <w:sz w:val="6"/>
                <w:szCs w:val="6"/>
                <w:color w:val="auto"/>
              </w:rPr>
            </w:pPr>
          </w:p>
        </w:tc>
        <w:tc>
          <w:tcPr>
            <w:tcW w:w="660" w:type="dxa"/>
            <w:vAlign w:val="bottom"/>
            <w:shd w:val="clear" w:color="auto" w:fill="0E2A35"/>
          </w:tcPr>
          <w:p>
            <w:pPr>
              <w:spacing w:after="0"/>
              <w:rPr>
                <w:sz w:val="6"/>
                <w:szCs w:val="6"/>
                <w:color w:val="auto"/>
              </w:rPr>
            </w:pPr>
          </w:p>
        </w:tc>
        <w:tc>
          <w:tcPr>
            <w:tcW w:w="120" w:type="dxa"/>
            <w:vAlign w:val="bottom"/>
            <w:shd w:val="clear" w:color="auto" w:fill="0E2A35"/>
          </w:tcPr>
          <w:p>
            <w:pPr>
              <w:spacing w:after="0"/>
              <w:rPr>
                <w:sz w:val="6"/>
                <w:szCs w:val="6"/>
                <w:color w:val="auto"/>
              </w:rPr>
            </w:pPr>
          </w:p>
        </w:tc>
        <w:tc>
          <w:tcPr>
            <w:tcW w:w="200" w:type="dxa"/>
            <w:vAlign w:val="bottom"/>
            <w:shd w:val="clear" w:color="auto" w:fill="0E2A35"/>
          </w:tcPr>
          <w:p>
            <w:pPr>
              <w:spacing w:after="0"/>
              <w:rPr>
                <w:sz w:val="6"/>
                <w:szCs w:val="6"/>
                <w:color w:val="auto"/>
              </w:rPr>
            </w:pPr>
          </w:p>
        </w:tc>
        <w:tc>
          <w:tcPr>
            <w:tcW w:w="760" w:type="dxa"/>
            <w:vAlign w:val="bottom"/>
            <w:shd w:val="clear" w:color="auto" w:fill="0E2A35"/>
          </w:tcPr>
          <w:p>
            <w:pPr>
              <w:spacing w:after="0"/>
              <w:rPr>
                <w:sz w:val="6"/>
                <w:szCs w:val="6"/>
                <w:color w:val="auto"/>
              </w:rPr>
            </w:pPr>
          </w:p>
        </w:tc>
        <w:tc>
          <w:tcPr>
            <w:tcW w:w="120" w:type="dxa"/>
            <w:vAlign w:val="bottom"/>
            <w:shd w:val="clear" w:color="auto" w:fill="0E2A35"/>
          </w:tcPr>
          <w:p>
            <w:pPr>
              <w:spacing w:after="0"/>
              <w:rPr>
                <w:sz w:val="6"/>
                <w:szCs w:val="6"/>
                <w:color w:val="auto"/>
              </w:rPr>
            </w:pPr>
          </w:p>
        </w:tc>
        <w:tc>
          <w:tcPr>
            <w:tcW w:w="200" w:type="dxa"/>
            <w:vAlign w:val="bottom"/>
            <w:shd w:val="clear" w:color="auto" w:fill="0E2A35"/>
          </w:tcPr>
          <w:p>
            <w:pPr>
              <w:spacing w:after="0"/>
              <w:rPr>
                <w:sz w:val="6"/>
                <w:szCs w:val="6"/>
                <w:color w:val="auto"/>
              </w:rPr>
            </w:pPr>
          </w:p>
        </w:tc>
        <w:tc>
          <w:tcPr>
            <w:tcW w:w="760" w:type="dxa"/>
            <w:vAlign w:val="bottom"/>
            <w:shd w:val="clear" w:color="auto" w:fill="0E2A35"/>
          </w:tcPr>
          <w:p>
            <w:pPr>
              <w:spacing w:after="0"/>
              <w:rPr>
                <w:sz w:val="6"/>
                <w:szCs w:val="6"/>
                <w:color w:val="auto"/>
              </w:rPr>
            </w:pPr>
          </w:p>
        </w:tc>
        <w:tc>
          <w:tcPr>
            <w:tcW w:w="140" w:type="dxa"/>
            <w:vAlign w:val="bottom"/>
            <w:shd w:val="clear" w:color="auto" w:fill="0E2A35"/>
          </w:tcPr>
          <w:p>
            <w:pPr>
              <w:spacing w:after="0"/>
              <w:rPr>
                <w:sz w:val="6"/>
                <w:szCs w:val="6"/>
                <w:color w:val="auto"/>
              </w:rPr>
            </w:pPr>
          </w:p>
        </w:tc>
        <w:tc>
          <w:tcPr>
            <w:tcW w:w="200" w:type="dxa"/>
            <w:vAlign w:val="bottom"/>
            <w:shd w:val="clear" w:color="auto" w:fill="0E2A35"/>
          </w:tcPr>
          <w:p>
            <w:pPr>
              <w:spacing w:after="0"/>
              <w:rPr>
                <w:sz w:val="6"/>
                <w:szCs w:val="6"/>
                <w:color w:val="auto"/>
              </w:rPr>
            </w:pPr>
          </w:p>
        </w:tc>
        <w:tc>
          <w:tcPr>
            <w:tcW w:w="440" w:type="dxa"/>
            <w:vAlign w:val="bottom"/>
            <w:shd w:val="clear" w:color="auto" w:fill="0E2A35"/>
          </w:tcPr>
          <w:p>
            <w:pPr>
              <w:spacing w:after="0"/>
              <w:rPr>
                <w:sz w:val="6"/>
                <w:szCs w:val="6"/>
                <w:color w:val="auto"/>
              </w:rPr>
            </w:pPr>
          </w:p>
        </w:tc>
        <w:tc>
          <w:tcPr>
            <w:tcW w:w="140" w:type="dxa"/>
            <w:vAlign w:val="bottom"/>
            <w:shd w:val="clear" w:color="auto" w:fill="0E2A35"/>
          </w:tcPr>
          <w:p>
            <w:pPr>
              <w:spacing w:after="0"/>
              <w:rPr>
                <w:sz w:val="6"/>
                <w:szCs w:val="6"/>
                <w:color w:val="auto"/>
              </w:rPr>
            </w:pPr>
          </w:p>
        </w:tc>
        <w:tc>
          <w:tcPr>
            <w:tcW w:w="200" w:type="dxa"/>
            <w:vAlign w:val="bottom"/>
            <w:shd w:val="clear" w:color="auto" w:fill="0E2A35"/>
          </w:tcPr>
          <w:p>
            <w:pPr>
              <w:spacing w:after="0"/>
              <w:rPr>
                <w:sz w:val="6"/>
                <w:szCs w:val="6"/>
                <w:color w:val="auto"/>
              </w:rPr>
            </w:pPr>
          </w:p>
        </w:tc>
        <w:tc>
          <w:tcPr>
            <w:tcW w:w="560" w:type="dxa"/>
            <w:vAlign w:val="bottom"/>
            <w:shd w:val="clear" w:color="auto" w:fill="0E2A35"/>
          </w:tcPr>
          <w:p>
            <w:pPr>
              <w:spacing w:after="0"/>
              <w:rPr>
                <w:sz w:val="6"/>
                <w:szCs w:val="6"/>
                <w:color w:val="auto"/>
              </w:rPr>
            </w:pPr>
          </w:p>
        </w:tc>
        <w:tc>
          <w:tcPr>
            <w:tcW w:w="120" w:type="dxa"/>
            <w:vAlign w:val="bottom"/>
            <w:shd w:val="clear" w:color="auto" w:fill="0E2A35"/>
          </w:tcPr>
          <w:p>
            <w:pPr>
              <w:spacing w:after="0"/>
              <w:rPr>
                <w:sz w:val="6"/>
                <w:szCs w:val="6"/>
                <w:color w:val="auto"/>
              </w:rPr>
            </w:pPr>
          </w:p>
        </w:tc>
        <w:tc>
          <w:tcPr>
            <w:tcW w:w="220" w:type="dxa"/>
            <w:vAlign w:val="bottom"/>
            <w:shd w:val="clear" w:color="auto" w:fill="0E2A35"/>
          </w:tcPr>
          <w:p>
            <w:pPr>
              <w:spacing w:after="0"/>
              <w:rPr>
                <w:sz w:val="6"/>
                <w:szCs w:val="6"/>
                <w:color w:val="auto"/>
              </w:rPr>
            </w:pPr>
          </w:p>
        </w:tc>
        <w:tc>
          <w:tcPr>
            <w:tcW w:w="760" w:type="dxa"/>
            <w:vAlign w:val="bottom"/>
            <w:gridSpan w:val="2"/>
            <w:shd w:val="clear" w:color="auto" w:fill="0E2A35"/>
          </w:tcPr>
          <w:p>
            <w:pPr>
              <w:spacing w:after="0"/>
              <w:rPr>
                <w:sz w:val="6"/>
                <w:szCs w:val="6"/>
                <w:color w:val="auto"/>
              </w:rPr>
            </w:pPr>
          </w:p>
        </w:tc>
        <w:tc>
          <w:tcPr>
            <w:tcW w:w="320" w:type="dxa"/>
            <w:vAlign w:val="bottom"/>
            <w:shd w:val="clear" w:color="auto" w:fill="0E2A35"/>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94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860" w:type="dxa"/>
            <w:vAlign w:val="bottom"/>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0E2A35"/>
              </w:rPr>
              <w:t>7,499​</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0E2A35"/>
              </w:rPr>
              <w:t>17,992​</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0E2A35"/>
              </w:rPr>
              <w:t>2,192​</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jc w:val="center"/>
              <w:ind w:left="51"/>
              <w:spacing w:after="0"/>
              <w:rPr>
                <w:sz w:val="20"/>
                <w:szCs w:val="20"/>
                <w:color w:val="auto"/>
              </w:rPr>
            </w:pPr>
            <w:r>
              <w:rPr>
                <w:rFonts w:ascii="Arial" w:cs="Arial" w:eastAsia="Arial" w:hAnsi="Arial"/>
                <w:sz w:val="14"/>
                <w:szCs w:val="14"/>
                <w:color w:val="0E2A35"/>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0E2A35"/>
              </w:rPr>
              <w:t>9,231​</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left="252"/>
              <w:spacing w:after="0"/>
              <w:rPr>
                <w:sz w:val="20"/>
                <w:szCs w:val="20"/>
                <w:color w:val="auto"/>
              </w:rPr>
            </w:pPr>
            <w:r>
              <w:rPr>
                <w:rFonts w:ascii="Arial" w:cs="Arial" w:eastAsia="Arial" w:hAnsi="Arial"/>
                <w:sz w:val="14"/>
                <w:szCs w:val="14"/>
                <w:color w:val="0E2A35"/>
              </w:rPr>
              <w:t>36,914​</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940" w:type="dxa"/>
            <w:vAlign w:val="bottom"/>
            <w:tcBorders>
              <w:bottom w:val="single" w:sz="8" w:color="0E2A35"/>
            </w:tcBorders>
          </w:tcPr>
          <w:p>
            <w:pPr>
              <w:spacing w:after="0"/>
              <w:rPr>
                <w:sz w:val="6"/>
                <w:szCs w:val="6"/>
                <w:color w:val="auto"/>
              </w:rPr>
            </w:pPr>
          </w:p>
        </w:tc>
        <w:tc>
          <w:tcPr>
            <w:tcW w:w="8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5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2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gridSpan w:val="2"/>
          </w:tcPr>
          <w:p>
            <w:pPr>
              <w:spacing w:after="0"/>
              <w:rPr>
                <w:sz w:val="6"/>
                <w:szCs w:val="6"/>
                <w:color w:val="auto"/>
              </w:rPr>
            </w:pPr>
          </w:p>
        </w:tc>
        <w:tc>
          <w:tcPr>
            <w:tcW w:w="3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94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860" w:type="dxa"/>
            <w:vAlign w:val="bottom"/>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0E2A35"/>
              </w:rPr>
              <w:t>7,728​</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0E2A35"/>
              </w:rPr>
              <w:t>17,992</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0E2A35"/>
              </w:rPr>
              <w:t>1,927​</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jc w:val="center"/>
              <w:ind w:left="51"/>
              <w:spacing w:after="0"/>
              <w:rPr>
                <w:sz w:val="20"/>
                <w:szCs w:val="20"/>
                <w:color w:val="auto"/>
              </w:rPr>
            </w:pPr>
            <w:r>
              <w:rPr>
                <w:rFonts w:ascii="Arial" w:cs="Arial" w:eastAsia="Arial" w:hAnsi="Arial"/>
                <w:sz w:val="14"/>
                <w:szCs w:val="14"/>
                <w:color w:val="0E2A35"/>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0E2A35"/>
              </w:rPr>
              <w:t>12,200​</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left="252"/>
              <w:spacing w:after="0"/>
              <w:rPr>
                <w:sz w:val="20"/>
                <w:szCs w:val="20"/>
                <w:color w:val="auto"/>
              </w:rPr>
            </w:pPr>
            <w:r>
              <w:rPr>
                <w:rFonts w:ascii="Arial" w:cs="Arial" w:eastAsia="Arial" w:hAnsi="Arial"/>
                <w:sz w:val="14"/>
                <w:szCs w:val="14"/>
                <w:color w:val="0E2A35"/>
              </w:rPr>
              <w:t>40,610​</w:t>
            </w:r>
          </w:p>
        </w:tc>
        <w:tc>
          <w:tcPr>
            <w:tcW w:w="320" w:type="dxa"/>
            <w:vAlign w:val="bottom"/>
          </w:tcPr>
          <w:p>
            <w:pPr>
              <w:spacing w:after="0"/>
              <w:rPr>
                <w:sz w:val="20"/>
                <w:szCs w:val="20"/>
                <w:color w:val="auto"/>
              </w:rPr>
            </w:pPr>
            <w:r>
              <w:rPr>
                <w:rFonts w:ascii="Arial" w:cs="Arial" w:eastAsia="Arial" w:hAnsi="Arial"/>
                <w:sz w:val="12"/>
                <w:szCs w:val="12"/>
                <w:color w:val="0E2A35"/>
              </w:rPr>
              <w:t>(a)</w:t>
            </w:r>
          </w:p>
        </w:tc>
        <w:tc>
          <w:tcPr>
            <w:tcW w:w="0" w:type="dxa"/>
            <w:vAlign w:val="bottom"/>
          </w:tcPr>
          <w:p>
            <w:pPr>
              <w:spacing w:after="0"/>
              <w:rPr>
                <w:sz w:val="1"/>
                <w:szCs w:val="1"/>
                <w:color w:val="auto"/>
              </w:rPr>
            </w:pPr>
          </w:p>
        </w:tc>
      </w:tr>
      <w:tr>
        <w:trPr>
          <w:trHeight w:val="76"/>
        </w:trPr>
        <w:tc>
          <w:tcPr>
            <w:tcW w:w="1940" w:type="dxa"/>
            <w:vAlign w:val="bottom"/>
            <w:tcBorders>
              <w:bottom w:val="single" w:sz="8" w:color="0E2A35"/>
            </w:tcBorders>
          </w:tcPr>
          <w:p>
            <w:pPr>
              <w:spacing w:after="0"/>
              <w:rPr>
                <w:sz w:val="6"/>
                <w:szCs w:val="6"/>
                <w:color w:val="auto"/>
              </w:rPr>
            </w:pPr>
          </w:p>
        </w:tc>
        <w:tc>
          <w:tcPr>
            <w:tcW w:w="8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5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2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gridSpan w:val="2"/>
          </w:tcPr>
          <w:p>
            <w:pPr>
              <w:spacing w:after="0"/>
              <w:rPr>
                <w:sz w:val="6"/>
                <w:szCs w:val="6"/>
                <w:color w:val="auto"/>
              </w:rPr>
            </w:pPr>
          </w:p>
        </w:tc>
        <w:tc>
          <w:tcPr>
            <w:tcW w:w="3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940" w:type="dxa"/>
            <w:vAlign w:val="bottom"/>
          </w:tcPr>
          <w:p>
            <w:pPr>
              <w:ind w:left="60"/>
              <w:spacing w:after="0"/>
              <w:rPr>
                <w:sz w:val="20"/>
                <w:szCs w:val="20"/>
                <w:color w:val="auto"/>
              </w:rPr>
            </w:pPr>
            <w:r>
              <w:rPr>
                <w:rFonts w:ascii="Arial" w:cs="Arial" w:eastAsia="Arial" w:hAnsi="Arial"/>
                <w:sz w:val="14"/>
                <w:szCs w:val="14"/>
                <w:color w:val="0E2A35"/>
              </w:rPr>
              <w:t>Stacy L. Bogart</w:t>
            </w:r>
          </w:p>
        </w:tc>
        <w:tc>
          <w:tcPr>
            <w:tcW w:w="860" w:type="dxa"/>
            <w:vAlign w:val="bottom"/>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0E2A35"/>
              </w:rPr>
              <w:t>9,192</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0E2A35"/>
              </w:rPr>
              <w:t>17,992</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0E2A35"/>
              </w:rPr>
              <w:t>1,607</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jc w:val="center"/>
              <w:ind w:left="51"/>
              <w:spacing w:after="0"/>
              <w:rPr>
                <w:sz w:val="20"/>
                <w:szCs w:val="20"/>
                <w:color w:val="auto"/>
              </w:rPr>
            </w:pPr>
            <w:r>
              <w:rPr>
                <w:rFonts w:ascii="Arial" w:cs="Arial" w:eastAsia="Arial" w:hAnsi="Arial"/>
                <w:sz w:val="14"/>
                <w:szCs w:val="14"/>
                <w:color w:val="0E2A35"/>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0E2A35"/>
              </w:rPr>
              <w:t>12,200​</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left="252"/>
              <w:spacing w:after="0"/>
              <w:rPr>
                <w:sz w:val="20"/>
                <w:szCs w:val="20"/>
                <w:color w:val="auto"/>
              </w:rPr>
            </w:pPr>
            <w:r>
              <w:rPr>
                <w:rFonts w:ascii="Arial" w:cs="Arial" w:eastAsia="Arial" w:hAnsi="Arial"/>
                <w:sz w:val="14"/>
                <w:szCs w:val="14"/>
                <w:color w:val="0E2A35"/>
              </w:rPr>
              <w:t>40,991​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940" w:type="dxa"/>
            <w:vAlign w:val="bottom"/>
            <w:tcBorders>
              <w:bottom w:val="single" w:sz="8" w:color="0E2A35"/>
            </w:tcBorders>
          </w:tcPr>
          <w:p>
            <w:pPr>
              <w:spacing w:after="0"/>
              <w:rPr>
                <w:sz w:val="6"/>
                <w:szCs w:val="6"/>
                <w:color w:val="auto"/>
              </w:rPr>
            </w:pPr>
          </w:p>
        </w:tc>
        <w:tc>
          <w:tcPr>
            <w:tcW w:w="8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5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2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gridSpan w:val="2"/>
          </w:tcPr>
          <w:p>
            <w:pPr>
              <w:spacing w:after="0"/>
              <w:rPr>
                <w:sz w:val="6"/>
                <w:szCs w:val="6"/>
                <w:color w:val="auto"/>
              </w:rPr>
            </w:pPr>
          </w:p>
        </w:tc>
        <w:tc>
          <w:tcPr>
            <w:tcW w:w="3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940" w:type="dxa"/>
            <w:vAlign w:val="bottom"/>
          </w:tcPr>
          <w:p>
            <w:pPr>
              <w:ind w:left="60"/>
              <w:spacing w:after="0"/>
              <w:rPr>
                <w:sz w:val="20"/>
                <w:szCs w:val="20"/>
                <w:color w:val="auto"/>
              </w:rPr>
            </w:pPr>
            <w:r>
              <w:rPr>
                <w:rFonts w:ascii="Arial" w:cs="Arial" w:eastAsia="Arial" w:hAnsi="Arial"/>
                <w:sz w:val="14"/>
                <w:szCs w:val="14"/>
                <w:color w:val="0E2A35"/>
              </w:rPr>
              <w:t>Huw S. Bower</w:t>
            </w:r>
          </w:p>
        </w:tc>
        <w:tc>
          <w:tcPr>
            <w:tcW w:w="860" w:type="dxa"/>
            <w:vAlign w:val="bottom"/>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0E2A35"/>
              </w:rPr>
              <w:t>9,070​</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0E2A35"/>
              </w:rPr>
              <w:t>17,992</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0E2A35"/>
              </w:rPr>
              <w:t>1,616​</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jc w:val="center"/>
              <w:ind w:left="51"/>
              <w:spacing w:after="0"/>
              <w:rPr>
                <w:sz w:val="20"/>
                <w:szCs w:val="20"/>
                <w:color w:val="auto"/>
              </w:rPr>
            </w:pPr>
            <w:r>
              <w:rPr>
                <w:rFonts w:ascii="Arial" w:cs="Arial" w:eastAsia="Arial" w:hAnsi="Arial"/>
                <w:sz w:val="14"/>
                <w:szCs w:val="14"/>
                <w:color w:val="0E2A35"/>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0E2A35"/>
              </w:rPr>
              <w:t>10,413​</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left="252"/>
              <w:spacing w:after="0"/>
              <w:rPr>
                <w:sz w:val="20"/>
                <w:szCs w:val="20"/>
                <w:color w:val="auto"/>
              </w:rPr>
            </w:pPr>
            <w:r>
              <w:rPr>
                <w:rFonts w:ascii="Arial" w:cs="Arial" w:eastAsia="Arial" w:hAnsi="Arial"/>
                <w:sz w:val="14"/>
                <w:szCs w:val="14"/>
                <w:color w:val="0E2A35"/>
              </w:rPr>
              <w:t>39,091​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940" w:type="dxa"/>
            <w:vAlign w:val="bottom"/>
            <w:tcBorders>
              <w:bottom w:val="single" w:sz="8" w:color="0E2A35"/>
            </w:tcBorders>
          </w:tcPr>
          <w:p>
            <w:pPr>
              <w:spacing w:after="0"/>
              <w:rPr>
                <w:sz w:val="6"/>
                <w:szCs w:val="6"/>
                <w:color w:val="auto"/>
              </w:rPr>
            </w:pPr>
          </w:p>
        </w:tc>
        <w:tc>
          <w:tcPr>
            <w:tcW w:w="8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56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220" w:type="dxa"/>
            <w:vAlign w:val="bottom"/>
            <w:tcBorders>
              <w:bottom w:val="single" w:sz="8" w:color="0E2A35"/>
            </w:tcBorders>
          </w:tcPr>
          <w:p>
            <w:pPr>
              <w:spacing w:after="0"/>
              <w:rPr>
                <w:sz w:val="6"/>
                <w:szCs w:val="6"/>
                <w:color w:val="auto"/>
              </w:rPr>
            </w:pPr>
          </w:p>
        </w:tc>
        <w:tc>
          <w:tcPr>
            <w:tcW w:w="760" w:type="dxa"/>
            <w:vAlign w:val="bottom"/>
            <w:tcBorders>
              <w:bottom w:val="single" w:sz="8" w:color="0E2A35"/>
            </w:tcBorders>
            <w:gridSpan w:val="2"/>
          </w:tcPr>
          <w:p>
            <w:pPr>
              <w:spacing w:after="0"/>
              <w:rPr>
                <w:sz w:val="6"/>
                <w:szCs w:val="6"/>
                <w:color w:val="auto"/>
              </w:rPr>
            </w:pPr>
          </w:p>
        </w:tc>
        <w:tc>
          <w:tcPr>
            <w:tcW w:w="3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940" w:type="dxa"/>
            <w:vAlign w:val="bottom"/>
          </w:tcPr>
          <w:p>
            <w:pPr>
              <w:ind w:left="60"/>
              <w:spacing w:after="0"/>
              <w:rPr>
                <w:sz w:val="20"/>
                <w:szCs w:val="20"/>
                <w:color w:val="auto"/>
              </w:rPr>
            </w:pPr>
            <w:r>
              <w:rPr>
                <w:rFonts w:ascii="Arial" w:cs="Arial" w:eastAsia="Arial" w:hAnsi="Arial"/>
                <w:sz w:val="14"/>
                <w:szCs w:val="14"/>
                <w:color w:val="0E2A35"/>
              </w:rPr>
              <w:t>Donald J. Clark</w:t>
            </w:r>
          </w:p>
        </w:tc>
        <w:tc>
          <w:tcPr>
            <w:tcW w:w="860" w:type="dxa"/>
            <w:vAlign w:val="bottom"/>
          </w:tcPr>
          <w:p>
            <w:pPr>
              <w:ind w:left="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0E2A35"/>
              </w:rPr>
              <w:t>—</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0E2A35"/>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0E2A35"/>
              </w:rPr>
              <w:t>—</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jc w:val="center"/>
              <w:ind w:left="51"/>
              <w:spacing w:after="0"/>
              <w:rPr>
                <w:sz w:val="20"/>
                <w:szCs w:val="20"/>
                <w:color w:val="auto"/>
              </w:rPr>
            </w:pPr>
            <w:r>
              <w:rPr>
                <w:rFonts w:ascii="Arial" w:cs="Arial" w:eastAsia="Arial" w:hAnsi="Arial"/>
                <w:sz w:val="14"/>
                <w:szCs w:val="14"/>
                <w:color w:val="0E2A35"/>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0E2A35"/>
              </w:rPr>
              <w:t>12,200​</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center"/>
              <w:ind w:left="252"/>
              <w:spacing w:after="0"/>
              <w:rPr>
                <w:sz w:val="20"/>
                <w:szCs w:val="20"/>
                <w:color w:val="auto"/>
              </w:rPr>
            </w:pPr>
            <w:r>
              <w:rPr>
                <w:rFonts w:ascii="Arial" w:cs="Arial" w:eastAsia="Arial" w:hAnsi="Arial"/>
                <w:sz w:val="14"/>
                <w:szCs w:val="14"/>
                <w:color w:val="0E2A35"/>
              </w:rPr>
              <w:t>12,200​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56515</wp:posOffset>
            </wp:positionV>
            <wp:extent cx="56661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173" w:lineRule="exact"/>
        <w:rPr>
          <w:sz w:val="20"/>
          <w:szCs w:val="20"/>
          <w:color w:val="auto"/>
        </w:rPr>
      </w:pPr>
    </w:p>
    <w:p>
      <w:pPr>
        <w:ind w:left="720" w:right="40" w:hanging="360"/>
        <w:spacing w:after="0" w:line="243" w:lineRule="auto"/>
        <w:tabs>
          <w:tab w:leader="none" w:pos="72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 difference in the amount shown here and the sum of the other compensation elements included in this table reflects the amount paid for an executive physical.</w:t>
      </w:r>
    </w:p>
    <w:p>
      <w:pPr>
        <w:spacing w:after="0" w:line="21" w:lineRule="exact"/>
        <w:rPr>
          <w:rFonts w:ascii="Arial" w:cs="Arial" w:eastAsia="Arial" w:hAnsi="Arial"/>
          <w:sz w:val="13"/>
          <w:szCs w:val="13"/>
          <w:color w:val="0E2A35"/>
        </w:rPr>
      </w:pPr>
    </w:p>
    <w:p>
      <w:pPr>
        <w:ind w:left="360" w:right="360" w:hanging="360"/>
        <w:spacing w:after="0" w:line="243" w:lineRule="auto"/>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Mr. Bower joined the Company in October 2020. He received a new hire stock award of 1,150,022 shares of restricted stock on October 12, 2020. He also received a sign-on bonus of $275,000 on October 12, 2020.</w:t>
      </w:r>
    </w:p>
    <w:p>
      <w:pPr>
        <w:spacing w:after="0" w:line="21" w:lineRule="exact"/>
        <w:rPr>
          <w:rFonts w:ascii="Arial" w:cs="Arial" w:eastAsia="Arial" w:hAnsi="Arial"/>
          <w:sz w:val="13"/>
          <w:szCs w:val="13"/>
          <w:color w:val="0E2A35"/>
        </w:rPr>
      </w:pPr>
    </w:p>
    <w:p>
      <w:pPr>
        <w:ind w:left="360" w:right="100" w:hanging="360"/>
        <w:spacing w:after="0" w:line="245" w:lineRule="auto"/>
        <w:tabs>
          <w:tab w:leader="none" w:pos="360" w:val="left"/>
        </w:tabs>
        <w:numPr>
          <w:ilvl w:val="0"/>
          <w:numId w:val="46"/>
        </w:numPr>
        <w:rPr>
          <w:rFonts w:ascii="Arial" w:cs="Arial" w:eastAsia="Arial" w:hAnsi="Arial"/>
          <w:sz w:val="12"/>
          <w:szCs w:val="12"/>
          <w:color w:val="0E2A35"/>
        </w:rPr>
      </w:pPr>
      <w:r>
        <w:rPr>
          <w:rFonts w:ascii="Arial" w:cs="Arial" w:eastAsia="Arial" w:hAnsi="Arial"/>
          <w:sz w:val="12"/>
          <w:szCs w:val="12"/>
          <w:color w:val="0E2A35"/>
        </w:rPr>
        <w:t>Under the terms of his amended employment agreement, Mr. Clark’s annual incentive plan payout under the Grand Design MIP paid out 85% in cash and 15% in restricted stock units. Both the cash and restricted stock units are reported under the Non-Equity Incentive Plan Compensation column. For fiscal 2021,</w:t>
      </w:r>
    </w:p>
    <w:p>
      <w:pPr>
        <w:ind w:left="360"/>
        <w:spacing w:after="0" w:line="231" w:lineRule="auto"/>
        <w:rPr>
          <w:rFonts w:ascii="Arial" w:cs="Arial" w:eastAsia="Arial" w:hAnsi="Arial"/>
          <w:sz w:val="12"/>
          <w:szCs w:val="12"/>
          <w:color w:val="0E2A35"/>
        </w:rPr>
      </w:pPr>
      <w:r>
        <w:rPr>
          <w:rFonts w:ascii="Arial" w:cs="Arial" w:eastAsia="Arial" w:hAnsi="Arial"/>
          <w:sz w:val="13"/>
          <w:szCs w:val="13"/>
          <w:color w:val="0E2A35"/>
        </w:rPr>
        <w:t>Mr. Clark’s Grand Design MIP payout was 90% in cash and 10% in restricted stock units. For fiscal 2020, Mr. Clark’s Grand Design MIP payout was 95% in cash and 5% in restricted stock units.</w:t>
      </w:r>
    </w:p>
    <w:p>
      <w:pPr>
        <w:spacing w:after="0" w:line="24" w:lineRule="exact"/>
        <w:rPr>
          <w:rFonts w:ascii="Arial" w:cs="Arial" w:eastAsia="Arial" w:hAnsi="Arial"/>
          <w:sz w:val="12"/>
          <w:szCs w:val="12"/>
          <w:color w:val="0E2A35"/>
        </w:rPr>
      </w:pPr>
    </w:p>
    <w:p>
      <w:pPr>
        <w:ind w:left="360" w:hanging="360"/>
        <w:spacing w:after="0"/>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 amount shown here includes $1,958,594 in restricted stock units awarded for fiscal 2022 performance pursuant to the Grand Design MIP.</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 amount shown here includes $1,011,923 in restricted stock units awarded for fiscal 2021 performance pursuant to the Grand Design MIP.</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 amount shown here includes $275,774 in restricted stock units awarded for fiscal 2020 performance pursuant to the Grand Design MIP.</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C7D265"/>
        </w:rPr>
        <w:t>Grants of Plan-Based Awards Table</w:t>
      </w:r>
    </w:p>
    <w:p>
      <w:pPr>
        <w:spacing w:after="0" w:line="193" w:lineRule="exact"/>
        <w:rPr>
          <w:sz w:val="20"/>
          <w:szCs w:val="20"/>
          <w:color w:val="auto"/>
        </w:rPr>
      </w:pPr>
    </w:p>
    <w:p>
      <w:pPr>
        <w:ind w:left="440" w:right="680"/>
        <w:spacing w:after="0" w:line="286" w:lineRule="auto"/>
        <w:rPr>
          <w:sz w:val="20"/>
          <w:szCs w:val="20"/>
          <w:color w:val="auto"/>
        </w:rPr>
      </w:pPr>
      <w:r>
        <w:rPr>
          <w:rFonts w:ascii="Arial" w:cs="Arial" w:eastAsia="Arial" w:hAnsi="Arial"/>
          <w:sz w:val="16"/>
          <w:szCs w:val="16"/>
          <w:color w:val="0E2A35"/>
        </w:rPr>
        <w:t>The following table provides additional information relating to plan-based awards granted to our NEOs in fiscal 2022. All equity awards were granted under the 2019 Plan.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00" w:type="dxa"/>
            <w:vAlign w:val="bottom"/>
            <w:shd w:val="clear" w:color="auto" w:fill="0E2A35"/>
          </w:tcPr>
          <w:p>
            <w:pPr>
              <w:spacing w:after="0"/>
              <w:rPr>
                <w:sz w:val="20"/>
                <w:szCs w:val="20"/>
                <w:color w:val="auto"/>
              </w:rPr>
            </w:pPr>
          </w:p>
        </w:tc>
        <w:tc>
          <w:tcPr>
            <w:tcW w:w="320" w:type="dxa"/>
            <w:vAlign w:val="bottom"/>
            <w:shd w:val="clear" w:color="auto" w:fill="0E2A35"/>
          </w:tcPr>
          <w:p>
            <w:pPr>
              <w:spacing w:after="0"/>
              <w:rPr>
                <w:sz w:val="20"/>
                <w:szCs w:val="20"/>
                <w:color w:val="auto"/>
              </w:rPr>
            </w:pPr>
          </w:p>
        </w:tc>
        <w:tc>
          <w:tcPr>
            <w:tcW w:w="800" w:type="dxa"/>
            <w:vAlign w:val="bottom"/>
            <w:shd w:val="clear" w:color="auto" w:fill="0E2A35"/>
          </w:tcPr>
          <w:p>
            <w:pPr>
              <w:spacing w:after="0"/>
              <w:rPr>
                <w:sz w:val="20"/>
                <w:szCs w:val="20"/>
                <w:color w:val="auto"/>
              </w:rPr>
            </w:pPr>
          </w:p>
        </w:tc>
        <w:tc>
          <w:tcPr>
            <w:tcW w:w="860" w:type="dxa"/>
            <w:vAlign w:val="bottom"/>
            <w:shd w:val="clear" w:color="auto" w:fill="0E2A35"/>
          </w:tcPr>
          <w:p>
            <w:pPr>
              <w:spacing w:after="0"/>
              <w:rPr>
                <w:sz w:val="20"/>
                <w:szCs w:val="20"/>
                <w:color w:val="auto"/>
              </w:rPr>
            </w:pPr>
          </w:p>
        </w:tc>
        <w:tc>
          <w:tcPr>
            <w:tcW w:w="1080" w:type="dxa"/>
            <w:vAlign w:val="bottom"/>
            <w:gridSpan w:val="2"/>
            <w:shd w:val="clear" w:color="auto" w:fill="0E2A35"/>
          </w:tcPr>
          <w:p>
            <w:pPr>
              <w:ind w:left="500"/>
              <w:spacing w:after="0"/>
              <w:rPr>
                <w:sz w:val="20"/>
                <w:szCs w:val="20"/>
                <w:color w:val="auto"/>
              </w:rPr>
            </w:pPr>
            <w:r>
              <w:rPr>
                <w:rFonts w:ascii="Arial" w:cs="Arial" w:eastAsia="Arial" w:hAnsi="Arial"/>
                <w:sz w:val="12"/>
                <w:szCs w:val="12"/>
                <w:b w:val="1"/>
                <w:bCs w:val="1"/>
                <w:color w:val="FFFFFF"/>
                <w:w w:val="97"/>
              </w:rPr>
              <w:t>Estimated​</w:t>
            </w:r>
          </w:p>
        </w:tc>
        <w:tc>
          <w:tcPr>
            <w:tcW w:w="840" w:type="dxa"/>
            <w:vAlign w:val="bottom"/>
            <w:gridSpan w:val="2"/>
            <w:shd w:val="clear" w:color="auto" w:fill="0E2A35"/>
          </w:tcPr>
          <w:p>
            <w:pPr>
              <w:jc w:val="right"/>
              <w:ind w:right="402"/>
              <w:spacing w:after="0"/>
              <w:rPr>
                <w:sz w:val="20"/>
                <w:szCs w:val="20"/>
                <w:color w:val="auto"/>
              </w:rPr>
            </w:pPr>
            <w:r>
              <w:rPr>
                <w:rFonts w:ascii="Arial" w:cs="Arial" w:eastAsia="Arial" w:hAnsi="Arial"/>
                <w:sz w:val="12"/>
                <w:szCs w:val="12"/>
                <w:b w:val="1"/>
                <w:bCs w:val="1"/>
                <w:color w:val="FFFFFF"/>
                <w:w w:val="96"/>
              </w:rPr>
              <w:t>Future</w:t>
            </w:r>
          </w:p>
        </w:tc>
        <w:tc>
          <w:tcPr>
            <w:tcW w:w="60" w:type="dxa"/>
            <w:vAlign w:val="bottom"/>
            <w:shd w:val="clear" w:color="auto" w:fill="0E2A35"/>
          </w:tcPr>
          <w:p>
            <w:pPr>
              <w:spacing w:after="0"/>
              <w:rPr>
                <w:sz w:val="20"/>
                <w:szCs w:val="20"/>
                <w:color w:val="auto"/>
              </w:rPr>
            </w:pPr>
          </w:p>
        </w:tc>
        <w:tc>
          <w:tcPr>
            <w:tcW w:w="1940" w:type="dxa"/>
            <w:vAlign w:val="bottom"/>
            <w:gridSpan w:val="3"/>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Estimated Future</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640" w:type="dxa"/>
            <w:vAlign w:val="bottom"/>
            <w:shd w:val="clear" w:color="auto" w:fill="0E2A35"/>
          </w:tcPr>
          <w:p>
            <w:pPr>
              <w:spacing w:after="0"/>
              <w:rPr>
                <w:sz w:val="20"/>
                <w:szCs w:val="20"/>
                <w:color w:val="auto"/>
              </w:rPr>
            </w:pPr>
          </w:p>
        </w:tc>
        <w:tc>
          <w:tcPr>
            <w:tcW w:w="780" w:type="dxa"/>
            <w:vAlign w:val="bottom"/>
            <w:shd w:val="clear" w:color="auto" w:fill="0E2A35"/>
          </w:tcPr>
          <w:p>
            <w:pPr>
              <w:spacing w:after="0"/>
              <w:rPr>
                <w:sz w:val="20"/>
                <w:szCs w:val="20"/>
                <w:color w:val="auto"/>
              </w:rPr>
            </w:pPr>
          </w:p>
        </w:tc>
      </w:tr>
      <w:tr>
        <w:trPr>
          <w:trHeight w:val="135"/>
        </w:trPr>
        <w:tc>
          <w:tcPr>
            <w:tcW w:w="1400" w:type="dxa"/>
            <w:vAlign w:val="bottom"/>
            <w:shd w:val="clear" w:color="auto" w:fill="0E2A35"/>
          </w:tcPr>
          <w:p>
            <w:pPr>
              <w:spacing w:after="0"/>
              <w:rPr>
                <w:sz w:val="11"/>
                <w:szCs w:val="11"/>
                <w:color w:val="auto"/>
              </w:rPr>
            </w:pPr>
          </w:p>
        </w:tc>
        <w:tc>
          <w:tcPr>
            <w:tcW w:w="32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860" w:type="dxa"/>
            <w:vAlign w:val="bottom"/>
            <w:shd w:val="clear" w:color="auto" w:fill="0E2A35"/>
          </w:tcPr>
          <w:p>
            <w:pPr>
              <w:spacing w:after="0"/>
              <w:rPr>
                <w:sz w:val="11"/>
                <w:szCs w:val="11"/>
                <w:color w:val="auto"/>
              </w:rPr>
            </w:pPr>
          </w:p>
        </w:tc>
        <w:tc>
          <w:tcPr>
            <w:tcW w:w="1920" w:type="dxa"/>
            <w:vAlign w:val="bottom"/>
            <w:gridSpan w:val="4"/>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Payouts Under</w:t>
            </w:r>
          </w:p>
        </w:tc>
        <w:tc>
          <w:tcPr>
            <w:tcW w:w="60" w:type="dxa"/>
            <w:vAlign w:val="bottom"/>
            <w:shd w:val="clear" w:color="auto" w:fill="0E2A35"/>
          </w:tcPr>
          <w:p>
            <w:pPr>
              <w:spacing w:after="0"/>
              <w:rPr>
                <w:sz w:val="11"/>
                <w:szCs w:val="11"/>
                <w:color w:val="auto"/>
              </w:rPr>
            </w:pPr>
          </w:p>
        </w:tc>
        <w:tc>
          <w:tcPr>
            <w:tcW w:w="1940" w:type="dxa"/>
            <w:vAlign w:val="bottom"/>
            <w:gridSpan w:val="3"/>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Payouts Under</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64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r>
      <w:tr>
        <w:trPr>
          <w:trHeight w:val="135"/>
        </w:trPr>
        <w:tc>
          <w:tcPr>
            <w:tcW w:w="1400" w:type="dxa"/>
            <w:vAlign w:val="bottom"/>
            <w:shd w:val="clear" w:color="auto" w:fill="0E2A35"/>
          </w:tcPr>
          <w:p>
            <w:pPr>
              <w:spacing w:after="0"/>
              <w:rPr>
                <w:sz w:val="11"/>
                <w:szCs w:val="11"/>
                <w:color w:val="auto"/>
              </w:rPr>
            </w:pPr>
          </w:p>
        </w:tc>
        <w:tc>
          <w:tcPr>
            <w:tcW w:w="32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860" w:type="dxa"/>
            <w:vAlign w:val="bottom"/>
            <w:shd w:val="clear" w:color="auto" w:fill="0E2A35"/>
          </w:tcPr>
          <w:p>
            <w:pPr>
              <w:spacing w:after="0"/>
              <w:rPr>
                <w:sz w:val="11"/>
                <w:szCs w:val="11"/>
                <w:color w:val="auto"/>
              </w:rPr>
            </w:pPr>
          </w:p>
        </w:tc>
        <w:tc>
          <w:tcPr>
            <w:tcW w:w="1920" w:type="dxa"/>
            <w:vAlign w:val="bottom"/>
            <w:gridSpan w:val="4"/>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60" w:type="dxa"/>
            <w:vAlign w:val="bottom"/>
            <w:shd w:val="clear" w:color="auto" w:fill="0E2A35"/>
          </w:tcPr>
          <w:p>
            <w:pPr>
              <w:spacing w:after="0"/>
              <w:rPr>
                <w:sz w:val="11"/>
                <w:szCs w:val="11"/>
                <w:color w:val="auto"/>
              </w:rPr>
            </w:pPr>
          </w:p>
        </w:tc>
        <w:tc>
          <w:tcPr>
            <w:tcW w:w="1940" w:type="dxa"/>
            <w:vAlign w:val="bottom"/>
            <w:gridSpan w:val="3"/>
            <w:shd w:val="clear" w:color="auto" w:fill="0E2A35"/>
          </w:tcPr>
          <w:p>
            <w:pPr>
              <w:ind w:left="520"/>
              <w:spacing w:after="0" w:line="135" w:lineRule="exact"/>
              <w:rPr>
                <w:sz w:val="20"/>
                <w:szCs w:val="20"/>
                <w:color w:val="auto"/>
              </w:rPr>
            </w:pPr>
            <w:r>
              <w:rPr>
                <w:rFonts w:ascii="Arial" w:cs="Arial" w:eastAsia="Arial" w:hAnsi="Arial"/>
                <w:sz w:val="12"/>
                <w:szCs w:val="12"/>
                <w:b w:val="1"/>
                <w:bCs w:val="1"/>
                <w:color w:val="FFFFFF"/>
              </w:rPr>
              <w:t>Equity Incentive</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4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Grant Date</w:t>
            </w:r>
          </w:p>
        </w:tc>
      </w:tr>
      <w:tr>
        <w:trPr>
          <w:trHeight w:val="135"/>
        </w:trPr>
        <w:tc>
          <w:tcPr>
            <w:tcW w:w="1400" w:type="dxa"/>
            <w:vAlign w:val="bottom"/>
            <w:shd w:val="clear" w:color="auto" w:fill="0E2A35"/>
          </w:tcPr>
          <w:p>
            <w:pPr>
              <w:ind w:left="40"/>
              <w:spacing w:after="0" w:line="135" w:lineRule="exact"/>
              <w:rPr>
                <w:sz w:val="20"/>
                <w:szCs w:val="20"/>
                <w:color w:val="auto"/>
              </w:rPr>
            </w:pPr>
            <w:r>
              <w:rPr>
                <w:rFonts w:ascii="Arial" w:cs="Arial" w:eastAsia="Arial" w:hAnsi="Arial"/>
                <w:sz w:val="12"/>
                <w:szCs w:val="12"/>
                <w:b w:val="1"/>
                <w:bCs w:val="1"/>
                <w:color w:val="FFFFFF"/>
              </w:rPr>
              <w:t>​</w:t>
            </w:r>
          </w:p>
        </w:tc>
        <w:tc>
          <w:tcPr>
            <w:tcW w:w="32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860" w:type="dxa"/>
            <w:vAlign w:val="bottom"/>
            <w:shd w:val="clear" w:color="auto" w:fill="0E2A35"/>
          </w:tcPr>
          <w:p>
            <w:pPr>
              <w:spacing w:after="0"/>
              <w:rPr>
                <w:sz w:val="11"/>
                <w:szCs w:val="11"/>
                <w:color w:val="auto"/>
              </w:rPr>
            </w:pPr>
          </w:p>
        </w:tc>
        <w:tc>
          <w:tcPr>
            <w:tcW w:w="580" w:type="dxa"/>
            <w:vAlign w:val="bottom"/>
            <w:shd w:val="clear" w:color="auto" w:fill="0E2A35"/>
          </w:tcPr>
          <w:p>
            <w:pPr>
              <w:spacing w:after="0"/>
              <w:rPr>
                <w:sz w:val="11"/>
                <w:szCs w:val="11"/>
                <w:color w:val="auto"/>
              </w:rPr>
            </w:pPr>
          </w:p>
        </w:tc>
        <w:tc>
          <w:tcPr>
            <w:tcW w:w="1340" w:type="dxa"/>
            <w:vAlign w:val="bottom"/>
            <w:gridSpan w:val="3"/>
            <w:shd w:val="clear" w:color="auto" w:fill="0E2A35"/>
          </w:tcPr>
          <w:p>
            <w:pPr>
              <w:jc w:val="right"/>
              <w:ind w:right="422"/>
              <w:spacing w:after="0" w:line="135"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5"/>
                <w:szCs w:val="15"/>
                <w:b w:val="1"/>
                <w:bCs w:val="1"/>
                <w:color w:val="FFFFFF"/>
                <w:vertAlign w:val="superscript"/>
              </w:rPr>
              <w:t>(1)</w:t>
            </w:r>
            <w:r>
              <w:rPr>
                <w:rFonts w:ascii="Arial" w:cs="Arial" w:eastAsia="Arial" w:hAnsi="Arial"/>
                <w:sz w:val="10"/>
                <w:szCs w:val="10"/>
                <w:b w:val="1"/>
                <w:bCs w:val="1"/>
                <w:color w:val="FFFFFF"/>
              </w:rPr>
              <w:t>​</w:t>
            </w:r>
          </w:p>
        </w:tc>
        <w:tc>
          <w:tcPr>
            <w:tcW w:w="60" w:type="dxa"/>
            <w:vAlign w:val="bottom"/>
            <w:shd w:val="clear" w:color="auto" w:fill="0E2A35"/>
          </w:tcPr>
          <w:p>
            <w:pPr>
              <w:spacing w:after="0"/>
              <w:rPr>
                <w:sz w:val="11"/>
                <w:szCs w:val="11"/>
                <w:color w:val="auto"/>
              </w:rPr>
            </w:pPr>
          </w:p>
        </w:tc>
        <w:tc>
          <w:tcPr>
            <w:tcW w:w="1940" w:type="dxa"/>
            <w:vAlign w:val="bottom"/>
            <w:gridSpan w:val="3"/>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5"/>
                <w:szCs w:val="15"/>
                <w:b w:val="1"/>
                <w:bCs w:val="1"/>
                <w:color w:val="FFFFFF"/>
                <w:vertAlign w:val="superscript"/>
              </w:rPr>
              <w:t>(2)</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Number</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Number of</w:t>
            </w:r>
          </w:p>
        </w:tc>
        <w:tc>
          <w:tcPr>
            <w:tcW w:w="64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or Base</w:t>
            </w:r>
          </w:p>
        </w:tc>
        <w:tc>
          <w:tcPr>
            <w:tcW w:w="7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Fair Value</w:t>
            </w:r>
          </w:p>
        </w:tc>
      </w:tr>
      <w:tr>
        <w:trPr>
          <w:trHeight w:val="131"/>
        </w:trPr>
        <w:tc>
          <w:tcPr>
            <w:tcW w:w="1400" w:type="dxa"/>
            <w:vAlign w:val="bottom"/>
            <w:shd w:val="clear" w:color="auto" w:fill="0E2A35"/>
          </w:tcPr>
          <w:p>
            <w:pPr>
              <w:spacing w:after="0"/>
              <w:rPr>
                <w:sz w:val="11"/>
                <w:szCs w:val="11"/>
                <w:color w:val="auto"/>
              </w:rPr>
            </w:pPr>
          </w:p>
        </w:tc>
        <w:tc>
          <w:tcPr>
            <w:tcW w:w="32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860" w:type="dxa"/>
            <w:vAlign w:val="bottom"/>
            <w:shd w:val="clear" w:color="auto" w:fill="0E2A35"/>
          </w:tcPr>
          <w:p>
            <w:pPr>
              <w:spacing w:after="0"/>
              <w:rPr>
                <w:sz w:val="11"/>
                <w:szCs w:val="11"/>
                <w:color w:val="auto"/>
              </w:rPr>
            </w:pPr>
          </w:p>
        </w:tc>
        <w:tc>
          <w:tcPr>
            <w:tcW w:w="58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620" w:type="dxa"/>
            <w:vAlign w:val="bottom"/>
            <w:shd w:val="clear" w:color="auto" w:fill="0E2A35"/>
          </w:tcPr>
          <w:p>
            <w:pPr>
              <w:spacing w:after="0"/>
              <w:rPr>
                <w:sz w:val="11"/>
                <w:szCs w:val="11"/>
                <w:color w:val="auto"/>
              </w:rPr>
            </w:pPr>
          </w:p>
        </w:tc>
        <w:tc>
          <w:tcPr>
            <w:tcW w:w="6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5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8"/>
              </w:rPr>
              <w:t>of Shares</w:t>
            </w:r>
          </w:p>
        </w:tc>
        <w:tc>
          <w:tcPr>
            <w:tcW w:w="76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7"/>
              </w:rPr>
              <w:t>Securities</w:t>
            </w:r>
          </w:p>
        </w:tc>
        <w:tc>
          <w:tcPr>
            <w:tcW w:w="64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9"/>
              </w:rPr>
              <w:t>Price of</w:t>
            </w:r>
          </w:p>
        </w:tc>
        <w:tc>
          <w:tcPr>
            <w:tcW w:w="78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7"/>
              </w:rPr>
              <w:t>of Stock</w:t>
            </w:r>
          </w:p>
        </w:tc>
      </w:tr>
      <w:tr>
        <w:trPr>
          <w:trHeight w:val="131"/>
        </w:trPr>
        <w:tc>
          <w:tcPr>
            <w:tcW w:w="1400" w:type="dxa"/>
            <w:vAlign w:val="bottom"/>
            <w:shd w:val="clear" w:color="auto" w:fill="0E2A35"/>
          </w:tcPr>
          <w:p>
            <w:pPr>
              <w:spacing w:after="0"/>
              <w:rPr>
                <w:sz w:val="11"/>
                <w:szCs w:val="11"/>
                <w:color w:val="auto"/>
              </w:rPr>
            </w:pPr>
          </w:p>
        </w:tc>
        <w:tc>
          <w:tcPr>
            <w:tcW w:w="32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860" w:type="dxa"/>
            <w:vAlign w:val="bottom"/>
            <w:shd w:val="clear" w:color="auto" w:fill="0E2A35"/>
          </w:tcPr>
          <w:p>
            <w:pPr>
              <w:spacing w:after="0"/>
              <w:rPr>
                <w:sz w:val="11"/>
                <w:szCs w:val="11"/>
                <w:color w:val="auto"/>
              </w:rPr>
            </w:pPr>
          </w:p>
        </w:tc>
        <w:tc>
          <w:tcPr>
            <w:tcW w:w="58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620" w:type="dxa"/>
            <w:vAlign w:val="bottom"/>
            <w:shd w:val="clear" w:color="auto" w:fill="0E2A35"/>
          </w:tcPr>
          <w:p>
            <w:pPr>
              <w:spacing w:after="0"/>
              <w:rPr>
                <w:sz w:val="11"/>
                <w:szCs w:val="11"/>
                <w:color w:val="auto"/>
              </w:rPr>
            </w:pPr>
          </w:p>
        </w:tc>
        <w:tc>
          <w:tcPr>
            <w:tcW w:w="6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5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7"/>
              </w:rPr>
              <w:t>of Stock</w:t>
            </w:r>
          </w:p>
        </w:tc>
        <w:tc>
          <w:tcPr>
            <w:tcW w:w="76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5"/>
              </w:rPr>
              <w:t>Underlying</w:t>
            </w:r>
          </w:p>
        </w:tc>
        <w:tc>
          <w:tcPr>
            <w:tcW w:w="64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8"/>
              </w:rPr>
              <w:t>Option</w:t>
            </w:r>
          </w:p>
        </w:tc>
        <w:tc>
          <w:tcPr>
            <w:tcW w:w="780" w:type="dxa"/>
            <w:vAlign w:val="bottom"/>
            <w:shd w:val="clear" w:color="auto" w:fill="0E2A35"/>
          </w:tcPr>
          <w:p>
            <w:pPr>
              <w:jc w:val="center"/>
              <w:spacing w:after="0" w:line="132" w:lineRule="exact"/>
              <w:rPr>
                <w:sz w:val="20"/>
                <w:szCs w:val="20"/>
                <w:color w:val="auto"/>
              </w:rPr>
            </w:pPr>
            <w:r>
              <w:rPr>
                <w:rFonts w:ascii="Arial" w:cs="Arial" w:eastAsia="Arial" w:hAnsi="Arial"/>
                <w:sz w:val="12"/>
                <w:szCs w:val="12"/>
                <w:b w:val="1"/>
                <w:bCs w:val="1"/>
                <w:color w:val="FFFFFF"/>
                <w:w w:val="94"/>
              </w:rPr>
              <w:t>and Option</w:t>
            </w:r>
          </w:p>
        </w:tc>
      </w:tr>
      <w:tr>
        <w:trPr>
          <w:trHeight w:val="135"/>
        </w:trPr>
        <w:tc>
          <w:tcPr>
            <w:tcW w:w="1400" w:type="dxa"/>
            <w:vAlign w:val="bottom"/>
            <w:shd w:val="clear" w:color="auto" w:fill="0E2A35"/>
          </w:tcPr>
          <w:p>
            <w:pPr>
              <w:spacing w:after="0"/>
              <w:rPr>
                <w:sz w:val="11"/>
                <w:szCs w:val="11"/>
                <w:color w:val="auto"/>
              </w:rPr>
            </w:pPr>
          </w:p>
        </w:tc>
        <w:tc>
          <w:tcPr>
            <w:tcW w:w="320" w:type="dxa"/>
            <w:vAlign w:val="bottom"/>
            <w:shd w:val="clear" w:color="auto" w:fill="0E2A35"/>
          </w:tcPr>
          <w:p>
            <w:pPr>
              <w:spacing w:after="0"/>
              <w:rPr>
                <w:sz w:val="11"/>
                <w:szCs w:val="11"/>
                <w:color w:val="auto"/>
              </w:rPr>
            </w:pPr>
          </w:p>
        </w:tc>
        <w:tc>
          <w:tcPr>
            <w:tcW w:w="800" w:type="dxa"/>
            <w:vAlign w:val="bottom"/>
            <w:shd w:val="clear" w:color="auto" w:fill="0E2A35"/>
          </w:tcPr>
          <w:p>
            <w:pPr>
              <w:ind w:left="100"/>
              <w:spacing w:after="0" w:line="135" w:lineRule="exact"/>
              <w:rPr>
                <w:sz w:val="20"/>
                <w:szCs w:val="20"/>
                <w:color w:val="auto"/>
              </w:rPr>
            </w:pPr>
            <w:r>
              <w:rPr>
                <w:rFonts w:ascii="Arial" w:cs="Arial" w:eastAsia="Arial" w:hAnsi="Arial"/>
                <w:sz w:val="12"/>
                <w:szCs w:val="12"/>
                <w:b w:val="1"/>
                <w:bCs w:val="1"/>
                <w:color w:val="FFFFFF"/>
              </w:rPr>
              <w:t>Plan</w:t>
            </w:r>
          </w:p>
        </w:tc>
        <w:tc>
          <w:tcPr>
            <w:tcW w:w="860" w:type="dxa"/>
            <w:vAlign w:val="bottom"/>
            <w:shd w:val="clear" w:color="auto" w:fill="0E2A35"/>
          </w:tcPr>
          <w:p>
            <w:pPr>
              <w:ind w:left="240"/>
              <w:spacing w:after="0" w:line="135" w:lineRule="exact"/>
              <w:rPr>
                <w:sz w:val="20"/>
                <w:szCs w:val="20"/>
                <w:color w:val="auto"/>
              </w:rPr>
            </w:pPr>
            <w:r>
              <w:rPr>
                <w:rFonts w:ascii="Arial" w:cs="Arial" w:eastAsia="Arial" w:hAnsi="Arial"/>
                <w:sz w:val="12"/>
                <w:szCs w:val="12"/>
                <w:b w:val="1"/>
                <w:bCs w:val="1"/>
                <w:color w:val="FFFFFF"/>
              </w:rPr>
              <w:t>Grant​</w:t>
            </w:r>
          </w:p>
        </w:tc>
        <w:tc>
          <w:tcPr>
            <w:tcW w:w="580" w:type="dxa"/>
            <w:vAlign w:val="bottom"/>
            <w:shd w:val="clear" w:color="auto" w:fill="0E2A35"/>
          </w:tcPr>
          <w:p>
            <w:pPr>
              <w:jc w:val="right"/>
              <w:spacing w:after="0" w:line="135" w:lineRule="exact"/>
              <w:rPr>
                <w:sz w:val="20"/>
                <w:szCs w:val="20"/>
                <w:color w:val="auto"/>
              </w:rPr>
            </w:pPr>
            <w:r>
              <w:rPr>
                <w:rFonts w:ascii="Arial" w:cs="Arial" w:eastAsia="Arial" w:hAnsi="Arial"/>
                <w:sz w:val="12"/>
                <w:szCs w:val="12"/>
                <w:b w:val="1"/>
                <w:bCs w:val="1"/>
                <w:color w:val="FFFFFF"/>
                <w:w w:val="96"/>
              </w:rPr>
              <w:t>Threshold</w:t>
            </w:r>
          </w:p>
        </w:tc>
        <w:tc>
          <w:tcPr>
            <w:tcW w:w="720" w:type="dxa"/>
            <w:vAlign w:val="bottom"/>
            <w:gridSpan w:val="2"/>
            <w:shd w:val="clear" w:color="auto" w:fill="0E2A35"/>
          </w:tcPr>
          <w:p>
            <w:pPr>
              <w:jc w:val="center"/>
              <w:ind w:left="3"/>
              <w:spacing w:after="0" w:line="135" w:lineRule="exact"/>
              <w:rPr>
                <w:sz w:val="20"/>
                <w:szCs w:val="20"/>
                <w:color w:val="auto"/>
              </w:rPr>
            </w:pPr>
            <w:r>
              <w:rPr>
                <w:rFonts w:ascii="Arial" w:cs="Arial" w:eastAsia="Arial" w:hAnsi="Arial"/>
                <w:sz w:val="12"/>
                <w:szCs w:val="12"/>
                <w:b w:val="1"/>
                <w:bCs w:val="1"/>
                <w:color w:val="FFFFFF"/>
                <w:w w:val="92"/>
              </w:rPr>
              <w:t>Target</w:t>
            </w:r>
          </w:p>
        </w:tc>
        <w:tc>
          <w:tcPr>
            <w:tcW w:w="620" w:type="dxa"/>
            <w:vAlign w:val="bottom"/>
            <w:shd w:val="clear" w:color="auto" w:fill="0E2A35"/>
          </w:tcPr>
          <w:p>
            <w:pPr>
              <w:jc w:val="right"/>
              <w:spacing w:after="0" w:line="135" w:lineRule="exact"/>
              <w:rPr>
                <w:sz w:val="20"/>
                <w:szCs w:val="20"/>
                <w:color w:val="auto"/>
              </w:rPr>
            </w:pPr>
            <w:r>
              <w:rPr>
                <w:rFonts w:ascii="Arial" w:cs="Arial" w:eastAsia="Arial" w:hAnsi="Arial"/>
                <w:sz w:val="12"/>
                <w:szCs w:val="12"/>
                <w:b w:val="1"/>
                <w:bCs w:val="1"/>
                <w:color w:val="FFFFFF"/>
              </w:rPr>
              <w:t>Maximum</w:t>
            </w:r>
          </w:p>
        </w:tc>
        <w:tc>
          <w:tcPr>
            <w:tcW w:w="60" w:type="dxa"/>
            <w:vAlign w:val="bottom"/>
            <w:shd w:val="clear" w:color="auto" w:fill="0E2A35"/>
          </w:tcPr>
          <w:p>
            <w:pPr>
              <w:spacing w:after="0"/>
              <w:rPr>
                <w:sz w:val="11"/>
                <w:szCs w:val="11"/>
                <w:color w:val="auto"/>
              </w:rPr>
            </w:pPr>
          </w:p>
        </w:tc>
        <w:tc>
          <w:tcPr>
            <w:tcW w:w="72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Threshold​</w:t>
            </w:r>
          </w:p>
        </w:tc>
        <w:tc>
          <w:tcPr>
            <w:tcW w:w="52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Target​</w:t>
            </w:r>
          </w:p>
        </w:tc>
        <w:tc>
          <w:tcPr>
            <w:tcW w:w="70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Maximum​</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or Units</w:t>
            </w:r>
            <w:r>
              <w:rPr>
                <w:rFonts w:ascii="Arial" w:cs="Arial" w:eastAsia="Arial" w:hAnsi="Arial"/>
                <w:sz w:val="15"/>
                <w:szCs w:val="15"/>
                <w:b w:val="1"/>
                <w:bCs w:val="1"/>
                <w:color w:val="FFFFFF"/>
                <w:vertAlign w:val="superscript"/>
              </w:rPr>
              <w:t>(3)</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Options</w:t>
            </w:r>
          </w:p>
        </w:tc>
        <w:tc>
          <w:tcPr>
            <w:tcW w:w="64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Awards</w:t>
            </w:r>
          </w:p>
        </w:tc>
        <w:tc>
          <w:tcPr>
            <w:tcW w:w="780" w:type="dxa"/>
            <w:vAlign w:val="bottom"/>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5"/>
                <w:szCs w:val="15"/>
                <w:b w:val="1"/>
                <w:bCs w:val="1"/>
                <w:color w:val="FFFFFF"/>
                <w:vertAlign w:val="superscript"/>
              </w:rPr>
              <w:t>(4)</w:t>
            </w:r>
          </w:p>
        </w:tc>
      </w:tr>
      <w:tr>
        <w:trPr>
          <w:trHeight w:val="260"/>
        </w:trPr>
        <w:tc>
          <w:tcPr>
            <w:tcW w:w="1400" w:type="dxa"/>
            <w:vAlign w:val="bottom"/>
            <w:shd w:val="clear" w:color="auto" w:fill="0E2A35"/>
          </w:tcPr>
          <w:p>
            <w:pPr>
              <w:ind w:left="40"/>
              <w:spacing w:after="0"/>
              <w:rPr>
                <w:sz w:val="20"/>
                <w:szCs w:val="20"/>
                <w:color w:val="auto"/>
              </w:rPr>
            </w:pPr>
            <w:r>
              <w:rPr>
                <w:rFonts w:ascii="Arial" w:cs="Arial" w:eastAsia="Arial" w:hAnsi="Arial"/>
                <w:sz w:val="12"/>
                <w:szCs w:val="12"/>
                <w:b w:val="1"/>
                <w:bCs w:val="1"/>
                <w:color w:val="FFFFFF"/>
              </w:rPr>
              <w:t>Name​</w:t>
            </w:r>
          </w:p>
        </w:tc>
        <w:tc>
          <w:tcPr>
            <w:tcW w:w="320" w:type="dxa"/>
            <w:vAlign w:val="bottom"/>
            <w:shd w:val="clear" w:color="auto" w:fill="0E2A35"/>
          </w:tcPr>
          <w:p>
            <w:pPr>
              <w:spacing w:after="0"/>
              <w:rPr>
                <w:sz w:val="22"/>
                <w:szCs w:val="22"/>
                <w:color w:val="auto"/>
              </w:rPr>
            </w:pPr>
          </w:p>
        </w:tc>
        <w:tc>
          <w:tcPr>
            <w:tcW w:w="800" w:type="dxa"/>
            <w:vAlign w:val="bottom"/>
            <w:shd w:val="clear" w:color="auto" w:fill="0E2A35"/>
          </w:tcPr>
          <w:p>
            <w:pPr>
              <w:ind w:left="80"/>
              <w:spacing w:after="0"/>
              <w:rPr>
                <w:sz w:val="20"/>
                <w:szCs w:val="20"/>
                <w:color w:val="auto"/>
              </w:rPr>
            </w:pPr>
            <w:r>
              <w:rPr>
                <w:rFonts w:ascii="Arial" w:cs="Arial" w:eastAsia="Arial" w:hAnsi="Arial"/>
                <w:sz w:val="12"/>
                <w:szCs w:val="12"/>
                <w:b w:val="1"/>
                <w:bCs w:val="1"/>
                <w:color w:val="FFFFFF"/>
              </w:rPr>
              <w:t>Name​</w:t>
            </w:r>
          </w:p>
        </w:tc>
        <w:tc>
          <w:tcPr>
            <w:tcW w:w="860" w:type="dxa"/>
            <w:vAlign w:val="bottom"/>
            <w:shd w:val="clear" w:color="auto" w:fill="0E2A35"/>
          </w:tcPr>
          <w:p>
            <w:pPr>
              <w:ind w:left="240"/>
              <w:spacing w:after="0"/>
              <w:rPr>
                <w:sz w:val="20"/>
                <w:szCs w:val="20"/>
                <w:color w:val="auto"/>
              </w:rPr>
            </w:pPr>
            <w:r>
              <w:rPr>
                <w:rFonts w:ascii="Arial" w:cs="Arial" w:eastAsia="Arial" w:hAnsi="Arial"/>
                <w:sz w:val="12"/>
                <w:szCs w:val="12"/>
                <w:b w:val="1"/>
                <w:bCs w:val="1"/>
                <w:color w:val="FFFFFF"/>
              </w:rPr>
              <w:t>Date</w:t>
            </w:r>
            <w:r>
              <w:rPr>
                <w:rFonts w:ascii="Arial" w:cs="Arial" w:eastAsia="Arial" w:hAnsi="Arial"/>
                <w:sz w:val="19"/>
                <w:szCs w:val="19"/>
                <w:b w:val="1"/>
                <w:bCs w:val="1"/>
                <w:color w:val="FFFFFF"/>
                <w:vertAlign w:val="superscript"/>
              </w:rPr>
              <w:t>(5)</w:t>
            </w:r>
          </w:p>
        </w:tc>
        <w:tc>
          <w:tcPr>
            <w:tcW w:w="580" w:type="dxa"/>
            <w:vAlign w:val="bottom"/>
            <w:shd w:val="clear" w:color="auto" w:fill="0E2A35"/>
          </w:tcPr>
          <w:p>
            <w:pPr>
              <w:jc w:val="right"/>
              <w:ind w:right="102"/>
              <w:spacing w:after="0"/>
              <w:rPr>
                <w:sz w:val="20"/>
                <w:szCs w:val="20"/>
                <w:color w:val="auto"/>
              </w:rPr>
            </w:pPr>
            <w:r>
              <w:rPr>
                <w:rFonts w:ascii="Arial" w:cs="Arial" w:eastAsia="Arial" w:hAnsi="Arial"/>
                <w:sz w:val="12"/>
                <w:szCs w:val="12"/>
                <w:b w:val="1"/>
                <w:bCs w:val="1"/>
                <w:color w:val="FFFFFF"/>
              </w:rPr>
              <w:t>($)​</w:t>
            </w:r>
          </w:p>
        </w:tc>
        <w:tc>
          <w:tcPr>
            <w:tcW w:w="500" w:type="dxa"/>
            <w:vAlign w:val="bottom"/>
            <w:shd w:val="clear" w:color="auto" w:fill="0E2A35"/>
          </w:tcPr>
          <w:p>
            <w:pPr>
              <w:jc w:val="center"/>
              <w:ind w:left="263"/>
              <w:spacing w:after="0"/>
              <w:rPr>
                <w:sz w:val="20"/>
                <w:szCs w:val="20"/>
                <w:color w:val="auto"/>
              </w:rPr>
            </w:pPr>
            <w:r>
              <w:rPr>
                <w:rFonts w:ascii="Arial" w:cs="Arial" w:eastAsia="Arial" w:hAnsi="Arial"/>
                <w:sz w:val="12"/>
                <w:szCs w:val="12"/>
                <w:b w:val="1"/>
                <w:bCs w:val="1"/>
                <w:color w:val="FFFFFF"/>
                <w:w w:val="95"/>
              </w:rPr>
              <w:t>($)</w:t>
            </w:r>
          </w:p>
        </w:tc>
        <w:tc>
          <w:tcPr>
            <w:tcW w:w="220" w:type="dxa"/>
            <w:vAlign w:val="bottom"/>
            <w:shd w:val="clear" w:color="auto" w:fill="0E2A35"/>
          </w:tcPr>
          <w:p>
            <w:pPr>
              <w:spacing w:after="0"/>
              <w:rPr>
                <w:sz w:val="22"/>
                <w:szCs w:val="22"/>
                <w:color w:val="auto"/>
              </w:rPr>
            </w:pPr>
          </w:p>
        </w:tc>
        <w:tc>
          <w:tcPr>
            <w:tcW w:w="620" w:type="dxa"/>
            <w:vAlign w:val="bottom"/>
            <w:shd w:val="clear" w:color="auto" w:fill="0E2A35"/>
          </w:tcPr>
          <w:p>
            <w:pPr>
              <w:jc w:val="right"/>
              <w:ind w:right="142"/>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E2A35"/>
          </w:tcPr>
          <w:p>
            <w:pPr>
              <w:spacing w:after="0"/>
              <w:rPr>
                <w:sz w:val="22"/>
                <w:szCs w:val="22"/>
                <w:color w:val="auto"/>
              </w:rPr>
            </w:pPr>
          </w:p>
        </w:tc>
        <w:tc>
          <w:tcPr>
            <w:tcW w:w="720" w:type="dxa"/>
            <w:vAlign w:val="bottom"/>
            <w:shd w:val="clear" w:color="auto" w:fill="0E2A35"/>
          </w:tcPr>
          <w:p>
            <w:pPr>
              <w:jc w:val="center"/>
              <w:ind w:left="2"/>
              <w:spacing w:after="0"/>
              <w:rPr>
                <w:sz w:val="20"/>
                <w:szCs w:val="20"/>
                <w:color w:val="auto"/>
              </w:rPr>
            </w:pPr>
            <w:r>
              <w:rPr>
                <w:rFonts w:ascii="Arial" w:cs="Arial" w:eastAsia="Arial" w:hAnsi="Arial"/>
                <w:sz w:val="12"/>
                <w:szCs w:val="12"/>
                <w:b w:val="1"/>
                <w:bCs w:val="1"/>
                <w:color w:val="FFFFFF"/>
                <w:w w:val="95"/>
              </w:rPr>
              <w:t>(#)</w:t>
            </w:r>
          </w:p>
        </w:tc>
        <w:tc>
          <w:tcPr>
            <w:tcW w:w="520" w:type="dxa"/>
            <w:vAlign w:val="bottom"/>
            <w:shd w:val="clear" w:color="auto" w:fill="0E2A35"/>
          </w:tcPr>
          <w:p>
            <w:pPr>
              <w:jc w:val="right"/>
              <w:ind w:right="12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64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r>
      <w:tr>
        <w:trPr>
          <w:trHeight w:val="256"/>
        </w:trPr>
        <w:tc>
          <w:tcPr>
            <w:tcW w:w="1400" w:type="dxa"/>
            <w:vAlign w:val="bottom"/>
          </w:tcPr>
          <w:p>
            <w:pPr>
              <w:ind w:left="40"/>
              <w:spacing w:after="0"/>
              <w:rPr>
                <w:sz w:val="20"/>
                <w:szCs w:val="20"/>
                <w:color w:val="auto"/>
              </w:rPr>
            </w:pPr>
            <w:r>
              <w:rPr>
                <w:rFonts w:ascii="Arial" w:cs="Arial" w:eastAsia="Arial" w:hAnsi="Arial"/>
                <w:sz w:val="12"/>
                <w:szCs w:val="12"/>
                <w:color w:val="0E2A35"/>
              </w:rPr>
              <w:t>Michael J. Happe​</w:t>
            </w: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E2A35"/>
                <w:w w:val="97"/>
              </w:rPr>
              <w:t>20,669​</w:t>
            </w:r>
          </w:p>
        </w:tc>
        <w:tc>
          <w:tcPr>
            <w:tcW w:w="640" w:type="dxa"/>
            <w:vAlign w:val="bottom"/>
          </w:tcPr>
          <w:p>
            <w:pPr>
              <w:jc w:val="center"/>
              <w:spacing w:after="0"/>
              <w:rPr>
                <w:sz w:val="20"/>
                <w:szCs w:val="20"/>
                <w:color w:val="auto"/>
              </w:rPr>
            </w:pPr>
            <w:r>
              <w:rPr>
                <w:rFonts w:ascii="Arial" w:cs="Arial" w:eastAsia="Arial" w:hAnsi="Arial"/>
                <w:sz w:val="12"/>
                <w:szCs w:val="12"/>
                <w:color w:val="0E2A35"/>
                <w:w w:val="93"/>
              </w:rPr>
              <w:t>75​.59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629,991​</w:t>
            </w:r>
          </w:p>
        </w:tc>
      </w:tr>
      <w:tr>
        <w:trPr>
          <w:trHeight w:val="95"/>
        </w:trPr>
        <w:tc>
          <w:tcPr>
            <w:tcW w:w="1400" w:type="dxa"/>
            <w:vAlign w:val="bottom"/>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spacing w:after="0"/>
              <w:rPr>
                <w:sz w:val="21"/>
                <w:szCs w:val="21"/>
                <w:color w:val="auto"/>
              </w:rPr>
            </w:pPr>
          </w:p>
        </w:tc>
        <w:tc>
          <w:tcPr>
            <w:tcW w:w="680" w:type="dxa"/>
            <w:vAlign w:val="bottom"/>
          </w:tcPr>
          <w:p>
            <w:pPr>
              <w:jc w:val="right"/>
              <w:ind w:right="102"/>
              <w:spacing w:after="0"/>
              <w:rPr>
                <w:sz w:val="20"/>
                <w:szCs w:val="20"/>
                <w:color w:val="auto"/>
              </w:rPr>
            </w:pPr>
            <w:r>
              <w:rPr>
                <w:rFonts w:ascii="Arial" w:cs="Arial" w:eastAsia="Arial" w:hAnsi="Arial"/>
                <w:sz w:val="12"/>
                <w:szCs w:val="12"/>
                <w:color w:val="0E2A35"/>
              </w:rPr>
              <w:t>19,447​</w:t>
            </w:r>
          </w:p>
        </w:tc>
        <w:tc>
          <w:tcPr>
            <w:tcW w:w="760" w:type="dxa"/>
            <w:vAlign w:val="bottom"/>
          </w:tcPr>
          <w:p>
            <w:pPr>
              <w:ind w:left="560"/>
              <w:spacing w:after="0"/>
              <w:rPr>
                <w:sz w:val="20"/>
                <w:szCs w:val="20"/>
                <w:color w:val="auto"/>
              </w:rPr>
            </w:pPr>
            <w:r>
              <w:rPr>
                <w:rFonts w:ascii="Arial" w:cs="Arial" w:eastAsia="Arial" w:hAnsi="Arial"/>
                <w:sz w:val="12"/>
                <w:szCs w:val="12"/>
                <w:color w:val="0E2A35"/>
              </w:rPr>
              <w:t>​</w:t>
            </w: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1,469,999</w:t>
            </w:r>
          </w:p>
        </w:tc>
      </w:tr>
      <w:tr>
        <w:trPr>
          <w:trHeight w:val="95"/>
        </w:trPr>
        <w:tc>
          <w:tcPr>
            <w:tcW w:w="1400" w:type="dxa"/>
            <w:vAlign w:val="bottom"/>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gridSpan w:val="2"/>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2022​</w:t>
            </w:r>
          </w:p>
        </w:tc>
        <w:tc>
          <w:tcPr>
            <w:tcW w:w="800" w:type="dxa"/>
            <w:vAlign w:val="bottom"/>
          </w:tcPr>
          <w:p>
            <w:pPr>
              <w:ind w:left="40"/>
              <w:spacing w:after="0"/>
              <w:rPr>
                <w:sz w:val="20"/>
                <w:szCs w:val="20"/>
                <w:color w:val="auto"/>
              </w:rPr>
            </w:pPr>
            <w:r>
              <w:rPr>
                <w:rFonts w:ascii="Arial" w:cs="Arial" w:eastAsia="Arial" w:hAnsi="Arial"/>
                <w:sz w:val="13"/>
                <w:szCs w:val="13"/>
                <w:color w:val="0E2A35"/>
              </w:rPr>
              <w:t>OICP</w:t>
            </w:r>
          </w:p>
        </w:tc>
        <w:tc>
          <w:tcPr>
            <w:tcW w:w="860" w:type="dxa"/>
            <w:vAlign w:val="bottom"/>
          </w:tcPr>
          <w:p>
            <w:pPr>
              <w:ind w:left="600"/>
              <w:spacing w:after="0"/>
              <w:rPr>
                <w:sz w:val="20"/>
                <w:szCs w:val="20"/>
                <w:color w:val="auto"/>
              </w:rPr>
            </w:pPr>
            <w:r>
              <w:rPr>
                <w:rFonts w:ascii="Arial" w:cs="Arial" w:eastAsia="Arial" w:hAnsi="Arial"/>
                <w:sz w:val="12"/>
                <w:szCs w:val="12"/>
                <w:color w:val="0E2A35"/>
              </w:rPr>
              <w:t>​</w:t>
            </w:r>
          </w:p>
        </w:tc>
        <w:tc>
          <w:tcPr>
            <w:tcW w:w="580" w:type="dxa"/>
            <w:vAlign w:val="bottom"/>
          </w:tcPr>
          <w:p>
            <w:pPr>
              <w:ind w:left="80"/>
              <w:spacing w:after="0"/>
              <w:rPr>
                <w:sz w:val="20"/>
                <w:szCs w:val="20"/>
                <w:color w:val="auto"/>
              </w:rPr>
            </w:pPr>
            <w:r>
              <w:rPr>
                <w:rFonts w:ascii="Arial" w:cs="Arial" w:eastAsia="Arial" w:hAnsi="Arial"/>
                <w:sz w:val="12"/>
                <w:szCs w:val="12"/>
                <w:color w:val="0E2A35"/>
              </w:rPr>
              <w:t>300,000​</w:t>
            </w:r>
          </w:p>
        </w:tc>
        <w:tc>
          <w:tcPr>
            <w:tcW w:w="720" w:type="dxa"/>
            <w:vAlign w:val="bottom"/>
            <w:gridSpan w:val="2"/>
          </w:tcPr>
          <w:p>
            <w:pPr>
              <w:jc w:val="right"/>
              <w:ind w:right="22"/>
              <w:spacing w:after="0"/>
              <w:rPr>
                <w:sz w:val="20"/>
                <w:szCs w:val="20"/>
                <w:color w:val="auto"/>
              </w:rPr>
            </w:pPr>
            <w:r>
              <w:rPr>
                <w:rFonts w:ascii="Arial" w:cs="Arial" w:eastAsia="Arial" w:hAnsi="Arial"/>
                <w:sz w:val="12"/>
                <w:szCs w:val="12"/>
                <w:color w:val="0E2A35"/>
              </w:rPr>
              <w:t>1,200,000​</w:t>
            </w:r>
          </w:p>
        </w:tc>
        <w:tc>
          <w:tcPr>
            <w:tcW w:w="620" w:type="dxa"/>
            <w:vAlign w:val="bottom"/>
          </w:tcPr>
          <w:p>
            <w:pPr>
              <w:jc w:val="right"/>
              <w:spacing w:after="0"/>
              <w:rPr>
                <w:sz w:val="20"/>
                <w:szCs w:val="20"/>
                <w:color w:val="auto"/>
              </w:rPr>
            </w:pPr>
            <w:r>
              <w:rPr>
                <w:rFonts w:ascii="Arial" w:cs="Arial" w:eastAsia="Arial" w:hAnsi="Arial"/>
                <w:sz w:val="12"/>
                <w:szCs w:val="12"/>
                <w:color w:val="0E2A35"/>
              </w:rPr>
              <w:t>2,400,000​</w:t>
            </w:r>
          </w:p>
        </w:tc>
        <w:tc>
          <w:tcPr>
            <w:tcW w:w="6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ind w:left="560"/>
              <w:spacing w:after="0"/>
              <w:rPr>
                <w:sz w:val="20"/>
                <w:szCs w:val="20"/>
                <w:color w:val="auto"/>
              </w:rPr>
            </w:pPr>
            <w:r>
              <w:rPr>
                <w:rFonts w:ascii="Arial" w:cs="Arial" w:eastAsia="Arial" w:hAnsi="Arial"/>
                <w:sz w:val="12"/>
                <w:szCs w:val="12"/>
                <w:color w:val="0E2A35"/>
              </w:rPr>
              <w:t>​</w:t>
            </w:r>
          </w:p>
        </w:tc>
        <w:tc>
          <w:tcPr>
            <w:tcW w:w="640" w:type="dxa"/>
            <w:vAlign w:val="bottom"/>
          </w:tcPr>
          <w:p>
            <w:pPr>
              <w:ind w:left="460"/>
              <w:spacing w:after="0"/>
              <w:rPr>
                <w:sz w:val="20"/>
                <w:szCs w:val="20"/>
                <w:color w:val="auto"/>
              </w:rPr>
            </w:pPr>
            <w:r>
              <w:rPr>
                <w:rFonts w:ascii="Arial" w:cs="Arial" w:eastAsia="Arial" w:hAnsi="Arial"/>
                <w:sz w:val="12"/>
                <w:szCs w:val="12"/>
                <w:color w:val="0E2A35"/>
              </w:rPr>
              <w:t>​</w:t>
            </w:r>
          </w:p>
        </w:tc>
        <w:tc>
          <w:tcPr>
            <w:tcW w:w="780" w:type="dxa"/>
            <w:vAlign w:val="bottom"/>
          </w:tcPr>
          <w:p>
            <w:pPr>
              <w:spacing w:after="0"/>
              <w:rPr>
                <w:sz w:val="21"/>
                <w:szCs w:val="21"/>
                <w:color w:val="auto"/>
              </w:rPr>
            </w:pPr>
          </w:p>
        </w:tc>
      </w:tr>
      <w:tr>
        <w:trPr>
          <w:trHeight w:val="95"/>
        </w:trPr>
        <w:tc>
          <w:tcPr>
            <w:tcW w:w="1400" w:type="dxa"/>
            <w:vAlign w:val="bottom"/>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2022​</w:t>
            </w:r>
          </w:p>
        </w:tc>
        <w:tc>
          <w:tcPr>
            <w:tcW w:w="800" w:type="dxa"/>
            <w:vAlign w:val="bottom"/>
          </w:tcPr>
          <w:p>
            <w:pPr>
              <w:spacing w:after="0"/>
              <w:rPr>
                <w:sz w:val="20"/>
                <w:szCs w:val="20"/>
                <w:color w:val="auto"/>
              </w:rPr>
            </w:pPr>
            <w:r>
              <w:rPr>
                <w:rFonts w:ascii="Arial" w:cs="Arial" w:eastAsia="Arial" w:hAnsi="Arial"/>
                <w:sz w:val="13"/>
                <w:szCs w:val="13"/>
                <w:color w:val="0E2A35"/>
              </w:rPr>
              <w:t>-2024 LTIP</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jc w:val="center"/>
              <w:spacing w:after="0"/>
              <w:rPr>
                <w:sz w:val="20"/>
                <w:szCs w:val="20"/>
                <w:color w:val="auto"/>
              </w:rPr>
            </w:pPr>
            <w:r>
              <w:rPr>
                <w:rFonts w:ascii="Arial" w:cs="Arial" w:eastAsia="Arial" w:hAnsi="Arial"/>
                <w:sz w:val="12"/>
                <w:szCs w:val="12"/>
                <w:color w:val="0E2A35"/>
                <w:w w:val="99"/>
              </w:rPr>
              <w:t>6,945</w:t>
            </w:r>
          </w:p>
        </w:tc>
        <w:tc>
          <w:tcPr>
            <w:tcW w:w="520" w:type="dxa"/>
            <w:vAlign w:val="bottom"/>
          </w:tcPr>
          <w:p>
            <w:pPr>
              <w:jc w:val="right"/>
              <w:ind w:right="22"/>
              <w:spacing w:after="0"/>
              <w:rPr>
                <w:sz w:val="20"/>
                <w:szCs w:val="20"/>
                <w:color w:val="auto"/>
              </w:rPr>
            </w:pPr>
            <w:r>
              <w:rPr>
                <w:rFonts w:ascii="Arial" w:cs="Arial" w:eastAsia="Arial" w:hAnsi="Arial"/>
                <w:sz w:val="12"/>
                <w:szCs w:val="12"/>
                <w:color w:val="0E2A35"/>
              </w:rPr>
              <w:t>27,781</w:t>
            </w:r>
          </w:p>
        </w:tc>
        <w:tc>
          <w:tcPr>
            <w:tcW w:w="700" w:type="dxa"/>
            <w:vAlign w:val="bottom"/>
          </w:tcPr>
          <w:p>
            <w:pPr>
              <w:jc w:val="center"/>
              <w:spacing w:after="0"/>
              <w:rPr>
                <w:sz w:val="20"/>
                <w:szCs w:val="20"/>
                <w:color w:val="auto"/>
              </w:rPr>
            </w:pPr>
            <w:r>
              <w:rPr>
                <w:rFonts w:ascii="Arial" w:cs="Arial" w:eastAsia="Arial" w:hAnsi="Arial"/>
                <w:sz w:val="12"/>
                <w:szCs w:val="12"/>
                <w:color w:val="0E2A35"/>
                <w:w w:val="92"/>
              </w:rPr>
              <w:t>55,562</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ind w:left="560"/>
              <w:spacing w:after="0"/>
              <w:rPr>
                <w:sz w:val="20"/>
                <w:szCs w:val="20"/>
                <w:color w:val="auto"/>
              </w:rPr>
            </w:pPr>
            <w:r>
              <w:rPr>
                <w:rFonts w:ascii="Arial" w:cs="Arial" w:eastAsia="Arial" w:hAnsi="Arial"/>
                <w:sz w:val="12"/>
                <w:szCs w:val="12"/>
                <w:color w:val="0E2A35"/>
              </w:rPr>
              <w:t>​</w:t>
            </w:r>
          </w:p>
        </w:tc>
        <w:tc>
          <w:tcPr>
            <w:tcW w:w="640" w:type="dxa"/>
            <w:vAlign w:val="bottom"/>
          </w:tcPr>
          <w:p>
            <w:pPr>
              <w:ind w:left="460"/>
              <w:spacing w:after="0"/>
              <w:rPr>
                <w:sz w:val="20"/>
                <w:szCs w:val="20"/>
                <w:color w:val="auto"/>
              </w:rPr>
            </w:pPr>
            <w:r>
              <w:rPr>
                <w:rFonts w:ascii="Arial" w:cs="Arial" w:eastAsia="Arial" w:hAnsi="Arial"/>
                <w:sz w:val="12"/>
                <w:szCs w:val="12"/>
                <w:color w:val="0E2A35"/>
              </w:rPr>
              <w:t>​</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2,099,966​</w:t>
            </w:r>
          </w:p>
        </w:tc>
      </w:tr>
      <w:tr>
        <w:trPr>
          <w:trHeight w:val="95"/>
        </w:trPr>
        <w:tc>
          <w:tcPr>
            <w:tcW w:w="140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ind w:left="40"/>
              <w:spacing w:after="0"/>
              <w:rPr>
                <w:sz w:val="20"/>
                <w:szCs w:val="20"/>
                <w:color w:val="auto"/>
              </w:rPr>
            </w:pPr>
            <w:r>
              <w:rPr>
                <w:rFonts w:ascii="Arial" w:cs="Arial" w:eastAsia="Arial" w:hAnsi="Arial"/>
                <w:sz w:val="12"/>
                <w:szCs w:val="12"/>
                <w:color w:val="0E2A35"/>
              </w:rPr>
              <w:t>Bryan L. Hughes​</w:t>
            </w: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E2A35"/>
                <w:w w:val="99"/>
              </w:rPr>
              <w:t>4,060</w:t>
            </w:r>
          </w:p>
        </w:tc>
        <w:tc>
          <w:tcPr>
            <w:tcW w:w="640" w:type="dxa"/>
            <w:vAlign w:val="bottom"/>
          </w:tcPr>
          <w:p>
            <w:pPr>
              <w:jc w:val="center"/>
              <w:spacing w:after="0"/>
              <w:rPr>
                <w:sz w:val="20"/>
                <w:szCs w:val="20"/>
                <w:color w:val="auto"/>
              </w:rPr>
            </w:pPr>
            <w:r>
              <w:rPr>
                <w:rFonts w:ascii="Arial" w:cs="Arial" w:eastAsia="Arial" w:hAnsi="Arial"/>
                <w:sz w:val="12"/>
                <w:szCs w:val="12"/>
                <w:color w:val="0E2A35"/>
                <w:w w:val="93"/>
              </w:rPr>
              <w:t>75​.59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123,749</w:t>
            </w:r>
          </w:p>
        </w:tc>
      </w:tr>
      <w:tr>
        <w:trPr>
          <w:trHeight w:val="95"/>
        </w:trPr>
        <w:tc>
          <w:tcPr>
            <w:tcW w:w="1400" w:type="dxa"/>
            <w:vAlign w:val="bottom"/>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122"/>
              <w:spacing w:after="0"/>
              <w:rPr>
                <w:sz w:val="20"/>
                <w:szCs w:val="20"/>
                <w:color w:val="auto"/>
              </w:rPr>
            </w:pPr>
            <w:r>
              <w:rPr>
                <w:rFonts w:ascii="Arial" w:cs="Arial" w:eastAsia="Arial" w:hAnsi="Arial"/>
                <w:sz w:val="12"/>
                <w:szCs w:val="12"/>
                <w:color w:val="0E2A35"/>
              </w:rPr>
              <w:t>4,548​</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343,783</w:t>
            </w:r>
          </w:p>
        </w:tc>
      </w:tr>
      <w:tr>
        <w:trPr>
          <w:trHeight w:val="95"/>
        </w:trPr>
        <w:tc>
          <w:tcPr>
            <w:tcW w:w="1400" w:type="dxa"/>
            <w:vAlign w:val="bottom"/>
          </w:tcPr>
          <w:p>
            <w:pPr>
              <w:spacing w:after="0"/>
              <w:rPr>
                <w:sz w:val="8"/>
                <w:szCs w:val="8"/>
                <w:color w:val="auto"/>
              </w:rPr>
            </w:pPr>
          </w:p>
        </w:tc>
        <w:tc>
          <w:tcPr>
            <w:tcW w:w="1120" w:type="dxa"/>
            <w:vAlign w:val="bottom"/>
            <w:tcBorders>
              <w:bottom w:val="single" w:sz="8" w:color="0E2A35"/>
            </w:tcBorders>
            <w:gridSpan w:val="2"/>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gridSpan w:val="2"/>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0E2A35"/>
              </w:rPr>
              <w:t>2022 OICP</w:t>
            </w:r>
          </w:p>
        </w:tc>
        <w:tc>
          <w:tcPr>
            <w:tcW w:w="860" w:type="dxa"/>
            <w:vAlign w:val="bottom"/>
          </w:tcPr>
          <w:p>
            <w:pPr>
              <w:ind w:left="600"/>
              <w:spacing w:after="0"/>
              <w:rPr>
                <w:sz w:val="20"/>
                <w:szCs w:val="20"/>
                <w:color w:val="auto"/>
              </w:rPr>
            </w:pPr>
            <w:r>
              <w:rPr>
                <w:rFonts w:ascii="Arial" w:cs="Arial" w:eastAsia="Arial" w:hAnsi="Arial"/>
                <w:sz w:val="12"/>
                <w:szCs w:val="12"/>
                <w:color w:val="0E2A35"/>
              </w:rPr>
              <w:t>​</w:t>
            </w:r>
          </w:p>
        </w:tc>
        <w:tc>
          <w:tcPr>
            <w:tcW w:w="580" w:type="dxa"/>
            <w:vAlign w:val="bottom"/>
          </w:tcPr>
          <w:p>
            <w:pPr>
              <w:ind w:left="80"/>
              <w:spacing w:after="0"/>
              <w:rPr>
                <w:sz w:val="20"/>
                <w:szCs w:val="20"/>
                <w:color w:val="auto"/>
              </w:rPr>
            </w:pPr>
            <w:r>
              <w:rPr>
                <w:rFonts w:ascii="Arial" w:cs="Arial" w:eastAsia="Arial" w:hAnsi="Arial"/>
                <w:sz w:val="12"/>
                <w:szCs w:val="12"/>
                <w:color w:val="0E2A35"/>
              </w:rPr>
              <w:t>116,875​</w:t>
            </w:r>
          </w:p>
        </w:tc>
        <w:tc>
          <w:tcPr>
            <w:tcW w:w="720" w:type="dxa"/>
            <w:vAlign w:val="bottom"/>
            <w:gridSpan w:val="2"/>
          </w:tcPr>
          <w:p>
            <w:pPr>
              <w:jc w:val="right"/>
              <w:ind w:right="22"/>
              <w:spacing w:after="0"/>
              <w:rPr>
                <w:sz w:val="20"/>
                <w:szCs w:val="20"/>
                <w:color w:val="auto"/>
              </w:rPr>
            </w:pPr>
            <w:r>
              <w:rPr>
                <w:rFonts w:ascii="Arial" w:cs="Arial" w:eastAsia="Arial" w:hAnsi="Arial"/>
                <w:sz w:val="12"/>
                <w:szCs w:val="12"/>
                <w:color w:val="0E2A35"/>
              </w:rPr>
              <w:t>467,500​</w:t>
            </w:r>
          </w:p>
        </w:tc>
        <w:tc>
          <w:tcPr>
            <w:tcW w:w="620" w:type="dxa"/>
            <w:vAlign w:val="bottom"/>
          </w:tcPr>
          <w:p>
            <w:pPr>
              <w:jc w:val="right"/>
              <w:spacing w:after="0"/>
              <w:rPr>
                <w:sz w:val="20"/>
                <w:szCs w:val="20"/>
                <w:color w:val="auto"/>
              </w:rPr>
            </w:pPr>
            <w:r>
              <w:rPr>
                <w:rFonts w:ascii="Arial" w:cs="Arial" w:eastAsia="Arial" w:hAnsi="Arial"/>
                <w:sz w:val="12"/>
                <w:szCs w:val="12"/>
                <w:color w:val="0E2A35"/>
              </w:rPr>
              <w:t>935,000​</w:t>
            </w:r>
          </w:p>
        </w:tc>
        <w:tc>
          <w:tcPr>
            <w:tcW w:w="6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ind w:left="560"/>
              <w:spacing w:after="0"/>
              <w:rPr>
                <w:sz w:val="20"/>
                <w:szCs w:val="20"/>
                <w:color w:val="auto"/>
              </w:rPr>
            </w:pPr>
            <w:r>
              <w:rPr>
                <w:rFonts w:ascii="Arial" w:cs="Arial" w:eastAsia="Arial" w:hAnsi="Arial"/>
                <w:sz w:val="12"/>
                <w:szCs w:val="12"/>
                <w:color w:val="0E2A35"/>
              </w:rPr>
              <w:t>​</w:t>
            </w: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95"/>
        </w:trPr>
        <w:tc>
          <w:tcPr>
            <w:tcW w:w="1400" w:type="dxa"/>
            <w:vAlign w:val="bottom"/>
          </w:tcPr>
          <w:p>
            <w:pPr>
              <w:spacing w:after="0"/>
              <w:rPr>
                <w:sz w:val="8"/>
                <w:szCs w:val="8"/>
                <w:color w:val="auto"/>
              </w:rPr>
            </w:pPr>
          </w:p>
        </w:tc>
        <w:tc>
          <w:tcPr>
            <w:tcW w:w="1120" w:type="dxa"/>
            <w:vAlign w:val="bottom"/>
            <w:tcBorders>
              <w:bottom w:val="single" w:sz="8" w:color="0E2A35"/>
            </w:tcBorders>
            <w:gridSpan w:val="2"/>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0E2A35"/>
              </w:rPr>
              <w:t>2022-2024 LTIP</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jc w:val="center"/>
              <w:spacing w:after="0"/>
              <w:rPr>
                <w:sz w:val="20"/>
                <w:szCs w:val="20"/>
                <w:color w:val="auto"/>
              </w:rPr>
            </w:pPr>
            <w:r>
              <w:rPr>
                <w:rFonts w:ascii="Arial" w:cs="Arial" w:eastAsia="Arial" w:hAnsi="Arial"/>
                <w:sz w:val="12"/>
                <w:szCs w:val="12"/>
                <w:color w:val="0E2A35"/>
                <w:w w:val="99"/>
              </w:rPr>
              <w:t>1,364</w:t>
            </w:r>
          </w:p>
        </w:tc>
        <w:tc>
          <w:tcPr>
            <w:tcW w:w="520" w:type="dxa"/>
            <w:vAlign w:val="bottom"/>
          </w:tcPr>
          <w:p>
            <w:pPr>
              <w:ind w:left="140"/>
              <w:spacing w:after="0"/>
              <w:rPr>
                <w:sz w:val="20"/>
                <w:szCs w:val="20"/>
                <w:color w:val="auto"/>
              </w:rPr>
            </w:pPr>
            <w:r>
              <w:rPr>
                <w:rFonts w:ascii="Arial" w:cs="Arial" w:eastAsia="Arial" w:hAnsi="Arial"/>
                <w:sz w:val="12"/>
                <w:szCs w:val="12"/>
                <w:color w:val="0E2A35"/>
              </w:rPr>
              <w:t>5,457</w:t>
            </w:r>
          </w:p>
        </w:tc>
        <w:tc>
          <w:tcPr>
            <w:tcW w:w="700" w:type="dxa"/>
            <w:vAlign w:val="bottom"/>
          </w:tcPr>
          <w:p>
            <w:pPr>
              <w:jc w:val="center"/>
              <w:spacing w:after="0"/>
              <w:rPr>
                <w:sz w:val="20"/>
                <w:szCs w:val="20"/>
                <w:color w:val="auto"/>
              </w:rPr>
            </w:pPr>
            <w:r>
              <w:rPr>
                <w:rFonts w:ascii="Arial" w:cs="Arial" w:eastAsia="Arial" w:hAnsi="Arial"/>
                <w:sz w:val="12"/>
                <w:szCs w:val="12"/>
                <w:color w:val="0E2A35"/>
                <w:w w:val="92"/>
              </w:rPr>
              <w:t>10,914​</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ind w:left="560"/>
              <w:spacing w:after="0"/>
              <w:rPr>
                <w:sz w:val="20"/>
                <w:szCs w:val="20"/>
                <w:color w:val="auto"/>
              </w:rPr>
            </w:pPr>
            <w:r>
              <w:rPr>
                <w:rFonts w:ascii="Arial" w:cs="Arial" w:eastAsia="Arial" w:hAnsi="Arial"/>
                <w:sz w:val="12"/>
                <w:szCs w:val="12"/>
                <w:color w:val="0E2A35"/>
              </w:rPr>
              <w:t>​</w:t>
            </w: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412,495</w:t>
            </w:r>
          </w:p>
        </w:tc>
      </w:tr>
      <w:tr>
        <w:trPr>
          <w:trHeight w:val="95"/>
        </w:trPr>
        <w:tc>
          <w:tcPr>
            <w:tcW w:w="140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ind w:left="40"/>
              <w:spacing w:after="0"/>
              <w:rPr>
                <w:sz w:val="20"/>
                <w:szCs w:val="20"/>
                <w:color w:val="auto"/>
              </w:rPr>
            </w:pPr>
            <w:r>
              <w:rPr>
                <w:rFonts w:ascii="Arial" w:cs="Arial" w:eastAsia="Arial" w:hAnsi="Arial"/>
                <w:sz w:val="12"/>
                <w:szCs w:val="12"/>
                <w:color w:val="0E2A35"/>
              </w:rPr>
              <w:t>Stacy L. Bogart</w:t>
            </w: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E2A35"/>
                <w:w w:val="99"/>
              </w:rPr>
              <w:t>3,255</w:t>
            </w:r>
          </w:p>
        </w:tc>
        <w:tc>
          <w:tcPr>
            <w:tcW w:w="640" w:type="dxa"/>
            <w:vAlign w:val="bottom"/>
          </w:tcPr>
          <w:p>
            <w:pPr>
              <w:jc w:val="center"/>
              <w:spacing w:after="0"/>
              <w:rPr>
                <w:sz w:val="20"/>
                <w:szCs w:val="20"/>
                <w:color w:val="auto"/>
              </w:rPr>
            </w:pPr>
            <w:r>
              <w:rPr>
                <w:rFonts w:ascii="Arial" w:cs="Arial" w:eastAsia="Arial" w:hAnsi="Arial"/>
                <w:sz w:val="12"/>
                <w:szCs w:val="12"/>
                <w:color w:val="0E2A35"/>
                <w:w w:val="93"/>
              </w:rPr>
              <w:t>75.59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99,212</w:t>
            </w:r>
          </w:p>
        </w:tc>
      </w:tr>
      <w:tr>
        <w:trPr>
          <w:trHeight w:val="95"/>
        </w:trPr>
        <w:tc>
          <w:tcPr>
            <w:tcW w:w="1400" w:type="dxa"/>
            <w:vAlign w:val="bottom"/>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color w:val="0E2A35"/>
              </w:rPr>
              <w:t>3,711</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280,514</w:t>
            </w:r>
          </w:p>
        </w:tc>
      </w:tr>
      <w:tr>
        <w:trPr>
          <w:trHeight w:val="95"/>
        </w:trPr>
        <w:tc>
          <w:tcPr>
            <w:tcW w:w="1400" w:type="dxa"/>
            <w:vAlign w:val="bottom"/>
          </w:tcPr>
          <w:p>
            <w:pPr>
              <w:spacing w:after="0"/>
              <w:rPr>
                <w:sz w:val="8"/>
                <w:szCs w:val="8"/>
                <w:color w:val="auto"/>
              </w:rPr>
            </w:pPr>
          </w:p>
        </w:tc>
        <w:tc>
          <w:tcPr>
            <w:tcW w:w="1120" w:type="dxa"/>
            <w:vAlign w:val="bottom"/>
            <w:tcBorders>
              <w:bottom w:val="single" w:sz="8" w:color="0E2A35"/>
            </w:tcBorders>
            <w:gridSpan w:val="2"/>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gridSpan w:val="2"/>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0E2A35"/>
              </w:rPr>
              <w:t>2022 OICP</w:t>
            </w:r>
          </w:p>
        </w:tc>
        <w:tc>
          <w:tcPr>
            <w:tcW w:w="860" w:type="dxa"/>
            <w:vAlign w:val="bottom"/>
          </w:tcPr>
          <w:p>
            <w:pPr>
              <w:ind w:left="600"/>
              <w:spacing w:after="0"/>
              <w:rPr>
                <w:sz w:val="20"/>
                <w:szCs w:val="20"/>
                <w:color w:val="auto"/>
              </w:rPr>
            </w:pPr>
            <w:r>
              <w:rPr>
                <w:rFonts w:ascii="Arial" w:cs="Arial" w:eastAsia="Arial" w:hAnsi="Arial"/>
                <w:sz w:val="12"/>
                <w:szCs w:val="12"/>
                <w:color w:val="0E2A35"/>
              </w:rPr>
              <w:t>​</w:t>
            </w:r>
          </w:p>
        </w:tc>
        <w:tc>
          <w:tcPr>
            <w:tcW w:w="580" w:type="dxa"/>
            <w:vAlign w:val="bottom"/>
          </w:tcPr>
          <w:p>
            <w:pPr>
              <w:jc w:val="right"/>
              <w:ind w:right="22"/>
              <w:spacing w:after="0"/>
              <w:rPr>
                <w:sz w:val="20"/>
                <w:szCs w:val="20"/>
                <w:color w:val="auto"/>
              </w:rPr>
            </w:pPr>
            <w:r>
              <w:rPr>
                <w:rFonts w:ascii="Arial" w:cs="Arial" w:eastAsia="Arial" w:hAnsi="Arial"/>
                <w:sz w:val="12"/>
                <w:szCs w:val="12"/>
                <w:color w:val="0E2A35"/>
              </w:rPr>
              <w:t>98,000​</w:t>
            </w:r>
          </w:p>
        </w:tc>
        <w:tc>
          <w:tcPr>
            <w:tcW w:w="720" w:type="dxa"/>
            <w:vAlign w:val="bottom"/>
            <w:gridSpan w:val="2"/>
          </w:tcPr>
          <w:p>
            <w:pPr>
              <w:jc w:val="right"/>
              <w:ind w:right="22"/>
              <w:spacing w:after="0"/>
              <w:rPr>
                <w:sz w:val="20"/>
                <w:szCs w:val="20"/>
                <w:color w:val="auto"/>
              </w:rPr>
            </w:pPr>
            <w:r>
              <w:rPr>
                <w:rFonts w:ascii="Arial" w:cs="Arial" w:eastAsia="Arial" w:hAnsi="Arial"/>
                <w:sz w:val="12"/>
                <w:szCs w:val="12"/>
                <w:color w:val="0E2A35"/>
              </w:rPr>
              <w:t>392,000​</w:t>
            </w:r>
          </w:p>
        </w:tc>
        <w:tc>
          <w:tcPr>
            <w:tcW w:w="620" w:type="dxa"/>
            <w:vAlign w:val="bottom"/>
          </w:tcPr>
          <w:p>
            <w:pPr>
              <w:jc w:val="right"/>
              <w:spacing w:after="0"/>
              <w:rPr>
                <w:sz w:val="20"/>
                <w:szCs w:val="20"/>
                <w:color w:val="auto"/>
              </w:rPr>
            </w:pPr>
            <w:r>
              <w:rPr>
                <w:rFonts w:ascii="Arial" w:cs="Arial" w:eastAsia="Arial" w:hAnsi="Arial"/>
                <w:sz w:val="12"/>
                <w:szCs w:val="12"/>
                <w:color w:val="0E2A35"/>
              </w:rPr>
              <w:t>784,000​</w:t>
            </w:r>
          </w:p>
        </w:tc>
        <w:tc>
          <w:tcPr>
            <w:tcW w:w="6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95"/>
        </w:trPr>
        <w:tc>
          <w:tcPr>
            <w:tcW w:w="1400" w:type="dxa"/>
            <w:vAlign w:val="bottom"/>
          </w:tcPr>
          <w:p>
            <w:pPr>
              <w:spacing w:after="0"/>
              <w:rPr>
                <w:sz w:val="8"/>
                <w:szCs w:val="8"/>
                <w:color w:val="auto"/>
              </w:rPr>
            </w:pPr>
          </w:p>
        </w:tc>
        <w:tc>
          <w:tcPr>
            <w:tcW w:w="1120" w:type="dxa"/>
            <w:vAlign w:val="bottom"/>
            <w:tcBorders>
              <w:bottom w:val="single" w:sz="8" w:color="0E2A35"/>
            </w:tcBorders>
            <w:gridSpan w:val="2"/>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0E2A35"/>
              </w:rPr>
              <w:t>2022-2024 LTIP</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0E2A35"/>
                <w:w w:val="99"/>
              </w:rPr>
              <w:t>1,094</w:t>
            </w:r>
          </w:p>
        </w:tc>
        <w:tc>
          <w:tcPr>
            <w:tcW w:w="520" w:type="dxa"/>
            <w:vAlign w:val="bottom"/>
          </w:tcPr>
          <w:p>
            <w:pPr>
              <w:ind w:left="140"/>
              <w:spacing w:after="0"/>
              <w:rPr>
                <w:sz w:val="20"/>
                <w:szCs w:val="20"/>
                <w:color w:val="auto"/>
              </w:rPr>
            </w:pPr>
            <w:r>
              <w:rPr>
                <w:rFonts w:ascii="Arial" w:cs="Arial" w:eastAsia="Arial" w:hAnsi="Arial"/>
                <w:sz w:val="12"/>
                <w:szCs w:val="12"/>
                <w:color w:val="0E2A35"/>
              </w:rPr>
              <w:t>4,376</w:t>
            </w:r>
          </w:p>
        </w:tc>
        <w:tc>
          <w:tcPr>
            <w:tcW w:w="700" w:type="dxa"/>
            <w:vAlign w:val="bottom"/>
          </w:tcPr>
          <w:p>
            <w:pPr>
              <w:ind w:left="200"/>
              <w:spacing w:after="0"/>
              <w:rPr>
                <w:sz w:val="20"/>
                <w:szCs w:val="20"/>
                <w:color w:val="auto"/>
              </w:rPr>
            </w:pPr>
            <w:r>
              <w:rPr>
                <w:rFonts w:ascii="Arial" w:cs="Arial" w:eastAsia="Arial" w:hAnsi="Arial"/>
                <w:sz w:val="12"/>
                <w:szCs w:val="12"/>
                <w:color w:val="0E2A35"/>
              </w:rPr>
              <w:t>8,752​</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330,782</w:t>
            </w:r>
          </w:p>
        </w:tc>
      </w:tr>
      <w:tr>
        <w:trPr>
          <w:trHeight w:val="95"/>
        </w:trPr>
        <w:tc>
          <w:tcPr>
            <w:tcW w:w="140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49"/>
        </w:trPr>
        <w:tc>
          <w:tcPr>
            <w:tcW w:w="1400" w:type="dxa"/>
            <w:vAlign w:val="bottom"/>
          </w:tcPr>
          <w:p>
            <w:pPr>
              <w:ind w:left="40"/>
              <w:spacing w:after="0"/>
              <w:rPr>
                <w:sz w:val="20"/>
                <w:szCs w:val="20"/>
                <w:color w:val="auto"/>
              </w:rPr>
            </w:pPr>
            <w:r>
              <w:rPr>
                <w:rFonts w:ascii="Arial" w:cs="Arial" w:eastAsia="Arial" w:hAnsi="Arial"/>
                <w:sz w:val="12"/>
                <w:szCs w:val="12"/>
                <w:color w:val="0E2A35"/>
              </w:rPr>
              <w:t>Huw S. Bower​</w:t>
            </w: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jc w:val="center"/>
              <w:spacing w:after="0"/>
              <w:rPr>
                <w:sz w:val="20"/>
                <w:szCs w:val="20"/>
                <w:color w:val="auto"/>
              </w:rPr>
            </w:pPr>
            <w:r>
              <w:rPr>
                <w:rFonts w:ascii="Arial" w:cs="Arial" w:eastAsia="Arial" w:hAnsi="Arial"/>
                <w:sz w:val="12"/>
                <w:szCs w:val="12"/>
                <w:color w:val="0E2A35"/>
                <w:w w:val="99"/>
              </w:rPr>
              <w:t>5,017</w:t>
            </w:r>
          </w:p>
        </w:tc>
        <w:tc>
          <w:tcPr>
            <w:tcW w:w="640" w:type="dxa"/>
            <w:vAlign w:val="bottom"/>
          </w:tcPr>
          <w:p>
            <w:pPr>
              <w:jc w:val="center"/>
              <w:spacing w:after="0"/>
              <w:rPr>
                <w:sz w:val="20"/>
                <w:szCs w:val="20"/>
                <w:color w:val="auto"/>
              </w:rPr>
            </w:pPr>
            <w:r>
              <w:rPr>
                <w:rFonts w:ascii="Arial" w:cs="Arial" w:eastAsia="Arial" w:hAnsi="Arial"/>
                <w:sz w:val="12"/>
                <w:szCs w:val="12"/>
                <w:color w:val="0E2A35"/>
                <w:w w:val="93"/>
              </w:rPr>
              <w:t>75​.59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152,918</w:t>
            </w:r>
          </w:p>
        </w:tc>
      </w:tr>
      <w:tr>
        <w:trPr>
          <w:trHeight w:val="95"/>
        </w:trPr>
        <w:tc>
          <w:tcPr>
            <w:tcW w:w="1400" w:type="dxa"/>
            <w:vAlign w:val="bottom"/>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122"/>
              <w:spacing w:after="0"/>
              <w:rPr>
                <w:sz w:val="20"/>
                <w:szCs w:val="20"/>
                <w:color w:val="auto"/>
              </w:rPr>
            </w:pPr>
            <w:r>
              <w:rPr>
                <w:rFonts w:ascii="Arial" w:cs="Arial" w:eastAsia="Arial" w:hAnsi="Arial"/>
                <w:sz w:val="12"/>
                <w:szCs w:val="12"/>
                <w:color w:val="0E2A35"/>
              </w:rPr>
              <w:t>4,721</w:t>
            </w:r>
          </w:p>
        </w:tc>
        <w:tc>
          <w:tcPr>
            <w:tcW w:w="760" w:type="dxa"/>
            <w:vAlign w:val="bottom"/>
          </w:tcPr>
          <w:p>
            <w:pPr>
              <w:spacing w:after="0"/>
              <w:rPr>
                <w:sz w:val="21"/>
                <w:szCs w:val="21"/>
                <w:color w:val="auto"/>
              </w:rPr>
            </w:pPr>
          </w:p>
        </w:tc>
        <w:tc>
          <w:tcPr>
            <w:tcW w:w="640" w:type="dxa"/>
            <w:vAlign w:val="bottom"/>
          </w:tcPr>
          <w:p>
            <w:pPr>
              <w:ind w:left="460"/>
              <w:spacing w:after="0"/>
              <w:rPr>
                <w:sz w:val="20"/>
                <w:szCs w:val="20"/>
                <w:color w:val="auto"/>
              </w:rPr>
            </w:pPr>
            <w:r>
              <w:rPr>
                <w:rFonts w:ascii="Arial" w:cs="Arial" w:eastAsia="Arial" w:hAnsi="Arial"/>
                <w:sz w:val="12"/>
                <w:szCs w:val="12"/>
                <w:color w:val="0E2A35"/>
              </w:rPr>
              <w:t>​</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356,860</w:t>
            </w:r>
          </w:p>
        </w:tc>
      </w:tr>
      <w:tr>
        <w:trPr>
          <w:trHeight w:val="95"/>
        </w:trPr>
        <w:tc>
          <w:tcPr>
            <w:tcW w:w="1400" w:type="dxa"/>
            <w:vAlign w:val="bottom"/>
          </w:tcPr>
          <w:p>
            <w:pPr>
              <w:spacing w:after="0"/>
              <w:rPr>
                <w:sz w:val="8"/>
                <w:szCs w:val="8"/>
                <w:color w:val="auto"/>
              </w:rPr>
            </w:pPr>
          </w:p>
        </w:tc>
        <w:tc>
          <w:tcPr>
            <w:tcW w:w="1120" w:type="dxa"/>
            <w:vAlign w:val="bottom"/>
            <w:tcBorders>
              <w:bottom w:val="single" w:sz="8" w:color="0E2A35"/>
            </w:tcBorders>
            <w:gridSpan w:val="2"/>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gridSpan w:val="2"/>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0E2A35"/>
              </w:rPr>
              <w:t>2022 OICP</w:t>
            </w:r>
          </w:p>
        </w:tc>
        <w:tc>
          <w:tcPr>
            <w:tcW w:w="860" w:type="dxa"/>
            <w:vAlign w:val="bottom"/>
          </w:tcPr>
          <w:p>
            <w:pPr>
              <w:ind w:left="600"/>
              <w:spacing w:after="0"/>
              <w:rPr>
                <w:sz w:val="20"/>
                <w:szCs w:val="20"/>
                <w:color w:val="auto"/>
              </w:rPr>
            </w:pPr>
            <w:r>
              <w:rPr>
                <w:rFonts w:ascii="Arial" w:cs="Arial" w:eastAsia="Arial" w:hAnsi="Arial"/>
                <w:sz w:val="12"/>
                <w:szCs w:val="12"/>
                <w:color w:val="0E2A35"/>
              </w:rPr>
              <w:t>​</w:t>
            </w:r>
          </w:p>
        </w:tc>
        <w:tc>
          <w:tcPr>
            <w:tcW w:w="580" w:type="dxa"/>
            <w:vAlign w:val="bottom"/>
          </w:tcPr>
          <w:p>
            <w:pPr>
              <w:ind w:left="80"/>
              <w:spacing w:after="0"/>
              <w:rPr>
                <w:sz w:val="20"/>
                <w:szCs w:val="20"/>
                <w:color w:val="auto"/>
              </w:rPr>
            </w:pPr>
            <w:r>
              <w:rPr>
                <w:rFonts w:ascii="Arial" w:cs="Arial" w:eastAsia="Arial" w:hAnsi="Arial"/>
                <w:sz w:val="12"/>
                <w:szCs w:val="12"/>
                <w:color w:val="0E2A35"/>
              </w:rPr>
              <w:t>120,360​</w:t>
            </w:r>
          </w:p>
        </w:tc>
        <w:tc>
          <w:tcPr>
            <w:tcW w:w="720" w:type="dxa"/>
            <w:vAlign w:val="bottom"/>
            <w:gridSpan w:val="2"/>
          </w:tcPr>
          <w:p>
            <w:pPr>
              <w:jc w:val="right"/>
              <w:ind w:right="22"/>
              <w:spacing w:after="0"/>
              <w:rPr>
                <w:sz w:val="20"/>
                <w:szCs w:val="20"/>
                <w:color w:val="auto"/>
              </w:rPr>
            </w:pPr>
            <w:r>
              <w:rPr>
                <w:rFonts w:ascii="Arial" w:cs="Arial" w:eastAsia="Arial" w:hAnsi="Arial"/>
                <w:sz w:val="12"/>
                <w:szCs w:val="12"/>
                <w:color w:val="0E2A35"/>
              </w:rPr>
              <w:t>481,440​</w:t>
            </w:r>
          </w:p>
        </w:tc>
        <w:tc>
          <w:tcPr>
            <w:tcW w:w="620" w:type="dxa"/>
            <w:vAlign w:val="bottom"/>
          </w:tcPr>
          <w:p>
            <w:pPr>
              <w:jc w:val="right"/>
              <w:spacing w:after="0"/>
              <w:rPr>
                <w:sz w:val="20"/>
                <w:szCs w:val="20"/>
                <w:color w:val="auto"/>
              </w:rPr>
            </w:pPr>
            <w:r>
              <w:rPr>
                <w:rFonts w:ascii="Arial" w:cs="Arial" w:eastAsia="Arial" w:hAnsi="Arial"/>
                <w:sz w:val="12"/>
                <w:szCs w:val="12"/>
                <w:color w:val="0E2A35"/>
              </w:rPr>
              <w:t>962,880​</w:t>
            </w:r>
          </w:p>
        </w:tc>
        <w:tc>
          <w:tcPr>
            <w:tcW w:w="6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95"/>
        </w:trPr>
        <w:tc>
          <w:tcPr>
            <w:tcW w:w="1400" w:type="dxa"/>
            <w:vAlign w:val="bottom"/>
          </w:tcPr>
          <w:p>
            <w:pPr>
              <w:spacing w:after="0"/>
              <w:rPr>
                <w:sz w:val="8"/>
                <w:szCs w:val="8"/>
                <w:color w:val="auto"/>
              </w:rPr>
            </w:pPr>
          </w:p>
        </w:tc>
        <w:tc>
          <w:tcPr>
            <w:tcW w:w="1120" w:type="dxa"/>
            <w:vAlign w:val="bottom"/>
            <w:tcBorders>
              <w:bottom w:val="single" w:sz="8" w:color="0E2A35"/>
            </w:tcBorders>
            <w:gridSpan w:val="2"/>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250"/>
        </w:trPr>
        <w:tc>
          <w:tcPr>
            <w:tcW w:w="140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0E2A35"/>
              </w:rPr>
              <w:t>2022-2024 LTIP</w:t>
            </w:r>
          </w:p>
        </w:tc>
        <w:tc>
          <w:tcPr>
            <w:tcW w:w="860" w:type="dxa"/>
            <w:vAlign w:val="bottom"/>
          </w:tcPr>
          <w:p>
            <w:pPr>
              <w:ind w:left="200"/>
              <w:spacing w:after="0"/>
              <w:rPr>
                <w:sz w:val="20"/>
                <w:szCs w:val="20"/>
                <w:color w:val="auto"/>
              </w:rPr>
            </w:pPr>
            <w:r>
              <w:rPr>
                <w:rFonts w:ascii="Arial" w:cs="Arial" w:eastAsia="Arial" w:hAnsi="Arial"/>
                <w:sz w:val="12"/>
                <w:szCs w:val="12"/>
                <w:color w:val="0E2A35"/>
              </w:rPr>
              <w:t>10/12/21​</w:t>
            </w:r>
          </w:p>
        </w:tc>
        <w:tc>
          <w:tcPr>
            <w:tcW w:w="580" w:type="dxa"/>
            <w:vAlign w:val="bottom"/>
          </w:tcPr>
          <w:p>
            <w:pPr>
              <w:jc w:val="right"/>
              <w:spacing w:after="0"/>
              <w:rPr>
                <w:sz w:val="20"/>
                <w:szCs w:val="20"/>
                <w:color w:val="auto"/>
              </w:rPr>
            </w:pPr>
            <w:r>
              <w:rPr>
                <w:rFonts w:ascii="Arial" w:cs="Arial" w:eastAsia="Arial" w:hAnsi="Arial"/>
                <w:sz w:val="12"/>
                <w:szCs w:val="12"/>
                <w:color w:val="0E2A35"/>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jc w:val="center"/>
              <w:spacing w:after="0"/>
              <w:rPr>
                <w:sz w:val="20"/>
                <w:szCs w:val="20"/>
                <w:color w:val="auto"/>
              </w:rPr>
            </w:pPr>
            <w:r>
              <w:rPr>
                <w:rFonts w:ascii="Arial" w:cs="Arial" w:eastAsia="Arial" w:hAnsi="Arial"/>
                <w:sz w:val="12"/>
                <w:szCs w:val="12"/>
                <w:color w:val="0E2A35"/>
                <w:w w:val="99"/>
              </w:rPr>
              <w:t>1,686​</w:t>
            </w:r>
          </w:p>
        </w:tc>
        <w:tc>
          <w:tcPr>
            <w:tcW w:w="520" w:type="dxa"/>
            <w:vAlign w:val="bottom"/>
          </w:tcPr>
          <w:p>
            <w:pPr>
              <w:ind w:left="140"/>
              <w:spacing w:after="0"/>
              <w:rPr>
                <w:sz w:val="20"/>
                <w:szCs w:val="20"/>
                <w:color w:val="auto"/>
              </w:rPr>
            </w:pPr>
            <w:r>
              <w:rPr>
                <w:rFonts w:ascii="Arial" w:cs="Arial" w:eastAsia="Arial" w:hAnsi="Arial"/>
                <w:sz w:val="12"/>
                <w:szCs w:val="12"/>
                <w:color w:val="0E2A35"/>
              </w:rPr>
              <w:t>6,744​</w:t>
            </w:r>
          </w:p>
        </w:tc>
        <w:tc>
          <w:tcPr>
            <w:tcW w:w="700" w:type="dxa"/>
            <w:vAlign w:val="bottom"/>
          </w:tcPr>
          <w:p>
            <w:pPr>
              <w:jc w:val="center"/>
              <w:spacing w:after="0"/>
              <w:rPr>
                <w:sz w:val="20"/>
                <w:szCs w:val="20"/>
                <w:color w:val="auto"/>
              </w:rPr>
            </w:pPr>
            <w:r>
              <w:rPr>
                <w:rFonts w:ascii="Arial" w:cs="Arial" w:eastAsia="Arial" w:hAnsi="Arial"/>
                <w:sz w:val="12"/>
                <w:szCs w:val="12"/>
                <w:color w:val="0E2A35"/>
                <w:w w:val="92"/>
              </w:rPr>
              <w:t>13,488​</w:t>
            </w:r>
          </w:p>
        </w:tc>
        <w:tc>
          <w:tcPr>
            <w:tcW w:w="680" w:type="dxa"/>
            <w:vAlign w:val="bottom"/>
          </w:tcPr>
          <w:p>
            <w:pPr>
              <w:jc w:val="right"/>
              <w:ind w:right="82"/>
              <w:spacing w:after="0"/>
              <w:rPr>
                <w:sz w:val="20"/>
                <w:szCs w:val="20"/>
                <w:color w:val="auto"/>
              </w:rPr>
            </w:pPr>
            <w:r>
              <w:rPr>
                <w:rFonts w:ascii="Arial" w:cs="Arial" w:eastAsia="Arial" w:hAnsi="Arial"/>
                <w:sz w:val="12"/>
                <w:szCs w:val="12"/>
                <w:color w:val="0E2A35"/>
              </w:rPr>
              <w:t>​</w:t>
            </w:r>
          </w:p>
        </w:tc>
        <w:tc>
          <w:tcPr>
            <w:tcW w:w="760" w:type="dxa"/>
            <w:vAlign w:val="bottom"/>
          </w:tcPr>
          <w:p>
            <w:pPr>
              <w:ind w:left="560"/>
              <w:spacing w:after="0"/>
              <w:rPr>
                <w:sz w:val="20"/>
                <w:szCs w:val="20"/>
                <w:color w:val="auto"/>
              </w:rPr>
            </w:pPr>
            <w:r>
              <w:rPr>
                <w:rFonts w:ascii="Arial" w:cs="Arial" w:eastAsia="Arial" w:hAnsi="Arial"/>
                <w:sz w:val="12"/>
                <w:szCs w:val="12"/>
                <w:color w:val="0E2A35"/>
              </w:rPr>
              <w:t>​</w:t>
            </w:r>
          </w:p>
        </w:tc>
        <w:tc>
          <w:tcPr>
            <w:tcW w:w="640" w:type="dxa"/>
            <w:vAlign w:val="bottom"/>
          </w:tcPr>
          <w:p>
            <w:pPr>
              <w:ind w:left="460"/>
              <w:spacing w:after="0"/>
              <w:rPr>
                <w:sz w:val="20"/>
                <w:szCs w:val="20"/>
                <w:color w:val="auto"/>
              </w:rPr>
            </w:pPr>
            <w:r>
              <w:rPr>
                <w:rFonts w:ascii="Arial" w:cs="Arial" w:eastAsia="Arial" w:hAnsi="Arial"/>
                <w:sz w:val="12"/>
                <w:szCs w:val="12"/>
                <w:color w:val="0E2A35"/>
              </w:rPr>
              <w:t>​</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509,779​</w:t>
            </w:r>
          </w:p>
        </w:tc>
      </w:tr>
      <w:tr>
        <w:trPr>
          <w:trHeight w:val="95"/>
        </w:trPr>
        <w:tc>
          <w:tcPr>
            <w:tcW w:w="140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r>
      <w:tr>
        <w:trPr>
          <w:trHeight w:val="345"/>
        </w:trPr>
        <w:tc>
          <w:tcPr>
            <w:tcW w:w="1400" w:type="dxa"/>
            <w:vAlign w:val="bottom"/>
          </w:tcPr>
          <w:p>
            <w:pPr>
              <w:ind w:left="40"/>
              <w:spacing w:after="0"/>
              <w:rPr>
                <w:sz w:val="20"/>
                <w:szCs w:val="20"/>
                <w:color w:val="auto"/>
              </w:rPr>
            </w:pPr>
            <w:r>
              <w:rPr>
                <w:rFonts w:ascii="Arial" w:cs="Arial" w:eastAsia="Arial" w:hAnsi="Arial"/>
                <w:sz w:val="12"/>
                <w:szCs w:val="12"/>
                <w:color w:val="0E2A35"/>
              </w:rPr>
              <w:t>Donald J. Clark</w:t>
            </w:r>
            <w:r>
              <w:rPr>
                <w:rFonts w:ascii="Arial" w:cs="Arial" w:eastAsia="Arial" w:hAnsi="Arial"/>
                <w:sz w:val="19"/>
                <w:szCs w:val="19"/>
                <w:color w:val="0E2A35"/>
                <w:vertAlign w:val="superscript"/>
              </w:rPr>
              <w:t>(6)</w:t>
            </w:r>
          </w:p>
        </w:tc>
        <w:tc>
          <w:tcPr>
            <w:tcW w:w="320" w:type="dxa"/>
            <w:vAlign w:val="bottom"/>
          </w:tcPr>
          <w:p>
            <w:pPr>
              <w:ind w:left="40"/>
              <w:spacing w:after="0"/>
              <w:rPr>
                <w:sz w:val="20"/>
                <w:szCs w:val="20"/>
                <w:color w:val="auto"/>
              </w:rPr>
            </w:pPr>
            <w:r>
              <w:rPr>
                <w:rFonts w:ascii="Arial" w:cs="Arial" w:eastAsia="Arial" w:hAnsi="Arial"/>
                <w:sz w:val="13"/>
                <w:szCs w:val="13"/>
                <w:color w:val="0E2A35"/>
                <w:w w:val="89"/>
              </w:rPr>
              <w:t>2019​</w:t>
            </w:r>
          </w:p>
        </w:tc>
        <w:tc>
          <w:tcPr>
            <w:tcW w:w="800" w:type="dxa"/>
            <w:vAlign w:val="bottom"/>
          </w:tcPr>
          <w:p>
            <w:pPr>
              <w:ind w:left="40"/>
              <w:spacing w:after="0"/>
              <w:rPr>
                <w:sz w:val="20"/>
                <w:szCs w:val="20"/>
                <w:color w:val="auto"/>
              </w:rPr>
            </w:pPr>
            <w:r>
              <w:rPr>
                <w:rFonts w:ascii="Arial" w:cs="Arial" w:eastAsia="Arial" w:hAnsi="Arial"/>
                <w:sz w:val="13"/>
                <w:szCs w:val="13"/>
                <w:color w:val="0E2A35"/>
              </w:rPr>
              <w:t>Plan</w:t>
            </w:r>
          </w:p>
        </w:tc>
        <w:tc>
          <w:tcPr>
            <w:tcW w:w="860" w:type="dxa"/>
            <w:vAlign w:val="bottom"/>
          </w:tcPr>
          <w:p>
            <w:pPr>
              <w:ind w:left="200"/>
              <w:spacing w:after="0"/>
              <w:rPr>
                <w:sz w:val="20"/>
                <w:szCs w:val="20"/>
                <w:color w:val="auto"/>
              </w:rPr>
            </w:pPr>
            <w:r>
              <w:rPr>
                <w:rFonts w:ascii="Arial" w:cs="Arial" w:eastAsia="Arial" w:hAnsi="Arial"/>
                <w:sz w:val="12"/>
                <w:szCs w:val="12"/>
                <w:color w:val="0E2A35"/>
              </w:rPr>
              <w:t>10/11/22​</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2"/>
                <w:szCs w:val="12"/>
                <w:color w:val="0E2A35"/>
              </w:rPr>
              <w:t>​</w:t>
            </w:r>
          </w:p>
        </w:tc>
        <w:tc>
          <w:tcPr>
            <w:tcW w:w="720" w:type="dxa"/>
            <w:vAlign w:val="bottom"/>
          </w:tcPr>
          <w:p>
            <w:pPr>
              <w:ind w:left="520"/>
              <w:spacing w:after="0"/>
              <w:rPr>
                <w:sz w:val="20"/>
                <w:szCs w:val="20"/>
                <w:color w:val="auto"/>
              </w:rPr>
            </w:pPr>
            <w:r>
              <w:rPr>
                <w:rFonts w:ascii="Arial" w:cs="Arial" w:eastAsia="Arial" w:hAnsi="Arial"/>
                <w:sz w:val="12"/>
                <w:szCs w:val="12"/>
                <w:color w:val="0E2A35"/>
              </w:rPr>
              <w:t>​</w:t>
            </w:r>
          </w:p>
        </w:tc>
        <w:tc>
          <w:tcPr>
            <w:tcW w:w="520" w:type="dxa"/>
            <w:vAlign w:val="bottom"/>
          </w:tcPr>
          <w:p>
            <w:pPr>
              <w:ind w:left="420"/>
              <w:spacing w:after="0"/>
              <w:rPr>
                <w:sz w:val="20"/>
                <w:szCs w:val="20"/>
                <w:color w:val="auto"/>
              </w:rPr>
            </w:pPr>
            <w:r>
              <w:rPr>
                <w:rFonts w:ascii="Arial" w:cs="Arial" w:eastAsia="Arial" w:hAnsi="Arial"/>
                <w:sz w:val="12"/>
                <w:szCs w:val="12"/>
                <w:color w:val="0E2A35"/>
              </w:rPr>
              <w:t>​</w:t>
            </w:r>
          </w:p>
        </w:tc>
        <w:tc>
          <w:tcPr>
            <w:tcW w:w="700" w:type="dxa"/>
            <w:vAlign w:val="bottom"/>
          </w:tcPr>
          <w:p>
            <w:pPr>
              <w:ind w:left="500"/>
              <w:spacing w:after="0"/>
              <w:rPr>
                <w:sz w:val="20"/>
                <w:szCs w:val="20"/>
                <w:color w:val="auto"/>
              </w:rPr>
            </w:pPr>
            <w:r>
              <w:rPr>
                <w:rFonts w:ascii="Arial" w:cs="Arial" w:eastAsia="Arial" w:hAnsi="Arial"/>
                <w:sz w:val="12"/>
                <w:szCs w:val="12"/>
                <w:color w:val="0E2A35"/>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0E2A35"/>
              </w:rPr>
              <w:t>34,919​</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1,958,607​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465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-4260215</wp:posOffset>
            </wp:positionV>
            <wp:extent cx="24771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56" w:lineRule="exact"/>
        <w:rPr>
          <w:sz w:val="20"/>
          <w:szCs w:val="20"/>
          <w:color w:val="auto"/>
        </w:rPr>
      </w:pPr>
    </w:p>
    <w:p>
      <w:pPr>
        <w:ind w:left="800" w:right="640" w:hanging="360"/>
        <w:spacing w:after="0" w:line="233"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Fiscal 2022 OICP targets annual performance against goals established by the committee. Awards under the fiscal 2022 OICP are payable in cash. The threshold, target and maximum amounts presented above represent amounts that could have been earned by our NEOs for fiscal 2022 under the fiscal 2022 OICP.</w:t>
      </w:r>
    </w:p>
    <w:p>
      <w:pPr>
        <w:spacing w:after="0" w:line="23" w:lineRule="exact"/>
        <w:rPr>
          <w:rFonts w:ascii="Arial" w:cs="Arial" w:eastAsia="Arial" w:hAnsi="Arial"/>
          <w:sz w:val="13"/>
          <w:szCs w:val="13"/>
          <w:color w:val="0E2A35"/>
        </w:rPr>
      </w:pPr>
    </w:p>
    <w:p>
      <w:pPr>
        <w:ind w:left="800" w:right="580" w:hanging="360"/>
        <w:spacing w:after="0" w:line="233"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Fiscal 2022-2024 LTIP refers to our performance shares. For each of the NEOs except for Mr. Clark, the threshold, target and maximum amounts under the fiscal 2022-2024 LTIP represent potential performance share amounts that are measured over a three-year performance period from August 29, 2021 through August 24, 2024.</w:t>
      </w:r>
    </w:p>
    <w:p>
      <w:pPr>
        <w:spacing w:after="0" w:line="23" w:lineRule="exact"/>
        <w:rPr>
          <w:rFonts w:ascii="Arial" w:cs="Arial" w:eastAsia="Arial" w:hAnsi="Arial"/>
          <w:sz w:val="13"/>
          <w:szCs w:val="13"/>
          <w:color w:val="0E2A35"/>
        </w:rPr>
      </w:pPr>
    </w:p>
    <w:p>
      <w:pPr>
        <w:ind w:left="800" w:hanging="360"/>
        <w:spacing w:after="0"/>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Consists of restricted stock units that vest one-third each year on the anniversary of the grant date.</w:t>
      </w:r>
    </w:p>
    <w:p>
      <w:pPr>
        <w:spacing w:after="0" w:line="39" w:lineRule="exact"/>
        <w:rPr>
          <w:rFonts w:ascii="Arial" w:cs="Arial" w:eastAsia="Arial" w:hAnsi="Arial"/>
          <w:sz w:val="13"/>
          <w:szCs w:val="13"/>
          <w:color w:val="0E2A35"/>
        </w:rPr>
      </w:pPr>
    </w:p>
    <w:p>
      <w:pPr>
        <w:ind w:left="800" w:right="520" w:hanging="360"/>
        <w:spacing w:after="0" w:line="233"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The grant date fair value per share of the restricted stock was $75.59. The Black-Scholes grant date fair value per option award was $30.48. The value for Mr. Clark reflects the portion of Mr. Clark’s fiscal 2022 Grand Design MIP payout that was settled in restricted stock units on October 11, 2022 based on the closing stock price of $56.09 per share on such date.</w:t>
      </w:r>
    </w:p>
    <w:p>
      <w:pPr>
        <w:spacing w:after="0" w:line="23" w:lineRule="exact"/>
        <w:rPr>
          <w:rFonts w:ascii="Arial" w:cs="Arial" w:eastAsia="Arial" w:hAnsi="Arial"/>
          <w:sz w:val="13"/>
          <w:szCs w:val="13"/>
          <w:color w:val="0E2A35"/>
        </w:rPr>
      </w:pPr>
    </w:p>
    <w:p>
      <w:pPr>
        <w:ind w:left="800" w:hanging="360"/>
        <w:spacing w:after="0"/>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The committee approved the fiscal 2022 OICP and fiscal 2022-2024 LTIP performance shares on October 12, 2021, effective as of the beginning of fiscal 2022.</w:t>
      </w:r>
    </w:p>
    <w:p>
      <w:pPr>
        <w:spacing w:after="0" w:line="39" w:lineRule="exact"/>
        <w:rPr>
          <w:rFonts w:ascii="Arial" w:cs="Arial" w:eastAsia="Arial" w:hAnsi="Arial"/>
          <w:sz w:val="13"/>
          <w:szCs w:val="13"/>
          <w:color w:val="0E2A35"/>
        </w:rPr>
      </w:pPr>
    </w:p>
    <w:p>
      <w:pPr>
        <w:jc w:val="both"/>
        <w:ind w:left="800" w:right="460" w:hanging="360"/>
        <w:spacing w:after="0" w:line="233"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Mr. Clark is not eligible to participate in the OICP or LTIP; however he remains eligible to participate in the Grand Design MIP. The restricted stock units reported under All Other Stock Awards were issued in October 2022 in respect of the 15% of Mr. Clark’ s total fiscal 2022 Grand Design MIP that was settled in restricted stock units.</w:t>
      </w:r>
    </w:p>
    <w:p>
      <w:pPr>
        <w:spacing w:after="0" w:line="294" w:lineRule="exact"/>
        <w:rPr>
          <w:sz w:val="20"/>
          <w:szCs w:val="20"/>
          <w:color w:val="auto"/>
        </w:rPr>
      </w:pPr>
    </w:p>
    <w:p>
      <w:pPr>
        <w:ind w:left="7000"/>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199390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0160"/>
          </w:cols>
          <w:pgMar w:left="860" w:top="263" w:right="8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b w:val="1"/>
          <w:bCs w:val="1"/>
          <w:color w:val="C7D265"/>
        </w:rPr>
        <w:t>Narrative Disclosure to Summary Compensation Table and Grants of Plan-Based Awards Table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Employment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0E2A35"/>
        </w:rPr>
        <w:t>None of the current NEOs has an employment agreement except for Mr. Happe and Mr. Clark as previously discussed. However,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all NEOs are party to a CIC Agreement that provides the executive with two-year (or three-year, in the case of Mr. Happe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$3,000,000 in the case of Mr. Clark) severance benefits in the event he or she ceased to be employed by the Company within two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years of a change in control, as defined in the agreement. Discussion of the payouts provided for under various termination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situations is set forth in the section “Potential Payments upon Termination or Change in Control” below.</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Base Salary</w:t>
      </w:r>
    </w:p>
    <w:p>
      <w:pPr>
        <w:spacing w:after="0" w:line="18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0E2A35"/>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Awards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Annual Incentive Plan</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E2A35"/>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Long-Term Incentive Plans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This element of compensation, including payouts made in fiscal 2020, 2021, and 2022,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C7D265"/>
        </w:rPr>
        <w:t>Outstanding Equity Awards at Fiscal Year-End Table</w:t>
      </w:r>
    </w:p>
    <w:p>
      <w:pPr>
        <w:spacing w:after="0" w:line="153" w:lineRule="exact"/>
        <w:rPr>
          <w:sz w:val="20"/>
          <w:szCs w:val="20"/>
          <w:color w:val="auto"/>
        </w:rPr>
      </w:pPr>
    </w:p>
    <w:p>
      <w:pPr>
        <w:ind w:left="440" w:right="840"/>
        <w:spacing w:after="0" w:line="286" w:lineRule="auto"/>
        <w:rPr>
          <w:sz w:val="20"/>
          <w:szCs w:val="20"/>
          <w:color w:val="auto"/>
        </w:rPr>
      </w:pPr>
      <w:r>
        <w:rPr>
          <w:rFonts w:ascii="Arial" w:cs="Arial" w:eastAsia="Arial" w:hAnsi="Arial"/>
          <w:sz w:val="16"/>
          <w:szCs w:val="16"/>
          <w:color w:val="0E2A35"/>
        </w:rPr>
        <w:t>The following table provides information regarding the outstanding equity awards held by each of the NEOs as of August 27,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1100" w:type="dxa"/>
            <w:vAlign w:val="bottom"/>
            <w:shd w:val="clear" w:color="auto" w:fill="0E2A35"/>
          </w:tcPr>
          <w:p>
            <w:pPr>
              <w:spacing w:after="0"/>
              <w:rPr>
                <w:sz w:val="22"/>
                <w:szCs w:val="22"/>
                <w:color w:val="auto"/>
              </w:rPr>
            </w:pPr>
          </w:p>
        </w:tc>
        <w:tc>
          <w:tcPr>
            <w:tcW w:w="980" w:type="dxa"/>
            <w:vAlign w:val="bottom"/>
            <w:shd w:val="clear" w:color="auto" w:fill="0E2A35"/>
          </w:tcPr>
          <w:p>
            <w:pPr>
              <w:spacing w:after="0"/>
              <w:rPr>
                <w:sz w:val="22"/>
                <w:szCs w:val="22"/>
                <w:color w:val="auto"/>
              </w:rPr>
            </w:pPr>
          </w:p>
        </w:tc>
        <w:tc>
          <w:tcPr>
            <w:tcW w:w="1420" w:type="dxa"/>
            <w:vAlign w:val="bottom"/>
            <w:gridSpan w:val="3"/>
            <w:shd w:val="clear" w:color="auto" w:fill="0E2A35"/>
          </w:tcPr>
          <w:p>
            <w:pPr>
              <w:ind w:left="440"/>
              <w:spacing w:after="0"/>
              <w:rPr>
                <w:sz w:val="20"/>
                <w:szCs w:val="20"/>
                <w:color w:val="auto"/>
              </w:rPr>
            </w:pPr>
            <w:r>
              <w:rPr>
                <w:rFonts w:ascii="Arial" w:cs="Arial" w:eastAsia="Arial" w:hAnsi="Arial"/>
                <w:sz w:val="12"/>
                <w:szCs w:val="12"/>
                <w:b w:val="1"/>
                <w:bCs w:val="1"/>
                <w:color w:val="FFFFFF"/>
              </w:rPr>
              <w:t>Option Awards</w:t>
            </w:r>
          </w:p>
        </w:tc>
        <w:tc>
          <w:tcPr>
            <w:tcW w:w="420" w:type="dxa"/>
            <w:vAlign w:val="bottom"/>
            <w:shd w:val="clear" w:color="auto" w:fill="0E2A35"/>
          </w:tcPr>
          <w:p>
            <w:pPr>
              <w:spacing w:after="0"/>
              <w:rPr>
                <w:sz w:val="22"/>
                <w:szCs w:val="22"/>
                <w:color w:val="auto"/>
              </w:rPr>
            </w:pPr>
          </w:p>
        </w:tc>
        <w:tc>
          <w:tcPr>
            <w:tcW w:w="740" w:type="dxa"/>
            <w:vAlign w:val="bottom"/>
            <w:shd w:val="clear" w:color="auto" w:fill="0E2A35"/>
          </w:tcPr>
          <w:p>
            <w:pPr>
              <w:spacing w:after="0"/>
              <w:rPr>
                <w:sz w:val="22"/>
                <w:szCs w:val="22"/>
                <w:color w:val="auto"/>
              </w:rPr>
            </w:pPr>
          </w:p>
        </w:tc>
        <w:tc>
          <w:tcPr>
            <w:tcW w:w="8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1380" w:type="dxa"/>
            <w:vAlign w:val="bottom"/>
            <w:gridSpan w:val="3"/>
            <w:shd w:val="clear" w:color="auto" w:fill="0E2A35"/>
          </w:tcPr>
          <w:p>
            <w:pPr>
              <w:spacing w:after="0"/>
              <w:rPr>
                <w:sz w:val="20"/>
                <w:szCs w:val="20"/>
                <w:color w:val="auto"/>
              </w:rPr>
            </w:pPr>
            <w:r>
              <w:rPr>
                <w:rFonts w:ascii="Arial" w:cs="Arial" w:eastAsia="Arial" w:hAnsi="Arial"/>
                <w:sz w:val="12"/>
                <w:szCs w:val="12"/>
                <w:b w:val="1"/>
                <w:bCs w:val="1"/>
                <w:color w:val="FFFFFF"/>
              </w:rPr>
              <w:t>Stock Awards</w:t>
            </w:r>
          </w:p>
        </w:tc>
        <w:tc>
          <w:tcPr>
            <w:tcW w:w="2800" w:type="dxa"/>
            <w:vAlign w:val="bottom"/>
            <w:gridSpan w:val="3"/>
            <w:shd w:val="clear" w:color="auto" w:fill="0E2A35"/>
          </w:tcPr>
          <w:p>
            <w:pPr>
              <w:ind w:left="780"/>
              <w:spacing w:after="0"/>
              <w:rPr>
                <w:sz w:val="20"/>
                <w:szCs w:val="20"/>
                <w:color w:val="auto"/>
              </w:rPr>
            </w:pPr>
            <w:r>
              <w:rPr>
                <w:rFonts w:ascii="Arial" w:cs="Arial" w:eastAsia="Arial" w:hAnsi="Arial"/>
                <w:sz w:val="12"/>
                <w:szCs w:val="12"/>
                <w:b w:val="1"/>
                <w:bCs w:val="1"/>
                <w:color w:val="FFFFFF"/>
              </w:rPr>
              <w:t>LTIP / Performance Shares</w:t>
            </w:r>
          </w:p>
        </w:tc>
      </w:tr>
      <w:tr>
        <w:trPr>
          <w:trHeight w:val="232"/>
        </w:trPr>
        <w:tc>
          <w:tcPr>
            <w:tcW w:w="400" w:type="dxa"/>
            <w:vAlign w:val="bottom"/>
            <w:shd w:val="clear" w:color="auto" w:fill="0E2A35"/>
          </w:tcPr>
          <w:p>
            <w:pPr>
              <w:spacing w:after="0"/>
              <w:rPr>
                <w:sz w:val="20"/>
                <w:szCs w:val="20"/>
                <w:color w:val="auto"/>
              </w:rPr>
            </w:pPr>
          </w:p>
        </w:tc>
        <w:tc>
          <w:tcPr>
            <w:tcW w:w="80" w:type="dxa"/>
            <w:vAlign w:val="bottom"/>
            <w:shd w:val="clear" w:color="auto" w:fill="0E2A35"/>
          </w:tcPr>
          <w:p>
            <w:pPr>
              <w:spacing w:after="0"/>
              <w:rPr>
                <w:sz w:val="20"/>
                <w:szCs w:val="20"/>
                <w:color w:val="auto"/>
              </w:rPr>
            </w:pPr>
          </w:p>
        </w:tc>
        <w:tc>
          <w:tcPr>
            <w:tcW w:w="1100" w:type="dxa"/>
            <w:vAlign w:val="bottom"/>
            <w:shd w:val="clear" w:color="auto" w:fill="0E2A35"/>
          </w:tcPr>
          <w:p>
            <w:pPr>
              <w:spacing w:after="0"/>
              <w:rPr>
                <w:sz w:val="20"/>
                <w:szCs w:val="20"/>
                <w:color w:val="auto"/>
              </w:rPr>
            </w:pPr>
          </w:p>
        </w:tc>
        <w:tc>
          <w:tcPr>
            <w:tcW w:w="980" w:type="dxa"/>
            <w:vAlign w:val="bottom"/>
            <w:shd w:val="clear" w:color="auto" w:fill="0E2A35"/>
          </w:tcPr>
          <w:p>
            <w:pPr>
              <w:spacing w:after="0"/>
              <w:rPr>
                <w:sz w:val="20"/>
                <w:szCs w:val="20"/>
                <w:color w:val="auto"/>
              </w:rPr>
            </w:pPr>
          </w:p>
        </w:tc>
        <w:tc>
          <w:tcPr>
            <w:tcW w:w="720" w:type="dxa"/>
            <w:vAlign w:val="bottom"/>
            <w:shd w:val="clear" w:color="auto" w:fill="0E2A35"/>
          </w:tcPr>
          <w:p>
            <w:pPr>
              <w:spacing w:after="0"/>
              <w:rPr>
                <w:sz w:val="20"/>
                <w:szCs w:val="20"/>
                <w:color w:val="auto"/>
              </w:rPr>
            </w:pPr>
          </w:p>
        </w:tc>
        <w:tc>
          <w:tcPr>
            <w:tcW w:w="360" w:type="dxa"/>
            <w:vAlign w:val="bottom"/>
            <w:shd w:val="clear" w:color="auto" w:fill="0E2A35"/>
          </w:tcPr>
          <w:p>
            <w:pPr>
              <w:spacing w:after="0"/>
              <w:rPr>
                <w:sz w:val="20"/>
                <w:szCs w:val="20"/>
                <w:color w:val="auto"/>
              </w:rPr>
            </w:pPr>
          </w:p>
        </w:tc>
        <w:tc>
          <w:tcPr>
            <w:tcW w:w="340" w:type="dxa"/>
            <w:vAlign w:val="bottom"/>
            <w:shd w:val="clear" w:color="auto" w:fill="0E2A35"/>
          </w:tcPr>
          <w:p>
            <w:pPr>
              <w:spacing w:after="0"/>
              <w:rPr>
                <w:sz w:val="20"/>
                <w:szCs w:val="20"/>
                <w:color w:val="auto"/>
              </w:rPr>
            </w:pPr>
          </w:p>
        </w:tc>
        <w:tc>
          <w:tcPr>
            <w:tcW w:w="420" w:type="dxa"/>
            <w:vAlign w:val="bottom"/>
            <w:shd w:val="clear" w:color="auto" w:fill="0E2A35"/>
          </w:tcPr>
          <w:p>
            <w:pPr>
              <w:spacing w:after="0"/>
              <w:rPr>
                <w:sz w:val="20"/>
                <w:szCs w:val="20"/>
                <w:color w:val="auto"/>
              </w:rPr>
            </w:pPr>
          </w:p>
        </w:tc>
        <w:tc>
          <w:tcPr>
            <w:tcW w:w="740" w:type="dxa"/>
            <w:vAlign w:val="bottom"/>
            <w:shd w:val="clear" w:color="auto" w:fill="0E2A35"/>
          </w:tcPr>
          <w:p>
            <w:pPr>
              <w:spacing w:after="0"/>
              <w:rPr>
                <w:sz w:val="20"/>
                <w:szCs w:val="20"/>
                <w:color w:val="auto"/>
              </w:rPr>
            </w:pPr>
          </w:p>
        </w:tc>
        <w:tc>
          <w:tcPr>
            <w:tcW w:w="820" w:type="dxa"/>
            <w:vAlign w:val="bottom"/>
            <w:shd w:val="clear" w:color="auto" w:fill="0E2A35"/>
          </w:tcPr>
          <w:p>
            <w:pPr>
              <w:spacing w:after="0"/>
              <w:rPr>
                <w:sz w:val="20"/>
                <w:szCs w:val="20"/>
                <w:color w:val="auto"/>
              </w:rPr>
            </w:pPr>
          </w:p>
        </w:tc>
        <w:tc>
          <w:tcPr>
            <w:tcW w:w="20" w:type="dxa"/>
            <w:vAlign w:val="bottom"/>
            <w:shd w:val="clear" w:color="auto" w:fill="0E2A35"/>
          </w:tcPr>
          <w:p>
            <w:pPr>
              <w:spacing w:after="0"/>
              <w:rPr>
                <w:sz w:val="20"/>
                <w:szCs w:val="20"/>
                <w:color w:val="auto"/>
              </w:rPr>
            </w:pPr>
          </w:p>
        </w:tc>
        <w:tc>
          <w:tcPr>
            <w:tcW w:w="360" w:type="dxa"/>
            <w:vAlign w:val="bottom"/>
            <w:shd w:val="clear" w:color="auto" w:fill="0E2A35"/>
          </w:tcPr>
          <w:p>
            <w:pPr>
              <w:spacing w:after="0"/>
              <w:rPr>
                <w:sz w:val="20"/>
                <w:szCs w:val="20"/>
                <w:color w:val="auto"/>
              </w:rPr>
            </w:pPr>
          </w:p>
        </w:tc>
        <w:tc>
          <w:tcPr>
            <w:tcW w:w="340" w:type="dxa"/>
            <w:vAlign w:val="bottom"/>
            <w:shd w:val="clear" w:color="auto" w:fill="0E2A35"/>
          </w:tcPr>
          <w:p>
            <w:pPr>
              <w:spacing w:after="0"/>
              <w:rPr>
                <w:sz w:val="20"/>
                <w:szCs w:val="20"/>
                <w:color w:val="auto"/>
              </w:rPr>
            </w:pPr>
          </w:p>
        </w:tc>
        <w:tc>
          <w:tcPr>
            <w:tcW w:w="680" w:type="dxa"/>
            <w:vAlign w:val="bottom"/>
            <w:shd w:val="clear" w:color="auto" w:fill="0E2A35"/>
          </w:tcPr>
          <w:p>
            <w:pPr>
              <w:spacing w:after="0"/>
              <w:rPr>
                <w:sz w:val="20"/>
                <w:szCs w:val="20"/>
                <w:color w:val="auto"/>
              </w:rPr>
            </w:pPr>
          </w:p>
        </w:tc>
        <w:tc>
          <w:tcPr>
            <w:tcW w:w="1460" w:type="dxa"/>
            <w:vAlign w:val="bottom"/>
            <w:gridSpan w:val="2"/>
            <w:shd w:val="clear" w:color="auto" w:fill="0E2A35"/>
          </w:tcPr>
          <w:p>
            <w:pPr>
              <w:jc w:val="center"/>
              <w:ind w:left="18"/>
              <w:spacing w:after="0"/>
              <w:rPr>
                <w:sz w:val="20"/>
                <w:szCs w:val="20"/>
                <w:color w:val="auto"/>
              </w:rPr>
            </w:pPr>
            <w:r>
              <w:rPr>
                <w:rFonts w:ascii="Arial" w:cs="Arial" w:eastAsia="Arial" w:hAnsi="Arial"/>
                <w:sz w:val="12"/>
                <w:szCs w:val="12"/>
                <w:b w:val="1"/>
                <w:bCs w:val="1"/>
                <w:color w:val="FFFFFF"/>
                <w:w w:val="97"/>
              </w:rPr>
              <w:t>Equity Incentive</w:t>
            </w:r>
          </w:p>
        </w:tc>
        <w:tc>
          <w:tcPr>
            <w:tcW w:w="1340" w:type="dxa"/>
            <w:vAlign w:val="bottom"/>
            <w:shd w:val="clear" w:color="auto" w:fill="0E2A35"/>
          </w:tcPr>
          <w:p>
            <w:pPr>
              <w:jc w:val="center"/>
              <w:ind w:left="18"/>
              <w:spacing w:after="0"/>
              <w:rPr>
                <w:sz w:val="20"/>
                <w:szCs w:val="20"/>
                <w:color w:val="auto"/>
              </w:rPr>
            </w:pPr>
            <w:r>
              <w:rPr>
                <w:rFonts w:ascii="Arial" w:cs="Arial" w:eastAsia="Arial" w:hAnsi="Arial"/>
                <w:sz w:val="12"/>
                <w:szCs w:val="12"/>
                <w:b w:val="1"/>
                <w:bCs w:val="1"/>
                <w:color w:val="FFFFFF"/>
                <w:w w:val="97"/>
              </w:rPr>
              <w:t>Equity Incentive</w:t>
            </w:r>
          </w:p>
        </w:tc>
      </w:tr>
      <w:tr>
        <w:trPr>
          <w:trHeight w:val="135"/>
        </w:trPr>
        <w:tc>
          <w:tcPr>
            <w:tcW w:w="400" w:type="dxa"/>
            <w:vAlign w:val="bottom"/>
            <w:shd w:val="clear" w:color="auto" w:fill="0E2A35"/>
          </w:tcPr>
          <w:p>
            <w:pPr>
              <w:spacing w:after="0"/>
              <w:rPr>
                <w:sz w:val="11"/>
                <w:szCs w:val="11"/>
                <w:color w:val="auto"/>
              </w:rPr>
            </w:pPr>
          </w:p>
        </w:tc>
        <w:tc>
          <w:tcPr>
            <w:tcW w:w="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340" w:type="dxa"/>
            <w:vAlign w:val="bottom"/>
            <w:shd w:val="clear" w:color="auto" w:fill="0E2A35"/>
          </w:tcPr>
          <w:p>
            <w:pPr>
              <w:spacing w:after="0"/>
              <w:rPr>
                <w:sz w:val="11"/>
                <w:szCs w:val="11"/>
                <w:color w:val="auto"/>
              </w:rPr>
            </w:pPr>
          </w:p>
        </w:tc>
        <w:tc>
          <w:tcPr>
            <w:tcW w:w="42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20" w:type="dxa"/>
            <w:vAlign w:val="bottom"/>
            <w:shd w:val="clear" w:color="auto" w:fill="0E2A35"/>
          </w:tcPr>
          <w:p>
            <w:pPr>
              <w:spacing w:after="0"/>
              <w:rPr>
                <w:sz w:val="11"/>
                <w:szCs w:val="11"/>
                <w:color w:val="auto"/>
              </w:rPr>
            </w:pPr>
          </w:p>
        </w:tc>
        <w:tc>
          <w:tcPr>
            <w:tcW w:w="360" w:type="dxa"/>
            <w:vAlign w:val="bottom"/>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680" w:type="dxa"/>
            <w:vAlign w:val="bottom"/>
            <w:shd w:val="clear" w:color="auto" w:fill="0E2A35"/>
          </w:tcPr>
          <w:p>
            <w:pPr>
              <w:spacing w:after="0"/>
              <w:rPr>
                <w:sz w:val="11"/>
                <w:szCs w:val="11"/>
                <w:color w:val="auto"/>
              </w:rPr>
            </w:pPr>
          </w:p>
        </w:tc>
        <w:tc>
          <w:tcPr>
            <w:tcW w:w="1460" w:type="dxa"/>
            <w:vAlign w:val="bottom"/>
            <w:gridSpan w:val="2"/>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1340" w:type="dxa"/>
            <w:vAlign w:val="bottom"/>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7"/>
              </w:rPr>
              <w:t>Plan Awards:</w:t>
            </w:r>
          </w:p>
        </w:tc>
      </w:tr>
      <w:tr>
        <w:trPr>
          <w:trHeight w:val="135"/>
        </w:trPr>
        <w:tc>
          <w:tcPr>
            <w:tcW w:w="400" w:type="dxa"/>
            <w:vAlign w:val="bottom"/>
            <w:shd w:val="clear" w:color="auto" w:fill="0E2A35"/>
          </w:tcPr>
          <w:p>
            <w:pPr>
              <w:spacing w:after="0"/>
              <w:rPr>
                <w:sz w:val="11"/>
                <w:szCs w:val="11"/>
                <w:color w:val="auto"/>
              </w:rPr>
            </w:pPr>
          </w:p>
        </w:tc>
        <w:tc>
          <w:tcPr>
            <w:tcW w:w="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4"/>
              </w:rPr>
              <w:t>Securities</w:t>
            </w:r>
          </w:p>
        </w:tc>
        <w:tc>
          <w:tcPr>
            <w:tcW w:w="10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340" w:type="dxa"/>
            <w:vAlign w:val="bottom"/>
            <w:shd w:val="clear" w:color="auto" w:fill="0E2A35"/>
          </w:tcPr>
          <w:p>
            <w:pPr>
              <w:spacing w:after="0"/>
              <w:rPr>
                <w:sz w:val="11"/>
                <w:szCs w:val="11"/>
                <w:color w:val="auto"/>
              </w:rPr>
            </w:pPr>
          </w:p>
        </w:tc>
        <w:tc>
          <w:tcPr>
            <w:tcW w:w="42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gridSpan w:val="3"/>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20" w:type="dxa"/>
            <w:vAlign w:val="bottom"/>
            <w:gridSpan w:val="2"/>
            <w:shd w:val="clear" w:color="auto" w:fill="0E2A35"/>
          </w:tcPr>
          <w:p>
            <w:pPr>
              <w:jc w:val="center"/>
              <w:ind w:left="38"/>
              <w:spacing w:after="0" w:line="135" w:lineRule="exact"/>
              <w:rPr>
                <w:sz w:val="20"/>
                <w:szCs w:val="20"/>
                <w:color w:val="auto"/>
              </w:rPr>
            </w:pPr>
            <w:r>
              <w:rPr>
                <w:rFonts w:ascii="Arial" w:cs="Arial" w:eastAsia="Arial" w:hAnsi="Arial"/>
                <w:sz w:val="12"/>
                <w:szCs w:val="12"/>
                <w:b w:val="1"/>
                <w:bCs w:val="1"/>
                <w:color w:val="FFFFFF"/>
                <w:w w:val="97"/>
              </w:rPr>
              <w:t>Market Value</w:t>
            </w:r>
          </w:p>
        </w:tc>
        <w:tc>
          <w:tcPr>
            <w:tcW w:w="1460" w:type="dxa"/>
            <w:vAlign w:val="bottom"/>
            <w:gridSpan w:val="2"/>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340" w:type="dxa"/>
            <w:vAlign w:val="bottom"/>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6"/>
              </w:rPr>
              <w:t>Market or Payout</w:t>
            </w:r>
          </w:p>
        </w:tc>
      </w:tr>
      <w:tr>
        <w:trPr>
          <w:trHeight w:val="135"/>
        </w:trPr>
        <w:tc>
          <w:tcPr>
            <w:tcW w:w="400" w:type="dxa"/>
            <w:vAlign w:val="bottom"/>
            <w:shd w:val="clear" w:color="auto" w:fill="0E2A35"/>
          </w:tcPr>
          <w:p>
            <w:pPr>
              <w:spacing w:after="0"/>
              <w:rPr>
                <w:sz w:val="11"/>
                <w:szCs w:val="11"/>
                <w:color w:val="auto"/>
              </w:rPr>
            </w:pPr>
          </w:p>
        </w:tc>
        <w:tc>
          <w:tcPr>
            <w:tcW w:w="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Underlying</w:t>
            </w:r>
          </w:p>
        </w:tc>
        <w:tc>
          <w:tcPr>
            <w:tcW w:w="10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340" w:type="dxa"/>
            <w:vAlign w:val="bottom"/>
            <w:shd w:val="clear" w:color="auto" w:fill="0E2A35"/>
          </w:tcPr>
          <w:p>
            <w:pPr>
              <w:spacing w:after="0"/>
              <w:rPr>
                <w:sz w:val="11"/>
                <w:szCs w:val="11"/>
                <w:color w:val="auto"/>
              </w:rPr>
            </w:pPr>
          </w:p>
        </w:tc>
        <w:tc>
          <w:tcPr>
            <w:tcW w:w="42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gridSpan w:val="3"/>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7"/>
              </w:rPr>
              <w:t>Shares or</w:t>
            </w:r>
          </w:p>
        </w:tc>
        <w:tc>
          <w:tcPr>
            <w:tcW w:w="1020" w:type="dxa"/>
            <w:vAlign w:val="bottom"/>
            <w:gridSpan w:val="2"/>
            <w:shd w:val="clear" w:color="auto" w:fill="0E2A35"/>
          </w:tcPr>
          <w:p>
            <w:pPr>
              <w:jc w:val="center"/>
              <w:ind w:left="38"/>
              <w:spacing w:after="0" w:line="135" w:lineRule="exact"/>
              <w:rPr>
                <w:sz w:val="20"/>
                <w:szCs w:val="20"/>
                <w:color w:val="auto"/>
              </w:rPr>
            </w:pPr>
            <w:r>
              <w:rPr>
                <w:rFonts w:ascii="Arial" w:cs="Arial" w:eastAsia="Arial" w:hAnsi="Arial"/>
                <w:sz w:val="12"/>
                <w:szCs w:val="12"/>
                <w:b w:val="1"/>
                <w:bCs w:val="1"/>
                <w:color w:val="FFFFFF"/>
                <w:w w:val="97"/>
              </w:rPr>
              <w:t>of Shares or</w:t>
            </w:r>
          </w:p>
        </w:tc>
        <w:tc>
          <w:tcPr>
            <w:tcW w:w="1460" w:type="dxa"/>
            <w:vAlign w:val="bottom"/>
            <w:gridSpan w:val="2"/>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5"/>
              </w:rPr>
              <w:t>Unearned Shares,</w:t>
            </w:r>
          </w:p>
        </w:tc>
        <w:tc>
          <w:tcPr>
            <w:tcW w:w="1340" w:type="dxa"/>
            <w:vAlign w:val="bottom"/>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6"/>
              </w:rPr>
              <w:t>Value of Unearned</w:t>
            </w:r>
          </w:p>
        </w:tc>
      </w:tr>
      <w:tr>
        <w:trPr>
          <w:trHeight w:val="135"/>
        </w:trPr>
        <w:tc>
          <w:tcPr>
            <w:tcW w:w="400" w:type="dxa"/>
            <w:vAlign w:val="bottom"/>
            <w:shd w:val="clear" w:color="auto" w:fill="0E2A35"/>
          </w:tcPr>
          <w:p>
            <w:pPr>
              <w:spacing w:after="0"/>
              <w:rPr>
                <w:sz w:val="11"/>
                <w:szCs w:val="11"/>
                <w:color w:val="auto"/>
              </w:rPr>
            </w:pPr>
          </w:p>
        </w:tc>
        <w:tc>
          <w:tcPr>
            <w:tcW w:w="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7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740" w:type="dxa"/>
            <w:vAlign w:val="bottom"/>
            <w:shd w:val="clear" w:color="auto" w:fill="0E2A35"/>
          </w:tcPr>
          <w:p>
            <w:pPr>
              <w:spacing w:after="0"/>
              <w:rPr>
                <w:sz w:val="11"/>
                <w:szCs w:val="11"/>
                <w:color w:val="auto"/>
              </w:rPr>
            </w:pPr>
          </w:p>
        </w:tc>
        <w:tc>
          <w:tcPr>
            <w:tcW w:w="1200" w:type="dxa"/>
            <w:vAlign w:val="bottom"/>
            <w:gridSpan w:val="3"/>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6"/>
              </w:rPr>
              <w:t>Units of Stock</w:t>
            </w:r>
          </w:p>
        </w:tc>
        <w:tc>
          <w:tcPr>
            <w:tcW w:w="1020" w:type="dxa"/>
            <w:vAlign w:val="bottom"/>
            <w:gridSpan w:val="2"/>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6"/>
              </w:rPr>
              <w:t>Units of Stock</w:t>
            </w:r>
          </w:p>
        </w:tc>
        <w:tc>
          <w:tcPr>
            <w:tcW w:w="1460" w:type="dxa"/>
            <w:vAlign w:val="bottom"/>
            <w:gridSpan w:val="2"/>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6"/>
              </w:rPr>
              <w:t>Units or Other</w:t>
            </w:r>
          </w:p>
        </w:tc>
        <w:tc>
          <w:tcPr>
            <w:tcW w:w="1340" w:type="dxa"/>
            <w:vAlign w:val="bottom"/>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7"/>
              </w:rPr>
              <w:t>Shares, Units or</w:t>
            </w:r>
          </w:p>
        </w:tc>
      </w:tr>
      <w:tr>
        <w:trPr>
          <w:trHeight w:val="135"/>
        </w:trPr>
        <w:tc>
          <w:tcPr>
            <w:tcW w:w="400" w:type="dxa"/>
            <w:vAlign w:val="bottom"/>
            <w:shd w:val="clear" w:color="auto" w:fill="0E2A35"/>
          </w:tcPr>
          <w:p>
            <w:pPr>
              <w:spacing w:after="0"/>
              <w:rPr>
                <w:sz w:val="11"/>
                <w:szCs w:val="11"/>
                <w:color w:val="auto"/>
              </w:rPr>
            </w:pPr>
          </w:p>
        </w:tc>
        <w:tc>
          <w:tcPr>
            <w:tcW w:w="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rPr>
              <w:t>Options</w:t>
            </w:r>
          </w:p>
        </w:tc>
        <w:tc>
          <w:tcPr>
            <w:tcW w:w="10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Options</w:t>
            </w:r>
          </w:p>
        </w:tc>
        <w:tc>
          <w:tcPr>
            <w:tcW w:w="7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40" w:type="dxa"/>
            <w:vAlign w:val="bottom"/>
            <w:shd w:val="clear" w:color="auto" w:fill="0E2A35"/>
          </w:tcPr>
          <w:p>
            <w:pPr>
              <w:jc w:val="center"/>
              <w:ind w:left="17"/>
              <w:spacing w:after="0" w:line="135" w:lineRule="exact"/>
              <w:rPr>
                <w:sz w:val="20"/>
                <w:szCs w:val="20"/>
                <w:color w:val="auto"/>
              </w:rPr>
            </w:pPr>
            <w:r>
              <w:rPr>
                <w:rFonts w:ascii="Arial" w:cs="Arial" w:eastAsia="Arial" w:hAnsi="Arial"/>
                <w:sz w:val="12"/>
                <w:szCs w:val="12"/>
                <w:b w:val="1"/>
                <w:bCs w:val="1"/>
                <w:color w:val="FFFFFF"/>
                <w:w w:val="98"/>
              </w:rPr>
              <w:t>Option</w:t>
            </w:r>
          </w:p>
        </w:tc>
        <w:tc>
          <w:tcPr>
            <w:tcW w:w="1200" w:type="dxa"/>
            <w:vAlign w:val="bottom"/>
            <w:gridSpan w:val="3"/>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6"/>
              </w:rPr>
              <w:t>That Have Not</w:t>
            </w:r>
          </w:p>
        </w:tc>
        <w:tc>
          <w:tcPr>
            <w:tcW w:w="1020" w:type="dxa"/>
            <w:vAlign w:val="bottom"/>
            <w:gridSpan w:val="2"/>
            <w:shd w:val="clear" w:color="auto" w:fill="0E2A35"/>
          </w:tcPr>
          <w:p>
            <w:pPr>
              <w:jc w:val="center"/>
              <w:ind w:left="38"/>
              <w:spacing w:after="0" w:line="135" w:lineRule="exact"/>
              <w:rPr>
                <w:sz w:val="20"/>
                <w:szCs w:val="20"/>
                <w:color w:val="auto"/>
              </w:rPr>
            </w:pPr>
            <w:r>
              <w:rPr>
                <w:rFonts w:ascii="Arial" w:cs="Arial" w:eastAsia="Arial" w:hAnsi="Arial"/>
                <w:sz w:val="12"/>
                <w:szCs w:val="12"/>
                <w:b w:val="1"/>
                <w:bCs w:val="1"/>
                <w:color w:val="FFFFFF"/>
                <w:w w:val="99"/>
              </w:rPr>
              <w:t>That Have Not</w:t>
            </w:r>
          </w:p>
        </w:tc>
        <w:tc>
          <w:tcPr>
            <w:tcW w:w="1460" w:type="dxa"/>
            <w:vAlign w:val="bottom"/>
            <w:gridSpan w:val="2"/>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5"/>
              </w:rPr>
              <w:t>Rights That Have</w:t>
            </w:r>
          </w:p>
        </w:tc>
        <w:tc>
          <w:tcPr>
            <w:tcW w:w="1340" w:type="dxa"/>
            <w:vAlign w:val="bottom"/>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6"/>
              </w:rPr>
              <w:t>Other Rights That</w:t>
            </w:r>
          </w:p>
        </w:tc>
      </w:tr>
      <w:tr>
        <w:trPr>
          <w:trHeight w:val="128"/>
        </w:trPr>
        <w:tc>
          <w:tcPr>
            <w:tcW w:w="400" w:type="dxa"/>
            <w:vAlign w:val="bottom"/>
            <w:shd w:val="clear" w:color="auto" w:fill="0E2A35"/>
          </w:tcPr>
          <w:p>
            <w:pPr>
              <w:spacing w:after="0"/>
              <w:rPr>
                <w:sz w:val="11"/>
                <w:szCs w:val="11"/>
                <w:color w:val="auto"/>
              </w:rPr>
            </w:pPr>
          </w:p>
        </w:tc>
        <w:tc>
          <w:tcPr>
            <w:tcW w:w="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28" w:lineRule="exact"/>
              <w:rPr>
                <w:sz w:val="20"/>
                <w:szCs w:val="20"/>
                <w:color w:val="auto"/>
              </w:rPr>
            </w:pPr>
            <w:r>
              <w:rPr>
                <w:rFonts w:ascii="Arial" w:cs="Arial" w:eastAsia="Arial" w:hAnsi="Arial"/>
                <w:sz w:val="12"/>
                <w:szCs w:val="12"/>
                <w:b w:val="1"/>
                <w:bCs w:val="1"/>
                <w:color w:val="FFFFFF"/>
                <w:w w:val="95"/>
              </w:rPr>
              <w:t>(#)</w:t>
            </w:r>
          </w:p>
        </w:tc>
        <w:tc>
          <w:tcPr>
            <w:tcW w:w="720" w:type="dxa"/>
            <w:vAlign w:val="bottom"/>
            <w:shd w:val="clear" w:color="auto" w:fill="0E2A35"/>
          </w:tcPr>
          <w:p>
            <w:pPr>
              <w:jc w:val="center"/>
              <w:ind w:left="279"/>
              <w:spacing w:after="0" w:line="128" w:lineRule="exact"/>
              <w:rPr>
                <w:sz w:val="20"/>
                <w:szCs w:val="20"/>
                <w:color w:val="auto"/>
              </w:rPr>
            </w:pPr>
            <w:r>
              <w:rPr>
                <w:rFonts w:ascii="Arial" w:cs="Arial" w:eastAsia="Arial" w:hAnsi="Arial"/>
                <w:sz w:val="12"/>
                <w:szCs w:val="12"/>
                <w:b w:val="1"/>
                <w:bCs w:val="1"/>
                <w:color w:val="FFFFFF"/>
                <w:w w:val="95"/>
              </w:rPr>
              <w:t>(#)</w:t>
            </w:r>
          </w:p>
        </w:tc>
        <w:tc>
          <w:tcPr>
            <w:tcW w:w="360" w:type="dxa"/>
            <w:vAlign w:val="bottom"/>
            <w:shd w:val="clear" w:color="auto" w:fill="0E2A35"/>
          </w:tcPr>
          <w:p>
            <w:pPr>
              <w:spacing w:after="0"/>
              <w:rPr>
                <w:sz w:val="11"/>
                <w:szCs w:val="11"/>
                <w:color w:val="auto"/>
              </w:rPr>
            </w:pPr>
          </w:p>
        </w:tc>
        <w:tc>
          <w:tcPr>
            <w:tcW w:w="760" w:type="dxa"/>
            <w:vAlign w:val="bottom"/>
            <w:gridSpan w:val="2"/>
            <w:shd w:val="clear" w:color="auto" w:fill="0E2A35"/>
          </w:tcPr>
          <w:p>
            <w:pPr>
              <w:jc w:val="center"/>
              <w:spacing w:after="0" w:line="128" w:lineRule="exact"/>
              <w:rPr>
                <w:sz w:val="20"/>
                <w:szCs w:val="20"/>
                <w:color w:val="auto"/>
              </w:rPr>
            </w:pPr>
            <w:r>
              <w:rPr>
                <w:rFonts w:ascii="Arial" w:cs="Arial" w:eastAsia="Arial" w:hAnsi="Arial"/>
                <w:sz w:val="12"/>
                <w:szCs w:val="12"/>
                <w:b w:val="1"/>
                <w:bCs w:val="1"/>
                <w:color w:val="FFFFFF"/>
                <w:w w:val="95"/>
              </w:rPr>
              <w:t>Price</w:t>
            </w:r>
          </w:p>
        </w:tc>
        <w:tc>
          <w:tcPr>
            <w:tcW w:w="740" w:type="dxa"/>
            <w:vAlign w:val="bottom"/>
            <w:shd w:val="clear" w:color="auto" w:fill="0E2A35"/>
          </w:tcPr>
          <w:p>
            <w:pPr>
              <w:jc w:val="center"/>
              <w:ind w:left="17"/>
              <w:spacing w:after="0" w:line="128" w:lineRule="exact"/>
              <w:rPr>
                <w:sz w:val="20"/>
                <w:szCs w:val="20"/>
                <w:color w:val="auto"/>
              </w:rPr>
            </w:pPr>
            <w:r>
              <w:rPr>
                <w:rFonts w:ascii="Arial" w:cs="Arial" w:eastAsia="Arial" w:hAnsi="Arial"/>
                <w:sz w:val="12"/>
                <w:szCs w:val="12"/>
                <w:b w:val="1"/>
                <w:bCs w:val="1"/>
                <w:color w:val="FFFFFF"/>
                <w:w w:val="98"/>
              </w:rPr>
              <w:t>Expiration</w:t>
            </w:r>
          </w:p>
        </w:tc>
        <w:tc>
          <w:tcPr>
            <w:tcW w:w="840" w:type="dxa"/>
            <w:vAlign w:val="bottom"/>
            <w:gridSpan w:val="2"/>
            <w:shd w:val="clear" w:color="auto" w:fill="0E2A35"/>
          </w:tcPr>
          <w:p>
            <w:pPr>
              <w:jc w:val="center"/>
              <w:ind w:left="399"/>
              <w:spacing w:after="0" w:line="128" w:lineRule="exact"/>
              <w:rPr>
                <w:sz w:val="20"/>
                <w:szCs w:val="20"/>
                <w:color w:val="auto"/>
              </w:rPr>
            </w:pPr>
            <w:r>
              <w:rPr>
                <w:rFonts w:ascii="Arial" w:cs="Arial" w:eastAsia="Arial" w:hAnsi="Arial"/>
                <w:sz w:val="12"/>
                <w:szCs w:val="12"/>
                <w:b w:val="1"/>
                <w:bCs w:val="1"/>
                <w:color w:val="FFFFFF"/>
                <w:w w:val="96"/>
              </w:rPr>
              <w:t>Vested</w:t>
            </w:r>
          </w:p>
        </w:tc>
        <w:tc>
          <w:tcPr>
            <w:tcW w:w="360" w:type="dxa"/>
            <w:vAlign w:val="bottom"/>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680" w:type="dxa"/>
            <w:vAlign w:val="bottom"/>
            <w:shd w:val="clear" w:color="auto" w:fill="0E2A35"/>
          </w:tcPr>
          <w:p>
            <w:pPr>
              <w:jc w:val="center"/>
              <w:ind w:right="198"/>
              <w:spacing w:after="0" w:line="128" w:lineRule="exact"/>
              <w:rPr>
                <w:sz w:val="20"/>
                <w:szCs w:val="20"/>
                <w:color w:val="auto"/>
              </w:rPr>
            </w:pPr>
            <w:r>
              <w:rPr>
                <w:rFonts w:ascii="Arial" w:cs="Arial" w:eastAsia="Arial" w:hAnsi="Arial"/>
                <w:sz w:val="12"/>
                <w:szCs w:val="12"/>
                <w:b w:val="1"/>
                <w:bCs w:val="1"/>
                <w:color w:val="FFFFFF"/>
                <w:w w:val="96"/>
              </w:rPr>
              <w:t>Vested</w:t>
            </w:r>
          </w:p>
        </w:tc>
        <w:tc>
          <w:tcPr>
            <w:tcW w:w="1460" w:type="dxa"/>
            <w:vAlign w:val="bottom"/>
            <w:gridSpan w:val="2"/>
            <w:shd w:val="clear" w:color="auto" w:fill="0E2A35"/>
          </w:tcPr>
          <w:p>
            <w:pPr>
              <w:jc w:val="center"/>
              <w:ind w:left="18"/>
              <w:spacing w:after="0" w:line="128" w:lineRule="exact"/>
              <w:rPr>
                <w:sz w:val="20"/>
                <w:szCs w:val="20"/>
                <w:color w:val="auto"/>
              </w:rPr>
            </w:pPr>
            <w:r>
              <w:rPr>
                <w:rFonts w:ascii="Arial" w:cs="Arial" w:eastAsia="Arial" w:hAnsi="Arial"/>
                <w:sz w:val="12"/>
                <w:szCs w:val="12"/>
                <w:b w:val="1"/>
                <w:bCs w:val="1"/>
                <w:color w:val="FFFFFF"/>
                <w:w w:val="96"/>
              </w:rPr>
              <w:t>Not Yet Vested</w:t>
            </w:r>
          </w:p>
        </w:tc>
        <w:tc>
          <w:tcPr>
            <w:tcW w:w="1340" w:type="dxa"/>
            <w:vAlign w:val="bottom"/>
            <w:shd w:val="clear" w:color="auto" w:fill="0E2A35"/>
          </w:tcPr>
          <w:p>
            <w:pPr>
              <w:jc w:val="center"/>
              <w:ind w:left="18"/>
              <w:spacing w:after="0" w:line="128" w:lineRule="exact"/>
              <w:rPr>
                <w:sz w:val="20"/>
                <w:szCs w:val="20"/>
                <w:color w:val="auto"/>
              </w:rPr>
            </w:pPr>
            <w:r>
              <w:rPr>
                <w:rFonts w:ascii="Arial" w:cs="Arial" w:eastAsia="Arial" w:hAnsi="Arial"/>
                <w:sz w:val="12"/>
                <w:szCs w:val="12"/>
                <w:b w:val="1"/>
                <w:bCs w:val="1"/>
                <w:color w:val="FFFFFF"/>
                <w:w w:val="94"/>
              </w:rPr>
              <w:t>Have Not Vested</w:t>
            </w:r>
          </w:p>
        </w:tc>
      </w:tr>
      <w:tr>
        <w:trPr>
          <w:trHeight w:val="206"/>
        </w:trPr>
        <w:tc>
          <w:tcPr>
            <w:tcW w:w="400" w:type="dxa"/>
            <w:vAlign w:val="bottom"/>
            <w:shd w:val="clear" w:color="auto" w:fill="0E2A35"/>
          </w:tcPr>
          <w:p>
            <w:pPr>
              <w:ind w:left="60"/>
              <w:spacing w:after="0"/>
              <w:rPr>
                <w:sz w:val="20"/>
                <w:szCs w:val="20"/>
                <w:color w:val="auto"/>
              </w:rPr>
            </w:pPr>
            <w:r>
              <w:rPr>
                <w:rFonts w:ascii="Arial" w:cs="Arial" w:eastAsia="Arial" w:hAnsi="Arial"/>
                <w:sz w:val="12"/>
                <w:szCs w:val="12"/>
                <w:b w:val="1"/>
                <w:bCs w:val="1"/>
                <w:color w:val="FFFFFF"/>
                <w:w w:val="97"/>
              </w:rPr>
              <w:t>Name</w:t>
            </w:r>
          </w:p>
        </w:tc>
        <w:tc>
          <w:tcPr>
            <w:tcW w:w="80" w:type="dxa"/>
            <w:vAlign w:val="bottom"/>
            <w:shd w:val="clear" w:color="auto" w:fill="0E2A35"/>
          </w:tcPr>
          <w:p>
            <w:pPr>
              <w:spacing w:after="0"/>
              <w:rPr>
                <w:sz w:val="17"/>
                <w:szCs w:val="17"/>
                <w:color w:val="auto"/>
              </w:rPr>
            </w:pPr>
          </w:p>
        </w:tc>
        <w:tc>
          <w:tcPr>
            <w:tcW w:w="1100" w:type="dxa"/>
            <w:vAlign w:val="bottom"/>
            <w:shd w:val="clear" w:color="auto" w:fill="0E2A35"/>
          </w:tcPr>
          <w:p>
            <w:pPr>
              <w:spacing w:after="0"/>
              <w:rPr>
                <w:sz w:val="17"/>
                <w:szCs w:val="17"/>
                <w:color w:val="auto"/>
              </w:rPr>
            </w:pPr>
          </w:p>
        </w:tc>
        <w:tc>
          <w:tcPr>
            <w:tcW w:w="980" w:type="dxa"/>
            <w:vAlign w:val="bottom"/>
            <w:shd w:val="clear" w:color="auto" w:fill="0E2A35"/>
          </w:tcPr>
          <w:p>
            <w:pPr>
              <w:jc w:val="right"/>
              <w:ind w:right="98"/>
              <w:spacing w:after="0"/>
              <w:rPr>
                <w:sz w:val="20"/>
                <w:szCs w:val="20"/>
                <w:color w:val="auto"/>
              </w:rPr>
            </w:pPr>
            <w:r>
              <w:rPr>
                <w:rFonts w:ascii="Arial" w:cs="Arial" w:eastAsia="Arial" w:hAnsi="Arial"/>
                <w:sz w:val="12"/>
                <w:szCs w:val="12"/>
                <w:b w:val="1"/>
                <w:bCs w:val="1"/>
                <w:color w:val="FFFFFF"/>
              </w:rPr>
              <w:t>Exercisable</w:t>
            </w:r>
          </w:p>
        </w:tc>
        <w:tc>
          <w:tcPr>
            <w:tcW w:w="1080" w:type="dxa"/>
            <w:vAlign w:val="bottom"/>
            <w:gridSpan w:val="2"/>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Unexercisable</w:t>
            </w:r>
          </w:p>
        </w:tc>
        <w:tc>
          <w:tcPr>
            <w:tcW w:w="760" w:type="dxa"/>
            <w:vAlign w:val="bottom"/>
            <w:gridSpan w:val="2"/>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0E2A35"/>
          </w:tcPr>
          <w:p>
            <w:pPr>
              <w:jc w:val="center"/>
              <w:ind w:left="37"/>
              <w:spacing w:after="0"/>
              <w:rPr>
                <w:sz w:val="20"/>
                <w:szCs w:val="20"/>
                <w:color w:val="auto"/>
              </w:rPr>
            </w:pPr>
            <w:r>
              <w:rPr>
                <w:rFonts w:ascii="Arial" w:cs="Arial" w:eastAsia="Arial" w:hAnsi="Arial"/>
                <w:sz w:val="12"/>
                <w:szCs w:val="12"/>
                <w:b w:val="1"/>
                <w:bCs w:val="1"/>
                <w:color w:val="FFFFFF"/>
                <w:w w:val="92"/>
              </w:rPr>
              <w:t>Date</w:t>
            </w:r>
          </w:p>
        </w:tc>
        <w:tc>
          <w:tcPr>
            <w:tcW w:w="820" w:type="dxa"/>
            <w:vAlign w:val="bottom"/>
            <w:shd w:val="clear" w:color="auto" w:fill="0E2A35"/>
          </w:tcPr>
          <w:p>
            <w:pPr>
              <w:jc w:val="center"/>
              <w:ind w:left="439"/>
              <w:spacing w:after="0"/>
              <w:rPr>
                <w:sz w:val="20"/>
                <w:szCs w:val="20"/>
                <w:color w:val="auto"/>
              </w:rPr>
            </w:pPr>
            <w:r>
              <w:rPr>
                <w:rFonts w:ascii="Arial" w:cs="Arial" w:eastAsia="Arial" w:hAnsi="Arial"/>
                <w:sz w:val="12"/>
                <w:szCs w:val="12"/>
                <w:b w:val="1"/>
                <w:bCs w:val="1"/>
                <w:color w:val="FFFFFF"/>
              </w:rPr>
              <w:t>(#)</w:t>
            </w:r>
          </w:p>
        </w:tc>
        <w:tc>
          <w:tcPr>
            <w:tcW w:w="20" w:type="dxa"/>
            <w:vAlign w:val="bottom"/>
            <w:shd w:val="clear" w:color="auto" w:fill="0E2A35"/>
          </w:tcPr>
          <w:p>
            <w:pPr>
              <w:spacing w:after="0"/>
              <w:rPr>
                <w:sz w:val="17"/>
                <w:szCs w:val="17"/>
                <w:color w:val="auto"/>
              </w:rPr>
            </w:pPr>
          </w:p>
        </w:tc>
        <w:tc>
          <w:tcPr>
            <w:tcW w:w="360" w:type="dxa"/>
            <w:vAlign w:val="bottom"/>
            <w:shd w:val="clear" w:color="auto" w:fill="0E2A35"/>
          </w:tcPr>
          <w:p>
            <w:pPr>
              <w:spacing w:after="0"/>
              <w:rPr>
                <w:sz w:val="17"/>
                <w:szCs w:val="17"/>
                <w:color w:val="auto"/>
              </w:rPr>
            </w:pPr>
          </w:p>
        </w:tc>
        <w:tc>
          <w:tcPr>
            <w:tcW w:w="340" w:type="dxa"/>
            <w:vAlign w:val="bottom"/>
            <w:shd w:val="clear" w:color="auto" w:fill="0E2A35"/>
          </w:tcPr>
          <w:p>
            <w:pPr>
              <w:spacing w:after="0"/>
              <w:rPr>
                <w:sz w:val="17"/>
                <w:szCs w:val="17"/>
                <w:color w:val="auto"/>
              </w:rPr>
            </w:pPr>
          </w:p>
        </w:tc>
        <w:tc>
          <w:tcPr>
            <w:tcW w:w="680" w:type="dxa"/>
            <w:vAlign w:val="bottom"/>
            <w:shd w:val="clear" w:color="auto" w:fill="0E2A35"/>
          </w:tcPr>
          <w:p>
            <w:pPr>
              <w:jc w:val="right"/>
              <w:ind w:right="218"/>
              <w:spacing w:after="0" w:line="207"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(16)</w:t>
            </w:r>
          </w:p>
        </w:tc>
        <w:tc>
          <w:tcPr>
            <w:tcW w:w="940" w:type="dxa"/>
            <w:vAlign w:val="bottom"/>
            <w:shd w:val="clear" w:color="auto" w:fill="0E2A35"/>
          </w:tcPr>
          <w:p>
            <w:pPr>
              <w:jc w:val="center"/>
              <w:ind w:left="578"/>
              <w:spacing w:after="0"/>
              <w:rPr>
                <w:sz w:val="20"/>
                <w:szCs w:val="20"/>
                <w:color w:val="auto"/>
              </w:rPr>
            </w:pPr>
            <w:r>
              <w:rPr>
                <w:rFonts w:ascii="Arial" w:cs="Arial" w:eastAsia="Arial" w:hAnsi="Arial"/>
                <w:sz w:val="12"/>
                <w:szCs w:val="12"/>
                <w:b w:val="1"/>
                <w:bCs w:val="1"/>
                <w:color w:val="FFFFFF"/>
                <w:w w:val="95"/>
              </w:rPr>
              <w:t>(#)</w:t>
            </w:r>
          </w:p>
        </w:tc>
        <w:tc>
          <w:tcPr>
            <w:tcW w:w="520" w:type="dxa"/>
            <w:vAlign w:val="bottom"/>
            <w:shd w:val="clear" w:color="auto" w:fill="0E2A35"/>
          </w:tcPr>
          <w:p>
            <w:pPr>
              <w:spacing w:after="0"/>
              <w:rPr>
                <w:sz w:val="17"/>
                <w:szCs w:val="17"/>
                <w:color w:val="auto"/>
              </w:rPr>
            </w:pPr>
          </w:p>
        </w:tc>
        <w:tc>
          <w:tcPr>
            <w:tcW w:w="1340" w:type="dxa"/>
            <w:vAlign w:val="bottom"/>
            <w:shd w:val="clear" w:color="auto" w:fill="0E2A35"/>
          </w:tcPr>
          <w:p>
            <w:pPr>
              <w:ind w:left="560"/>
              <w:spacing w:after="0" w:line="207"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(17)</w:t>
            </w:r>
          </w:p>
        </w:tc>
      </w:tr>
      <w:tr>
        <w:trPr>
          <w:trHeight w:val="243"/>
        </w:trPr>
        <w:tc>
          <w:tcPr>
            <w:tcW w:w="1580" w:type="dxa"/>
            <w:vAlign w:val="bottom"/>
            <w:gridSpan w:val="3"/>
          </w:tcPr>
          <w:p>
            <w:pPr>
              <w:ind w:left="60"/>
              <w:spacing w:after="0"/>
              <w:rPr>
                <w:sz w:val="20"/>
                <w:szCs w:val="20"/>
                <w:color w:val="auto"/>
              </w:rPr>
            </w:pPr>
            <w:r>
              <w:rPr>
                <w:rFonts w:ascii="Arial" w:cs="Arial" w:eastAsia="Arial" w:hAnsi="Arial"/>
                <w:sz w:val="13"/>
                <w:szCs w:val="13"/>
                <w:color w:val="0E2A35"/>
              </w:rPr>
              <w:t>Michael J. Happe</w:t>
            </w: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10,000</w:t>
            </w:r>
          </w:p>
        </w:tc>
        <w:tc>
          <w:tcPr>
            <w:tcW w:w="1080" w:type="dxa"/>
            <w:vAlign w:val="bottom"/>
            <w:tcBorders>
              <w:bottom w:val="single" w:sz="8" w:color="0E2A35"/>
            </w:tcBorders>
            <w:gridSpan w:val="2"/>
          </w:tcPr>
          <w:p>
            <w:pPr>
              <w:jc w:val="right"/>
              <w:ind w:right="180"/>
              <w:spacing w:after="0" w:line="242" w:lineRule="exact"/>
              <w:rPr>
                <w:sz w:val="20"/>
                <w:szCs w:val="20"/>
                <w:color w:val="auto"/>
              </w:rPr>
            </w:pPr>
            <w:r>
              <w:rPr>
                <w:rFonts w:ascii="Arial" w:cs="Arial" w:eastAsia="Arial" w:hAnsi="Arial"/>
                <w:sz w:val="25"/>
                <w:szCs w:val="25"/>
                <w:color w:val="0E2A35"/>
                <w:vertAlign w:val="subscript"/>
              </w:rPr>
              <w:t>—</w:t>
            </w:r>
            <w:r>
              <w:rPr>
                <w:rFonts w:ascii="Arial" w:cs="Arial" w:eastAsia="Arial" w:hAnsi="Arial"/>
                <w:sz w:val="10"/>
                <w:szCs w:val="10"/>
                <w:color w:val="0E2A35"/>
              </w:rPr>
              <w:t>(1)</w:t>
            </w:r>
          </w:p>
        </w:tc>
        <w:tc>
          <w:tcPr>
            <w:tcW w:w="340" w:type="dxa"/>
            <w:vAlign w:val="bottom"/>
            <w:tcBorders>
              <w:bottom w:val="single" w:sz="8" w:color="0E2A35"/>
            </w:tcBorders>
          </w:tcPr>
          <w:p>
            <w:pPr>
              <w:ind w:left="200"/>
              <w:spacing w:after="0"/>
              <w:rPr>
                <w:sz w:val="20"/>
                <w:szCs w:val="20"/>
                <w:color w:val="auto"/>
              </w:rPr>
            </w:pPr>
            <w:r>
              <w:rPr>
                <w:rFonts w:ascii="Arial" w:cs="Arial" w:eastAsia="Arial" w:hAnsi="Arial"/>
                <w:sz w:val="13"/>
                <w:szCs w:val="13"/>
                <w:color w:val="0E2A35"/>
                <w:w w:val="82"/>
              </w:rPr>
              <w:t>16​</w:t>
            </w:r>
          </w:p>
        </w:tc>
        <w:tc>
          <w:tcPr>
            <w:tcW w:w="420" w:type="dxa"/>
            <w:vAlign w:val="bottom"/>
            <w:tcBorders>
              <w:bottom w:val="single" w:sz="8" w:color="0E2A35"/>
            </w:tcBorders>
          </w:tcPr>
          <w:p>
            <w:pPr>
              <w:jc w:val="right"/>
              <w:ind w:right="177"/>
              <w:spacing w:after="0"/>
              <w:rPr>
                <w:sz w:val="20"/>
                <w:szCs w:val="20"/>
                <w:color w:val="auto"/>
              </w:rPr>
            </w:pPr>
            <w:r>
              <w:rPr>
                <w:rFonts w:ascii="Arial" w:cs="Arial" w:eastAsia="Arial" w:hAnsi="Arial"/>
                <w:sz w:val="13"/>
                <w:szCs w:val="13"/>
                <w:color w:val="0E2A35"/>
                <w:w w:val="88"/>
              </w:rPr>
              <w:t>.67</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01/18/26</w:t>
            </w:r>
          </w:p>
        </w:tc>
        <w:tc>
          <w:tcPr>
            <w:tcW w:w="820" w:type="dxa"/>
            <w:vAlign w:val="bottom"/>
            <w:tcBorders>
              <w:bottom w:val="single" w:sz="8" w:color="0E2A35"/>
            </w:tcBorders>
          </w:tcPr>
          <w:p>
            <w:pPr>
              <w:spacing w:after="0"/>
              <w:rPr>
                <w:sz w:val="21"/>
                <w:szCs w:val="21"/>
                <w:color w:val="auto"/>
              </w:rPr>
            </w:pPr>
          </w:p>
        </w:tc>
        <w:tc>
          <w:tcPr>
            <w:tcW w:w="20" w:type="dxa"/>
            <w:vAlign w:val="bottom"/>
            <w:tcBorders>
              <w:bottom w:val="single" w:sz="8" w:color="0E2A35"/>
            </w:tcBorders>
          </w:tcPr>
          <w:p>
            <w:pPr>
              <w:spacing w:after="0"/>
              <w:rPr>
                <w:sz w:val="21"/>
                <w:szCs w:val="21"/>
                <w:color w:val="auto"/>
              </w:rPr>
            </w:pPr>
          </w:p>
        </w:tc>
        <w:tc>
          <w:tcPr>
            <w:tcW w:w="360" w:type="dxa"/>
            <w:vAlign w:val="bottom"/>
            <w:tcBorders>
              <w:bottom w:val="single" w:sz="8" w:color="0E2A35"/>
            </w:tcBorders>
          </w:tcPr>
          <w:p>
            <w:pPr>
              <w:spacing w:after="0"/>
              <w:rPr>
                <w:sz w:val="21"/>
                <w:szCs w:val="21"/>
                <w:color w:val="auto"/>
              </w:rPr>
            </w:pPr>
          </w:p>
        </w:tc>
        <w:tc>
          <w:tcPr>
            <w:tcW w:w="340" w:type="dxa"/>
            <w:vAlign w:val="bottom"/>
            <w:tcBorders>
              <w:bottom w:val="single" w:sz="8" w:color="0E2A35"/>
            </w:tcBorders>
          </w:tcPr>
          <w:p>
            <w:pPr>
              <w:spacing w:after="0"/>
              <w:rPr>
                <w:sz w:val="21"/>
                <w:szCs w:val="21"/>
                <w:color w:val="auto"/>
              </w:rPr>
            </w:pPr>
          </w:p>
        </w:tc>
        <w:tc>
          <w:tcPr>
            <w:tcW w:w="680" w:type="dxa"/>
            <w:vAlign w:val="bottom"/>
            <w:tcBorders>
              <w:bottom w:val="single" w:sz="8" w:color="0E2A35"/>
            </w:tcBorders>
          </w:tcPr>
          <w:p>
            <w:pPr>
              <w:spacing w:after="0"/>
              <w:rPr>
                <w:sz w:val="21"/>
                <w:szCs w:val="21"/>
                <w:color w:val="auto"/>
              </w:rPr>
            </w:pPr>
          </w:p>
        </w:tc>
        <w:tc>
          <w:tcPr>
            <w:tcW w:w="940" w:type="dxa"/>
            <w:vAlign w:val="bottom"/>
            <w:tcBorders>
              <w:bottom w:val="single" w:sz="8" w:color="0E2A35"/>
            </w:tcBorders>
          </w:tcPr>
          <w:p>
            <w:pPr>
              <w:spacing w:after="0"/>
              <w:rPr>
                <w:sz w:val="21"/>
                <w:szCs w:val="21"/>
                <w:color w:val="auto"/>
              </w:rPr>
            </w:pPr>
          </w:p>
        </w:tc>
        <w:tc>
          <w:tcPr>
            <w:tcW w:w="520" w:type="dxa"/>
            <w:vAlign w:val="bottom"/>
            <w:tcBorders>
              <w:bottom w:val="single" w:sz="8" w:color="0E2A35"/>
            </w:tcBorders>
          </w:tcPr>
          <w:p>
            <w:pPr>
              <w:spacing w:after="0"/>
              <w:rPr>
                <w:sz w:val="21"/>
                <w:szCs w:val="21"/>
                <w:color w:val="auto"/>
              </w:rPr>
            </w:pPr>
          </w:p>
        </w:tc>
        <w:tc>
          <w:tcPr>
            <w:tcW w:w="1340" w:type="dxa"/>
            <w:vAlign w:val="bottom"/>
            <w:tcBorders>
              <w:bottom w:val="single" w:sz="8" w:color="0E2A35"/>
            </w:tcBorders>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13,300</w:t>
            </w:r>
          </w:p>
        </w:tc>
        <w:tc>
          <w:tcPr>
            <w:tcW w:w="1080" w:type="dxa"/>
            <w:vAlign w:val="bottom"/>
            <w:tcBorders>
              <w:bottom w:val="single" w:sz="8" w:color="0E2A35"/>
            </w:tcBorders>
            <w:gridSpan w:val="2"/>
          </w:tcPr>
          <w:p>
            <w:pPr>
              <w:jc w:val="right"/>
              <w:ind w:right="180"/>
              <w:spacing w:after="0" w:line="236" w:lineRule="exact"/>
              <w:rPr>
                <w:sz w:val="20"/>
                <w:szCs w:val="20"/>
                <w:color w:val="auto"/>
              </w:rPr>
            </w:pPr>
            <w:r>
              <w:rPr>
                <w:rFonts w:ascii="Arial" w:cs="Arial" w:eastAsia="Arial" w:hAnsi="Arial"/>
                <w:sz w:val="25"/>
                <w:szCs w:val="25"/>
                <w:color w:val="0E2A35"/>
                <w:vertAlign w:val="subscript"/>
              </w:rPr>
              <w:t>—</w:t>
            </w:r>
            <w:r>
              <w:rPr>
                <w:rFonts w:ascii="Arial" w:cs="Arial" w:eastAsia="Arial" w:hAnsi="Arial"/>
                <w:sz w:val="10"/>
                <w:szCs w:val="10"/>
                <w:color w:val="0E2A35"/>
              </w:rPr>
              <w:t>(2)</w:t>
            </w:r>
          </w:p>
        </w:tc>
        <w:tc>
          <w:tcPr>
            <w:tcW w:w="340" w:type="dxa"/>
            <w:vAlign w:val="bottom"/>
            <w:tcBorders>
              <w:bottom w:val="single" w:sz="8" w:color="0E2A35"/>
            </w:tcBorders>
          </w:tcPr>
          <w:p>
            <w:pPr>
              <w:ind w:left="200"/>
              <w:spacing w:after="0"/>
              <w:rPr>
                <w:sz w:val="20"/>
                <w:szCs w:val="20"/>
                <w:color w:val="auto"/>
              </w:rPr>
            </w:pPr>
            <w:r>
              <w:rPr>
                <w:rFonts w:ascii="Arial" w:cs="Arial" w:eastAsia="Arial" w:hAnsi="Arial"/>
                <w:sz w:val="13"/>
                <w:szCs w:val="13"/>
                <w:color w:val="0E2A35"/>
                <w:w w:val="82"/>
              </w:rPr>
              <w:t>27​</w:t>
            </w:r>
          </w:p>
        </w:tc>
        <w:tc>
          <w:tcPr>
            <w:tcW w:w="420" w:type="dxa"/>
            <w:vAlign w:val="bottom"/>
            <w:tcBorders>
              <w:bottom w:val="single" w:sz="8" w:color="0E2A35"/>
            </w:tcBorders>
          </w:tcPr>
          <w:p>
            <w:pPr>
              <w:jc w:val="right"/>
              <w:ind w:right="177"/>
              <w:spacing w:after="0"/>
              <w:rPr>
                <w:sz w:val="20"/>
                <w:szCs w:val="20"/>
                <w:color w:val="auto"/>
              </w:rPr>
            </w:pPr>
            <w:r>
              <w:rPr>
                <w:rFonts w:ascii="Arial" w:cs="Arial" w:eastAsia="Arial" w:hAnsi="Arial"/>
                <w:sz w:val="13"/>
                <w:szCs w:val="13"/>
                <w:color w:val="0E2A35"/>
                <w:w w:val="88"/>
              </w:rPr>
              <w:t>.89</w:t>
            </w:r>
          </w:p>
        </w:tc>
        <w:tc>
          <w:tcPr>
            <w:tcW w:w="740" w:type="dxa"/>
            <w:vAlign w:val="bottom"/>
            <w:tcBorders>
              <w:bottom w:val="single" w:sz="8" w:color="0E2A35"/>
            </w:tcBorders>
          </w:tcPr>
          <w:p>
            <w:pPr>
              <w:jc w:val="center"/>
              <w:ind w:left="37"/>
              <w:spacing w:after="0"/>
              <w:rPr>
                <w:sz w:val="20"/>
                <w:szCs w:val="20"/>
                <w:color w:val="auto"/>
              </w:rPr>
            </w:pPr>
            <w:r>
              <w:rPr>
                <w:rFonts w:ascii="Arial" w:cs="Arial" w:eastAsia="Arial" w:hAnsi="Arial"/>
                <w:sz w:val="13"/>
                <w:szCs w:val="13"/>
                <w:color w:val="0E2A35"/>
                <w:w w:val="94"/>
              </w:rPr>
              <w:t>10/11/26</w:t>
            </w: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ind w:left="940"/>
              <w:spacing w:after="0"/>
              <w:rPr>
                <w:sz w:val="20"/>
                <w:szCs w:val="20"/>
                <w:color w:val="auto"/>
              </w:rPr>
            </w:pPr>
            <w:r>
              <w:rPr>
                <w:rFonts w:ascii="Arial" w:cs="Arial" w:eastAsia="Arial" w:hAnsi="Arial"/>
                <w:sz w:val="13"/>
                <w:szCs w:val="13"/>
                <w:color w:val="0E2A35"/>
              </w:rPr>
              <w:t>​</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17,000</w:t>
            </w:r>
          </w:p>
        </w:tc>
        <w:tc>
          <w:tcPr>
            <w:tcW w:w="1080" w:type="dxa"/>
            <w:vAlign w:val="bottom"/>
            <w:tcBorders>
              <w:bottom w:val="single" w:sz="8" w:color="0E2A35"/>
            </w:tcBorders>
            <w:gridSpan w:val="2"/>
          </w:tcPr>
          <w:p>
            <w:pPr>
              <w:jc w:val="right"/>
              <w:ind w:right="180"/>
              <w:spacing w:after="0" w:line="236" w:lineRule="exact"/>
              <w:rPr>
                <w:sz w:val="20"/>
                <w:szCs w:val="20"/>
                <w:color w:val="auto"/>
              </w:rPr>
            </w:pPr>
            <w:r>
              <w:rPr>
                <w:rFonts w:ascii="Arial" w:cs="Arial" w:eastAsia="Arial" w:hAnsi="Arial"/>
                <w:sz w:val="25"/>
                <w:szCs w:val="25"/>
                <w:color w:val="0E2A35"/>
                <w:vertAlign w:val="subscript"/>
              </w:rPr>
              <w:t>—</w:t>
            </w:r>
            <w:r>
              <w:rPr>
                <w:rFonts w:ascii="Arial" w:cs="Arial" w:eastAsia="Arial" w:hAnsi="Arial"/>
                <w:sz w:val="10"/>
                <w:szCs w:val="10"/>
                <w:color w:val="0E2A35"/>
              </w:rPr>
              <w:t>(3)</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35.50</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12/13/26</w:t>
            </w: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ind w:left="940"/>
              <w:spacing w:after="0"/>
              <w:rPr>
                <w:sz w:val="20"/>
                <w:szCs w:val="20"/>
                <w:color w:val="auto"/>
              </w:rPr>
            </w:pPr>
            <w:r>
              <w:rPr>
                <w:rFonts w:ascii="Arial" w:cs="Arial" w:eastAsia="Arial" w:hAnsi="Arial"/>
                <w:sz w:val="13"/>
                <w:szCs w:val="13"/>
                <w:color w:val="0E2A35"/>
              </w:rPr>
              <w:t>​</w:t>
            </w: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28,015​</w:t>
            </w:r>
          </w:p>
        </w:tc>
        <w:tc>
          <w:tcPr>
            <w:tcW w:w="720" w:type="dxa"/>
            <w:vAlign w:val="bottom"/>
          </w:tcPr>
          <w:p>
            <w:pPr>
              <w:jc w:val="right"/>
              <w:spacing w:after="0"/>
              <w:rPr>
                <w:sz w:val="20"/>
                <w:szCs w:val="20"/>
                <w:color w:val="auto"/>
              </w:rPr>
            </w:pPr>
            <w:r>
              <w:rPr>
                <w:rFonts w:ascii="Arial" w:cs="Arial" w:eastAsia="Arial" w:hAnsi="Arial"/>
                <w:sz w:val="13"/>
                <w:szCs w:val="13"/>
                <w:color w:val="0E2A35"/>
              </w:rPr>
              <w:t>—​</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(4)</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44.40</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10/18/27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42,831</w:t>
            </w:r>
          </w:p>
        </w:tc>
        <w:tc>
          <w:tcPr>
            <w:tcW w:w="720" w:type="dxa"/>
            <w:vAlign w:val="bottom"/>
          </w:tcPr>
          <w:p>
            <w:pPr>
              <w:jc w:val="right"/>
              <w:spacing w:after="0"/>
              <w:rPr>
                <w:sz w:val="20"/>
                <w:szCs w:val="20"/>
                <w:color w:val="auto"/>
              </w:rPr>
            </w:pPr>
            <w:r>
              <w:rPr>
                <w:rFonts w:ascii="Arial" w:cs="Arial" w:eastAsia="Arial" w:hAnsi="Arial"/>
                <w:sz w:val="13"/>
                <w:szCs w:val="13"/>
                <w:color w:val="0E2A35"/>
              </w:rPr>
              <w:t>—​</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(5)</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31.70</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10/15/28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18,278​</w:t>
            </w:r>
          </w:p>
        </w:tc>
        <w:tc>
          <w:tcPr>
            <w:tcW w:w="720" w:type="dxa"/>
            <w:vAlign w:val="bottom"/>
          </w:tcPr>
          <w:p>
            <w:pPr>
              <w:jc w:val="right"/>
              <w:spacing w:after="0"/>
              <w:rPr>
                <w:sz w:val="20"/>
                <w:szCs w:val="20"/>
                <w:color w:val="auto"/>
              </w:rPr>
            </w:pPr>
            <w:r>
              <w:rPr>
                <w:rFonts w:ascii="Arial" w:cs="Arial" w:eastAsia="Arial" w:hAnsi="Arial"/>
                <w:sz w:val="13"/>
                <w:szCs w:val="13"/>
                <w:color w:val="0E2A35"/>
              </w:rPr>
              <w:t>9,139​</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(6)</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47.93</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12/17/29</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gridSpan w:val="2"/>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8,552​</w:t>
            </w:r>
          </w:p>
        </w:tc>
        <w:tc>
          <w:tcPr>
            <w:tcW w:w="1080" w:type="dxa"/>
            <w:vAlign w:val="bottom"/>
            <w:tcBorders>
              <w:bottom w:val="single" w:sz="8" w:color="0E2A35"/>
            </w:tcBorders>
            <w:gridSpan w:val="2"/>
          </w:tcPr>
          <w:p>
            <w:pPr>
              <w:jc w:val="right"/>
              <w:ind w:right="180"/>
              <w:spacing w:after="0"/>
              <w:rPr>
                <w:sz w:val="20"/>
                <w:szCs w:val="20"/>
                <w:color w:val="auto"/>
              </w:rPr>
            </w:pPr>
            <w:r>
              <w:rPr>
                <w:rFonts w:ascii="Arial" w:cs="Arial" w:eastAsia="Arial" w:hAnsi="Arial"/>
                <w:sz w:val="13"/>
                <w:szCs w:val="13"/>
                <w:color w:val="0E2A35"/>
              </w:rPr>
              <w:t>17,108</w:t>
            </w:r>
            <w:r>
              <w:rPr>
                <w:rFonts w:ascii="Arial" w:cs="Arial" w:eastAsia="Arial" w:hAnsi="Arial"/>
                <w:sz w:val="20"/>
                <w:szCs w:val="20"/>
                <w:color w:val="0E2A35"/>
                <w:vertAlign w:val="superscript"/>
              </w:rPr>
              <w:t>(9)</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54.49</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10/13/30</w:t>
            </w: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ind w:left="940"/>
              <w:spacing w:after="0"/>
              <w:rPr>
                <w:sz w:val="20"/>
                <w:szCs w:val="20"/>
                <w:color w:val="auto"/>
              </w:rPr>
            </w:pPr>
            <w:r>
              <w:rPr>
                <w:rFonts w:ascii="Arial" w:cs="Arial" w:eastAsia="Arial" w:hAnsi="Arial"/>
                <w:sz w:val="13"/>
                <w:szCs w:val="13"/>
                <w:color w:val="0E2A35"/>
              </w:rPr>
              <w:t>​</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gridSpan w:val="2"/>
          </w:tcPr>
          <w:p>
            <w:pPr>
              <w:jc w:val="right"/>
              <w:ind w:right="120"/>
              <w:spacing w:after="0"/>
              <w:rPr>
                <w:sz w:val="20"/>
                <w:szCs w:val="20"/>
                <w:color w:val="auto"/>
              </w:rPr>
            </w:pPr>
            <w:r>
              <w:rPr>
                <w:rFonts w:ascii="Arial" w:cs="Arial" w:eastAsia="Arial" w:hAnsi="Arial"/>
                <w:sz w:val="13"/>
                <w:szCs w:val="13"/>
                <w:color w:val="0E2A35"/>
              </w:rPr>
              <w:t>20,669</w:t>
            </w:r>
            <w:r>
              <w:rPr>
                <w:rFonts w:ascii="Arial" w:cs="Arial" w:eastAsia="Arial" w:hAnsi="Arial"/>
                <w:sz w:val="20"/>
                <w:szCs w:val="20"/>
                <w:color w:val="0E2A35"/>
                <w:vertAlign w:val="superscript"/>
              </w:rPr>
              <w:t>(10)</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75.59</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10/12/31</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32,339</w:t>
            </w:r>
            <w:r>
              <w:rPr>
                <w:rFonts w:ascii="Arial" w:cs="Arial" w:eastAsia="Arial" w:hAnsi="Arial"/>
                <w:sz w:val="20"/>
                <w:szCs w:val="20"/>
                <w:color w:val="0E2A35"/>
                <w:vertAlign w:val="superscript"/>
              </w:rPr>
              <w:t>(12)</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1,979,794​</w:t>
            </w: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88"/>
              <w:spacing w:after="0"/>
              <w:rPr>
                <w:sz w:val="20"/>
                <w:szCs w:val="20"/>
                <w:color w:val="auto"/>
              </w:rPr>
            </w:pPr>
            <w:r>
              <w:rPr>
                <w:rFonts w:ascii="Arial" w:cs="Arial" w:eastAsia="Arial" w:hAnsi="Arial"/>
                <w:sz w:val="13"/>
                <w:szCs w:val="13"/>
                <w:color w:val="0E2A35"/>
              </w:rPr>
              <w:t>32,116</w:t>
            </w:r>
            <w:r>
              <w:rPr>
                <w:rFonts w:ascii="Arial" w:cs="Arial" w:eastAsia="Arial" w:hAnsi="Arial"/>
                <w:sz w:val="20"/>
                <w:szCs w:val="20"/>
                <w:color w:val="0E2A35"/>
                <w:vertAlign w:val="superscript"/>
              </w:rPr>
              <w:t>(13)</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1,966,142​</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88"/>
              <w:spacing w:after="0"/>
              <w:rPr>
                <w:sz w:val="20"/>
                <w:szCs w:val="20"/>
                <w:color w:val="auto"/>
              </w:rPr>
            </w:pPr>
            <w:r>
              <w:rPr>
                <w:rFonts w:ascii="Arial" w:cs="Arial" w:eastAsia="Arial" w:hAnsi="Arial"/>
                <w:sz w:val="13"/>
                <w:szCs w:val="13"/>
                <w:color w:val="0E2A35"/>
              </w:rPr>
              <w:t>11,011</w:t>
            </w:r>
            <w:r>
              <w:rPr>
                <w:rFonts w:ascii="Arial" w:cs="Arial" w:eastAsia="Arial" w:hAnsi="Arial"/>
                <w:sz w:val="20"/>
                <w:szCs w:val="20"/>
                <w:color w:val="0E2A35"/>
                <w:vertAlign w:val="superscript"/>
              </w:rPr>
              <w:t>(14)</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674,093</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27,781</w:t>
            </w:r>
            <w:r>
              <w:rPr>
                <w:rFonts w:ascii="Arial" w:cs="Arial" w:eastAsia="Arial" w:hAnsi="Arial"/>
                <w:sz w:val="20"/>
                <w:szCs w:val="20"/>
                <w:color w:val="0E2A35"/>
                <w:vertAlign w:val="superscript"/>
              </w:rPr>
              <w:t>(15)</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1,700,753​</w:t>
            </w: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7,545​</w:t>
            </w:r>
          </w:p>
        </w:tc>
        <w:tc>
          <w:tcPr>
            <w:tcW w:w="360" w:type="dxa"/>
            <w:vAlign w:val="bottom"/>
          </w:tcPr>
          <w:p>
            <w:pPr>
              <w:spacing w:after="0"/>
              <w:rPr>
                <w:sz w:val="20"/>
                <w:szCs w:val="20"/>
                <w:color w:val="auto"/>
              </w:rPr>
            </w:pPr>
            <w:r>
              <w:rPr>
                <w:rFonts w:ascii="Arial" w:cs="Arial" w:eastAsia="Arial" w:hAnsi="Arial"/>
                <w:sz w:val="10"/>
                <w:szCs w:val="10"/>
                <w:color w:val="0E2A35"/>
              </w:rPr>
              <w:t>(6)</w:t>
            </w:r>
          </w:p>
        </w:tc>
        <w:tc>
          <w:tcPr>
            <w:tcW w:w="1020" w:type="dxa"/>
            <w:vAlign w:val="bottom"/>
            <w:gridSpan w:val="2"/>
          </w:tcPr>
          <w:p>
            <w:pPr>
              <w:jc w:val="right"/>
              <w:ind w:right="118"/>
              <w:spacing w:after="0"/>
              <w:rPr>
                <w:sz w:val="20"/>
                <w:szCs w:val="20"/>
                <w:color w:val="auto"/>
              </w:rPr>
            </w:pPr>
            <w:r>
              <w:rPr>
                <w:rFonts w:ascii="Arial" w:cs="Arial" w:eastAsia="Arial" w:hAnsi="Arial"/>
                <w:sz w:val="13"/>
                <w:szCs w:val="13"/>
                <w:color w:val="0E2A35"/>
              </w:rPr>
              <w:t>​ 461,905</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40" w:type="dxa"/>
            <w:vAlign w:val="bottom"/>
            <w:tcBorders>
              <w:bottom w:val="single" w:sz="8" w:color="0E2A35"/>
            </w:tcBorders>
            <w:gridSpan w:val="2"/>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14,989​</w:t>
            </w:r>
          </w:p>
        </w:tc>
        <w:tc>
          <w:tcPr>
            <w:tcW w:w="360" w:type="dxa"/>
            <w:vAlign w:val="bottom"/>
          </w:tcPr>
          <w:p>
            <w:pPr>
              <w:spacing w:after="0"/>
              <w:rPr>
                <w:sz w:val="20"/>
                <w:szCs w:val="20"/>
                <w:color w:val="auto"/>
              </w:rPr>
            </w:pPr>
            <w:r>
              <w:rPr>
                <w:rFonts w:ascii="Arial" w:cs="Arial" w:eastAsia="Arial" w:hAnsi="Arial"/>
                <w:sz w:val="10"/>
                <w:szCs w:val="10"/>
                <w:color w:val="0E2A35"/>
              </w:rPr>
              <w:t>(9)</w:t>
            </w:r>
          </w:p>
        </w:tc>
        <w:tc>
          <w:tcPr>
            <w:tcW w:w="1020" w:type="dxa"/>
            <w:vAlign w:val="bottom"/>
            <w:gridSpan w:val="2"/>
          </w:tcPr>
          <w:p>
            <w:pPr>
              <w:jc w:val="right"/>
              <w:ind w:right="118"/>
              <w:spacing w:after="0"/>
              <w:rPr>
                <w:sz w:val="20"/>
                <w:szCs w:val="20"/>
                <w:color w:val="auto"/>
              </w:rPr>
            </w:pPr>
            <w:r>
              <w:rPr>
                <w:rFonts w:ascii="Arial" w:cs="Arial" w:eastAsia="Arial" w:hAnsi="Arial"/>
                <w:sz w:val="13"/>
                <w:szCs w:val="13"/>
                <w:color w:val="0E2A35"/>
              </w:rPr>
              <w:t>​ 917,627</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gridSpan w:val="3"/>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7"/>
        </w:trPr>
        <w:tc>
          <w:tcPr>
            <w:tcW w:w="400" w:type="dxa"/>
            <w:vAlign w:val="bottom"/>
            <w:tcBorders>
              <w:bottom w:val="single" w:sz="8" w:color="0E2A35"/>
            </w:tcBorders>
          </w:tcPr>
          <w:p>
            <w:pPr>
              <w:spacing w:after="0"/>
              <w:rPr>
                <w:sz w:val="20"/>
                <w:szCs w:val="20"/>
                <w:color w:val="auto"/>
              </w:rPr>
            </w:pPr>
          </w:p>
        </w:tc>
        <w:tc>
          <w:tcPr>
            <w:tcW w:w="80" w:type="dxa"/>
            <w:vAlign w:val="bottom"/>
            <w:tcBorders>
              <w:bottom w:val="single" w:sz="8" w:color="0E2A35"/>
            </w:tcBorders>
          </w:tcPr>
          <w:p>
            <w:pPr>
              <w:spacing w:after="0"/>
              <w:rPr>
                <w:sz w:val="20"/>
                <w:szCs w:val="20"/>
                <w:color w:val="auto"/>
              </w:rPr>
            </w:pPr>
          </w:p>
        </w:tc>
        <w:tc>
          <w:tcPr>
            <w:tcW w:w="1100" w:type="dxa"/>
            <w:vAlign w:val="bottom"/>
            <w:tcBorders>
              <w:bottom w:val="single" w:sz="8" w:color="0E2A35"/>
            </w:tcBorders>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27"/>
              <w:spacing w:after="0"/>
              <w:rPr>
                <w:sz w:val="20"/>
                <w:szCs w:val="20"/>
                <w:color w:val="auto"/>
              </w:rPr>
            </w:pPr>
            <w:r>
              <w:rPr>
                <w:rFonts w:ascii="Arial" w:cs="Arial" w:eastAsia="Arial" w:hAnsi="Arial"/>
                <w:sz w:val="13"/>
                <w:szCs w:val="13"/>
                <w:color w:val="0E2A35"/>
              </w:rPr>
              <w:t>19,447</w:t>
            </w:r>
            <w:r>
              <w:rPr>
                <w:rFonts w:ascii="Arial" w:cs="Arial" w:eastAsia="Arial" w:hAnsi="Arial"/>
                <w:sz w:val="20"/>
                <w:szCs w:val="20"/>
                <w:color w:val="0E2A35"/>
                <w:vertAlign w:val="superscript"/>
              </w:rPr>
              <w:t>(10)</w:t>
            </w:r>
          </w:p>
        </w:tc>
        <w:tc>
          <w:tcPr>
            <w:tcW w:w="1020" w:type="dxa"/>
            <w:vAlign w:val="bottom"/>
            <w:tcBorders>
              <w:bottom w:val="single" w:sz="8" w:color="0E2A35"/>
            </w:tcBorders>
            <w:gridSpan w:val="2"/>
          </w:tcPr>
          <w:p>
            <w:pPr>
              <w:jc w:val="right"/>
              <w:ind w:right="98"/>
              <w:spacing w:after="0"/>
              <w:rPr>
                <w:sz w:val="20"/>
                <w:szCs w:val="20"/>
                <w:color w:val="auto"/>
              </w:rPr>
            </w:pPr>
            <w:r>
              <w:rPr>
                <w:rFonts w:ascii="Arial" w:cs="Arial" w:eastAsia="Arial" w:hAnsi="Arial"/>
                <w:sz w:val="13"/>
                <w:szCs w:val="13"/>
                <w:color w:val="0E2A35"/>
              </w:rPr>
              <w:t>1,190,545​</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196"/>
        </w:trPr>
        <w:tc>
          <w:tcPr>
            <w:tcW w:w="400" w:type="dxa"/>
            <w:vAlign w:val="bottom"/>
          </w:tcPr>
          <w:p>
            <w:pPr>
              <w:ind w:left="60"/>
              <w:spacing w:after="0"/>
              <w:rPr>
                <w:sz w:val="20"/>
                <w:szCs w:val="20"/>
                <w:color w:val="auto"/>
              </w:rPr>
            </w:pPr>
            <w:r>
              <w:rPr>
                <w:rFonts w:ascii="Arial" w:cs="Arial" w:eastAsia="Arial" w:hAnsi="Arial"/>
                <w:sz w:val="13"/>
                <w:szCs w:val="13"/>
                <w:color w:val="0E2A35"/>
                <w:w w:val="94"/>
              </w:rPr>
              <w:t>Bryan​</w:t>
            </w:r>
          </w:p>
        </w:tc>
        <w:tc>
          <w:tcPr>
            <w:tcW w:w="1180" w:type="dxa"/>
            <w:vAlign w:val="bottom"/>
            <w:gridSpan w:val="2"/>
          </w:tcPr>
          <w:p>
            <w:pPr>
              <w:jc w:val="center"/>
              <w:ind w:right="497"/>
              <w:spacing w:after="0"/>
              <w:rPr>
                <w:sz w:val="20"/>
                <w:szCs w:val="20"/>
                <w:color w:val="auto"/>
              </w:rPr>
            </w:pPr>
            <w:r>
              <w:rPr>
                <w:rFonts w:ascii="Arial" w:cs="Arial" w:eastAsia="Arial" w:hAnsi="Arial"/>
                <w:sz w:val="13"/>
                <w:szCs w:val="13"/>
                <w:color w:val="0E2A35"/>
                <w:w w:val="97"/>
              </w:rPr>
              <w:t>L. Hughes</w:t>
            </w: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8,373​</w:t>
            </w:r>
          </w:p>
        </w:tc>
        <w:tc>
          <w:tcPr>
            <w:tcW w:w="720" w:type="dxa"/>
            <w:vAlign w:val="bottom"/>
          </w:tcPr>
          <w:p>
            <w:pPr>
              <w:jc w:val="right"/>
              <w:spacing w:after="0"/>
              <w:rPr>
                <w:sz w:val="20"/>
                <w:szCs w:val="20"/>
                <w:color w:val="auto"/>
              </w:rPr>
            </w:pPr>
            <w:r>
              <w:rPr>
                <w:rFonts w:ascii="Arial" w:cs="Arial" w:eastAsia="Arial" w:hAnsi="Arial"/>
                <w:sz w:val="13"/>
                <w:szCs w:val="13"/>
                <w:color w:val="0E2A35"/>
              </w:rPr>
              <w:t>—​</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(4)</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44.40</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10/18/27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E2A35"/>
                <w:w w:val="95"/>
              </w:rPr>
              <w:t>11,438​</w:t>
            </w:r>
          </w:p>
        </w:tc>
        <w:tc>
          <w:tcPr>
            <w:tcW w:w="720" w:type="dxa"/>
            <w:vAlign w:val="bottom"/>
          </w:tcPr>
          <w:p>
            <w:pPr>
              <w:jc w:val="right"/>
              <w:spacing w:after="0"/>
              <w:rPr>
                <w:sz w:val="20"/>
                <w:szCs w:val="20"/>
                <w:color w:val="auto"/>
              </w:rPr>
            </w:pPr>
            <w:r>
              <w:rPr>
                <w:rFonts w:ascii="Arial" w:cs="Arial" w:eastAsia="Arial" w:hAnsi="Arial"/>
                <w:sz w:val="13"/>
                <w:szCs w:val="13"/>
                <w:color w:val="0E2A35"/>
              </w:rPr>
              <w:t>—​</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(5)</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31.70</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10/15/28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3,288​</w:t>
            </w:r>
          </w:p>
        </w:tc>
        <w:tc>
          <w:tcPr>
            <w:tcW w:w="720" w:type="dxa"/>
            <w:vAlign w:val="bottom"/>
          </w:tcPr>
          <w:p>
            <w:pPr>
              <w:jc w:val="right"/>
              <w:spacing w:after="0"/>
              <w:rPr>
                <w:sz w:val="20"/>
                <w:szCs w:val="20"/>
                <w:color w:val="auto"/>
              </w:rPr>
            </w:pPr>
            <w:r>
              <w:rPr>
                <w:rFonts w:ascii="Arial" w:cs="Arial" w:eastAsia="Arial" w:hAnsi="Arial"/>
                <w:sz w:val="13"/>
                <w:szCs w:val="13"/>
                <w:color w:val="0E2A35"/>
              </w:rPr>
              <w:t>1,644​</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(6)</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47.93</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12/17/29</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gridSpan w:val="2"/>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1,603</w:t>
            </w:r>
          </w:p>
        </w:tc>
        <w:tc>
          <w:tcPr>
            <w:tcW w:w="1080" w:type="dxa"/>
            <w:vAlign w:val="bottom"/>
            <w:tcBorders>
              <w:bottom w:val="single" w:sz="8" w:color="0E2A35"/>
            </w:tcBorders>
            <w:gridSpan w:val="2"/>
          </w:tcPr>
          <w:p>
            <w:pPr>
              <w:jc w:val="right"/>
              <w:ind w:right="180"/>
              <w:spacing w:after="0"/>
              <w:rPr>
                <w:sz w:val="20"/>
                <w:szCs w:val="20"/>
                <w:color w:val="auto"/>
              </w:rPr>
            </w:pPr>
            <w:r>
              <w:rPr>
                <w:rFonts w:ascii="Arial" w:cs="Arial" w:eastAsia="Arial" w:hAnsi="Arial"/>
                <w:sz w:val="13"/>
                <w:szCs w:val="13"/>
                <w:color w:val="0E2A35"/>
              </w:rPr>
              <w:t>3,208</w:t>
            </w:r>
            <w:r>
              <w:rPr>
                <w:rFonts w:ascii="Arial" w:cs="Arial" w:eastAsia="Arial" w:hAnsi="Arial"/>
                <w:sz w:val="20"/>
                <w:szCs w:val="20"/>
                <w:color w:val="0E2A35"/>
                <w:vertAlign w:val="superscript"/>
              </w:rPr>
              <w:t>(9)</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54.49</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10/13/30</w:t>
            </w: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jc w:val="right"/>
              <w:ind w:right="118"/>
              <w:spacing w:after="0"/>
              <w:rPr>
                <w:sz w:val="20"/>
                <w:szCs w:val="20"/>
                <w:color w:val="auto"/>
              </w:rPr>
            </w:pPr>
            <w:r>
              <w:rPr>
                <w:rFonts w:ascii="Arial" w:cs="Arial" w:eastAsia="Arial" w:hAnsi="Arial"/>
                <w:sz w:val="13"/>
                <w:szCs w:val="13"/>
                <w:color w:val="0E2A35"/>
              </w:rPr>
              <w:t>​</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ind w:left="940"/>
              <w:spacing w:after="0"/>
              <w:rPr>
                <w:sz w:val="20"/>
                <w:szCs w:val="20"/>
                <w:color w:val="auto"/>
              </w:rPr>
            </w:pPr>
            <w:r>
              <w:rPr>
                <w:rFonts w:ascii="Arial" w:cs="Arial" w:eastAsia="Arial" w:hAnsi="Arial"/>
                <w:sz w:val="13"/>
                <w:szCs w:val="13"/>
                <w:color w:val="0E2A35"/>
              </w:rPr>
              <w:t>​</w:t>
            </w: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gridSpan w:val="2"/>
          </w:tcPr>
          <w:p>
            <w:pPr>
              <w:jc w:val="right"/>
              <w:ind w:right="120"/>
              <w:spacing w:after="0"/>
              <w:rPr>
                <w:sz w:val="20"/>
                <w:szCs w:val="20"/>
                <w:color w:val="auto"/>
              </w:rPr>
            </w:pPr>
            <w:r>
              <w:rPr>
                <w:rFonts w:ascii="Arial" w:cs="Arial" w:eastAsia="Arial" w:hAnsi="Arial"/>
                <w:sz w:val="13"/>
                <w:szCs w:val="13"/>
                <w:color w:val="0E2A35"/>
              </w:rPr>
              <w:t>4,060</w:t>
            </w:r>
            <w:r>
              <w:rPr>
                <w:rFonts w:ascii="Arial" w:cs="Arial" w:eastAsia="Arial" w:hAnsi="Arial"/>
                <w:sz w:val="20"/>
                <w:szCs w:val="20"/>
                <w:color w:val="0E2A35"/>
                <w:vertAlign w:val="superscript"/>
              </w:rPr>
              <w:t>(10)</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75.59</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10/12/31</w:t>
            </w: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5,818</w:t>
            </w:r>
            <w:r>
              <w:rPr>
                <w:rFonts w:ascii="Arial" w:cs="Arial" w:eastAsia="Arial" w:hAnsi="Arial"/>
                <w:sz w:val="20"/>
                <w:szCs w:val="20"/>
                <w:color w:val="0E2A35"/>
                <w:vertAlign w:val="superscript"/>
              </w:rPr>
              <w:t>(12)</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356,178</w:t>
            </w: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6,022</w:t>
            </w:r>
            <w:r>
              <w:rPr>
                <w:rFonts w:ascii="Arial" w:cs="Arial" w:eastAsia="Arial" w:hAnsi="Arial"/>
                <w:sz w:val="20"/>
                <w:szCs w:val="20"/>
                <w:color w:val="0E2A35"/>
                <w:vertAlign w:val="superscript"/>
              </w:rPr>
              <w:t>(13)</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368,667</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3,854</w:t>
            </w:r>
            <w:r>
              <w:rPr>
                <w:rFonts w:ascii="Arial" w:cs="Arial" w:eastAsia="Arial" w:hAnsi="Arial"/>
                <w:sz w:val="20"/>
                <w:szCs w:val="20"/>
                <w:color w:val="0E2A35"/>
                <w:vertAlign w:val="superscript"/>
              </w:rPr>
              <w:t>(14)</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235,942</w:t>
            </w: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5,457</w:t>
            </w:r>
            <w:r>
              <w:rPr>
                <w:rFonts w:ascii="Arial" w:cs="Arial" w:eastAsia="Arial" w:hAnsi="Arial"/>
                <w:sz w:val="20"/>
                <w:szCs w:val="20"/>
                <w:color w:val="0E2A35"/>
                <w:vertAlign w:val="superscript"/>
              </w:rPr>
              <w:t>(15)</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334,082</w:t>
            </w: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1,357​</w:t>
            </w:r>
          </w:p>
        </w:tc>
        <w:tc>
          <w:tcPr>
            <w:tcW w:w="360" w:type="dxa"/>
            <w:vAlign w:val="bottom"/>
          </w:tcPr>
          <w:p>
            <w:pPr>
              <w:spacing w:after="0"/>
              <w:rPr>
                <w:sz w:val="20"/>
                <w:szCs w:val="20"/>
                <w:color w:val="auto"/>
              </w:rPr>
            </w:pPr>
            <w:r>
              <w:rPr>
                <w:rFonts w:ascii="Arial" w:cs="Arial" w:eastAsia="Arial" w:hAnsi="Arial"/>
                <w:sz w:val="10"/>
                <w:szCs w:val="10"/>
                <w:color w:val="0E2A35"/>
              </w:rPr>
              <w:t>(6)</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680" w:type="dxa"/>
            <w:vAlign w:val="bottom"/>
          </w:tcPr>
          <w:p>
            <w:pPr>
              <w:jc w:val="right"/>
              <w:ind w:right="98"/>
              <w:spacing w:after="0"/>
              <w:rPr>
                <w:sz w:val="20"/>
                <w:szCs w:val="20"/>
                <w:color w:val="auto"/>
              </w:rPr>
            </w:pPr>
            <w:r>
              <w:rPr>
                <w:rFonts w:ascii="Arial" w:cs="Arial" w:eastAsia="Arial" w:hAnsi="Arial"/>
                <w:sz w:val="13"/>
                <w:szCs w:val="13"/>
                <w:color w:val="0E2A35"/>
              </w:rPr>
              <w:t>83,076</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40" w:type="dxa"/>
            <w:vAlign w:val="bottom"/>
            <w:tcBorders>
              <w:bottom w:val="single" w:sz="8" w:color="0E2A35"/>
            </w:tcBorders>
            <w:gridSpan w:val="2"/>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352​</w:t>
            </w:r>
          </w:p>
        </w:tc>
        <w:tc>
          <w:tcPr>
            <w:tcW w:w="360" w:type="dxa"/>
            <w:vAlign w:val="bottom"/>
          </w:tcPr>
          <w:p>
            <w:pPr>
              <w:spacing w:after="0"/>
              <w:rPr>
                <w:sz w:val="20"/>
                <w:szCs w:val="20"/>
                <w:color w:val="auto"/>
              </w:rPr>
            </w:pPr>
            <w:r>
              <w:rPr>
                <w:rFonts w:ascii="Arial" w:cs="Arial" w:eastAsia="Arial" w:hAnsi="Arial"/>
                <w:sz w:val="10"/>
                <w:szCs w:val="10"/>
                <w:color w:val="0E2A35"/>
              </w:rPr>
              <w:t>(7)</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680" w:type="dxa"/>
            <w:vAlign w:val="bottom"/>
          </w:tcPr>
          <w:p>
            <w:pPr>
              <w:jc w:val="right"/>
              <w:ind w:right="98"/>
              <w:spacing w:after="0"/>
              <w:rPr>
                <w:sz w:val="20"/>
                <w:szCs w:val="20"/>
                <w:color w:val="auto"/>
              </w:rPr>
            </w:pPr>
            <w:r>
              <w:rPr>
                <w:rFonts w:ascii="Arial" w:cs="Arial" w:eastAsia="Arial" w:hAnsi="Arial"/>
                <w:sz w:val="13"/>
                <w:szCs w:val="13"/>
                <w:color w:val="0E2A35"/>
              </w:rPr>
              <w:t>21,549</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380" w:type="dxa"/>
            <w:vAlign w:val="bottom"/>
            <w:tcBorders>
              <w:bottom w:val="single" w:sz="8" w:color="0E2A35"/>
            </w:tcBorders>
            <w:gridSpan w:val="2"/>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20" w:type="dxa"/>
            <w:vAlign w:val="bottom"/>
          </w:tcPr>
          <w:p>
            <w:pPr>
              <w:ind w:left="520"/>
              <w:spacing w:after="0"/>
              <w:rPr>
                <w:sz w:val="20"/>
                <w:szCs w:val="20"/>
                <w:color w:val="auto"/>
              </w:rPr>
            </w:pPr>
            <w:r>
              <w:rPr>
                <w:rFonts w:ascii="Arial" w:cs="Arial" w:eastAsia="Arial" w:hAnsi="Arial"/>
                <w:sz w:val="13"/>
                <w:szCs w:val="13"/>
                <w:color w:val="0E2A35"/>
                <w:w w:val="85"/>
              </w:rPr>
              <w:t>2,811​</w:t>
            </w:r>
          </w:p>
        </w:tc>
        <w:tc>
          <w:tcPr>
            <w:tcW w:w="380" w:type="dxa"/>
            <w:vAlign w:val="bottom"/>
            <w:gridSpan w:val="2"/>
          </w:tcPr>
          <w:p>
            <w:pPr>
              <w:spacing w:after="0"/>
              <w:rPr>
                <w:sz w:val="20"/>
                <w:szCs w:val="20"/>
                <w:color w:val="auto"/>
              </w:rPr>
            </w:pPr>
            <w:r>
              <w:rPr>
                <w:rFonts w:ascii="Arial" w:cs="Arial" w:eastAsia="Arial" w:hAnsi="Arial"/>
                <w:sz w:val="10"/>
                <w:szCs w:val="10"/>
                <w:color w:val="0E2A35"/>
              </w:rPr>
              <w:t>(9)</w:t>
            </w:r>
          </w:p>
        </w:tc>
        <w:tc>
          <w:tcPr>
            <w:tcW w:w="1020" w:type="dxa"/>
            <w:vAlign w:val="bottom"/>
            <w:gridSpan w:val="2"/>
          </w:tcPr>
          <w:p>
            <w:pPr>
              <w:jc w:val="right"/>
              <w:ind w:right="118"/>
              <w:spacing w:after="0"/>
              <w:rPr>
                <w:sz w:val="20"/>
                <w:szCs w:val="20"/>
                <w:color w:val="auto"/>
              </w:rPr>
            </w:pPr>
            <w:r>
              <w:rPr>
                <w:rFonts w:ascii="Arial" w:cs="Arial" w:eastAsia="Arial" w:hAnsi="Arial"/>
                <w:sz w:val="13"/>
                <w:szCs w:val="13"/>
                <w:color w:val="0E2A35"/>
              </w:rPr>
              <w:t>​ 172,089</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gridSpan w:val="3"/>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spacing w:after="0"/>
              <w:rPr>
                <w:sz w:val="20"/>
                <w:szCs w:val="20"/>
                <w:color w:val="auto"/>
              </w:rPr>
            </w:pP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spacing w:after="0"/>
              <w:rPr>
                <w:sz w:val="20"/>
                <w:szCs w:val="20"/>
                <w:color w:val="auto"/>
              </w:rPr>
            </w:pP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27"/>
              <w:spacing w:after="0"/>
              <w:rPr>
                <w:sz w:val="20"/>
                <w:szCs w:val="20"/>
                <w:color w:val="auto"/>
              </w:rPr>
            </w:pPr>
            <w:r>
              <w:rPr>
                <w:rFonts w:ascii="Arial" w:cs="Arial" w:eastAsia="Arial" w:hAnsi="Arial"/>
                <w:sz w:val="13"/>
                <w:szCs w:val="13"/>
                <w:color w:val="0E2A35"/>
              </w:rPr>
              <w:t>3,820</w:t>
            </w:r>
            <w:r>
              <w:rPr>
                <w:rFonts w:ascii="Arial" w:cs="Arial" w:eastAsia="Arial" w:hAnsi="Arial"/>
                <w:sz w:val="20"/>
                <w:szCs w:val="20"/>
                <w:color w:val="0E2A35"/>
                <w:vertAlign w:val="superscript"/>
              </w:rPr>
              <w:t>(10)</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233,860</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236"/>
        </w:trPr>
        <w:tc>
          <w:tcPr>
            <w:tcW w:w="400" w:type="dxa"/>
            <w:vAlign w:val="bottom"/>
            <w:tcBorders>
              <w:bottom w:val="single" w:sz="8" w:color="0E2A35"/>
            </w:tcBorders>
          </w:tcPr>
          <w:p>
            <w:pPr>
              <w:spacing w:after="0"/>
              <w:rPr>
                <w:sz w:val="20"/>
                <w:szCs w:val="20"/>
                <w:color w:val="auto"/>
              </w:rPr>
            </w:pPr>
          </w:p>
        </w:tc>
        <w:tc>
          <w:tcPr>
            <w:tcW w:w="80" w:type="dxa"/>
            <w:vAlign w:val="bottom"/>
            <w:tcBorders>
              <w:bottom w:val="single" w:sz="8" w:color="0E2A35"/>
            </w:tcBorders>
          </w:tcPr>
          <w:p>
            <w:pPr>
              <w:spacing w:after="0"/>
              <w:rPr>
                <w:sz w:val="20"/>
                <w:szCs w:val="20"/>
                <w:color w:val="auto"/>
              </w:rPr>
            </w:pPr>
          </w:p>
        </w:tc>
        <w:tc>
          <w:tcPr>
            <w:tcW w:w="1100" w:type="dxa"/>
            <w:vAlign w:val="bottom"/>
            <w:tcBorders>
              <w:bottom w:val="single" w:sz="8" w:color="0E2A35"/>
            </w:tcBorders>
          </w:tcPr>
          <w:p>
            <w:pPr>
              <w:spacing w:after="0"/>
              <w:rPr>
                <w:sz w:val="20"/>
                <w:szCs w:val="20"/>
                <w:color w:val="auto"/>
              </w:rPr>
            </w:pPr>
          </w:p>
        </w:tc>
        <w:tc>
          <w:tcPr>
            <w:tcW w:w="980" w:type="dxa"/>
            <w:vAlign w:val="bottom"/>
            <w:tcBorders>
              <w:bottom w:val="single" w:sz="8" w:color="0E2A35"/>
            </w:tcBorders>
          </w:tcPr>
          <w:p>
            <w:pPr>
              <w:spacing w:after="0"/>
              <w:rPr>
                <w:sz w:val="20"/>
                <w:szCs w:val="20"/>
                <w:color w:val="auto"/>
              </w:rPr>
            </w:pP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spacing w:after="0"/>
              <w:rPr>
                <w:sz w:val="20"/>
                <w:szCs w:val="20"/>
                <w:color w:val="auto"/>
              </w:rPr>
            </w:pP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27"/>
              <w:spacing w:after="0" w:line="236" w:lineRule="exact"/>
              <w:rPr>
                <w:sz w:val="20"/>
                <w:szCs w:val="20"/>
                <w:color w:val="auto"/>
              </w:rPr>
            </w:pPr>
            <w:r>
              <w:rPr>
                <w:rFonts w:ascii="Arial" w:cs="Arial" w:eastAsia="Arial" w:hAnsi="Arial"/>
                <w:sz w:val="25"/>
                <w:szCs w:val="25"/>
                <w:color w:val="0E2A35"/>
                <w:vertAlign w:val="subscript"/>
              </w:rPr>
              <w:t>728</w:t>
            </w:r>
            <w:r>
              <w:rPr>
                <w:rFonts w:ascii="Arial" w:cs="Arial" w:eastAsia="Arial" w:hAnsi="Arial"/>
                <w:sz w:val="10"/>
                <w:szCs w:val="10"/>
                <w:color w:val="0E2A35"/>
              </w:rPr>
              <w:t>(11)</w:t>
            </w:r>
          </w:p>
        </w:tc>
        <w:tc>
          <w:tcPr>
            <w:tcW w:w="340" w:type="dxa"/>
            <w:vAlign w:val="bottom"/>
            <w:tcBorders>
              <w:bottom w:val="single" w:sz="8" w:color="0E2A35"/>
            </w:tcBorders>
          </w:tcPr>
          <w:p>
            <w:pPr>
              <w:ind w:left="300"/>
              <w:spacing w:after="0"/>
              <w:rPr>
                <w:sz w:val="20"/>
                <w:szCs w:val="20"/>
                <w:color w:val="auto"/>
              </w:rPr>
            </w:pPr>
            <w:r>
              <w:rPr>
                <w:rFonts w:ascii="Arial" w:cs="Arial" w:eastAsia="Arial" w:hAnsi="Arial"/>
                <w:sz w:val="13"/>
                <w:szCs w:val="13"/>
                <w:color w:val="0E2A35"/>
              </w:rPr>
              <w:t>​</w:t>
            </w:r>
          </w:p>
        </w:tc>
        <w:tc>
          <w:tcPr>
            <w:tcW w:w="680" w:type="dxa"/>
            <w:vAlign w:val="bottom"/>
            <w:tcBorders>
              <w:bottom w:val="single" w:sz="8" w:color="0E2A35"/>
            </w:tcBorders>
          </w:tcPr>
          <w:p>
            <w:pPr>
              <w:jc w:val="right"/>
              <w:ind w:right="98"/>
              <w:spacing w:after="0"/>
              <w:rPr>
                <w:sz w:val="20"/>
                <w:szCs w:val="20"/>
                <w:color w:val="auto"/>
              </w:rPr>
            </w:pPr>
            <w:r>
              <w:rPr>
                <w:rFonts w:ascii="Arial" w:cs="Arial" w:eastAsia="Arial" w:hAnsi="Arial"/>
                <w:sz w:val="13"/>
                <w:szCs w:val="13"/>
                <w:color w:val="0E2A35"/>
              </w:rPr>
              <w:t>44,568</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195"/>
        </w:trPr>
        <w:tc>
          <w:tcPr>
            <w:tcW w:w="1580" w:type="dxa"/>
            <w:vAlign w:val="bottom"/>
            <w:gridSpan w:val="3"/>
          </w:tcPr>
          <w:p>
            <w:pPr>
              <w:ind w:left="60"/>
              <w:spacing w:after="0"/>
              <w:rPr>
                <w:sz w:val="20"/>
                <w:szCs w:val="20"/>
                <w:color w:val="auto"/>
              </w:rPr>
            </w:pPr>
            <w:r>
              <w:rPr>
                <w:rFonts w:ascii="Arial" w:cs="Arial" w:eastAsia="Arial" w:hAnsi="Arial"/>
                <w:sz w:val="13"/>
                <w:szCs w:val="13"/>
                <w:color w:val="0E2A35"/>
              </w:rPr>
              <w:t>Stacy L. Bogart</w:t>
            </w: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9,823​</w:t>
            </w:r>
          </w:p>
        </w:tc>
        <w:tc>
          <w:tcPr>
            <w:tcW w:w="720" w:type="dxa"/>
            <w:vAlign w:val="bottom"/>
          </w:tcPr>
          <w:p>
            <w:pPr>
              <w:jc w:val="right"/>
              <w:spacing w:after="0"/>
              <w:rPr>
                <w:sz w:val="20"/>
                <w:szCs w:val="20"/>
                <w:color w:val="auto"/>
              </w:rPr>
            </w:pPr>
            <w:r>
              <w:rPr>
                <w:rFonts w:ascii="Arial" w:cs="Arial" w:eastAsia="Arial" w:hAnsi="Arial"/>
                <w:sz w:val="13"/>
                <w:szCs w:val="13"/>
                <w:color w:val="0E2A35"/>
              </w:rPr>
              <w:t>—​</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(5)</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31.70</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10/15/28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380" w:type="dxa"/>
            <w:vAlign w:val="bottom"/>
            <w:tcBorders>
              <w:bottom w:val="single" w:sz="8" w:color="0E2A35"/>
            </w:tcBorders>
            <w:gridSpan w:val="2"/>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1460" w:type="dxa"/>
            <w:vAlign w:val="bottom"/>
            <w:tcBorders>
              <w:bottom w:val="single" w:sz="8" w:color="0E2A35"/>
            </w:tcBorders>
            <w:gridSpan w:val="2"/>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2,728​</w:t>
            </w:r>
          </w:p>
        </w:tc>
        <w:tc>
          <w:tcPr>
            <w:tcW w:w="720" w:type="dxa"/>
            <w:vAlign w:val="bottom"/>
          </w:tcPr>
          <w:p>
            <w:pPr>
              <w:jc w:val="right"/>
              <w:spacing w:after="0"/>
              <w:rPr>
                <w:sz w:val="20"/>
                <w:szCs w:val="20"/>
                <w:color w:val="auto"/>
              </w:rPr>
            </w:pPr>
            <w:r>
              <w:rPr>
                <w:rFonts w:ascii="Arial" w:cs="Arial" w:eastAsia="Arial" w:hAnsi="Arial"/>
                <w:sz w:val="13"/>
                <w:szCs w:val="13"/>
                <w:color w:val="0E2A35"/>
              </w:rPr>
              <w:t>1,363​</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(6)</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47.93</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12/17/29</w:t>
            </w:r>
          </w:p>
        </w:tc>
        <w:tc>
          <w:tcPr>
            <w:tcW w:w="82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380" w:type="dxa"/>
            <w:vAlign w:val="bottom"/>
            <w:tcBorders>
              <w:bottom w:val="single" w:sz="8" w:color="0E2A35"/>
            </w:tcBorders>
            <w:gridSpan w:val="2"/>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1460" w:type="dxa"/>
            <w:vAlign w:val="bottom"/>
            <w:tcBorders>
              <w:bottom w:val="single" w:sz="8" w:color="0E2A35"/>
            </w:tcBorders>
            <w:gridSpan w:val="2"/>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1,236​</w:t>
            </w:r>
          </w:p>
        </w:tc>
        <w:tc>
          <w:tcPr>
            <w:tcW w:w="720" w:type="dxa"/>
            <w:vAlign w:val="bottom"/>
          </w:tcPr>
          <w:p>
            <w:pPr>
              <w:jc w:val="right"/>
              <w:spacing w:after="0"/>
              <w:rPr>
                <w:sz w:val="20"/>
                <w:szCs w:val="20"/>
                <w:color w:val="auto"/>
              </w:rPr>
            </w:pPr>
            <w:r>
              <w:rPr>
                <w:rFonts w:ascii="Arial" w:cs="Arial" w:eastAsia="Arial" w:hAnsi="Arial"/>
                <w:sz w:val="13"/>
                <w:szCs w:val="13"/>
                <w:color w:val="0E2A35"/>
              </w:rPr>
              <w:t>2,474​</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(9)</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color w:val="0E2A35"/>
              </w:rPr>
              <w:t>54.49</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10/13/30</w:t>
            </w:r>
          </w:p>
        </w:tc>
        <w:tc>
          <w:tcPr>
            <w:tcW w:w="82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Pr>
          <w:p>
            <w:pPr>
              <w:ind w:left="9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gridSpan w:val="2"/>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380" w:type="dxa"/>
            <w:vAlign w:val="bottom"/>
            <w:tcBorders>
              <w:bottom w:val="single" w:sz="8" w:color="0E2A35"/>
            </w:tcBorders>
            <w:gridSpan w:val="2"/>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1460" w:type="dxa"/>
            <w:vAlign w:val="bottom"/>
            <w:tcBorders>
              <w:bottom w:val="single" w:sz="8" w:color="0E2A35"/>
            </w:tcBorders>
            <w:gridSpan w:val="2"/>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gridSpan w:val="2"/>
          </w:tcPr>
          <w:p>
            <w:pPr>
              <w:jc w:val="right"/>
              <w:ind w:right="120"/>
              <w:spacing w:after="0"/>
              <w:rPr>
                <w:sz w:val="20"/>
                <w:szCs w:val="20"/>
                <w:color w:val="auto"/>
              </w:rPr>
            </w:pPr>
            <w:r>
              <w:rPr>
                <w:rFonts w:ascii="Arial" w:cs="Arial" w:eastAsia="Arial" w:hAnsi="Arial"/>
                <w:sz w:val="13"/>
                <w:szCs w:val="13"/>
                <w:color w:val="0E2A35"/>
              </w:rPr>
              <w:t>3,255</w:t>
            </w:r>
            <w:r>
              <w:rPr>
                <w:rFonts w:ascii="Arial" w:cs="Arial" w:eastAsia="Arial" w:hAnsi="Arial"/>
                <w:sz w:val="20"/>
                <w:szCs w:val="20"/>
                <w:color w:val="0E2A35"/>
                <w:vertAlign w:val="superscript"/>
              </w:rPr>
              <w:t>(10)</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75.59</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10/12/31</w:t>
            </w: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Borders>
              <w:bottom w:val="single" w:sz="8" w:color="0E2A35"/>
            </w:tcBorders>
          </w:tcPr>
          <w:p>
            <w:pPr>
              <w:ind w:left="940"/>
              <w:spacing w:after="0"/>
              <w:rPr>
                <w:sz w:val="20"/>
                <w:szCs w:val="20"/>
                <w:color w:val="auto"/>
              </w:rPr>
            </w:pPr>
            <w:r>
              <w:rPr>
                <w:rFonts w:ascii="Arial" w:cs="Arial" w:eastAsia="Arial" w:hAnsi="Arial"/>
                <w:sz w:val="13"/>
                <w:szCs w:val="13"/>
                <w:color w:val="0E2A35"/>
              </w:rPr>
              <w:t>​</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4,825</w:t>
            </w:r>
            <w:r>
              <w:rPr>
                <w:rFonts w:ascii="Arial" w:cs="Arial" w:eastAsia="Arial" w:hAnsi="Arial"/>
                <w:sz w:val="20"/>
                <w:szCs w:val="20"/>
                <w:color w:val="0E2A35"/>
                <w:vertAlign w:val="superscript"/>
              </w:rPr>
              <w:t>(12)</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295,387</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4,643</w:t>
            </w:r>
            <w:r>
              <w:rPr>
                <w:rFonts w:ascii="Arial" w:cs="Arial" w:eastAsia="Arial" w:hAnsi="Arial"/>
                <w:sz w:val="20"/>
                <w:szCs w:val="20"/>
                <w:color w:val="0E2A35"/>
                <w:vertAlign w:val="superscript"/>
              </w:rPr>
              <w:t>(13)</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284,244</w:t>
            </w: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2,936</w:t>
            </w:r>
            <w:r>
              <w:rPr>
                <w:rFonts w:ascii="Arial" w:cs="Arial" w:eastAsia="Arial" w:hAnsi="Arial"/>
                <w:sz w:val="20"/>
                <w:szCs w:val="20"/>
                <w:color w:val="0E2A35"/>
                <w:vertAlign w:val="superscript"/>
              </w:rPr>
              <w:t>(14)</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179,742</w:t>
            </w: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820" w:type="dxa"/>
            <w:vAlign w:val="bottom"/>
            <w:tcBorders>
              <w:bottom w:val="single" w:sz="8" w:color="0E2A35"/>
            </w:tcBorders>
          </w:tcPr>
          <w:p>
            <w:pPr>
              <w:spacing w:after="0"/>
              <w:rPr>
                <w:sz w:val="20"/>
                <w:szCs w:val="20"/>
                <w:color w:val="auto"/>
              </w:rPr>
            </w:pPr>
          </w:p>
        </w:tc>
        <w:tc>
          <w:tcPr>
            <w:tcW w:w="380" w:type="dxa"/>
            <w:vAlign w:val="bottom"/>
            <w:tcBorders>
              <w:bottom w:val="single" w:sz="8" w:color="0E2A35"/>
            </w:tcBorders>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1460" w:type="dxa"/>
            <w:vAlign w:val="bottom"/>
            <w:tcBorders>
              <w:bottom w:val="single" w:sz="8" w:color="0E2A35"/>
            </w:tcBorders>
            <w:gridSpan w:val="2"/>
          </w:tcPr>
          <w:p>
            <w:pPr>
              <w:jc w:val="right"/>
              <w:ind w:right="268"/>
              <w:spacing w:after="0"/>
              <w:rPr>
                <w:sz w:val="20"/>
                <w:szCs w:val="20"/>
                <w:color w:val="auto"/>
              </w:rPr>
            </w:pPr>
            <w:r>
              <w:rPr>
                <w:rFonts w:ascii="Arial" w:cs="Arial" w:eastAsia="Arial" w:hAnsi="Arial"/>
                <w:sz w:val="13"/>
                <w:szCs w:val="13"/>
                <w:color w:val="0E2A35"/>
              </w:rPr>
              <w:t>4,376</w:t>
            </w:r>
            <w:r>
              <w:rPr>
                <w:rFonts w:ascii="Arial" w:cs="Arial" w:eastAsia="Arial" w:hAnsi="Arial"/>
                <w:sz w:val="20"/>
                <w:szCs w:val="20"/>
                <w:color w:val="0E2A35"/>
                <w:vertAlign w:val="superscript"/>
              </w:rPr>
              <w:t>(15)</w:t>
            </w:r>
          </w:p>
        </w:tc>
        <w:tc>
          <w:tcPr>
            <w:tcW w:w="1340" w:type="dxa"/>
            <w:vAlign w:val="bottom"/>
            <w:tcBorders>
              <w:bottom w:val="single" w:sz="8" w:color="0E2A35"/>
            </w:tcBorders>
          </w:tcPr>
          <w:p>
            <w:pPr>
              <w:ind w:left="400"/>
              <w:spacing w:after="0"/>
              <w:rPr>
                <w:sz w:val="20"/>
                <w:szCs w:val="20"/>
                <w:color w:val="auto"/>
              </w:rPr>
            </w:pPr>
            <w:r>
              <w:rPr>
                <w:rFonts w:ascii="Arial" w:cs="Arial" w:eastAsia="Arial" w:hAnsi="Arial"/>
                <w:sz w:val="13"/>
                <w:szCs w:val="13"/>
                <w:color w:val="0E2A35"/>
              </w:rPr>
              <w:t>​ 267,899</w:t>
            </w: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1,126​</w:t>
            </w:r>
          </w:p>
        </w:tc>
        <w:tc>
          <w:tcPr>
            <w:tcW w:w="360" w:type="dxa"/>
            <w:vAlign w:val="bottom"/>
          </w:tcPr>
          <w:p>
            <w:pPr>
              <w:spacing w:after="0"/>
              <w:rPr>
                <w:sz w:val="20"/>
                <w:szCs w:val="20"/>
                <w:color w:val="auto"/>
              </w:rPr>
            </w:pPr>
            <w:r>
              <w:rPr>
                <w:rFonts w:ascii="Arial" w:cs="Arial" w:eastAsia="Arial" w:hAnsi="Arial"/>
                <w:sz w:val="10"/>
                <w:szCs w:val="10"/>
                <w:color w:val="0E2A35"/>
              </w:rPr>
              <w:t>(6)</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680" w:type="dxa"/>
            <w:vAlign w:val="bottom"/>
          </w:tcPr>
          <w:p>
            <w:pPr>
              <w:jc w:val="right"/>
              <w:ind w:right="98"/>
              <w:spacing w:after="0"/>
              <w:rPr>
                <w:sz w:val="20"/>
                <w:szCs w:val="20"/>
                <w:color w:val="auto"/>
              </w:rPr>
            </w:pPr>
            <w:r>
              <w:rPr>
                <w:rFonts w:ascii="Arial" w:cs="Arial" w:eastAsia="Arial" w:hAnsi="Arial"/>
                <w:sz w:val="13"/>
                <w:szCs w:val="13"/>
                <w:color w:val="0E2A35"/>
              </w:rPr>
              <w:t>68,934</w:t>
            </w:r>
          </w:p>
        </w:tc>
        <w:tc>
          <w:tcPr>
            <w:tcW w:w="1460" w:type="dxa"/>
            <w:vAlign w:val="bottom"/>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40" w:type="dxa"/>
            <w:vAlign w:val="bottom"/>
            <w:tcBorders>
              <w:bottom w:val="single" w:sz="8" w:color="0E2A35"/>
            </w:tcBorders>
            <w:gridSpan w:val="2"/>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1460" w:type="dxa"/>
            <w:vAlign w:val="bottom"/>
            <w:tcBorders>
              <w:bottom w:val="single" w:sz="8" w:color="0E2A35"/>
            </w:tcBorders>
            <w:gridSpan w:val="2"/>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306​</w:t>
            </w:r>
          </w:p>
        </w:tc>
        <w:tc>
          <w:tcPr>
            <w:tcW w:w="360" w:type="dxa"/>
            <w:vAlign w:val="bottom"/>
          </w:tcPr>
          <w:p>
            <w:pPr>
              <w:spacing w:after="0"/>
              <w:rPr>
                <w:sz w:val="20"/>
                <w:szCs w:val="20"/>
                <w:color w:val="auto"/>
              </w:rPr>
            </w:pPr>
            <w:r>
              <w:rPr>
                <w:rFonts w:ascii="Arial" w:cs="Arial" w:eastAsia="Arial" w:hAnsi="Arial"/>
                <w:sz w:val="10"/>
                <w:szCs w:val="10"/>
                <w:color w:val="0E2A35"/>
              </w:rPr>
              <w:t>(7)</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680" w:type="dxa"/>
            <w:vAlign w:val="bottom"/>
          </w:tcPr>
          <w:p>
            <w:pPr>
              <w:jc w:val="right"/>
              <w:ind w:right="98"/>
              <w:spacing w:after="0"/>
              <w:rPr>
                <w:sz w:val="20"/>
                <w:szCs w:val="20"/>
                <w:color w:val="auto"/>
              </w:rPr>
            </w:pPr>
            <w:r>
              <w:rPr>
                <w:rFonts w:ascii="Arial" w:cs="Arial" w:eastAsia="Arial" w:hAnsi="Arial"/>
                <w:sz w:val="13"/>
                <w:szCs w:val="13"/>
                <w:color w:val="0E2A35"/>
              </w:rPr>
              <w:t>18,733</w:t>
            </w:r>
          </w:p>
        </w:tc>
        <w:tc>
          <w:tcPr>
            <w:tcW w:w="1460" w:type="dxa"/>
            <w:vAlign w:val="bottom"/>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gridSpan w:val="3"/>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spacing w:after="0"/>
              <w:rPr>
                <w:sz w:val="20"/>
                <w:szCs w:val="20"/>
                <w:color w:val="auto"/>
              </w:rPr>
            </w:pP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spacing w:after="0"/>
              <w:rPr>
                <w:sz w:val="20"/>
                <w:szCs w:val="20"/>
                <w:color w:val="auto"/>
              </w:rPr>
            </w:pP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87"/>
              <w:spacing w:after="0"/>
              <w:rPr>
                <w:sz w:val="20"/>
                <w:szCs w:val="20"/>
                <w:color w:val="auto"/>
              </w:rPr>
            </w:pPr>
            <w:r>
              <w:rPr>
                <w:rFonts w:ascii="Arial" w:cs="Arial" w:eastAsia="Arial" w:hAnsi="Arial"/>
                <w:sz w:val="13"/>
                <w:szCs w:val="13"/>
                <w:color w:val="0E2A35"/>
              </w:rPr>
              <w:t>2,167</w:t>
            </w:r>
            <w:r>
              <w:rPr>
                <w:rFonts w:ascii="Arial" w:cs="Arial" w:eastAsia="Arial" w:hAnsi="Arial"/>
                <w:sz w:val="20"/>
                <w:szCs w:val="20"/>
                <w:color w:val="0E2A35"/>
                <w:vertAlign w:val="superscript"/>
              </w:rPr>
              <w:t>(9)</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132,664</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spacing w:after="0"/>
              <w:rPr>
                <w:sz w:val="20"/>
                <w:szCs w:val="20"/>
                <w:color w:val="auto"/>
              </w:rPr>
            </w:pP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spacing w:after="0"/>
              <w:rPr>
                <w:sz w:val="20"/>
                <w:szCs w:val="20"/>
                <w:color w:val="auto"/>
              </w:rPr>
            </w:pP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27"/>
              <w:spacing w:after="0"/>
              <w:rPr>
                <w:sz w:val="20"/>
                <w:szCs w:val="20"/>
                <w:color w:val="auto"/>
              </w:rPr>
            </w:pPr>
            <w:r>
              <w:rPr>
                <w:rFonts w:ascii="Arial" w:cs="Arial" w:eastAsia="Arial" w:hAnsi="Arial"/>
                <w:sz w:val="13"/>
                <w:szCs w:val="13"/>
                <w:color w:val="0E2A35"/>
              </w:rPr>
              <w:t>3,063</w:t>
            </w:r>
            <w:r>
              <w:rPr>
                <w:rFonts w:ascii="Arial" w:cs="Arial" w:eastAsia="Arial" w:hAnsi="Arial"/>
                <w:sz w:val="20"/>
                <w:szCs w:val="20"/>
                <w:color w:val="0E2A35"/>
                <w:vertAlign w:val="superscript"/>
              </w:rPr>
              <w:t>(10)</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187,517</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236"/>
        </w:trPr>
        <w:tc>
          <w:tcPr>
            <w:tcW w:w="400" w:type="dxa"/>
            <w:vAlign w:val="bottom"/>
            <w:tcBorders>
              <w:bottom w:val="single" w:sz="8" w:color="0E2A35"/>
            </w:tcBorders>
          </w:tcPr>
          <w:p>
            <w:pPr>
              <w:spacing w:after="0"/>
              <w:rPr>
                <w:sz w:val="20"/>
                <w:szCs w:val="20"/>
                <w:color w:val="auto"/>
              </w:rPr>
            </w:pPr>
          </w:p>
        </w:tc>
        <w:tc>
          <w:tcPr>
            <w:tcW w:w="80" w:type="dxa"/>
            <w:vAlign w:val="bottom"/>
            <w:tcBorders>
              <w:bottom w:val="single" w:sz="8" w:color="0E2A35"/>
            </w:tcBorders>
          </w:tcPr>
          <w:p>
            <w:pPr>
              <w:spacing w:after="0"/>
              <w:rPr>
                <w:sz w:val="20"/>
                <w:szCs w:val="20"/>
                <w:color w:val="auto"/>
              </w:rPr>
            </w:pPr>
          </w:p>
        </w:tc>
        <w:tc>
          <w:tcPr>
            <w:tcW w:w="1100" w:type="dxa"/>
            <w:vAlign w:val="bottom"/>
            <w:tcBorders>
              <w:bottom w:val="single" w:sz="8" w:color="0E2A35"/>
            </w:tcBorders>
          </w:tcPr>
          <w:p>
            <w:pPr>
              <w:spacing w:after="0"/>
              <w:rPr>
                <w:sz w:val="20"/>
                <w:szCs w:val="20"/>
                <w:color w:val="auto"/>
              </w:rPr>
            </w:pPr>
          </w:p>
        </w:tc>
        <w:tc>
          <w:tcPr>
            <w:tcW w:w="980" w:type="dxa"/>
            <w:vAlign w:val="bottom"/>
            <w:tcBorders>
              <w:bottom w:val="single" w:sz="8" w:color="0E2A35"/>
            </w:tcBorders>
          </w:tcPr>
          <w:p>
            <w:pPr>
              <w:spacing w:after="0"/>
              <w:rPr>
                <w:sz w:val="20"/>
                <w:szCs w:val="20"/>
                <w:color w:val="auto"/>
              </w:rPr>
            </w:pP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spacing w:after="0"/>
              <w:rPr>
                <w:sz w:val="20"/>
                <w:szCs w:val="20"/>
                <w:color w:val="auto"/>
              </w:rPr>
            </w:pP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27"/>
              <w:spacing w:after="0" w:line="236" w:lineRule="exact"/>
              <w:rPr>
                <w:sz w:val="20"/>
                <w:szCs w:val="20"/>
                <w:color w:val="auto"/>
              </w:rPr>
            </w:pPr>
            <w:r>
              <w:rPr>
                <w:rFonts w:ascii="Arial" w:cs="Arial" w:eastAsia="Arial" w:hAnsi="Arial"/>
                <w:sz w:val="25"/>
                <w:szCs w:val="25"/>
                <w:color w:val="0E2A35"/>
                <w:vertAlign w:val="subscript"/>
              </w:rPr>
              <w:t>648</w:t>
            </w:r>
            <w:r>
              <w:rPr>
                <w:rFonts w:ascii="Arial" w:cs="Arial" w:eastAsia="Arial" w:hAnsi="Arial"/>
                <w:sz w:val="10"/>
                <w:szCs w:val="10"/>
                <w:color w:val="0E2A35"/>
              </w:rPr>
              <w:t>(11)</w:t>
            </w:r>
          </w:p>
        </w:tc>
        <w:tc>
          <w:tcPr>
            <w:tcW w:w="340" w:type="dxa"/>
            <w:vAlign w:val="bottom"/>
            <w:tcBorders>
              <w:bottom w:val="single" w:sz="8" w:color="0E2A35"/>
            </w:tcBorders>
          </w:tcPr>
          <w:p>
            <w:pPr>
              <w:ind w:left="300"/>
              <w:spacing w:after="0"/>
              <w:rPr>
                <w:sz w:val="20"/>
                <w:szCs w:val="20"/>
                <w:color w:val="auto"/>
              </w:rPr>
            </w:pPr>
            <w:r>
              <w:rPr>
                <w:rFonts w:ascii="Arial" w:cs="Arial" w:eastAsia="Arial" w:hAnsi="Arial"/>
                <w:sz w:val="13"/>
                <w:szCs w:val="13"/>
                <w:color w:val="0E2A35"/>
              </w:rPr>
              <w:t>​</w:t>
            </w:r>
          </w:p>
        </w:tc>
        <w:tc>
          <w:tcPr>
            <w:tcW w:w="680" w:type="dxa"/>
            <w:vAlign w:val="bottom"/>
            <w:tcBorders>
              <w:bottom w:val="single" w:sz="8" w:color="0E2A35"/>
            </w:tcBorders>
          </w:tcPr>
          <w:p>
            <w:pPr>
              <w:jc w:val="right"/>
              <w:ind w:right="98"/>
              <w:spacing w:after="0"/>
              <w:rPr>
                <w:sz w:val="20"/>
                <w:szCs w:val="20"/>
                <w:color w:val="auto"/>
              </w:rPr>
            </w:pPr>
            <w:r>
              <w:rPr>
                <w:rFonts w:ascii="Arial" w:cs="Arial" w:eastAsia="Arial" w:hAnsi="Arial"/>
                <w:sz w:val="13"/>
                <w:szCs w:val="13"/>
                <w:color w:val="0E2A35"/>
              </w:rPr>
              <w:t>39,671</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195"/>
        </w:trPr>
        <w:tc>
          <w:tcPr>
            <w:tcW w:w="1580" w:type="dxa"/>
            <w:vAlign w:val="bottom"/>
            <w:gridSpan w:val="3"/>
          </w:tcPr>
          <w:p>
            <w:pPr>
              <w:ind w:left="60"/>
              <w:spacing w:after="0"/>
              <w:rPr>
                <w:sz w:val="20"/>
                <w:szCs w:val="20"/>
                <w:color w:val="auto"/>
              </w:rPr>
            </w:pPr>
            <w:r>
              <w:rPr>
                <w:rFonts w:ascii="Arial" w:cs="Arial" w:eastAsia="Arial" w:hAnsi="Arial"/>
                <w:sz w:val="13"/>
                <w:szCs w:val="13"/>
                <w:color w:val="0E2A35"/>
              </w:rPr>
              <w:t>Huw S. Bower</w:t>
            </w: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2,419​</w:t>
            </w:r>
          </w:p>
        </w:tc>
        <w:tc>
          <w:tcPr>
            <w:tcW w:w="720" w:type="dxa"/>
            <w:vAlign w:val="bottom"/>
          </w:tcPr>
          <w:p>
            <w:pPr>
              <w:jc w:val="right"/>
              <w:spacing w:after="0"/>
              <w:rPr>
                <w:sz w:val="20"/>
                <w:szCs w:val="20"/>
                <w:color w:val="auto"/>
              </w:rPr>
            </w:pPr>
            <w:r>
              <w:rPr>
                <w:rFonts w:ascii="Arial" w:cs="Arial" w:eastAsia="Arial" w:hAnsi="Arial"/>
                <w:sz w:val="13"/>
                <w:szCs w:val="13"/>
                <w:color w:val="0E2A35"/>
              </w:rPr>
              <w:t>4,839​</w:t>
            </w:r>
          </w:p>
        </w:tc>
        <w:tc>
          <w:tcPr>
            <w:tcW w:w="360" w:type="dxa"/>
            <w:vAlign w:val="bottom"/>
          </w:tcPr>
          <w:p>
            <w:pPr>
              <w:jc w:val="right"/>
              <w:ind w:right="180"/>
              <w:spacing w:after="0"/>
              <w:rPr>
                <w:sz w:val="20"/>
                <w:szCs w:val="20"/>
                <w:color w:val="auto"/>
              </w:rPr>
            </w:pPr>
            <w:r>
              <w:rPr>
                <w:rFonts w:ascii="Arial" w:cs="Arial" w:eastAsia="Arial" w:hAnsi="Arial"/>
                <w:sz w:val="10"/>
                <w:szCs w:val="10"/>
                <w:color w:val="0E2A35"/>
                <w:w w:val="81"/>
              </w:rPr>
              <w:t>(9)</w:t>
            </w:r>
          </w:p>
        </w:tc>
        <w:tc>
          <w:tcPr>
            <w:tcW w:w="340" w:type="dxa"/>
            <w:vAlign w:val="bottom"/>
          </w:tcPr>
          <w:p>
            <w:pPr>
              <w:ind w:left="200"/>
              <w:spacing w:after="0"/>
              <w:rPr>
                <w:sz w:val="20"/>
                <w:szCs w:val="20"/>
                <w:color w:val="auto"/>
              </w:rPr>
            </w:pPr>
            <w:r>
              <w:rPr>
                <w:rFonts w:ascii="Arial" w:cs="Arial" w:eastAsia="Arial" w:hAnsi="Arial"/>
                <w:sz w:val="13"/>
                <w:szCs w:val="13"/>
                <w:color w:val="0E2A35"/>
                <w:w w:val="82"/>
              </w:rPr>
              <w:t>54​</w:t>
            </w:r>
          </w:p>
        </w:tc>
        <w:tc>
          <w:tcPr>
            <w:tcW w:w="420" w:type="dxa"/>
            <w:vAlign w:val="bottom"/>
          </w:tcPr>
          <w:p>
            <w:pPr>
              <w:jc w:val="right"/>
              <w:ind w:right="177"/>
              <w:spacing w:after="0"/>
              <w:rPr>
                <w:sz w:val="20"/>
                <w:szCs w:val="20"/>
                <w:color w:val="auto"/>
              </w:rPr>
            </w:pPr>
            <w:r>
              <w:rPr>
                <w:rFonts w:ascii="Arial" w:cs="Arial" w:eastAsia="Arial" w:hAnsi="Arial"/>
                <w:sz w:val="13"/>
                <w:szCs w:val="13"/>
                <w:color w:val="0E2A35"/>
                <w:w w:val="88"/>
              </w:rPr>
              <w:t>.49</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10/13/30​</w:t>
            </w:r>
          </w:p>
        </w:tc>
        <w:tc>
          <w:tcPr>
            <w:tcW w:w="82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Pr>
          <w:p>
            <w:pPr>
              <w:spacing w:after="0"/>
              <w:rPr>
                <w:sz w:val="17"/>
                <w:szCs w:val="17"/>
                <w:color w:val="auto"/>
              </w:rPr>
            </w:pP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gridSpan w:val="2"/>
          </w:tcPr>
          <w:p>
            <w:pPr>
              <w:spacing w:after="0"/>
              <w:rPr>
                <w:sz w:val="3"/>
                <w:szCs w:val="3"/>
                <w:color w:val="auto"/>
              </w:rPr>
            </w:pPr>
          </w:p>
        </w:tc>
        <w:tc>
          <w:tcPr>
            <w:tcW w:w="760" w:type="dxa"/>
            <w:vAlign w:val="bottom"/>
            <w:tcBorders>
              <w:bottom w:val="single" w:sz="8" w:color="0E2A35"/>
            </w:tcBorders>
            <w:gridSpan w:val="2"/>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58"/>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gridSpan w:val="2"/>
          </w:tcPr>
          <w:p>
            <w:pPr>
              <w:jc w:val="right"/>
              <w:ind w:right="120"/>
              <w:spacing w:after="0"/>
              <w:rPr>
                <w:sz w:val="20"/>
                <w:szCs w:val="20"/>
                <w:color w:val="auto"/>
              </w:rPr>
            </w:pPr>
            <w:r>
              <w:rPr>
                <w:rFonts w:ascii="Arial" w:cs="Arial" w:eastAsia="Arial" w:hAnsi="Arial"/>
                <w:sz w:val="13"/>
                <w:szCs w:val="13"/>
                <w:color w:val="0E2A35"/>
              </w:rPr>
              <w:t>5,017</w:t>
            </w:r>
            <w:r>
              <w:rPr>
                <w:rFonts w:ascii="Arial" w:cs="Arial" w:eastAsia="Arial" w:hAnsi="Arial"/>
                <w:sz w:val="20"/>
                <w:szCs w:val="20"/>
                <w:color w:val="0E2A35"/>
                <w:vertAlign w:val="superscript"/>
              </w:rPr>
              <w:t>(10)</w:t>
            </w:r>
          </w:p>
        </w:tc>
        <w:tc>
          <w:tcPr>
            <w:tcW w:w="760" w:type="dxa"/>
            <w:vAlign w:val="bottom"/>
            <w:tcBorders>
              <w:bottom w:val="single" w:sz="8" w:color="0E2A35"/>
            </w:tcBorders>
            <w:gridSpan w:val="2"/>
          </w:tcPr>
          <w:p>
            <w:pPr>
              <w:jc w:val="right"/>
              <w:ind w:right="177"/>
              <w:spacing w:after="0"/>
              <w:rPr>
                <w:sz w:val="20"/>
                <w:szCs w:val="20"/>
                <w:color w:val="auto"/>
              </w:rPr>
            </w:pPr>
            <w:r>
              <w:rPr>
                <w:rFonts w:ascii="Arial" w:cs="Arial" w:eastAsia="Arial" w:hAnsi="Arial"/>
                <w:sz w:val="13"/>
                <w:szCs w:val="13"/>
                <w:color w:val="0E2A35"/>
              </w:rPr>
              <w:t>75.59</w:t>
            </w:r>
          </w:p>
        </w:tc>
        <w:tc>
          <w:tcPr>
            <w:tcW w:w="740" w:type="dxa"/>
            <w:vAlign w:val="bottom"/>
            <w:tcBorders>
              <w:bottom w:val="single" w:sz="8" w:color="0E2A35"/>
            </w:tcBorders>
          </w:tcPr>
          <w:p>
            <w:pPr>
              <w:jc w:val="right"/>
              <w:ind w:right="17"/>
              <w:spacing w:after="0"/>
              <w:rPr>
                <w:sz w:val="20"/>
                <w:szCs w:val="20"/>
                <w:color w:val="auto"/>
              </w:rPr>
            </w:pPr>
            <w:r>
              <w:rPr>
                <w:rFonts w:ascii="Arial" w:cs="Arial" w:eastAsia="Arial" w:hAnsi="Arial"/>
                <w:sz w:val="13"/>
                <w:szCs w:val="13"/>
                <w:color w:val="0E2A35"/>
              </w:rPr>
              <w:t>10/12/31</w:t>
            </w:r>
          </w:p>
        </w:tc>
        <w:tc>
          <w:tcPr>
            <w:tcW w:w="820" w:type="dxa"/>
            <w:vAlign w:val="bottom"/>
            <w:tcBorders>
              <w:bottom w:val="single" w:sz="8" w:color="0E2A35"/>
            </w:tcBorders>
          </w:tcPr>
          <w:p>
            <w:pPr>
              <w:spacing w:after="0"/>
              <w:rPr>
                <w:sz w:val="20"/>
                <w:szCs w:val="20"/>
                <w:color w:val="auto"/>
              </w:rPr>
            </w:pPr>
          </w:p>
        </w:tc>
        <w:tc>
          <w:tcPr>
            <w:tcW w:w="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spacing w:after="0"/>
              <w:rPr>
                <w:sz w:val="20"/>
                <w:szCs w:val="20"/>
                <w:color w:val="auto"/>
              </w:rPr>
            </w:pPr>
          </w:p>
        </w:tc>
        <w:tc>
          <w:tcPr>
            <w:tcW w:w="340" w:type="dxa"/>
            <w:vAlign w:val="bottom"/>
            <w:tcBorders>
              <w:bottom w:val="single" w:sz="8" w:color="0E2A35"/>
            </w:tcBorders>
          </w:tcPr>
          <w:p>
            <w:pPr>
              <w:spacing w:after="0"/>
              <w:rPr>
                <w:sz w:val="20"/>
                <w:szCs w:val="20"/>
                <w:color w:val="auto"/>
              </w:rPr>
            </w:pPr>
          </w:p>
        </w:tc>
        <w:tc>
          <w:tcPr>
            <w:tcW w:w="680" w:type="dxa"/>
            <w:vAlign w:val="bottom"/>
            <w:tcBorders>
              <w:bottom w:val="single" w:sz="8" w:color="0E2A35"/>
            </w:tcBorders>
          </w:tcPr>
          <w:p>
            <w:pPr>
              <w:spacing w:after="0"/>
              <w:rPr>
                <w:sz w:val="20"/>
                <w:szCs w:val="20"/>
                <w:color w:val="auto"/>
              </w:rPr>
            </w:pP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87"/>
              <w:spacing w:after="0"/>
              <w:rPr>
                <w:sz w:val="20"/>
                <w:szCs w:val="20"/>
                <w:color w:val="auto"/>
              </w:rPr>
            </w:pPr>
            <w:r>
              <w:rPr>
                <w:rFonts w:ascii="Arial" w:cs="Arial" w:eastAsia="Arial" w:hAnsi="Arial"/>
                <w:sz w:val="13"/>
                <w:szCs w:val="13"/>
                <w:color w:val="0E2A35"/>
              </w:rPr>
              <w:t>10,878</w:t>
            </w:r>
            <w:r>
              <w:rPr>
                <w:rFonts w:ascii="Arial" w:cs="Arial" w:eastAsia="Arial" w:hAnsi="Arial"/>
                <w:sz w:val="20"/>
                <w:szCs w:val="20"/>
                <w:color w:val="0E2A35"/>
                <w:vertAlign w:val="superscript"/>
              </w:rPr>
              <w:t>(8)</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665,951</w:t>
            </w:r>
          </w:p>
        </w:tc>
        <w:tc>
          <w:tcPr>
            <w:tcW w:w="1460" w:type="dxa"/>
            <w:vAlign w:val="bottom"/>
            <w:tcBorders>
              <w:bottom w:val="single" w:sz="8" w:color="0E2A35"/>
            </w:tcBorders>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Borders>
              <w:bottom w:val="single" w:sz="8" w:color="0E2A35"/>
            </w:tcBorders>
          </w:tcPr>
          <w:p>
            <w:pPr>
              <w:spacing w:after="0"/>
              <w:rPr>
                <w:sz w:val="20"/>
                <w:szCs w:val="20"/>
                <w:color w:val="auto"/>
              </w:rPr>
            </w:pPr>
          </w:p>
        </w:tc>
      </w:tr>
      <w:tr>
        <w:trPr>
          <w:trHeight w:val="236"/>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87"/>
              <w:spacing w:after="0"/>
              <w:rPr>
                <w:sz w:val="20"/>
                <w:szCs w:val="20"/>
                <w:color w:val="auto"/>
              </w:rPr>
            </w:pPr>
            <w:r>
              <w:rPr>
                <w:rFonts w:ascii="Arial" w:cs="Arial" w:eastAsia="Arial" w:hAnsi="Arial"/>
                <w:sz w:val="13"/>
                <w:szCs w:val="13"/>
                <w:color w:val="0E2A35"/>
              </w:rPr>
              <w:t>4,240</w:t>
            </w:r>
            <w:r>
              <w:rPr>
                <w:rFonts w:ascii="Arial" w:cs="Arial" w:eastAsia="Arial" w:hAnsi="Arial"/>
                <w:sz w:val="20"/>
                <w:szCs w:val="20"/>
                <w:color w:val="0E2A35"/>
                <w:vertAlign w:val="superscript"/>
              </w:rPr>
              <w:t>(9)</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259,573</w:t>
            </w:r>
          </w:p>
        </w:tc>
        <w:tc>
          <w:tcPr>
            <w:tcW w:w="1460" w:type="dxa"/>
            <w:vAlign w:val="bottom"/>
            <w:tcBorders>
              <w:bottom w:val="single" w:sz="8" w:color="0E2A35"/>
            </w:tcBorders>
            <w:gridSpan w:val="2"/>
          </w:tcPr>
          <w:p>
            <w:pPr>
              <w:ind w:left="940"/>
              <w:spacing w:after="0"/>
              <w:rPr>
                <w:sz w:val="20"/>
                <w:szCs w:val="20"/>
                <w:color w:val="auto"/>
              </w:rPr>
            </w:pPr>
            <w:r>
              <w:rPr>
                <w:rFonts w:ascii="Arial" w:cs="Arial" w:eastAsia="Arial" w:hAnsi="Arial"/>
                <w:sz w:val="13"/>
                <w:szCs w:val="13"/>
                <w:color w:val="0E2A35"/>
              </w:rPr>
              <w:t>​</w:t>
            </w:r>
          </w:p>
        </w:tc>
        <w:tc>
          <w:tcPr>
            <w:tcW w:w="1340" w:type="dxa"/>
            <w:vAlign w:val="bottom"/>
            <w:tcBorders>
              <w:bottom w:val="single" w:sz="8" w:color="0E2A35"/>
            </w:tcBorders>
          </w:tcPr>
          <w:p>
            <w:pPr>
              <w:spacing w:after="0"/>
              <w:rPr>
                <w:sz w:val="20"/>
                <w:szCs w:val="20"/>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0E2A35"/>
            </w:tcBorders>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Borders>
              <w:bottom w:val="single" w:sz="8" w:color="0E2A35"/>
            </w:tcBorders>
          </w:tcPr>
          <w:p>
            <w:pPr>
              <w:spacing w:after="0"/>
              <w:rPr>
                <w:sz w:val="20"/>
                <w:szCs w:val="20"/>
                <w:color w:val="auto"/>
              </w:rPr>
            </w:pPr>
          </w:p>
        </w:tc>
        <w:tc>
          <w:tcPr>
            <w:tcW w:w="360" w:type="dxa"/>
            <w:vAlign w:val="bottom"/>
            <w:tcBorders>
              <w:bottom w:val="single" w:sz="8" w:color="0E2A35"/>
            </w:tcBorders>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Borders>
              <w:bottom w:val="single" w:sz="8" w:color="0E2A35"/>
            </w:tcBorders>
          </w:tcPr>
          <w:p>
            <w:pPr>
              <w:spacing w:after="0"/>
              <w:rPr>
                <w:sz w:val="20"/>
                <w:szCs w:val="20"/>
                <w:color w:val="auto"/>
              </w:rPr>
            </w:pPr>
          </w:p>
        </w:tc>
        <w:tc>
          <w:tcPr>
            <w:tcW w:w="420" w:type="dxa"/>
            <w:vAlign w:val="bottom"/>
            <w:tcBorders>
              <w:bottom w:val="single" w:sz="8" w:color="0E2A35"/>
            </w:tcBorders>
          </w:tcPr>
          <w:p>
            <w:pPr>
              <w:spacing w:after="0"/>
              <w:rPr>
                <w:sz w:val="20"/>
                <w:szCs w:val="20"/>
                <w:color w:val="auto"/>
              </w:rPr>
            </w:pPr>
          </w:p>
        </w:tc>
        <w:tc>
          <w:tcPr>
            <w:tcW w:w="740" w:type="dxa"/>
            <w:vAlign w:val="bottom"/>
            <w:tcBorders>
              <w:bottom w:val="single" w:sz="8" w:color="0E2A35"/>
            </w:tcBorders>
          </w:tcPr>
          <w:p>
            <w:pPr>
              <w:spacing w:after="0"/>
              <w:rPr>
                <w:sz w:val="20"/>
                <w:szCs w:val="20"/>
                <w:color w:val="auto"/>
              </w:rPr>
            </w:pPr>
          </w:p>
        </w:tc>
        <w:tc>
          <w:tcPr>
            <w:tcW w:w="1200" w:type="dxa"/>
            <w:vAlign w:val="bottom"/>
            <w:tcBorders>
              <w:bottom w:val="single" w:sz="8" w:color="0E2A35"/>
            </w:tcBorders>
            <w:gridSpan w:val="3"/>
          </w:tcPr>
          <w:p>
            <w:pPr>
              <w:jc w:val="right"/>
              <w:ind w:right="127"/>
              <w:spacing w:after="0"/>
              <w:rPr>
                <w:sz w:val="20"/>
                <w:szCs w:val="20"/>
                <w:color w:val="auto"/>
              </w:rPr>
            </w:pPr>
            <w:r>
              <w:rPr>
                <w:rFonts w:ascii="Arial" w:cs="Arial" w:eastAsia="Arial" w:hAnsi="Arial"/>
                <w:sz w:val="13"/>
                <w:szCs w:val="13"/>
                <w:color w:val="0E2A35"/>
              </w:rPr>
              <w:t>4,721</w:t>
            </w:r>
            <w:r>
              <w:rPr>
                <w:rFonts w:ascii="Arial" w:cs="Arial" w:eastAsia="Arial" w:hAnsi="Arial"/>
                <w:sz w:val="20"/>
                <w:szCs w:val="20"/>
                <w:color w:val="0E2A35"/>
                <w:vertAlign w:val="superscript"/>
              </w:rPr>
              <w:t>(10)</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289,020</w:t>
            </w:r>
          </w:p>
        </w:tc>
        <w:tc>
          <w:tcPr>
            <w:tcW w:w="940" w:type="dxa"/>
            <w:vAlign w:val="bottom"/>
            <w:tcBorders>
              <w:bottom w:val="single" w:sz="8" w:color="0E2A35"/>
            </w:tcBorders>
          </w:tcPr>
          <w:p>
            <w:pPr>
              <w:spacing w:after="0"/>
              <w:rPr>
                <w:sz w:val="20"/>
                <w:szCs w:val="20"/>
                <w:color w:val="auto"/>
              </w:rPr>
            </w:pPr>
          </w:p>
        </w:tc>
        <w:tc>
          <w:tcPr>
            <w:tcW w:w="520" w:type="dxa"/>
            <w:vAlign w:val="bottom"/>
            <w:tcBorders>
              <w:bottom w:val="single" w:sz="8" w:color="0E2A35"/>
            </w:tcBorders>
          </w:tcPr>
          <w:p>
            <w:pPr>
              <w:spacing w:after="0"/>
              <w:rPr>
                <w:sz w:val="20"/>
                <w:szCs w:val="20"/>
                <w:color w:val="auto"/>
              </w:rPr>
            </w:pPr>
          </w:p>
        </w:tc>
        <w:tc>
          <w:tcPr>
            <w:tcW w:w="1340" w:type="dxa"/>
            <w:vAlign w:val="bottom"/>
            <w:tcBorders>
              <w:bottom w:val="single" w:sz="8" w:color="0E2A35"/>
            </w:tcBorders>
          </w:tcPr>
          <w:p>
            <w:pPr>
              <w:spacing w:after="0"/>
              <w:rPr>
                <w:sz w:val="20"/>
                <w:szCs w:val="20"/>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E2A35"/>
              </w:rPr>
              <w:t>9,084​</w:t>
            </w:r>
          </w:p>
        </w:tc>
        <w:tc>
          <w:tcPr>
            <w:tcW w:w="520" w:type="dxa"/>
            <w:vAlign w:val="bottom"/>
          </w:tcPr>
          <w:p>
            <w:pPr>
              <w:spacing w:after="0"/>
              <w:rPr>
                <w:sz w:val="20"/>
                <w:szCs w:val="20"/>
                <w:color w:val="auto"/>
              </w:rPr>
            </w:pPr>
            <w:r>
              <w:rPr>
                <w:rFonts w:ascii="Arial" w:cs="Arial" w:eastAsia="Arial" w:hAnsi="Arial"/>
                <w:sz w:val="10"/>
                <w:szCs w:val="10"/>
                <w:color w:val="0E2A35"/>
              </w:rPr>
              <w:t>(13)</w:t>
            </w:r>
          </w:p>
        </w:tc>
        <w:tc>
          <w:tcPr>
            <w:tcW w:w="1340" w:type="dxa"/>
            <w:vAlign w:val="bottom"/>
          </w:tcPr>
          <w:p>
            <w:pPr>
              <w:ind w:left="400"/>
              <w:spacing w:after="0"/>
              <w:rPr>
                <w:sz w:val="20"/>
                <w:szCs w:val="20"/>
                <w:color w:val="auto"/>
              </w:rPr>
            </w:pPr>
            <w:r>
              <w:rPr>
                <w:rFonts w:ascii="Arial" w:cs="Arial" w:eastAsia="Arial" w:hAnsi="Arial"/>
                <w:sz w:val="13"/>
                <w:szCs w:val="13"/>
                <w:color w:val="0E2A35"/>
              </w:rPr>
              <w:t>​ 556,122</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380" w:type="dxa"/>
            <w:vAlign w:val="bottom"/>
            <w:tcBorders>
              <w:bottom w:val="single" w:sz="8" w:color="0E2A35"/>
            </w:tcBorders>
            <w:gridSpan w:val="2"/>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right"/>
              <w:ind w:right="218"/>
              <w:spacing w:after="0"/>
              <w:rPr>
                <w:sz w:val="20"/>
                <w:szCs w:val="20"/>
                <w:color w:val="auto"/>
              </w:rPr>
            </w:pPr>
            <w:r>
              <w:rPr>
                <w:rFonts w:ascii="Arial" w:cs="Arial" w:eastAsia="Arial" w:hAnsi="Arial"/>
                <w:sz w:val="13"/>
                <w:szCs w:val="13"/>
                <w:color w:val="0E2A35"/>
              </w:rPr>
              <w:t>​</w:t>
            </w:r>
          </w:p>
        </w:tc>
        <w:tc>
          <w:tcPr>
            <w:tcW w:w="720" w:type="dxa"/>
            <w:vAlign w:val="bottom"/>
          </w:tcPr>
          <w:p>
            <w:pPr>
              <w:spacing w:after="0"/>
              <w:rPr>
                <w:sz w:val="17"/>
                <w:szCs w:val="17"/>
                <w:color w:val="auto"/>
              </w:rPr>
            </w:pPr>
          </w:p>
        </w:tc>
        <w:tc>
          <w:tcPr>
            <w:tcW w:w="360" w:type="dxa"/>
            <w:vAlign w:val="bottom"/>
          </w:tcPr>
          <w:p>
            <w:pPr>
              <w:jc w:val="right"/>
              <w:ind w:right="24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Arial" w:cs="Arial" w:eastAsia="Arial" w:hAnsi="Arial"/>
                <w:sz w:val="13"/>
                <w:szCs w:val="13"/>
                <w:color w:val="0E2A35"/>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82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E2A35"/>
              </w:rPr>
              <w:t>6,744​</w:t>
            </w:r>
          </w:p>
        </w:tc>
        <w:tc>
          <w:tcPr>
            <w:tcW w:w="520" w:type="dxa"/>
            <w:vAlign w:val="bottom"/>
          </w:tcPr>
          <w:p>
            <w:pPr>
              <w:spacing w:after="0"/>
              <w:rPr>
                <w:sz w:val="20"/>
                <w:szCs w:val="20"/>
                <w:color w:val="auto"/>
              </w:rPr>
            </w:pPr>
            <w:r>
              <w:rPr>
                <w:rFonts w:ascii="Arial" w:cs="Arial" w:eastAsia="Arial" w:hAnsi="Arial"/>
                <w:sz w:val="10"/>
                <w:szCs w:val="10"/>
                <w:color w:val="0E2A35"/>
              </w:rPr>
              <w:t>(15)</w:t>
            </w:r>
          </w:p>
        </w:tc>
        <w:tc>
          <w:tcPr>
            <w:tcW w:w="1340" w:type="dxa"/>
            <w:vAlign w:val="bottom"/>
          </w:tcPr>
          <w:p>
            <w:pPr>
              <w:ind w:left="400"/>
              <w:spacing w:after="0"/>
              <w:rPr>
                <w:sz w:val="20"/>
                <w:szCs w:val="20"/>
                <w:color w:val="auto"/>
              </w:rPr>
            </w:pPr>
            <w:r>
              <w:rPr>
                <w:rFonts w:ascii="Arial" w:cs="Arial" w:eastAsia="Arial" w:hAnsi="Arial"/>
                <w:sz w:val="13"/>
                <w:szCs w:val="13"/>
                <w:color w:val="0E2A35"/>
              </w:rPr>
              <w:t>​ 412,868</w:t>
            </w:r>
          </w:p>
        </w:tc>
      </w:tr>
      <w:tr>
        <w:trPr>
          <w:trHeight w:val="41"/>
        </w:trPr>
        <w:tc>
          <w:tcPr>
            <w:tcW w:w="480" w:type="dxa"/>
            <w:vAlign w:val="bottom"/>
            <w:tcBorders>
              <w:bottom w:val="single" w:sz="8" w:color="0E2A35"/>
            </w:tcBorders>
            <w:gridSpan w:val="2"/>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840" w:type="dxa"/>
            <w:vAlign w:val="bottom"/>
            <w:tcBorders>
              <w:bottom w:val="single" w:sz="8" w:color="0E2A35"/>
            </w:tcBorders>
            <w:gridSpan w:val="2"/>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196"/>
        </w:trPr>
        <w:tc>
          <w:tcPr>
            <w:tcW w:w="480" w:type="dxa"/>
            <w:vAlign w:val="bottom"/>
            <w:gridSpan w:val="2"/>
          </w:tcPr>
          <w:p>
            <w:pPr>
              <w:ind w:left="60"/>
              <w:spacing w:after="0"/>
              <w:rPr>
                <w:sz w:val="20"/>
                <w:szCs w:val="20"/>
                <w:color w:val="auto"/>
              </w:rPr>
            </w:pPr>
            <w:r>
              <w:rPr>
                <w:rFonts w:ascii="Arial" w:cs="Arial" w:eastAsia="Arial" w:hAnsi="Arial"/>
                <w:sz w:val="13"/>
                <w:szCs w:val="13"/>
                <w:color w:val="0E2A35"/>
                <w:w w:val="97"/>
              </w:rPr>
              <w:t>Donald​</w:t>
            </w:r>
          </w:p>
        </w:tc>
        <w:tc>
          <w:tcPr>
            <w:tcW w:w="1100" w:type="dxa"/>
            <w:vAlign w:val="bottom"/>
          </w:tcPr>
          <w:p>
            <w:pPr>
              <w:jc w:val="center"/>
              <w:ind w:right="577"/>
              <w:spacing w:after="0"/>
              <w:rPr>
                <w:sz w:val="20"/>
                <w:szCs w:val="20"/>
                <w:color w:val="auto"/>
              </w:rPr>
            </w:pPr>
            <w:r>
              <w:rPr>
                <w:rFonts w:ascii="Arial" w:cs="Arial" w:eastAsia="Arial" w:hAnsi="Arial"/>
                <w:sz w:val="13"/>
                <w:szCs w:val="13"/>
                <w:color w:val="0E2A35"/>
                <w:w w:val="95"/>
              </w:rPr>
              <w:t>J. Clark</w:t>
            </w:r>
          </w:p>
        </w:tc>
        <w:tc>
          <w:tcPr>
            <w:tcW w:w="980" w:type="dxa"/>
            <w:vAlign w:val="bottom"/>
          </w:tcPr>
          <w:p>
            <w:pPr>
              <w:jc w:val="right"/>
              <w:ind w:right="258"/>
              <w:spacing w:after="0"/>
              <w:rPr>
                <w:sz w:val="20"/>
                <w:szCs w:val="20"/>
                <w:color w:val="auto"/>
              </w:rPr>
            </w:pPr>
            <w:r>
              <w:rPr>
                <w:rFonts w:ascii="Arial" w:cs="Arial" w:eastAsia="Arial" w:hAnsi="Arial"/>
                <w:sz w:val="13"/>
                <w:szCs w:val="13"/>
                <w:color w:val="0E2A35"/>
              </w:rPr>
              <w:t>—</w:t>
            </w:r>
          </w:p>
        </w:tc>
        <w:tc>
          <w:tcPr>
            <w:tcW w:w="720" w:type="dxa"/>
            <w:vAlign w:val="bottom"/>
          </w:tcPr>
          <w:p>
            <w:pPr>
              <w:jc w:val="right"/>
              <w:spacing w:after="0"/>
              <w:rPr>
                <w:sz w:val="20"/>
                <w:szCs w:val="20"/>
                <w:color w:val="auto"/>
              </w:rPr>
            </w:pPr>
            <w:r>
              <w:rPr>
                <w:rFonts w:ascii="Arial" w:cs="Arial" w:eastAsia="Arial" w:hAnsi="Arial"/>
                <w:sz w:val="13"/>
                <w:szCs w:val="13"/>
                <w:color w:val="0E2A35"/>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0E2A35"/>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3,375​</w:t>
            </w:r>
          </w:p>
        </w:tc>
        <w:tc>
          <w:tcPr>
            <w:tcW w:w="360" w:type="dxa"/>
            <w:vAlign w:val="bottom"/>
          </w:tcPr>
          <w:p>
            <w:pPr>
              <w:spacing w:after="0"/>
              <w:rPr>
                <w:sz w:val="20"/>
                <w:szCs w:val="20"/>
                <w:color w:val="auto"/>
              </w:rPr>
            </w:pPr>
            <w:r>
              <w:rPr>
                <w:rFonts w:ascii="Arial" w:cs="Arial" w:eastAsia="Arial" w:hAnsi="Arial"/>
                <w:sz w:val="10"/>
                <w:szCs w:val="10"/>
                <w:color w:val="0E2A35"/>
              </w:rPr>
              <w:t>(9)</w:t>
            </w:r>
          </w:p>
        </w:tc>
        <w:tc>
          <w:tcPr>
            <w:tcW w:w="1020" w:type="dxa"/>
            <w:vAlign w:val="bottom"/>
            <w:gridSpan w:val="2"/>
          </w:tcPr>
          <w:p>
            <w:pPr>
              <w:jc w:val="right"/>
              <w:ind w:right="118"/>
              <w:spacing w:after="0"/>
              <w:rPr>
                <w:sz w:val="20"/>
                <w:szCs w:val="20"/>
                <w:color w:val="auto"/>
              </w:rPr>
            </w:pPr>
            <w:r>
              <w:rPr>
                <w:rFonts w:ascii="Arial" w:cs="Arial" w:eastAsia="Arial" w:hAnsi="Arial"/>
                <w:sz w:val="13"/>
                <w:szCs w:val="13"/>
                <w:color w:val="0E2A35"/>
              </w:rPr>
              <w:t>​ 206,618</w:t>
            </w:r>
          </w:p>
        </w:tc>
        <w:tc>
          <w:tcPr>
            <w:tcW w:w="940" w:type="dxa"/>
            <w:vAlign w:val="bottom"/>
          </w:tcPr>
          <w:p>
            <w:pPr>
              <w:jc w:val="right"/>
              <w:spacing w:after="0"/>
              <w:rPr>
                <w:sz w:val="20"/>
                <w:szCs w:val="20"/>
                <w:color w:val="auto"/>
              </w:rPr>
            </w:pPr>
            <w:r>
              <w:rPr>
                <w:rFonts w:ascii="Arial" w:cs="Arial" w:eastAsia="Arial" w:hAnsi="Arial"/>
                <w:sz w:val="13"/>
                <w:szCs w:val="13"/>
                <w:color w:val="0E2A35"/>
              </w:rPr>
              <w:t>—​</w:t>
            </w:r>
          </w:p>
        </w:tc>
        <w:tc>
          <w:tcPr>
            <w:tcW w:w="520" w:type="dxa"/>
            <w:vAlign w:val="bottom"/>
          </w:tcPr>
          <w:p>
            <w:pPr>
              <w:spacing w:after="0"/>
              <w:rPr>
                <w:sz w:val="17"/>
                <w:szCs w:val="17"/>
                <w:color w:val="auto"/>
              </w:rPr>
            </w:pPr>
          </w:p>
        </w:tc>
        <w:tc>
          <w:tcPr>
            <w:tcW w:w="1340" w:type="dxa"/>
            <w:vAlign w:val="bottom"/>
          </w:tcPr>
          <w:p>
            <w:pPr>
              <w:ind w:left="840"/>
              <w:spacing w:after="0"/>
              <w:rPr>
                <w:sz w:val="20"/>
                <w:szCs w:val="20"/>
                <w:color w:val="auto"/>
              </w:rPr>
            </w:pPr>
            <w:r>
              <w:rPr>
                <w:rFonts w:ascii="Arial" w:cs="Arial" w:eastAsia="Arial" w:hAnsi="Arial"/>
                <w:sz w:val="13"/>
                <w:szCs w:val="13"/>
                <w:color w:val="0E2A35"/>
              </w:rPr>
              <w:t>—</w:t>
            </w:r>
          </w:p>
        </w:tc>
      </w:tr>
      <w:tr>
        <w:trPr>
          <w:trHeight w:val="41"/>
        </w:trPr>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36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42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gridSpan w:val="3"/>
          </w:tcPr>
          <w:p>
            <w:pPr>
              <w:spacing w:after="0"/>
              <w:rPr>
                <w:sz w:val="3"/>
                <w:szCs w:val="3"/>
                <w:color w:val="auto"/>
              </w:rPr>
            </w:pPr>
          </w:p>
        </w:tc>
        <w:tc>
          <w:tcPr>
            <w:tcW w:w="1020" w:type="dxa"/>
            <w:vAlign w:val="bottom"/>
            <w:tcBorders>
              <w:bottom w:val="single" w:sz="8" w:color="0E2A35"/>
            </w:tcBorders>
            <w:gridSpan w:val="2"/>
          </w:tcPr>
          <w:p>
            <w:pPr>
              <w:spacing w:after="0"/>
              <w:rPr>
                <w:sz w:val="3"/>
                <w:szCs w:val="3"/>
                <w:color w:val="auto"/>
              </w:rPr>
            </w:pPr>
          </w:p>
        </w:tc>
        <w:tc>
          <w:tcPr>
            <w:tcW w:w="940" w:type="dxa"/>
            <w:vAlign w:val="bottom"/>
            <w:tcBorders>
              <w:bottom w:val="single" w:sz="8" w:color="0E2A35"/>
            </w:tcBorders>
          </w:tcPr>
          <w:p>
            <w:pPr>
              <w:spacing w:after="0"/>
              <w:rPr>
                <w:sz w:val="3"/>
                <w:szCs w:val="3"/>
                <w:color w:val="auto"/>
              </w:rPr>
            </w:pPr>
          </w:p>
        </w:tc>
        <w:tc>
          <w:tcPr>
            <w:tcW w:w="5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r>
      <w:tr>
        <w:trPr>
          <w:trHeight w:val="291"/>
        </w:trPr>
        <w:tc>
          <w:tcPr>
            <w:tcW w:w="400" w:type="dxa"/>
            <w:vAlign w:val="bottom"/>
            <w:tcBorders>
              <w:bottom w:val="single" w:sz="8" w:color="0E2A35"/>
            </w:tcBorders>
          </w:tcPr>
          <w:p>
            <w:pPr>
              <w:spacing w:after="0"/>
              <w:rPr>
                <w:sz w:val="24"/>
                <w:szCs w:val="24"/>
                <w:color w:val="auto"/>
              </w:rPr>
            </w:pPr>
          </w:p>
        </w:tc>
        <w:tc>
          <w:tcPr>
            <w:tcW w:w="80" w:type="dxa"/>
            <w:vAlign w:val="bottom"/>
            <w:tcBorders>
              <w:bottom w:val="single" w:sz="8" w:color="0E2A35"/>
            </w:tcBorders>
          </w:tcPr>
          <w:p>
            <w:pPr>
              <w:spacing w:after="0"/>
              <w:rPr>
                <w:sz w:val="24"/>
                <w:szCs w:val="24"/>
                <w:color w:val="auto"/>
              </w:rPr>
            </w:pPr>
          </w:p>
        </w:tc>
        <w:tc>
          <w:tcPr>
            <w:tcW w:w="1100" w:type="dxa"/>
            <w:vAlign w:val="bottom"/>
            <w:tcBorders>
              <w:bottom w:val="single" w:sz="8" w:color="0E2A35"/>
            </w:tcBorders>
          </w:tcPr>
          <w:p>
            <w:pPr>
              <w:spacing w:after="0"/>
              <w:rPr>
                <w:sz w:val="24"/>
                <w:szCs w:val="24"/>
                <w:color w:val="auto"/>
              </w:rPr>
            </w:pPr>
          </w:p>
        </w:tc>
        <w:tc>
          <w:tcPr>
            <w:tcW w:w="980" w:type="dxa"/>
            <w:vAlign w:val="bottom"/>
            <w:tcBorders>
              <w:bottom w:val="single" w:sz="8" w:color="0E2A35"/>
            </w:tcBorders>
          </w:tcPr>
          <w:p>
            <w:pPr>
              <w:spacing w:after="0"/>
              <w:rPr>
                <w:sz w:val="24"/>
                <w:szCs w:val="24"/>
                <w:color w:val="auto"/>
              </w:rPr>
            </w:pPr>
          </w:p>
        </w:tc>
        <w:tc>
          <w:tcPr>
            <w:tcW w:w="720" w:type="dxa"/>
            <w:vAlign w:val="bottom"/>
            <w:tcBorders>
              <w:bottom w:val="single" w:sz="8" w:color="0E2A35"/>
            </w:tcBorders>
          </w:tcPr>
          <w:p>
            <w:pPr>
              <w:spacing w:after="0"/>
              <w:rPr>
                <w:sz w:val="24"/>
                <w:szCs w:val="24"/>
                <w:color w:val="auto"/>
              </w:rPr>
            </w:pPr>
          </w:p>
        </w:tc>
        <w:tc>
          <w:tcPr>
            <w:tcW w:w="360" w:type="dxa"/>
            <w:vAlign w:val="bottom"/>
            <w:tcBorders>
              <w:bottom w:val="single" w:sz="8" w:color="0E2A35"/>
            </w:tcBorders>
          </w:tcPr>
          <w:p>
            <w:pPr>
              <w:spacing w:after="0"/>
              <w:rPr>
                <w:sz w:val="24"/>
                <w:szCs w:val="24"/>
                <w:color w:val="auto"/>
              </w:rPr>
            </w:pPr>
          </w:p>
        </w:tc>
        <w:tc>
          <w:tcPr>
            <w:tcW w:w="340" w:type="dxa"/>
            <w:vAlign w:val="bottom"/>
            <w:tcBorders>
              <w:bottom w:val="single" w:sz="8" w:color="0E2A35"/>
            </w:tcBorders>
          </w:tcPr>
          <w:p>
            <w:pPr>
              <w:spacing w:after="0"/>
              <w:rPr>
                <w:sz w:val="24"/>
                <w:szCs w:val="24"/>
                <w:color w:val="auto"/>
              </w:rPr>
            </w:pPr>
          </w:p>
        </w:tc>
        <w:tc>
          <w:tcPr>
            <w:tcW w:w="42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spacing w:after="0"/>
              <w:rPr>
                <w:sz w:val="24"/>
                <w:szCs w:val="24"/>
                <w:color w:val="auto"/>
              </w:rPr>
            </w:pPr>
          </w:p>
        </w:tc>
        <w:tc>
          <w:tcPr>
            <w:tcW w:w="1200" w:type="dxa"/>
            <w:vAlign w:val="bottom"/>
            <w:tcBorders>
              <w:bottom w:val="single" w:sz="8" w:color="0E2A35"/>
            </w:tcBorders>
            <w:gridSpan w:val="3"/>
          </w:tcPr>
          <w:p>
            <w:pPr>
              <w:jc w:val="right"/>
              <w:ind w:right="127"/>
              <w:spacing w:after="0"/>
              <w:rPr>
                <w:sz w:val="20"/>
                <w:szCs w:val="20"/>
                <w:color w:val="auto"/>
              </w:rPr>
            </w:pPr>
            <w:r>
              <w:rPr>
                <w:rFonts w:ascii="Arial" w:cs="Arial" w:eastAsia="Arial" w:hAnsi="Arial"/>
                <w:sz w:val="13"/>
                <w:szCs w:val="13"/>
                <w:color w:val="0E2A35"/>
              </w:rPr>
              <w:t>13,387</w:t>
            </w:r>
            <w:r>
              <w:rPr>
                <w:rFonts w:ascii="Arial" w:cs="Arial" w:eastAsia="Arial" w:hAnsi="Arial"/>
                <w:sz w:val="20"/>
                <w:szCs w:val="20"/>
                <w:color w:val="0E2A35"/>
                <w:vertAlign w:val="superscript"/>
              </w:rPr>
              <w:t>(10)</w:t>
            </w:r>
          </w:p>
        </w:tc>
        <w:tc>
          <w:tcPr>
            <w:tcW w:w="1020" w:type="dxa"/>
            <w:vAlign w:val="bottom"/>
            <w:tcBorders>
              <w:bottom w:val="single" w:sz="8" w:color="0E2A35"/>
            </w:tcBorders>
            <w:gridSpan w:val="2"/>
          </w:tcPr>
          <w:p>
            <w:pPr>
              <w:jc w:val="right"/>
              <w:ind w:right="118"/>
              <w:spacing w:after="0"/>
              <w:rPr>
                <w:sz w:val="20"/>
                <w:szCs w:val="20"/>
                <w:color w:val="auto"/>
              </w:rPr>
            </w:pPr>
            <w:r>
              <w:rPr>
                <w:rFonts w:ascii="Arial" w:cs="Arial" w:eastAsia="Arial" w:hAnsi="Arial"/>
                <w:sz w:val="13"/>
                <w:szCs w:val="13"/>
                <w:color w:val="0E2A35"/>
              </w:rPr>
              <w:t>​ 819,552</w:t>
            </w:r>
          </w:p>
        </w:tc>
        <w:tc>
          <w:tcPr>
            <w:tcW w:w="940" w:type="dxa"/>
            <w:vAlign w:val="bottom"/>
            <w:tcBorders>
              <w:bottom w:val="single" w:sz="8" w:color="0E2A35"/>
            </w:tcBorders>
          </w:tcPr>
          <w:p>
            <w:pPr>
              <w:spacing w:after="0"/>
              <w:rPr>
                <w:sz w:val="24"/>
                <w:szCs w:val="24"/>
                <w:color w:val="auto"/>
              </w:rPr>
            </w:pPr>
          </w:p>
        </w:tc>
        <w:tc>
          <w:tcPr>
            <w:tcW w:w="520" w:type="dxa"/>
            <w:vAlign w:val="bottom"/>
            <w:tcBorders>
              <w:bottom w:val="single" w:sz="8" w:color="0E2A35"/>
            </w:tcBorders>
          </w:tcPr>
          <w:p>
            <w:pPr>
              <w:spacing w:after="0"/>
              <w:rPr>
                <w:sz w:val="24"/>
                <w:szCs w:val="24"/>
                <w:color w:val="auto"/>
              </w:rPr>
            </w:pPr>
          </w:p>
        </w:tc>
        <w:tc>
          <w:tcPr>
            <w:tcW w:w="1340" w:type="dxa"/>
            <w:vAlign w:val="bottom"/>
            <w:tcBorders>
              <w:bottom w:val="single" w:sz="8" w:color="0E2A35"/>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-8940165</wp:posOffset>
            </wp:positionV>
            <wp:extent cx="53835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286" w:lineRule="exact"/>
        <w:rPr>
          <w:sz w:val="20"/>
          <w:szCs w:val="20"/>
          <w:color w:val="auto"/>
        </w:rPr>
      </w:pPr>
    </w:p>
    <w:p>
      <w:pPr>
        <w:ind w:left="7000"/>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199390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263" w:right="879" w:bottom="32"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60" w:right="160" w:hanging="360"/>
        <w:spacing w:after="0" w:line="23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stock option granted on January 18, 2016 as a new hire grant under the Company's 2014 Omnibus Equity, Performance Award and Incentive Compensation Plan (the 2014 Plan), which vested with respect to 33% of the shares covered by the option on each of the first three anniversaries of the grant date.</w:t>
      </w:r>
    </w:p>
    <w:p>
      <w:pPr>
        <w:spacing w:after="0" w:line="23" w:lineRule="exact"/>
        <w:rPr>
          <w:rFonts w:ascii="Arial" w:cs="Arial" w:eastAsia="Arial" w:hAnsi="Arial"/>
          <w:sz w:val="13"/>
          <w:szCs w:val="13"/>
          <w:color w:val="0E2A35"/>
        </w:rPr>
      </w:pPr>
    </w:p>
    <w:p>
      <w:pPr>
        <w:ind w:left="360" w:right="14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stock option granted on October 11, 2016 as an annual grant under the 2014 Plan, which vested with respect to 33% of the shares covered by the option on each of the first three anniversaries of the grant date.</w:t>
      </w:r>
    </w:p>
    <w:p>
      <w:pPr>
        <w:spacing w:after="0" w:line="21" w:lineRule="exact"/>
        <w:rPr>
          <w:rFonts w:ascii="Arial" w:cs="Arial" w:eastAsia="Arial" w:hAnsi="Arial"/>
          <w:sz w:val="13"/>
          <w:szCs w:val="13"/>
          <w:color w:val="0E2A35"/>
        </w:rPr>
      </w:pPr>
    </w:p>
    <w:p>
      <w:pPr>
        <w:ind w:left="360" w:right="4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December 13, 2016 as a grant for the purchase of Grand Design RV, LLC under the 2014 Plan, which vested with respect to 33% of the shares covered by the option on each of the first three anniversaries of the grant date.</w:t>
      </w:r>
    </w:p>
    <w:p>
      <w:pPr>
        <w:spacing w:after="0" w:line="21" w:lineRule="exact"/>
        <w:rPr>
          <w:rFonts w:ascii="Arial" w:cs="Arial" w:eastAsia="Arial" w:hAnsi="Arial"/>
          <w:sz w:val="13"/>
          <w:szCs w:val="13"/>
          <w:color w:val="0E2A35"/>
        </w:rPr>
      </w:pPr>
    </w:p>
    <w:p>
      <w:pPr>
        <w:ind w:left="360" w:right="46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October 18, 2017 as an annual stock or option grant under the 2014 Plan, which vested with respect to 33% of the shares covered by the stock or option grant on each of the first three anniversaries of the grant date.</w:t>
      </w:r>
    </w:p>
    <w:p>
      <w:pPr>
        <w:spacing w:after="0" w:line="21" w:lineRule="exact"/>
        <w:rPr>
          <w:rFonts w:ascii="Arial" w:cs="Arial" w:eastAsia="Arial" w:hAnsi="Arial"/>
          <w:sz w:val="13"/>
          <w:szCs w:val="13"/>
          <w:color w:val="0E2A35"/>
        </w:rPr>
      </w:pPr>
    </w:p>
    <w:p>
      <w:pPr>
        <w:ind w:left="360" w:right="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October 15, 2018 as an annual stock or option grant under the 2014 Plan, which will vest with respect to 33% of the shares on the first three anniversaries of the date of grant.</w:t>
      </w:r>
    </w:p>
    <w:p>
      <w:pPr>
        <w:spacing w:after="0" w:line="21" w:lineRule="exact"/>
        <w:rPr>
          <w:rFonts w:ascii="Arial" w:cs="Arial" w:eastAsia="Arial" w:hAnsi="Arial"/>
          <w:sz w:val="13"/>
          <w:szCs w:val="13"/>
          <w:color w:val="0E2A35"/>
        </w:rPr>
      </w:pPr>
    </w:p>
    <w:p>
      <w:pPr>
        <w:ind w:left="360" w:right="8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December 17, 2019 as an annual stock or option grant under the 2019 Plan, which will vest with respect to 33% of the shares on the first three anniversaries of the date of grant.</w:t>
      </w:r>
    </w:p>
    <w:p>
      <w:pPr>
        <w:spacing w:after="0" w:line="21" w:lineRule="exact"/>
        <w:rPr>
          <w:rFonts w:ascii="Arial" w:cs="Arial" w:eastAsia="Arial" w:hAnsi="Arial"/>
          <w:sz w:val="13"/>
          <w:szCs w:val="13"/>
          <w:color w:val="0E2A35"/>
        </w:rPr>
      </w:pPr>
    </w:p>
    <w:p>
      <w:pPr>
        <w:ind w:left="360" w:right="20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December 17, 2019, for work associated with the acquisition of Newmar Corporation, under the 2019 Plan, which will vest with respect to 33% of the shares covered by the stock award on each of the first three anniversaries of the date of grant.</w:t>
      </w:r>
    </w:p>
    <w:p>
      <w:pPr>
        <w:spacing w:after="0" w:line="21" w:lineRule="exact"/>
        <w:rPr>
          <w:rFonts w:ascii="Arial" w:cs="Arial" w:eastAsia="Arial" w:hAnsi="Arial"/>
          <w:sz w:val="13"/>
          <w:szCs w:val="13"/>
          <w:color w:val="0E2A35"/>
        </w:rPr>
      </w:pPr>
    </w:p>
    <w:p>
      <w:pPr>
        <w:ind w:left="360" w:right="4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October 12, 2020 as a new hire grant under the 2019 Plan, which will vest with respect to 50% of the shares covered by the stock award on each of the first two anniversaries of the date of grant.</w:t>
      </w:r>
    </w:p>
    <w:p>
      <w:pPr>
        <w:spacing w:after="0" w:line="21" w:lineRule="exact"/>
        <w:rPr>
          <w:rFonts w:ascii="Arial" w:cs="Arial" w:eastAsia="Arial" w:hAnsi="Arial"/>
          <w:sz w:val="13"/>
          <w:szCs w:val="13"/>
          <w:color w:val="0E2A35"/>
        </w:rPr>
      </w:pPr>
    </w:p>
    <w:p>
      <w:pPr>
        <w:ind w:left="360" w:right="2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October 13, 2020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0E2A35"/>
        </w:rPr>
      </w:pPr>
    </w:p>
    <w:p>
      <w:pPr>
        <w:ind w:left="360" w:right="2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October 12, 2021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0E2A35"/>
        </w:rPr>
      </w:pPr>
    </w:p>
    <w:p>
      <w:pPr>
        <w:ind w:left="360" w:right="1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award granted on October 12, 2021, for work associated with the acquisition of Barletta Boats,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0E2A35"/>
        </w:rPr>
      </w:pPr>
    </w:p>
    <w:p>
      <w:pPr>
        <w:ind w:left="360" w:right="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fiscal 2020-2022 LTIP at target, under the 2014 Plan for the three-year performance period beginning August 26, 2019 and ending August 28, 2022. Settled shares are subject to a one-year holding period.</w:t>
      </w:r>
    </w:p>
    <w:p>
      <w:pPr>
        <w:spacing w:after="0" w:line="21" w:lineRule="exact"/>
        <w:rPr>
          <w:rFonts w:ascii="Arial" w:cs="Arial" w:eastAsia="Arial" w:hAnsi="Arial"/>
          <w:sz w:val="13"/>
          <w:szCs w:val="13"/>
          <w:color w:val="0E2A35"/>
        </w:rPr>
      </w:pPr>
    </w:p>
    <w:p>
      <w:pPr>
        <w:ind w:left="360" w:right="2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fiscal 2021-2023 LTIP at target, under the 2019 Plan for the three-year performance period beginning September 1, 2020 and ending August 28, 2023. Settled shares subject to one year holding period.</w:t>
      </w:r>
    </w:p>
    <w:p>
      <w:pPr>
        <w:spacing w:after="0" w:line="21" w:lineRule="exact"/>
        <w:rPr>
          <w:rFonts w:ascii="Arial" w:cs="Arial" w:eastAsia="Arial" w:hAnsi="Arial"/>
          <w:sz w:val="13"/>
          <w:szCs w:val="13"/>
          <w:color w:val="0E2A35"/>
        </w:rPr>
      </w:pPr>
    </w:p>
    <w:p>
      <w:pPr>
        <w:ind w:left="360" w:right="62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the unvested fiscal 2021 PSU awards under the 2019 Plan for the one-year performance period beginning September 1, 2020 and ended August 28, 2021. Shares vest 50% per year over the first two anniversaries of the date of grant.</w:t>
      </w:r>
    </w:p>
    <w:p>
      <w:pPr>
        <w:spacing w:after="0" w:line="21" w:lineRule="exact"/>
        <w:rPr>
          <w:rFonts w:ascii="Arial" w:cs="Arial" w:eastAsia="Arial" w:hAnsi="Arial"/>
          <w:sz w:val="13"/>
          <w:szCs w:val="13"/>
          <w:color w:val="0E2A35"/>
        </w:rPr>
      </w:pPr>
    </w:p>
    <w:p>
      <w:pPr>
        <w:ind w:left="360" w:right="280" w:hanging="360"/>
        <w:spacing w:after="0" w:line="243" w:lineRule="auto"/>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fiscal 2022-2024 LTIP at target, under the 2019 Plan for the three-year performance period beginning from August 29, 2021 through August 24, 2024. Settled shares subject to one year holding period.</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the value of unvested stock as of August 27, 2022 based on a closing stock price of $61.22.</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48"/>
        </w:numPr>
        <w:rPr>
          <w:rFonts w:ascii="Arial" w:cs="Arial" w:eastAsia="Arial" w:hAnsi="Arial"/>
          <w:sz w:val="13"/>
          <w:szCs w:val="13"/>
          <w:color w:val="0E2A35"/>
        </w:rPr>
      </w:pPr>
      <w:r>
        <w:rPr>
          <w:rFonts w:ascii="Arial" w:cs="Arial" w:eastAsia="Arial" w:hAnsi="Arial"/>
          <w:sz w:val="13"/>
          <w:szCs w:val="13"/>
          <w:color w:val="0E2A35"/>
        </w:rPr>
        <w:t>Represents the value of unearned performance share awards at target as of August 27, 2022 based on a stock price of $61.22.</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Option Exercises and Stock Vested Table</w:t>
      </w:r>
    </w:p>
    <w:p>
      <w:pPr>
        <w:spacing w:after="0" w:line="112"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0E2A35"/>
        </w:rPr>
        <w:t>The following table provides the amounts received before payroll withholding taxes upon the exercise of options or similar instruments or the vesting of stock or similar instruments during fiscal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80" w:type="dxa"/>
            <w:vAlign w:val="bottom"/>
            <w:shd w:val="clear" w:color="auto" w:fill="0E2A35"/>
          </w:tcPr>
          <w:p>
            <w:pPr>
              <w:spacing w:after="0"/>
              <w:rPr>
                <w:sz w:val="22"/>
                <w:szCs w:val="22"/>
                <w:color w:val="auto"/>
              </w:rPr>
            </w:pPr>
          </w:p>
        </w:tc>
        <w:tc>
          <w:tcPr>
            <w:tcW w:w="1020" w:type="dxa"/>
            <w:vAlign w:val="bottom"/>
            <w:shd w:val="clear" w:color="auto" w:fill="0E2A35"/>
          </w:tcPr>
          <w:p>
            <w:pPr>
              <w:spacing w:after="0"/>
              <w:rPr>
                <w:sz w:val="22"/>
                <w:szCs w:val="22"/>
                <w:color w:val="auto"/>
              </w:rPr>
            </w:pPr>
          </w:p>
        </w:tc>
        <w:tc>
          <w:tcPr>
            <w:tcW w:w="2260" w:type="dxa"/>
            <w:vAlign w:val="bottom"/>
            <w:gridSpan w:val="2"/>
            <w:shd w:val="clear" w:color="auto" w:fill="0E2A35"/>
          </w:tcPr>
          <w:p>
            <w:pPr>
              <w:ind w:left="220"/>
              <w:spacing w:after="0"/>
              <w:rPr>
                <w:sz w:val="20"/>
                <w:szCs w:val="20"/>
                <w:color w:val="auto"/>
              </w:rPr>
            </w:pPr>
            <w:r>
              <w:rPr>
                <w:rFonts w:ascii="Arial" w:cs="Arial" w:eastAsia="Arial" w:hAnsi="Arial"/>
                <w:sz w:val="13"/>
                <w:szCs w:val="13"/>
                <w:b w:val="1"/>
                <w:bCs w:val="1"/>
                <w:color w:val="FFFFFF"/>
              </w:rPr>
              <w:t>Option Awards</w:t>
            </w:r>
          </w:p>
        </w:tc>
        <w:tc>
          <w:tcPr>
            <w:tcW w:w="3320" w:type="dxa"/>
            <w:vAlign w:val="bottom"/>
            <w:gridSpan w:val="2"/>
            <w:shd w:val="clear" w:color="auto" w:fill="0E2A35"/>
          </w:tcPr>
          <w:p>
            <w:pPr>
              <w:jc w:val="right"/>
              <w:ind w:right="1131"/>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328"/>
        </w:trPr>
        <w:tc>
          <w:tcPr>
            <w:tcW w:w="2680" w:type="dxa"/>
            <w:vAlign w:val="bottom"/>
            <w:shd w:val="clear" w:color="auto" w:fill="0E2A35"/>
          </w:tcPr>
          <w:p>
            <w:pPr>
              <w:spacing w:after="0"/>
              <w:rPr>
                <w:sz w:val="24"/>
                <w:szCs w:val="24"/>
                <w:color w:val="auto"/>
              </w:rPr>
            </w:pPr>
          </w:p>
        </w:tc>
        <w:tc>
          <w:tcPr>
            <w:tcW w:w="1020" w:type="dxa"/>
            <w:vAlign w:val="bottom"/>
            <w:shd w:val="clear" w:color="auto" w:fill="0E2A35"/>
          </w:tcPr>
          <w:p>
            <w:pPr>
              <w:ind w:left="520"/>
              <w:spacing w:after="0"/>
              <w:rPr>
                <w:sz w:val="20"/>
                <w:szCs w:val="20"/>
                <w:color w:val="auto"/>
              </w:rPr>
            </w:pPr>
            <w:r>
              <w:rPr>
                <w:rFonts w:ascii="Arial" w:cs="Arial" w:eastAsia="Arial" w:hAnsi="Arial"/>
                <w:sz w:val="13"/>
                <w:szCs w:val="13"/>
                <w:b w:val="1"/>
                <w:bCs w:val="1"/>
                <w:color w:val="FFFFFF"/>
                <w:w w:val="97"/>
              </w:rPr>
              <w:t>Number​</w:t>
            </w:r>
          </w:p>
        </w:tc>
        <w:tc>
          <w:tcPr>
            <w:tcW w:w="680" w:type="dxa"/>
            <w:vAlign w:val="bottom"/>
            <w:shd w:val="clear" w:color="auto" w:fill="0E2A35"/>
          </w:tcPr>
          <w:p>
            <w:pPr>
              <w:ind w:left="20"/>
              <w:spacing w:after="0"/>
              <w:rPr>
                <w:sz w:val="20"/>
                <w:szCs w:val="20"/>
                <w:color w:val="auto"/>
              </w:rPr>
            </w:pPr>
            <w:r>
              <w:rPr>
                <w:rFonts w:ascii="Arial" w:cs="Arial" w:eastAsia="Arial" w:hAnsi="Arial"/>
                <w:sz w:val="13"/>
                <w:szCs w:val="13"/>
                <w:b w:val="1"/>
                <w:bCs w:val="1"/>
                <w:color w:val="FFFFFF"/>
              </w:rPr>
              <w:t>of</w:t>
            </w:r>
          </w:p>
        </w:tc>
        <w:tc>
          <w:tcPr>
            <w:tcW w:w="15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7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6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0" w:type="dxa"/>
            <w:vAlign w:val="bottom"/>
          </w:tcPr>
          <w:p>
            <w:pPr>
              <w:spacing w:after="0"/>
              <w:rPr>
                <w:sz w:val="1"/>
                <w:szCs w:val="1"/>
                <w:color w:val="auto"/>
              </w:rPr>
            </w:pPr>
          </w:p>
        </w:tc>
      </w:tr>
      <w:tr>
        <w:trPr>
          <w:trHeight w:val="135"/>
        </w:trPr>
        <w:tc>
          <w:tcPr>
            <w:tcW w:w="2680" w:type="dxa"/>
            <w:vAlign w:val="bottom"/>
            <w:shd w:val="clear" w:color="auto" w:fill="0E2A35"/>
          </w:tcPr>
          <w:p>
            <w:pPr>
              <w:spacing w:after="0"/>
              <w:rPr>
                <w:sz w:val="11"/>
                <w:szCs w:val="11"/>
                <w:color w:val="auto"/>
              </w:rPr>
            </w:pPr>
          </w:p>
        </w:tc>
        <w:tc>
          <w:tcPr>
            <w:tcW w:w="170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580" w:type="dxa"/>
            <w:vAlign w:val="bottom"/>
            <w:vMerge w:val="continue"/>
            <w:shd w:val="clear" w:color="auto" w:fill="0E2A35"/>
          </w:tcPr>
          <w:p>
            <w:pPr>
              <w:spacing w:after="0"/>
              <w:rPr>
                <w:sz w:val="11"/>
                <w:szCs w:val="11"/>
                <w:color w:val="auto"/>
              </w:rPr>
            </w:pPr>
          </w:p>
        </w:tc>
        <w:tc>
          <w:tcPr>
            <w:tcW w:w="17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600" w:type="dxa"/>
            <w:vAlign w:val="bottom"/>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8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70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8"/>
              </w:rPr>
              <w:t>on Exercise</w:t>
            </w:r>
          </w:p>
        </w:tc>
        <w:tc>
          <w:tcPr>
            <w:tcW w:w="158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5"/>
              </w:rPr>
              <w:t>on Exercise</w:t>
            </w:r>
          </w:p>
        </w:tc>
        <w:tc>
          <w:tcPr>
            <w:tcW w:w="172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6"/>
              </w:rPr>
              <w:t>on Vesting</w:t>
            </w:r>
          </w:p>
        </w:tc>
        <w:tc>
          <w:tcPr>
            <w:tcW w:w="1600" w:type="dxa"/>
            <w:vAlign w:val="bottom"/>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6"/>
              </w:rPr>
              <w:t>on Vesting</w:t>
            </w:r>
          </w:p>
        </w:tc>
        <w:tc>
          <w:tcPr>
            <w:tcW w:w="0" w:type="dxa"/>
            <w:vAlign w:val="bottom"/>
          </w:tcPr>
          <w:p>
            <w:pPr>
              <w:spacing w:after="0"/>
              <w:rPr>
                <w:sz w:val="1"/>
                <w:szCs w:val="1"/>
                <w:color w:val="auto"/>
              </w:rPr>
            </w:pPr>
          </w:p>
        </w:tc>
      </w:tr>
      <w:tr>
        <w:trPr>
          <w:trHeight w:val="267"/>
        </w:trPr>
        <w:tc>
          <w:tcPr>
            <w:tcW w:w="2680" w:type="dxa"/>
            <w:vAlign w:val="bottom"/>
            <w:vMerge w:val="continue"/>
            <w:shd w:val="clear" w:color="auto" w:fill="0E2A35"/>
          </w:tcPr>
          <w:p>
            <w:pPr>
              <w:spacing w:after="0"/>
              <w:rPr>
                <w:sz w:val="23"/>
                <w:szCs w:val="23"/>
                <w:color w:val="auto"/>
              </w:rPr>
            </w:pPr>
          </w:p>
        </w:tc>
        <w:tc>
          <w:tcPr>
            <w:tcW w:w="1020" w:type="dxa"/>
            <w:vAlign w:val="bottom"/>
            <w:shd w:val="clear" w:color="auto" w:fill="0E2A35"/>
          </w:tcPr>
          <w:p>
            <w:pPr>
              <w:jc w:val="center"/>
              <w:ind w:left="632"/>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0E2A35"/>
          </w:tcPr>
          <w:p>
            <w:pPr>
              <w:spacing w:after="0"/>
              <w:rPr>
                <w:sz w:val="23"/>
                <w:szCs w:val="23"/>
                <w:color w:val="auto"/>
              </w:rPr>
            </w:pPr>
          </w:p>
        </w:tc>
        <w:tc>
          <w:tcPr>
            <w:tcW w:w="15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7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6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(1)</w:t>
            </w:r>
          </w:p>
        </w:tc>
        <w:tc>
          <w:tcPr>
            <w:tcW w:w="0" w:type="dxa"/>
            <w:vAlign w:val="bottom"/>
          </w:tcPr>
          <w:p>
            <w:pPr>
              <w:spacing w:after="0"/>
              <w:rPr>
                <w:sz w:val="1"/>
                <w:szCs w:val="1"/>
                <w:color w:val="auto"/>
              </w:rPr>
            </w:pPr>
          </w:p>
        </w:tc>
      </w:tr>
      <w:tr>
        <w:trPr>
          <w:trHeight w:val="289"/>
        </w:trPr>
        <w:tc>
          <w:tcPr>
            <w:tcW w:w="268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1020" w:type="dxa"/>
            <w:vAlign w:val="bottom"/>
          </w:tcPr>
          <w:p>
            <w:pPr>
              <w:jc w:val="center"/>
              <w:ind w:left="572"/>
              <w:spacing w:after="0"/>
              <w:rPr>
                <w:sz w:val="20"/>
                <w:szCs w:val="20"/>
                <w:color w:val="auto"/>
              </w:rPr>
            </w:pPr>
            <w:r>
              <w:rPr>
                <w:rFonts w:ascii="Arial" w:cs="Arial" w:eastAsia="Arial" w:hAnsi="Arial"/>
                <w:sz w:val="14"/>
                <w:szCs w:val="14"/>
                <w:color w:val="0E2A35"/>
                <w:w w:val="99"/>
              </w:rPr>
              <w:t>—</w:t>
            </w:r>
          </w:p>
        </w:tc>
        <w:tc>
          <w:tcPr>
            <w:tcW w:w="6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73"/>
              <w:spacing w:after="0"/>
              <w:rPr>
                <w:sz w:val="20"/>
                <w:szCs w:val="20"/>
                <w:color w:val="auto"/>
              </w:rPr>
            </w:pPr>
            <w:r>
              <w:rPr>
                <w:rFonts w:ascii="Arial" w:cs="Arial" w:eastAsia="Arial" w:hAnsi="Arial"/>
                <w:sz w:val="14"/>
                <w:szCs w:val="14"/>
                <w:color w:val="0E2A35"/>
              </w:rPr>
              <w:t>51,392</w:t>
            </w:r>
          </w:p>
        </w:tc>
        <w:tc>
          <w:tcPr>
            <w:tcW w:w="1600" w:type="dxa"/>
            <w:vAlign w:val="bottom"/>
          </w:tcPr>
          <w:p>
            <w:pPr>
              <w:jc w:val="right"/>
              <w:ind w:right="451"/>
              <w:spacing w:after="0"/>
              <w:rPr>
                <w:sz w:val="20"/>
                <w:szCs w:val="20"/>
                <w:color w:val="auto"/>
              </w:rPr>
            </w:pPr>
            <w:r>
              <w:rPr>
                <w:rFonts w:ascii="Arial" w:cs="Arial" w:eastAsia="Arial" w:hAnsi="Arial"/>
                <w:sz w:val="14"/>
                <w:szCs w:val="14"/>
                <w:color w:val="0E2A35"/>
              </w:rPr>
              <w:t>3,803,768​</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1580" w:type="dxa"/>
            <w:vAlign w:val="bottom"/>
            <w:tcBorders>
              <w:bottom w:val="single" w:sz="8" w:color="0E2A35"/>
            </w:tcBorders>
          </w:tcPr>
          <w:p>
            <w:pPr>
              <w:spacing w:after="0"/>
              <w:rPr>
                <w:sz w:val="7"/>
                <w:szCs w:val="7"/>
                <w:color w:val="auto"/>
              </w:rPr>
            </w:pPr>
          </w:p>
        </w:tc>
        <w:tc>
          <w:tcPr>
            <w:tcW w:w="1720" w:type="dxa"/>
            <w:vAlign w:val="bottom"/>
            <w:tcBorders>
              <w:bottom w:val="single" w:sz="8" w:color="0E2A35"/>
            </w:tcBorders>
          </w:tcPr>
          <w:p>
            <w:pPr>
              <w:spacing w:after="0"/>
              <w:rPr>
                <w:sz w:val="7"/>
                <w:szCs w:val="7"/>
                <w:color w:val="auto"/>
              </w:rPr>
            </w:pPr>
          </w:p>
        </w:tc>
        <w:tc>
          <w:tcPr>
            <w:tcW w:w="16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68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1020" w:type="dxa"/>
            <w:vAlign w:val="bottom"/>
          </w:tcPr>
          <w:p>
            <w:pPr>
              <w:jc w:val="center"/>
              <w:ind w:left="572"/>
              <w:spacing w:after="0"/>
              <w:rPr>
                <w:sz w:val="20"/>
                <w:szCs w:val="20"/>
                <w:color w:val="auto"/>
              </w:rPr>
            </w:pPr>
            <w:r>
              <w:rPr>
                <w:rFonts w:ascii="Arial" w:cs="Arial" w:eastAsia="Arial" w:hAnsi="Arial"/>
                <w:sz w:val="14"/>
                <w:szCs w:val="14"/>
                <w:color w:val="0E2A35"/>
                <w:w w:val="99"/>
              </w:rPr>
              <w:t>—</w:t>
            </w:r>
          </w:p>
        </w:tc>
        <w:tc>
          <w:tcPr>
            <w:tcW w:w="6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73"/>
              <w:spacing w:after="0"/>
              <w:rPr>
                <w:sz w:val="20"/>
                <w:szCs w:val="20"/>
                <w:color w:val="auto"/>
              </w:rPr>
            </w:pPr>
            <w:r>
              <w:rPr>
                <w:rFonts w:ascii="Arial" w:cs="Arial" w:eastAsia="Arial" w:hAnsi="Arial"/>
                <w:sz w:val="14"/>
                <w:szCs w:val="14"/>
                <w:color w:val="0E2A35"/>
              </w:rPr>
              <w:t>13,737</w:t>
            </w:r>
          </w:p>
        </w:tc>
        <w:tc>
          <w:tcPr>
            <w:tcW w:w="1600" w:type="dxa"/>
            <w:vAlign w:val="bottom"/>
          </w:tcPr>
          <w:p>
            <w:pPr>
              <w:jc w:val="right"/>
              <w:ind w:right="451"/>
              <w:spacing w:after="0"/>
              <w:rPr>
                <w:sz w:val="20"/>
                <w:szCs w:val="20"/>
                <w:color w:val="auto"/>
              </w:rPr>
            </w:pPr>
            <w:r>
              <w:rPr>
                <w:rFonts w:ascii="Arial" w:cs="Arial" w:eastAsia="Arial" w:hAnsi="Arial"/>
                <w:sz w:val="14"/>
                <w:szCs w:val="14"/>
                <w:color w:val="0E2A35"/>
              </w:rPr>
              <w:t>1,018,849</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1580" w:type="dxa"/>
            <w:vAlign w:val="bottom"/>
            <w:tcBorders>
              <w:bottom w:val="single" w:sz="8" w:color="0E2A35"/>
            </w:tcBorders>
          </w:tcPr>
          <w:p>
            <w:pPr>
              <w:spacing w:after="0"/>
              <w:rPr>
                <w:sz w:val="7"/>
                <w:szCs w:val="7"/>
                <w:color w:val="auto"/>
              </w:rPr>
            </w:pPr>
          </w:p>
        </w:tc>
        <w:tc>
          <w:tcPr>
            <w:tcW w:w="1720" w:type="dxa"/>
            <w:vAlign w:val="bottom"/>
            <w:tcBorders>
              <w:bottom w:val="single" w:sz="8" w:color="0E2A35"/>
            </w:tcBorders>
          </w:tcPr>
          <w:p>
            <w:pPr>
              <w:spacing w:after="0"/>
              <w:rPr>
                <w:sz w:val="7"/>
                <w:szCs w:val="7"/>
                <w:color w:val="auto"/>
              </w:rPr>
            </w:pPr>
          </w:p>
        </w:tc>
        <w:tc>
          <w:tcPr>
            <w:tcW w:w="16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Stacy L. Bogart</w:t>
            </w:r>
          </w:p>
        </w:tc>
        <w:tc>
          <w:tcPr>
            <w:tcW w:w="1020" w:type="dxa"/>
            <w:vAlign w:val="bottom"/>
          </w:tcPr>
          <w:p>
            <w:pPr>
              <w:jc w:val="center"/>
              <w:ind w:left="572"/>
              <w:spacing w:after="0"/>
              <w:rPr>
                <w:sz w:val="20"/>
                <w:szCs w:val="20"/>
                <w:color w:val="auto"/>
              </w:rPr>
            </w:pPr>
            <w:r>
              <w:rPr>
                <w:rFonts w:ascii="Arial" w:cs="Arial" w:eastAsia="Arial" w:hAnsi="Arial"/>
                <w:sz w:val="14"/>
                <w:szCs w:val="14"/>
                <w:color w:val="0E2A35"/>
                <w:w w:val="99"/>
              </w:rPr>
              <w:t>—</w:t>
            </w:r>
          </w:p>
        </w:tc>
        <w:tc>
          <w:tcPr>
            <w:tcW w:w="6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0E2A35"/>
                <w:w w:val="97"/>
              </w:rPr>
              <w:t>11,264</w:t>
            </w:r>
          </w:p>
        </w:tc>
        <w:tc>
          <w:tcPr>
            <w:tcW w:w="1600" w:type="dxa"/>
            <w:vAlign w:val="bottom"/>
          </w:tcPr>
          <w:p>
            <w:pPr>
              <w:jc w:val="right"/>
              <w:ind w:right="451"/>
              <w:spacing w:after="0"/>
              <w:rPr>
                <w:sz w:val="20"/>
                <w:szCs w:val="20"/>
                <w:color w:val="auto"/>
              </w:rPr>
            </w:pPr>
            <w:r>
              <w:rPr>
                <w:rFonts w:ascii="Arial" w:cs="Arial" w:eastAsia="Arial" w:hAnsi="Arial"/>
                <w:sz w:val="14"/>
                <w:szCs w:val="14"/>
                <w:color w:val="0E2A35"/>
              </w:rPr>
              <w:t>834,920</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1580" w:type="dxa"/>
            <w:vAlign w:val="bottom"/>
            <w:tcBorders>
              <w:bottom w:val="single" w:sz="8" w:color="0E2A35"/>
            </w:tcBorders>
          </w:tcPr>
          <w:p>
            <w:pPr>
              <w:spacing w:after="0"/>
              <w:rPr>
                <w:sz w:val="7"/>
                <w:szCs w:val="7"/>
                <w:color w:val="auto"/>
              </w:rPr>
            </w:pPr>
          </w:p>
        </w:tc>
        <w:tc>
          <w:tcPr>
            <w:tcW w:w="1720" w:type="dxa"/>
            <w:vAlign w:val="bottom"/>
            <w:tcBorders>
              <w:bottom w:val="single" w:sz="8" w:color="0E2A35"/>
            </w:tcBorders>
          </w:tcPr>
          <w:p>
            <w:pPr>
              <w:spacing w:after="0"/>
              <w:rPr>
                <w:sz w:val="7"/>
                <w:szCs w:val="7"/>
                <w:color w:val="auto"/>
              </w:rPr>
            </w:pPr>
          </w:p>
        </w:tc>
        <w:tc>
          <w:tcPr>
            <w:tcW w:w="16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680" w:type="dxa"/>
            <w:vAlign w:val="bottom"/>
          </w:tcPr>
          <w:p>
            <w:pPr>
              <w:ind w:left="60"/>
              <w:spacing w:after="0"/>
              <w:rPr>
                <w:sz w:val="20"/>
                <w:szCs w:val="20"/>
                <w:color w:val="auto"/>
              </w:rPr>
            </w:pPr>
            <w:r>
              <w:rPr>
                <w:rFonts w:ascii="Arial" w:cs="Arial" w:eastAsia="Arial" w:hAnsi="Arial"/>
                <w:sz w:val="14"/>
                <w:szCs w:val="14"/>
                <w:color w:val="0E2A35"/>
              </w:rPr>
              <w:t>Huw S. Bower</w:t>
            </w:r>
          </w:p>
        </w:tc>
        <w:tc>
          <w:tcPr>
            <w:tcW w:w="1020" w:type="dxa"/>
            <w:vAlign w:val="bottom"/>
          </w:tcPr>
          <w:p>
            <w:pPr>
              <w:jc w:val="center"/>
              <w:ind w:left="572"/>
              <w:spacing w:after="0"/>
              <w:rPr>
                <w:sz w:val="20"/>
                <w:szCs w:val="20"/>
                <w:color w:val="auto"/>
              </w:rPr>
            </w:pPr>
            <w:r>
              <w:rPr>
                <w:rFonts w:ascii="Arial" w:cs="Arial" w:eastAsia="Arial" w:hAnsi="Arial"/>
                <w:sz w:val="14"/>
                <w:szCs w:val="14"/>
                <w:color w:val="0E2A35"/>
                <w:w w:val="99"/>
              </w:rPr>
              <w:t>—</w:t>
            </w:r>
          </w:p>
        </w:tc>
        <w:tc>
          <w:tcPr>
            <w:tcW w:w="6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73"/>
              <w:spacing w:after="0"/>
              <w:rPr>
                <w:sz w:val="20"/>
                <w:szCs w:val="20"/>
                <w:color w:val="auto"/>
              </w:rPr>
            </w:pPr>
            <w:r>
              <w:rPr>
                <w:rFonts w:ascii="Arial" w:cs="Arial" w:eastAsia="Arial" w:hAnsi="Arial"/>
                <w:sz w:val="14"/>
                <w:szCs w:val="14"/>
                <w:color w:val="0E2A35"/>
              </w:rPr>
              <w:t>12,997</w:t>
            </w:r>
          </w:p>
        </w:tc>
        <w:tc>
          <w:tcPr>
            <w:tcW w:w="1600" w:type="dxa"/>
            <w:vAlign w:val="bottom"/>
          </w:tcPr>
          <w:p>
            <w:pPr>
              <w:jc w:val="right"/>
              <w:ind w:right="451"/>
              <w:spacing w:after="0"/>
              <w:rPr>
                <w:sz w:val="20"/>
                <w:szCs w:val="20"/>
                <w:color w:val="auto"/>
              </w:rPr>
            </w:pPr>
            <w:r>
              <w:rPr>
                <w:rFonts w:ascii="Arial" w:cs="Arial" w:eastAsia="Arial" w:hAnsi="Arial"/>
                <w:sz w:val="14"/>
                <w:szCs w:val="14"/>
                <w:color w:val="0E2A35"/>
              </w:rPr>
              <w:t>982,782</w:t>
            </w:r>
          </w:p>
        </w:tc>
        <w:tc>
          <w:tcPr>
            <w:tcW w:w="0" w:type="dxa"/>
            <w:vAlign w:val="bottom"/>
          </w:tcPr>
          <w:p>
            <w:pPr>
              <w:spacing w:after="0"/>
              <w:rPr>
                <w:sz w:val="1"/>
                <w:szCs w:val="1"/>
                <w:color w:val="auto"/>
              </w:rPr>
            </w:pPr>
          </w:p>
        </w:tc>
      </w:tr>
      <w:tr>
        <w:trPr>
          <w:trHeight w:val="89"/>
        </w:trPr>
        <w:tc>
          <w:tcPr>
            <w:tcW w:w="2680" w:type="dxa"/>
            <w:vAlign w:val="bottom"/>
            <w:tcBorders>
              <w:bottom w:val="single" w:sz="8" w:color="0E2A35"/>
            </w:tcBorders>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1580" w:type="dxa"/>
            <w:vAlign w:val="bottom"/>
            <w:tcBorders>
              <w:bottom w:val="single" w:sz="8" w:color="0E2A35"/>
            </w:tcBorders>
          </w:tcPr>
          <w:p>
            <w:pPr>
              <w:spacing w:after="0"/>
              <w:rPr>
                <w:sz w:val="7"/>
                <w:szCs w:val="7"/>
                <w:color w:val="auto"/>
              </w:rPr>
            </w:pPr>
          </w:p>
        </w:tc>
        <w:tc>
          <w:tcPr>
            <w:tcW w:w="1720" w:type="dxa"/>
            <w:vAlign w:val="bottom"/>
            <w:tcBorders>
              <w:bottom w:val="single" w:sz="8" w:color="0E2A35"/>
            </w:tcBorders>
          </w:tcPr>
          <w:p>
            <w:pPr>
              <w:spacing w:after="0"/>
              <w:rPr>
                <w:sz w:val="7"/>
                <w:szCs w:val="7"/>
                <w:color w:val="auto"/>
              </w:rPr>
            </w:pPr>
          </w:p>
        </w:tc>
        <w:tc>
          <w:tcPr>
            <w:tcW w:w="16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80" w:type="dxa"/>
            <w:vAlign w:val="bottom"/>
          </w:tcPr>
          <w:p>
            <w:pPr>
              <w:ind w:left="60"/>
              <w:spacing w:after="0"/>
              <w:rPr>
                <w:sz w:val="20"/>
                <w:szCs w:val="20"/>
                <w:color w:val="auto"/>
              </w:rPr>
            </w:pPr>
            <w:r>
              <w:rPr>
                <w:rFonts w:ascii="Arial" w:cs="Arial" w:eastAsia="Arial" w:hAnsi="Arial"/>
                <w:sz w:val="14"/>
                <w:szCs w:val="14"/>
                <w:color w:val="0E2A35"/>
              </w:rPr>
              <w:t>Donald J. Clark</w:t>
            </w:r>
          </w:p>
        </w:tc>
        <w:tc>
          <w:tcPr>
            <w:tcW w:w="1020" w:type="dxa"/>
            <w:vAlign w:val="bottom"/>
          </w:tcPr>
          <w:p>
            <w:pPr>
              <w:jc w:val="center"/>
              <w:ind w:left="572"/>
              <w:spacing w:after="0"/>
              <w:rPr>
                <w:sz w:val="20"/>
                <w:szCs w:val="20"/>
                <w:color w:val="auto"/>
              </w:rPr>
            </w:pPr>
            <w:r>
              <w:rPr>
                <w:rFonts w:ascii="Arial" w:cs="Arial" w:eastAsia="Arial" w:hAnsi="Arial"/>
                <w:sz w:val="14"/>
                <w:szCs w:val="14"/>
                <w:color w:val="0E2A35"/>
                <w:w w:val="99"/>
              </w:rPr>
              <w:t>—</w:t>
            </w:r>
          </w:p>
        </w:tc>
        <w:tc>
          <w:tcPr>
            <w:tcW w:w="6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73"/>
              <w:spacing w:after="0"/>
              <w:rPr>
                <w:sz w:val="20"/>
                <w:szCs w:val="20"/>
                <w:color w:val="auto"/>
              </w:rPr>
            </w:pPr>
            <w:r>
              <w:rPr>
                <w:rFonts w:ascii="Arial" w:cs="Arial" w:eastAsia="Arial" w:hAnsi="Arial"/>
                <w:sz w:val="14"/>
                <w:szCs w:val="14"/>
                <w:color w:val="0E2A35"/>
              </w:rPr>
              <w:t>1,686</w:t>
            </w:r>
          </w:p>
        </w:tc>
        <w:tc>
          <w:tcPr>
            <w:tcW w:w="1600" w:type="dxa"/>
            <w:vAlign w:val="bottom"/>
          </w:tcPr>
          <w:p>
            <w:pPr>
              <w:jc w:val="right"/>
              <w:ind w:right="451"/>
              <w:spacing w:after="0"/>
              <w:rPr>
                <w:sz w:val="20"/>
                <w:szCs w:val="20"/>
                <w:color w:val="auto"/>
              </w:rPr>
            </w:pPr>
            <w:r>
              <w:rPr>
                <w:rFonts w:ascii="Arial" w:cs="Arial" w:eastAsia="Arial" w:hAnsi="Arial"/>
                <w:sz w:val="14"/>
                <w:szCs w:val="14"/>
                <w:color w:val="0E2A35"/>
              </w:rPr>
              <w:t>127,715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1722755</wp:posOffset>
            </wp:positionH>
            <wp:positionV relativeFrom="paragraph">
              <wp:posOffset>-1665605</wp:posOffset>
            </wp:positionV>
            <wp:extent cx="41744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173" w:lineRule="exact"/>
        <w:rPr>
          <w:sz w:val="20"/>
          <w:szCs w:val="20"/>
          <w:color w:val="auto"/>
        </w:rPr>
      </w:pPr>
    </w:p>
    <w:p>
      <w:pPr>
        <w:ind w:left="360" w:right="160" w:hanging="360"/>
        <w:spacing w:after="0" w:line="243"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Valued at the closing market price of the Company's common stock of $75.59 (October 12, 2021), $75.75 (October 13, 2021), $69.99 (October 15, 2021), and $68.41 (December 17, 2021) as quoted on the NYSE on the vesting dates.</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Nonqualified Deferred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0E2A35"/>
        </w:rPr>
        <w:t>The following table summarizes non-qualified deferred compensation by NEOs during fiscal 2022.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 w:type="dxa"/>
            <w:vAlign w:val="bottom"/>
            <w:shd w:val="clear" w:color="auto" w:fill="0E2A35"/>
          </w:tcPr>
          <w:p>
            <w:pPr>
              <w:spacing w:after="0"/>
              <w:rPr>
                <w:sz w:val="19"/>
                <w:szCs w:val="19"/>
                <w:color w:val="auto"/>
              </w:rPr>
            </w:pPr>
          </w:p>
        </w:tc>
        <w:tc>
          <w:tcPr>
            <w:tcW w:w="1780" w:type="dxa"/>
            <w:vAlign w:val="bottom"/>
            <w:shd w:val="clear" w:color="auto" w:fill="0E2A35"/>
          </w:tcPr>
          <w:p>
            <w:pPr>
              <w:spacing w:after="0"/>
              <w:rPr>
                <w:sz w:val="19"/>
                <w:szCs w:val="19"/>
                <w:color w:val="auto"/>
              </w:rPr>
            </w:pPr>
          </w:p>
        </w:tc>
        <w:tc>
          <w:tcPr>
            <w:tcW w:w="2220" w:type="dxa"/>
            <w:vAlign w:val="bottom"/>
            <w:shd w:val="clear" w:color="auto" w:fill="0E2A35"/>
          </w:tcPr>
          <w:p>
            <w:pPr>
              <w:jc w:val="center"/>
              <w:ind w:left="854"/>
              <w:spacing w:after="0"/>
              <w:rPr>
                <w:sz w:val="20"/>
                <w:szCs w:val="20"/>
                <w:color w:val="auto"/>
              </w:rPr>
            </w:pPr>
            <w:r>
              <w:rPr>
                <w:rFonts w:ascii="Arial" w:cs="Arial" w:eastAsia="Arial" w:hAnsi="Arial"/>
                <w:sz w:val="13"/>
                <w:szCs w:val="13"/>
                <w:b w:val="1"/>
                <w:bCs w:val="1"/>
                <w:color w:val="FFFFFF"/>
                <w:w w:val="95"/>
              </w:rPr>
              <w:t>Executive</w:t>
            </w:r>
          </w:p>
        </w:tc>
        <w:tc>
          <w:tcPr>
            <w:tcW w:w="1220" w:type="dxa"/>
            <w:vAlign w:val="bottom"/>
            <w:shd w:val="clear" w:color="auto" w:fill="0E2A35"/>
          </w:tcPr>
          <w:p>
            <w:pPr>
              <w:jc w:val="center"/>
              <w:ind w:right="14"/>
              <w:spacing w:after="0"/>
              <w:rPr>
                <w:sz w:val="20"/>
                <w:szCs w:val="20"/>
                <w:color w:val="auto"/>
              </w:rPr>
            </w:pPr>
            <w:r>
              <w:rPr>
                <w:rFonts w:ascii="Arial" w:cs="Arial" w:eastAsia="Arial" w:hAnsi="Arial"/>
                <w:sz w:val="13"/>
                <w:szCs w:val="13"/>
                <w:b w:val="1"/>
                <w:bCs w:val="1"/>
                <w:color w:val="FFFFFF"/>
                <w:w w:val="96"/>
              </w:rPr>
              <w:t>Registrant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0" w:type="dxa"/>
            <w:vAlign w:val="bottom"/>
          </w:tcPr>
          <w:p>
            <w:pPr>
              <w:spacing w:after="0"/>
              <w:rPr>
                <w:sz w:val="1"/>
                <w:szCs w:val="1"/>
                <w:color w:val="auto"/>
              </w:rPr>
            </w:pPr>
          </w:p>
        </w:tc>
      </w:tr>
      <w:tr>
        <w:trPr>
          <w:trHeight w:val="135"/>
        </w:trPr>
        <w:tc>
          <w:tcPr>
            <w:tcW w:w="440" w:type="dxa"/>
            <w:vAlign w:val="bottom"/>
            <w:shd w:val="clear" w:color="auto" w:fill="0E2A35"/>
          </w:tcPr>
          <w:p>
            <w:pPr>
              <w:spacing w:after="0"/>
              <w:rPr>
                <w:sz w:val="11"/>
                <w:szCs w:val="11"/>
                <w:color w:val="auto"/>
              </w:rPr>
            </w:pPr>
          </w:p>
        </w:tc>
        <w:tc>
          <w:tcPr>
            <w:tcW w:w="1780" w:type="dxa"/>
            <w:vAlign w:val="bottom"/>
            <w:shd w:val="clear" w:color="auto" w:fill="0E2A35"/>
          </w:tcPr>
          <w:p>
            <w:pPr>
              <w:spacing w:after="0"/>
              <w:rPr>
                <w:sz w:val="11"/>
                <w:szCs w:val="11"/>
                <w:color w:val="auto"/>
              </w:rPr>
            </w:pPr>
          </w:p>
        </w:tc>
        <w:tc>
          <w:tcPr>
            <w:tcW w:w="2220" w:type="dxa"/>
            <w:vAlign w:val="bottom"/>
            <w:shd w:val="clear" w:color="auto" w:fill="0E2A35"/>
          </w:tcPr>
          <w:p>
            <w:pPr>
              <w:jc w:val="center"/>
              <w:ind w:left="854"/>
              <w:spacing w:after="0" w:line="135" w:lineRule="exact"/>
              <w:rPr>
                <w:sz w:val="20"/>
                <w:szCs w:val="20"/>
                <w:color w:val="auto"/>
              </w:rPr>
            </w:pPr>
            <w:r>
              <w:rPr>
                <w:rFonts w:ascii="Arial" w:cs="Arial" w:eastAsia="Arial" w:hAnsi="Arial"/>
                <w:sz w:val="13"/>
                <w:szCs w:val="13"/>
                <w:b w:val="1"/>
                <w:bCs w:val="1"/>
                <w:color w:val="FFFFFF"/>
                <w:w w:val="97"/>
              </w:rPr>
              <w:t>Contributions in</w:t>
            </w:r>
          </w:p>
        </w:tc>
        <w:tc>
          <w:tcPr>
            <w:tcW w:w="1220" w:type="dxa"/>
            <w:vAlign w:val="bottom"/>
            <w:shd w:val="clear" w:color="auto" w:fill="0E2A35"/>
          </w:tcPr>
          <w:p>
            <w:pPr>
              <w:jc w:val="center"/>
              <w:ind w:right="14"/>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Earnings in</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Withdrawals/</w:t>
            </w: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Balance at</w:t>
            </w:r>
          </w:p>
        </w:tc>
        <w:tc>
          <w:tcPr>
            <w:tcW w:w="0" w:type="dxa"/>
            <w:vAlign w:val="bottom"/>
          </w:tcPr>
          <w:p>
            <w:pPr>
              <w:spacing w:after="0"/>
              <w:rPr>
                <w:sz w:val="1"/>
                <w:szCs w:val="1"/>
                <w:color w:val="auto"/>
              </w:rPr>
            </w:pPr>
          </w:p>
        </w:tc>
      </w:tr>
      <w:tr>
        <w:trPr>
          <w:trHeight w:val="135"/>
        </w:trPr>
        <w:tc>
          <w:tcPr>
            <w:tcW w:w="4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780" w:type="dxa"/>
            <w:vAlign w:val="bottom"/>
            <w:shd w:val="clear" w:color="auto" w:fill="0E2A35"/>
          </w:tcPr>
          <w:p>
            <w:pPr>
              <w:spacing w:after="0"/>
              <w:rPr>
                <w:sz w:val="11"/>
                <w:szCs w:val="11"/>
                <w:color w:val="auto"/>
              </w:rPr>
            </w:pPr>
          </w:p>
        </w:tc>
        <w:tc>
          <w:tcPr>
            <w:tcW w:w="2220" w:type="dxa"/>
            <w:vAlign w:val="bottom"/>
            <w:shd w:val="clear" w:color="auto" w:fill="0E2A35"/>
          </w:tcPr>
          <w:p>
            <w:pPr>
              <w:jc w:val="center"/>
              <w:ind w:left="854"/>
              <w:spacing w:after="0" w:line="135" w:lineRule="exact"/>
              <w:rPr>
                <w:sz w:val="20"/>
                <w:szCs w:val="20"/>
                <w:color w:val="auto"/>
              </w:rPr>
            </w:pPr>
            <w:r>
              <w:rPr>
                <w:rFonts w:ascii="Arial" w:cs="Arial" w:eastAsia="Arial" w:hAnsi="Arial"/>
                <w:sz w:val="13"/>
                <w:szCs w:val="13"/>
                <w:b w:val="1"/>
                <w:bCs w:val="1"/>
                <w:color w:val="FFFFFF"/>
                <w:w w:val="97"/>
              </w:rPr>
              <w:t>Last FY</w:t>
            </w:r>
          </w:p>
        </w:tc>
        <w:tc>
          <w:tcPr>
            <w:tcW w:w="1220" w:type="dxa"/>
            <w:vAlign w:val="bottom"/>
            <w:shd w:val="clear" w:color="auto" w:fill="0E2A35"/>
          </w:tcPr>
          <w:p>
            <w:pPr>
              <w:jc w:val="center"/>
              <w:ind w:right="34"/>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Last FY</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Distributions</w:t>
            </w: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Last FYE</w:t>
            </w:r>
          </w:p>
        </w:tc>
        <w:tc>
          <w:tcPr>
            <w:tcW w:w="0" w:type="dxa"/>
            <w:vAlign w:val="bottom"/>
          </w:tcPr>
          <w:p>
            <w:pPr>
              <w:spacing w:after="0"/>
              <w:rPr>
                <w:sz w:val="1"/>
                <w:szCs w:val="1"/>
                <w:color w:val="auto"/>
              </w:rPr>
            </w:pPr>
          </w:p>
        </w:tc>
      </w:tr>
      <w:tr>
        <w:trPr>
          <w:trHeight w:val="172"/>
        </w:trPr>
        <w:tc>
          <w:tcPr>
            <w:tcW w:w="440" w:type="dxa"/>
            <w:vAlign w:val="bottom"/>
            <w:vMerge w:val="continue"/>
            <w:shd w:val="clear" w:color="auto" w:fill="0E2A35"/>
          </w:tcPr>
          <w:p>
            <w:pPr>
              <w:spacing w:after="0"/>
              <w:rPr>
                <w:sz w:val="14"/>
                <w:szCs w:val="14"/>
                <w:color w:val="auto"/>
              </w:rPr>
            </w:pPr>
          </w:p>
        </w:tc>
        <w:tc>
          <w:tcPr>
            <w:tcW w:w="1780" w:type="dxa"/>
            <w:vAlign w:val="bottom"/>
            <w:shd w:val="clear" w:color="auto" w:fill="0E2A35"/>
          </w:tcPr>
          <w:p>
            <w:pPr>
              <w:spacing w:after="0"/>
              <w:rPr>
                <w:sz w:val="14"/>
                <w:szCs w:val="14"/>
                <w:color w:val="auto"/>
              </w:rPr>
            </w:pPr>
          </w:p>
        </w:tc>
        <w:tc>
          <w:tcPr>
            <w:tcW w:w="2220" w:type="dxa"/>
            <w:vAlign w:val="bottom"/>
            <w:shd w:val="clear" w:color="auto" w:fill="0E2A35"/>
          </w:tcPr>
          <w:p>
            <w:pPr>
              <w:jc w:val="center"/>
              <w:ind w:left="894"/>
              <w:spacing w:after="0"/>
              <w:rPr>
                <w:sz w:val="20"/>
                <w:szCs w:val="20"/>
                <w:color w:val="auto"/>
              </w:rPr>
            </w:pPr>
            <w:r>
              <w:rPr>
                <w:rFonts w:ascii="Arial" w:cs="Arial" w:eastAsia="Arial" w:hAnsi="Arial"/>
                <w:sz w:val="13"/>
                <w:szCs w:val="13"/>
                <w:b w:val="1"/>
                <w:bCs w:val="1"/>
                <w:color w:val="FFFFFF"/>
                <w:w w:val="87"/>
              </w:rPr>
              <w:t>($)</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89"/>
        </w:trPr>
        <w:tc>
          <w:tcPr>
            <w:tcW w:w="2220" w:type="dxa"/>
            <w:vAlign w:val="bottom"/>
            <w:gridSpan w:val="2"/>
            <w:shd w:val="clear" w:color="auto" w:fill="0E2A35"/>
          </w:tcPr>
          <w:p>
            <w:pPr>
              <w:spacing w:after="0"/>
              <w:rPr>
                <w:sz w:val="7"/>
                <w:szCs w:val="7"/>
                <w:color w:val="auto"/>
              </w:rPr>
            </w:pPr>
          </w:p>
        </w:tc>
        <w:tc>
          <w:tcPr>
            <w:tcW w:w="2220" w:type="dxa"/>
            <w:vAlign w:val="bottom"/>
            <w:shd w:val="clear" w:color="auto" w:fill="0E2A35"/>
          </w:tcPr>
          <w:p>
            <w:pPr>
              <w:spacing w:after="0"/>
              <w:rPr>
                <w:sz w:val="7"/>
                <w:szCs w:val="7"/>
                <w:color w:val="auto"/>
              </w:rPr>
            </w:pPr>
          </w:p>
        </w:tc>
        <w:tc>
          <w:tcPr>
            <w:tcW w:w="122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11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22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Huw S. Bower</w:t>
            </w:r>
          </w:p>
        </w:tc>
        <w:tc>
          <w:tcPr>
            <w:tcW w:w="2220" w:type="dxa"/>
            <w:vAlign w:val="bottom"/>
            <w:tcBorders>
              <w:bottom w:val="single" w:sz="8" w:color="0E2A35"/>
            </w:tcBorders>
          </w:tcPr>
          <w:p>
            <w:pPr>
              <w:ind w:left="1300"/>
              <w:spacing w:after="0"/>
              <w:rPr>
                <w:sz w:val="20"/>
                <w:szCs w:val="20"/>
                <w:color w:val="auto"/>
              </w:rPr>
            </w:pPr>
            <w:r>
              <w:rPr>
                <w:rFonts w:ascii="Arial" w:cs="Arial" w:eastAsia="Arial" w:hAnsi="Arial"/>
                <w:sz w:val="14"/>
                <w:szCs w:val="14"/>
                <w:color w:val="0E2A35"/>
              </w:rPr>
              <w:t>​ 17,972</w:t>
            </w:r>
            <w:r>
              <w:rPr>
                <w:rFonts w:ascii="Arial" w:cs="Arial" w:eastAsia="Arial" w:hAnsi="Arial"/>
                <w:sz w:val="23"/>
                <w:szCs w:val="23"/>
                <w:color w:val="0E2A35"/>
                <w:vertAlign w:val="superscript"/>
              </w:rPr>
              <w:t>(1)</w:t>
            </w:r>
          </w:p>
        </w:tc>
        <w:tc>
          <w:tcPr>
            <w:tcW w:w="1220" w:type="dxa"/>
            <w:vAlign w:val="bottom"/>
            <w:tcBorders>
              <w:bottom w:val="single" w:sz="8" w:color="0E2A35"/>
            </w:tcBorders>
          </w:tcPr>
          <w:p>
            <w:pPr>
              <w:jc w:val="center"/>
              <w:ind w:right="14"/>
              <w:spacing w:after="0"/>
              <w:rPr>
                <w:sz w:val="20"/>
                <w:szCs w:val="20"/>
                <w:color w:val="auto"/>
              </w:rPr>
            </w:pPr>
            <w:r>
              <w:rPr>
                <w:rFonts w:ascii="Arial" w:cs="Arial" w:eastAsia="Arial" w:hAnsi="Arial"/>
                <w:sz w:val="14"/>
                <w:szCs w:val="14"/>
                <w:color w:val="0E2A35"/>
                <w:w w:val="99"/>
              </w:rPr>
              <w:t>—​</w:t>
            </w:r>
          </w:p>
        </w:tc>
        <w:tc>
          <w:tcPr>
            <w:tcW w:w="116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 (8,121)</w:t>
            </w:r>
          </w:p>
        </w:tc>
        <w:tc>
          <w:tcPr>
            <w:tcW w:w="128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118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 80,527</w:t>
            </w:r>
            <w:r>
              <w:rPr>
                <w:rFonts w:ascii="Arial" w:cs="Arial" w:eastAsia="Arial" w:hAnsi="Arial"/>
                <w:sz w:val="23"/>
                <w:szCs w:val="23"/>
                <w:color w:val="0E2A35"/>
                <w:vertAlign w:val="superscript"/>
              </w:rPr>
              <w:t>(3)</w:t>
            </w:r>
          </w:p>
        </w:tc>
        <w:tc>
          <w:tcPr>
            <w:tcW w:w="0" w:type="dxa"/>
            <w:vAlign w:val="bottom"/>
          </w:tcPr>
          <w:p>
            <w:pPr>
              <w:spacing w:after="0"/>
              <w:rPr>
                <w:sz w:val="1"/>
                <w:szCs w:val="1"/>
                <w:color w:val="auto"/>
              </w:rPr>
            </w:pPr>
          </w:p>
        </w:tc>
      </w:tr>
      <w:tr>
        <w:trPr>
          <w:trHeight w:val="397"/>
        </w:trPr>
        <w:tc>
          <w:tcPr>
            <w:tcW w:w="440" w:type="dxa"/>
            <w:vAlign w:val="bottom"/>
          </w:tcPr>
          <w:p>
            <w:pPr>
              <w:ind w:left="60"/>
              <w:spacing w:after="0"/>
              <w:rPr>
                <w:sz w:val="20"/>
                <w:szCs w:val="20"/>
                <w:color w:val="auto"/>
              </w:rPr>
            </w:pPr>
            <w:r>
              <w:rPr>
                <w:rFonts w:ascii="Arial" w:cs="Arial" w:eastAsia="Arial" w:hAnsi="Arial"/>
                <w:sz w:val="14"/>
                <w:szCs w:val="14"/>
                <w:color w:val="0E2A35"/>
                <w:w w:val="98"/>
              </w:rPr>
              <w:t>Bryan​</w:t>
            </w:r>
          </w:p>
        </w:tc>
        <w:tc>
          <w:tcPr>
            <w:tcW w:w="1780" w:type="dxa"/>
            <w:vAlign w:val="bottom"/>
          </w:tcPr>
          <w:p>
            <w:pPr>
              <w:ind w:left="20"/>
              <w:spacing w:after="0"/>
              <w:rPr>
                <w:sz w:val="20"/>
                <w:szCs w:val="20"/>
                <w:color w:val="auto"/>
              </w:rPr>
            </w:pPr>
            <w:r>
              <w:rPr>
                <w:rFonts w:ascii="Arial" w:cs="Arial" w:eastAsia="Arial" w:hAnsi="Arial"/>
                <w:sz w:val="14"/>
                <w:szCs w:val="14"/>
                <w:color w:val="0E2A35"/>
              </w:rPr>
              <w:t>L. Hughes</w:t>
            </w:r>
          </w:p>
        </w:tc>
        <w:tc>
          <w:tcPr>
            <w:tcW w:w="2220" w:type="dxa"/>
            <w:vAlign w:val="bottom"/>
          </w:tcPr>
          <w:p>
            <w:pPr>
              <w:ind w:left="1300"/>
              <w:spacing w:after="0"/>
              <w:rPr>
                <w:sz w:val="20"/>
                <w:szCs w:val="20"/>
                <w:color w:val="auto"/>
              </w:rPr>
            </w:pPr>
            <w:r>
              <w:rPr>
                <w:rFonts w:ascii="Arial" w:cs="Arial" w:eastAsia="Arial" w:hAnsi="Arial"/>
                <w:sz w:val="14"/>
                <w:szCs w:val="14"/>
                <w:color w:val="0E2A35"/>
              </w:rPr>
              <w:t>​283,757</w:t>
            </w:r>
            <w:r>
              <w:rPr>
                <w:rFonts w:ascii="Arial" w:cs="Arial" w:eastAsia="Arial" w:hAnsi="Arial"/>
                <w:sz w:val="23"/>
                <w:szCs w:val="23"/>
                <w:color w:val="0E2A35"/>
                <w:vertAlign w:val="superscript"/>
              </w:rPr>
              <w:t>(2)</w:t>
            </w:r>
          </w:p>
        </w:tc>
        <w:tc>
          <w:tcPr>
            <w:tcW w:w="1220" w:type="dxa"/>
            <w:vAlign w:val="bottom"/>
          </w:tcPr>
          <w:p>
            <w:pPr>
              <w:jc w:val="center"/>
              <w:ind w:right="14"/>
              <w:spacing w:after="0"/>
              <w:rPr>
                <w:sz w:val="20"/>
                <w:szCs w:val="20"/>
                <w:color w:val="auto"/>
              </w:rPr>
            </w:pPr>
            <w:r>
              <w:rPr>
                <w:rFonts w:ascii="Arial" w:cs="Arial" w:eastAsia="Arial" w:hAnsi="Arial"/>
                <w:sz w:val="14"/>
                <w:szCs w:val="14"/>
                <w:color w:val="0E2A35"/>
                <w:w w:val="99"/>
              </w:rPr>
              <w:t>—​</w:t>
            </w:r>
          </w:p>
        </w:tc>
        <w:tc>
          <w:tcPr>
            <w:tcW w:w="1160" w:type="dxa"/>
            <w:vAlign w:val="bottom"/>
          </w:tcPr>
          <w:p>
            <w:pPr>
              <w:ind w:left="320"/>
              <w:spacing w:after="0"/>
              <w:rPr>
                <w:sz w:val="20"/>
                <w:szCs w:val="20"/>
                <w:color w:val="auto"/>
              </w:rPr>
            </w:pPr>
            <w:r>
              <w:rPr>
                <w:rFonts w:ascii="Arial" w:cs="Arial" w:eastAsia="Arial" w:hAnsi="Arial"/>
                <w:sz w:val="14"/>
                <w:szCs w:val="14"/>
                <w:color w:val="0E2A35"/>
              </w:rPr>
              <w:t>(90,213)​</w:t>
            </w:r>
          </w:p>
        </w:tc>
        <w:tc>
          <w:tcPr>
            <w:tcW w:w="12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0E2A35"/>
                <w:w w:val="98"/>
              </w:rPr>
              <w:t>​768,514</w:t>
            </w:r>
            <w:r>
              <w:rPr>
                <w:rFonts w:ascii="Arial" w:cs="Arial" w:eastAsia="Arial" w:hAnsi="Arial"/>
                <w:sz w:val="23"/>
                <w:szCs w:val="23"/>
                <w:color w:val="0E2A35"/>
                <w:w w:val="98"/>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58978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58" w:lineRule="exact"/>
        <w:rPr>
          <w:sz w:val="20"/>
          <w:szCs w:val="20"/>
          <w:color w:val="auto"/>
        </w:rPr>
      </w:pPr>
    </w:p>
    <w:p>
      <w:pPr>
        <w:ind w:left="360" w:hanging="360"/>
        <w:spacing w:after="0"/>
        <w:tabs>
          <w:tab w:leader="none" w:pos="36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Represents Mr. Bower’s 2022 base salary deferral of 5%, which is included in the Salary column of the Summary Compensation Table.</w:t>
      </w:r>
    </w:p>
    <w:p>
      <w:pPr>
        <w:spacing w:after="0" w:line="39" w:lineRule="exact"/>
        <w:rPr>
          <w:rFonts w:ascii="Arial" w:cs="Arial" w:eastAsia="Arial" w:hAnsi="Arial"/>
          <w:sz w:val="13"/>
          <w:szCs w:val="13"/>
          <w:color w:val="0E2A35"/>
        </w:rPr>
      </w:pPr>
    </w:p>
    <w:p>
      <w:pPr>
        <w:ind w:left="360" w:right="20" w:hanging="360"/>
        <w:spacing w:after="0" w:line="251" w:lineRule="auto"/>
        <w:tabs>
          <w:tab w:leader="none" w:pos="360" w:val="left"/>
        </w:tabs>
        <w:numPr>
          <w:ilvl w:val="0"/>
          <w:numId w:val="50"/>
        </w:numPr>
        <w:rPr>
          <w:rFonts w:ascii="Arial" w:cs="Arial" w:eastAsia="Arial" w:hAnsi="Arial"/>
          <w:sz w:val="12"/>
          <w:szCs w:val="12"/>
          <w:color w:val="0E2A35"/>
        </w:rPr>
      </w:pPr>
      <w:r>
        <w:rPr>
          <w:rFonts w:ascii="Arial" w:cs="Arial" w:eastAsia="Arial" w:hAnsi="Arial"/>
          <w:sz w:val="12"/>
          <w:szCs w:val="12"/>
          <w:color w:val="0E2A35"/>
        </w:rPr>
        <w:t>Consists of $20,000, representing 10% of Mr. Hughes’ base salary in 2021 and $34,904, representing 10% of Mr. Hughes base salary in 2022, both of which are included in the Salary column of the Summary Compensation Table, and $228,853, representing 40.8% of Mr. Hughes’ annual incentive plan payout for fiscal 2022. The incentive plan is weighted 75% financial and 25% individual, of which only the financial and individual components tied to the 12-month fiscal period are eligible for deferral. The amount of the deferral is included in the Non-Equity Incentive Plan Compensation column of the Summary Compensation Table.</w:t>
      </w:r>
    </w:p>
    <w:p>
      <w:pPr>
        <w:spacing w:after="0" w:line="16" w:lineRule="exact"/>
        <w:rPr>
          <w:rFonts w:ascii="Arial" w:cs="Arial" w:eastAsia="Arial" w:hAnsi="Arial"/>
          <w:sz w:val="12"/>
          <w:szCs w:val="12"/>
          <w:color w:val="0E2A35"/>
        </w:rPr>
      </w:pPr>
    </w:p>
    <w:p>
      <w:pPr>
        <w:ind w:left="360" w:hanging="360"/>
        <w:spacing w:after="0"/>
        <w:tabs>
          <w:tab w:leader="none" w:pos="36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Balance includes $70,675 of Mr. Bowers’ annual incentive payout for fiscal 2021 previously reported as Non-Equity Incentive Plan Compensation.</w:t>
      </w:r>
    </w:p>
    <w:p>
      <w:pPr>
        <w:spacing w:after="0" w:line="39" w:lineRule="exact"/>
        <w:rPr>
          <w:rFonts w:ascii="Arial" w:cs="Arial" w:eastAsia="Arial" w:hAnsi="Arial"/>
          <w:sz w:val="13"/>
          <w:szCs w:val="13"/>
          <w:color w:val="0E2A35"/>
        </w:rPr>
      </w:pPr>
    </w:p>
    <w:p>
      <w:pPr>
        <w:ind w:left="360" w:right="120" w:hanging="360"/>
        <w:spacing w:after="0" w:line="233" w:lineRule="auto"/>
        <w:tabs>
          <w:tab w:leader="none" w:pos="36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Balance includes (i) amounts from Mr. Hughes’ annual incentive payouts that were previously reported as Non-Equity Incentive Plan Compensation as follows: fiscal 2018 - $60,792, fiscal 2019 - $17,744, fiscal 2020 - $54,027, and fiscal 2021 - $363,867 and (ii) $52,500 of Mr. Hughes’ base salary for fiscal 2021 that was previously reported as Salary.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Potential Payments upon Termination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Officer Severance Plan</w:t>
      </w:r>
    </w:p>
    <w:p>
      <w:pPr>
        <w:spacing w:after="0" w:line="19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0E2A35"/>
        </w:rPr>
        <w:t>In December 2021, the committee completed a review of benchmarking data and market practices regarding executive officer severance outside of a change in control. Following such review, the committee approved the Executive Officer Severance Plan (the Executive Severance Plan) that applies to all executive officers other than Mr. Happe and Mr. Clark.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(a) severance pay equal to one times the executive’s annualized base salary as of the executive’s employment termination date, payable in substantially equal installments over the 12 months after the executive’s employment with the Company (or an affiliate) ends, and (b) an amount equal to one times the sum of (i) the executive’s annual target bonus, as in effect on the executive’s employment termination date, plus (ii)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Change in Control Agreements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0E2A35"/>
        </w:rPr>
        <w:t>In October 2018, the committee approved new CIC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CIC Agreement was entered into effective as of September 1, 2019 in connection with his amended and restated employment agreement.</w:t>
      </w:r>
    </w:p>
    <w:p>
      <w:pPr>
        <w:spacing w:after="0" w:line="34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E2A35"/>
        </w:rPr>
        <w:t>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CIC Agreements were initially developed.</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0E2A35"/>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Annual Incentive Plan Payments</w:t>
      </w:r>
    </w:p>
    <w:p>
      <w:pPr>
        <w:spacing w:after="0" w:line="18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0E2A35"/>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E2A35"/>
        </w:rPr>
        <w:t>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2014 and 2019 Incentive Compensation Plan Payments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Long-Term Incentive Program and Performance Share Units</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6"/>
          <w:szCs w:val="16"/>
          <w:color w:val="0E2A35"/>
        </w:rPr>
        <w:t>In the event of a change of control (as defined in the applicable plan or award agreement) participants are entitled to receive awards no later than the 15</w:t>
      </w:r>
      <w:r>
        <w:rPr>
          <w:rFonts w:ascii="Arial" w:cs="Arial" w:eastAsia="Arial" w:hAnsi="Arial"/>
          <w:sz w:val="26"/>
          <w:szCs w:val="26"/>
          <w:color w:val="0E2A35"/>
          <w:vertAlign w:val="superscript"/>
        </w:rPr>
        <w:t>th</w:t>
      </w:r>
      <w:r>
        <w:rPr>
          <w:rFonts w:ascii="Arial" w:cs="Arial" w:eastAsia="Arial" w:hAnsi="Arial"/>
          <w:sz w:val="16"/>
          <w:szCs w:val="16"/>
          <w:color w:val="0E2A35"/>
        </w:rPr>
        <w:t xml:space="preserve"> day of the third calendar month following the effective date of the change in control. For fiscal 2019 and later, the amount paid is the pro rata portion of the greater of the actual level of performance (if determinable) or target. Payment is dependent upon participant's involuntary termination of employment for reasons other than Cause (as defined in the applicable plan or award agreement) or participant’s termination of employment for Good Reason (as defined in the applicable plan or award agreement), in either cause, within 24 months following a change in control.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 In addition, for awards granted in fiscal 2022 and later, if, due to retirement (as defined in the applicable plan or award agreement), a participant’s employment terminates at least 12 months after the grant date but before the end of the performance period, the participant’s award will remain outstanding and eligible to vest as scheduled, and the participant is entitled to receive an award equal to the award he or she would have received if had he or she not retired.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Restricted Stock and Restricted Stock Units</w:t>
      </w:r>
    </w:p>
    <w:p>
      <w:pPr>
        <w:spacing w:after="0" w:line="194"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0E2A35"/>
        </w:rPr>
        <w:t>Pursuant to award agreements entered into by each NEO, unvested awards of restricted stock or restricted stock units will immediately vest to NEOs if the NEO's termination of employment is due to his or her death or disability (as defined in the applicable plan) or, beginning in fiscal 2022 and later, his or her retirement (as defined in the applicable plan); provided such retirement occurs at least 12 months after the grant date.</w:t>
      </w: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0E2A35"/>
        </w:rPr>
        <w:t>In addition, any unvested restricted stock units vest upon the occurrence of a participant’s involuntary termination following a change in control (as defined in the applicable plan or award agreement) for reasons other than Cause (as defined in the applicable plan or award agreement) or participant’s termination of employment for Good Reason (as defined in the applicable plan or award agreement), in either case, within 24 months following a change in control. In all other circumstances, in the event that a NEO ceases to be employed by the Company or any subsidiary, any unvested awards held by such grantee will terminate and thereafter be null and void.</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Options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0E2A35"/>
        </w:rPr>
        <w:t>Pursuant to the stock option agreements entered into by certain of our NEOs, unvested options awarded beginning in fiscal 2019 under the 2014 Plan or the 2019 Plan, as applicable, vest after a participant's involuntary termination for reasons other than Cause (as defined in the applicable plan or award agreement) or participant’s termination of employment for Good Reason (as defined in the applicable plan or award agreement), in either cause, within 24 months following a change in control (as defined in the applicable plan or award agreement). In the event that a NEO ceases to be employed by the Company, stock options held by such NEO will vest as follows:</w:t>
      </w:r>
    </w:p>
    <w:p>
      <w:pPr>
        <w:spacing w:after="0" w:line="141" w:lineRule="exact"/>
        <w:rPr>
          <w:sz w:val="20"/>
          <w:szCs w:val="20"/>
          <w:color w:val="auto"/>
        </w:rPr>
      </w:pPr>
    </w:p>
    <w:p>
      <w:pPr>
        <w:ind w:left="720" w:right="220" w:hanging="360"/>
        <w:spacing w:after="0" w:line="286" w:lineRule="auto"/>
        <w:tabs>
          <w:tab w:leader="none" w:pos="720" w:val="left"/>
        </w:tabs>
        <w:numPr>
          <w:ilvl w:val="0"/>
          <w:numId w:val="51"/>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death or disability, the stock options become vested in full and immediately exercisable for a period of one year after termination;</w:t>
      </w:r>
    </w:p>
    <w:p>
      <w:pPr>
        <w:spacing w:after="0" w:line="115" w:lineRule="exact"/>
        <w:rPr>
          <w:rFonts w:ascii="Arial" w:cs="Arial" w:eastAsia="Arial" w:hAnsi="Arial"/>
          <w:sz w:val="16"/>
          <w:szCs w:val="16"/>
          <w:color w:val="C7D265"/>
        </w:rPr>
      </w:pPr>
    </w:p>
    <w:p>
      <w:pPr>
        <w:ind w:left="720" w:right="320" w:hanging="360"/>
        <w:spacing w:after="0" w:line="259" w:lineRule="auto"/>
        <w:tabs>
          <w:tab w:leader="none" w:pos="720" w:val="left"/>
        </w:tabs>
        <w:numPr>
          <w:ilvl w:val="0"/>
          <w:numId w:val="51"/>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death, the options will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 and</w:t>
      </w:r>
    </w:p>
    <w:p>
      <w:pPr>
        <w:spacing w:after="0" w:line="150" w:lineRule="exact"/>
        <w:rPr>
          <w:rFonts w:ascii="Arial" w:cs="Arial" w:eastAsia="Arial" w:hAnsi="Arial"/>
          <w:sz w:val="16"/>
          <w:szCs w:val="16"/>
          <w:color w:val="C7D265"/>
        </w:rPr>
      </w:pPr>
    </w:p>
    <w:p>
      <w:pPr>
        <w:ind w:left="720" w:right="40" w:hanging="360"/>
        <w:spacing w:after="0" w:line="259" w:lineRule="auto"/>
        <w:tabs>
          <w:tab w:leader="none" w:pos="720" w:val="left"/>
        </w:tabs>
        <w:numPr>
          <w:ilvl w:val="0"/>
          <w:numId w:val="51"/>
        </w:numPr>
        <w:rPr>
          <w:rFonts w:ascii="Arial" w:cs="Arial" w:eastAsia="Arial" w:hAnsi="Arial"/>
          <w:sz w:val="16"/>
          <w:szCs w:val="16"/>
          <w:color w:val="C7D265"/>
        </w:rPr>
      </w:pPr>
      <w:r>
        <w:rPr>
          <w:rFonts w:ascii="Arial" w:cs="Arial" w:eastAsia="Arial" w:hAnsi="Arial"/>
          <w:sz w:val="16"/>
          <w:szCs w:val="16"/>
          <w:color w:val="0E2A35"/>
        </w:rPr>
        <w:t>in the case of options granted beginning fiscal 2022 or after, if the NEO’s termination of employment is due to his or her retirement (as defined in the applicable plan or award agreement) and such retirement occurs at least 12 months after the grant date, the options will become vested in full and immediately exercisable by the NEO for a period of one year after retirement.</w:t>
      </w:r>
    </w:p>
    <w:p>
      <w:pPr>
        <w:spacing w:after="0" w:line="13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In the event that a NEO ceases to be employed by the Company other than because of a change in control, disability, death or retirement, any outstanding stock options held by the NEO which have not vested as of the date of termination of employment will terminate.</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In the case of each award type above, if the award is not assumed or replaced in a change of control, the award will vest in full (in the case of any performance-based award, the award will vest as to a pro-rata portion of the greater of the actual level of performance (if determinable) or target.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ind w:right="260"/>
        <w:spacing w:after="0" w:line="287" w:lineRule="auto"/>
        <w:rPr>
          <w:sz w:val="20"/>
          <w:szCs w:val="20"/>
          <w:color w:val="auto"/>
        </w:rPr>
      </w:pPr>
      <w:r>
        <w:rPr>
          <w:rFonts w:ascii="Arial" w:cs="Arial" w:eastAsia="Arial" w:hAnsi="Arial"/>
          <w:sz w:val="27"/>
          <w:szCs w:val="27"/>
          <w:b w:val="1"/>
          <w:bCs w:val="1"/>
          <w:color w:val="0E2A35"/>
        </w:rPr>
        <w:t>Estimated Change in Control or Termination Payments and Benefits at the End of Fiscal 2022</w:t>
      </w:r>
    </w:p>
    <w:p>
      <w:pPr>
        <w:spacing w:after="0" w:line="6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E2A35"/>
        </w:rPr>
        <w:t>The following table reflects the payments and benefits payable to each of the NEOs in the event of a termination of the executive's employment under several different circumstances. The amounts shown assume that termination was effective as of August 27, 2022,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shd w:val="clear" w:color="auto" w:fill="0E2A35"/>
          </w:tcPr>
          <w:p>
            <w:pPr>
              <w:spacing w:after="0"/>
              <w:rPr>
                <w:sz w:val="19"/>
                <w:szCs w:val="19"/>
                <w:color w:val="auto"/>
              </w:rPr>
            </w:pPr>
          </w:p>
        </w:tc>
        <w:tc>
          <w:tcPr>
            <w:tcW w:w="440" w:type="dxa"/>
            <w:vAlign w:val="bottom"/>
            <w:shd w:val="clear" w:color="auto" w:fill="0E2A35"/>
          </w:tcPr>
          <w:p>
            <w:pPr>
              <w:spacing w:after="0"/>
              <w:rPr>
                <w:sz w:val="19"/>
                <w:szCs w:val="19"/>
                <w:color w:val="auto"/>
              </w:rPr>
            </w:pPr>
          </w:p>
        </w:tc>
        <w:tc>
          <w:tcPr>
            <w:tcW w:w="800" w:type="dxa"/>
            <w:vAlign w:val="bottom"/>
            <w:shd w:val="clear" w:color="auto" w:fill="0E2A35"/>
          </w:tcPr>
          <w:p>
            <w:pPr>
              <w:spacing w:after="0"/>
              <w:rPr>
                <w:sz w:val="19"/>
                <w:szCs w:val="19"/>
                <w:color w:val="auto"/>
              </w:rPr>
            </w:pPr>
          </w:p>
        </w:tc>
        <w:tc>
          <w:tcPr>
            <w:tcW w:w="1160" w:type="dxa"/>
            <w:vAlign w:val="bottom"/>
            <w:gridSpan w:val="2"/>
            <w:shd w:val="clear" w:color="auto" w:fill="0E2A35"/>
          </w:tcPr>
          <w:p>
            <w:pPr>
              <w:ind w:left="280"/>
              <w:spacing w:after="0"/>
              <w:rPr>
                <w:sz w:val="20"/>
                <w:szCs w:val="20"/>
                <w:color w:val="auto"/>
              </w:rPr>
            </w:pPr>
            <w:r>
              <w:rPr>
                <w:rFonts w:ascii="Arial" w:cs="Arial" w:eastAsia="Arial" w:hAnsi="Arial"/>
                <w:sz w:val="13"/>
                <w:szCs w:val="13"/>
                <w:b w:val="1"/>
                <w:bCs w:val="1"/>
                <w:color w:val="FFFFFF"/>
              </w:rPr>
              <w:t>Annual or</w:t>
            </w:r>
          </w:p>
        </w:tc>
        <w:tc>
          <w:tcPr>
            <w:tcW w:w="320" w:type="dxa"/>
            <w:vAlign w:val="bottom"/>
            <w:shd w:val="clear" w:color="auto" w:fill="0E2A35"/>
          </w:tcPr>
          <w:p>
            <w:pPr>
              <w:spacing w:after="0"/>
              <w:rPr>
                <w:sz w:val="19"/>
                <w:szCs w:val="19"/>
                <w:color w:val="auto"/>
              </w:rPr>
            </w:pPr>
          </w:p>
        </w:tc>
        <w:tc>
          <w:tcPr>
            <w:tcW w:w="860" w:type="dxa"/>
            <w:vAlign w:val="bottom"/>
            <w:vMerge w:val="restart"/>
            <w:shd w:val="clear" w:color="auto" w:fill="0E2A35"/>
          </w:tcPr>
          <w:p>
            <w:pPr>
              <w:jc w:val="center"/>
              <w:ind w:right="250"/>
              <w:spacing w:after="0"/>
              <w:rPr>
                <w:sz w:val="20"/>
                <w:szCs w:val="20"/>
                <w:color w:val="auto"/>
              </w:rPr>
            </w:pPr>
            <w:r>
              <w:rPr>
                <w:rFonts w:ascii="Arial" w:cs="Arial" w:eastAsia="Arial" w:hAnsi="Arial"/>
                <w:sz w:val="13"/>
                <w:szCs w:val="13"/>
                <w:b w:val="1"/>
                <w:bCs w:val="1"/>
                <w:color w:val="FFFFFF"/>
                <w:w w:val="95"/>
              </w:rPr>
              <w:t>LTIP /</w:t>
            </w:r>
          </w:p>
        </w:tc>
        <w:tc>
          <w:tcPr>
            <w:tcW w:w="12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420" w:type="dxa"/>
            <w:vAlign w:val="bottom"/>
            <w:shd w:val="clear" w:color="auto" w:fill="0E2A35"/>
          </w:tcPr>
          <w:p>
            <w:pPr>
              <w:spacing w:after="0"/>
              <w:rPr>
                <w:sz w:val="19"/>
                <w:szCs w:val="19"/>
                <w:color w:val="auto"/>
              </w:rPr>
            </w:pPr>
          </w:p>
        </w:tc>
        <w:tc>
          <w:tcPr>
            <w:tcW w:w="700" w:type="dxa"/>
            <w:vAlign w:val="bottom"/>
            <w:shd w:val="clear" w:color="auto" w:fill="0E2A35"/>
          </w:tcPr>
          <w:p>
            <w:pPr>
              <w:jc w:val="center"/>
              <w:ind w:right="209"/>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340" w:type="dxa"/>
            <w:vAlign w:val="bottom"/>
            <w:shd w:val="clear" w:color="auto" w:fill="0E2A35"/>
          </w:tcPr>
          <w:p>
            <w:pPr>
              <w:spacing w:after="0"/>
              <w:rPr>
                <w:sz w:val="11"/>
                <w:szCs w:val="11"/>
                <w:color w:val="auto"/>
              </w:rPr>
            </w:pPr>
          </w:p>
        </w:tc>
        <w:tc>
          <w:tcPr>
            <w:tcW w:w="44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1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320" w:type="dxa"/>
            <w:vAlign w:val="bottom"/>
            <w:shd w:val="clear" w:color="auto" w:fill="0E2A35"/>
          </w:tcPr>
          <w:p>
            <w:pPr>
              <w:spacing w:after="0"/>
              <w:rPr>
                <w:sz w:val="11"/>
                <w:szCs w:val="11"/>
                <w:color w:val="auto"/>
              </w:rPr>
            </w:pPr>
          </w:p>
        </w:tc>
        <w:tc>
          <w:tcPr>
            <w:tcW w:w="860" w:type="dxa"/>
            <w:vAlign w:val="bottom"/>
            <w:vMerge w:val="continue"/>
            <w:shd w:val="clear" w:color="auto" w:fill="0E2A35"/>
          </w:tcPr>
          <w:p>
            <w:pPr>
              <w:spacing w:after="0"/>
              <w:rPr>
                <w:sz w:val="11"/>
                <w:szCs w:val="11"/>
                <w:color w:val="auto"/>
              </w:rPr>
            </w:pPr>
          </w:p>
        </w:tc>
        <w:tc>
          <w:tcPr>
            <w:tcW w:w="360" w:type="dxa"/>
            <w:vAlign w:val="bottom"/>
            <w:shd w:val="clear" w:color="auto" w:fill="0E2A35"/>
          </w:tcPr>
          <w:p>
            <w:pPr>
              <w:spacing w:after="0"/>
              <w:rPr>
                <w:sz w:val="11"/>
                <w:szCs w:val="11"/>
                <w:color w:val="auto"/>
              </w:rPr>
            </w:pPr>
          </w:p>
        </w:tc>
        <w:tc>
          <w:tcPr>
            <w:tcW w:w="880" w:type="dxa"/>
            <w:vAlign w:val="bottom"/>
            <w:shd w:val="clear" w:color="auto" w:fill="0E2A35"/>
          </w:tcPr>
          <w:p>
            <w:pPr>
              <w:jc w:val="center"/>
              <w:ind w:right="309"/>
              <w:spacing w:after="0" w:line="135" w:lineRule="exact"/>
              <w:rPr>
                <w:sz w:val="20"/>
                <w:szCs w:val="20"/>
                <w:color w:val="auto"/>
              </w:rPr>
            </w:pPr>
            <w:r>
              <w:rPr>
                <w:rFonts w:ascii="Arial" w:cs="Arial" w:eastAsia="Arial" w:hAnsi="Arial"/>
                <w:sz w:val="13"/>
                <w:szCs w:val="13"/>
                <w:b w:val="1"/>
                <w:bCs w:val="1"/>
                <w:color w:val="FFFFFF"/>
                <w:w w:val="95"/>
              </w:rPr>
              <w:t>Stock-</w:t>
            </w:r>
          </w:p>
        </w:tc>
        <w:tc>
          <w:tcPr>
            <w:tcW w:w="1120" w:type="dxa"/>
            <w:vAlign w:val="bottom"/>
            <w:gridSpan w:val="2"/>
            <w:shd w:val="clear" w:color="auto" w:fill="0E2A35"/>
          </w:tcPr>
          <w:p>
            <w:pPr>
              <w:jc w:val="center"/>
              <w:ind w:left="51"/>
              <w:spacing w:after="0" w:line="135" w:lineRule="exact"/>
              <w:rPr>
                <w:sz w:val="20"/>
                <w:szCs w:val="20"/>
                <w:color w:val="auto"/>
              </w:rPr>
            </w:pPr>
            <w:r>
              <w:rPr>
                <w:rFonts w:ascii="Arial" w:cs="Arial" w:eastAsia="Arial" w:hAnsi="Arial"/>
                <w:sz w:val="13"/>
                <w:szCs w:val="13"/>
                <w:b w:val="1"/>
                <w:bCs w:val="1"/>
                <w:color w:val="FFFFFF"/>
                <w:w w:val="97"/>
              </w:rPr>
              <w:t>Options-</w:t>
            </w:r>
          </w:p>
        </w:tc>
        <w:tc>
          <w:tcPr>
            <w:tcW w:w="0" w:type="dxa"/>
            <w:vAlign w:val="bottom"/>
          </w:tcPr>
          <w:p>
            <w:pPr>
              <w:spacing w:after="0"/>
              <w:rPr>
                <w:sz w:val="1"/>
                <w:szCs w:val="1"/>
                <w:color w:val="auto"/>
              </w:rPr>
            </w:pPr>
          </w:p>
        </w:tc>
      </w:tr>
      <w:tr>
        <w:trPr>
          <w:trHeight w:val="129"/>
        </w:trPr>
        <w:tc>
          <w:tcPr>
            <w:tcW w:w="3340" w:type="dxa"/>
            <w:vAlign w:val="bottom"/>
            <w:shd w:val="clear" w:color="auto" w:fill="0E2A35"/>
          </w:tcPr>
          <w:p>
            <w:pPr>
              <w:spacing w:after="0"/>
              <w:rPr>
                <w:sz w:val="11"/>
                <w:szCs w:val="11"/>
                <w:color w:val="auto"/>
              </w:rPr>
            </w:pPr>
          </w:p>
        </w:tc>
        <w:tc>
          <w:tcPr>
            <w:tcW w:w="1240" w:type="dxa"/>
            <w:vAlign w:val="bottom"/>
            <w:gridSpan w:val="2"/>
            <w:vMerge w:val="restart"/>
            <w:shd w:val="clear" w:color="auto" w:fill="0E2A35"/>
          </w:tcPr>
          <w:p>
            <w:pPr>
              <w:jc w:val="right"/>
              <w:ind w:right="109"/>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20"/>
                <w:szCs w:val="20"/>
                <w:b w:val="1"/>
                <w:bCs w:val="1"/>
                <w:color w:val="FFFFFF"/>
                <w:vertAlign w:val="superscript"/>
              </w:rPr>
              <w:t>(1)</w:t>
            </w:r>
          </w:p>
        </w:tc>
        <w:tc>
          <w:tcPr>
            <w:tcW w:w="300" w:type="dxa"/>
            <w:vAlign w:val="bottom"/>
            <w:shd w:val="clear" w:color="auto" w:fill="0E2A35"/>
          </w:tcPr>
          <w:p>
            <w:pPr>
              <w:spacing w:after="0"/>
              <w:rPr>
                <w:sz w:val="11"/>
                <w:szCs w:val="11"/>
                <w:color w:val="auto"/>
              </w:rPr>
            </w:pPr>
          </w:p>
        </w:tc>
        <w:tc>
          <w:tcPr>
            <w:tcW w:w="860" w:type="dxa"/>
            <w:vAlign w:val="bottom"/>
            <w:shd w:val="clear" w:color="auto" w:fill="0E2A35"/>
          </w:tcPr>
          <w:p>
            <w:pPr>
              <w:jc w:val="center"/>
              <w:ind w:right="250"/>
              <w:spacing w:after="0" w:line="129" w:lineRule="exact"/>
              <w:rPr>
                <w:sz w:val="20"/>
                <w:szCs w:val="20"/>
                <w:color w:val="auto"/>
              </w:rPr>
            </w:pPr>
            <w:r>
              <w:rPr>
                <w:rFonts w:ascii="Arial" w:cs="Arial" w:eastAsia="Arial" w:hAnsi="Arial"/>
                <w:sz w:val="13"/>
                <w:szCs w:val="13"/>
                <w:b w:val="1"/>
                <w:bCs w:val="1"/>
                <w:color w:val="FFFFFF"/>
                <w:w w:val="95"/>
              </w:rPr>
              <w:t>Incentive</w:t>
            </w:r>
          </w:p>
        </w:tc>
        <w:tc>
          <w:tcPr>
            <w:tcW w:w="1180" w:type="dxa"/>
            <w:vAlign w:val="bottom"/>
            <w:gridSpan w:val="2"/>
            <w:shd w:val="clear" w:color="auto" w:fill="0E2A35"/>
          </w:tcPr>
          <w:p>
            <w:pPr>
              <w:jc w:val="right"/>
              <w:ind w:right="130"/>
              <w:spacing w:after="0" w:line="129" w:lineRule="exact"/>
              <w:rPr>
                <w:sz w:val="20"/>
                <w:szCs w:val="20"/>
                <w:color w:val="auto"/>
              </w:rPr>
            </w:pPr>
            <w:r>
              <w:rPr>
                <w:rFonts w:ascii="Arial" w:cs="Arial" w:eastAsia="Arial" w:hAnsi="Arial"/>
                <w:sz w:val="13"/>
                <w:szCs w:val="13"/>
                <w:b w:val="1"/>
                <w:bCs w:val="1"/>
                <w:color w:val="FFFFFF"/>
              </w:rPr>
              <w:t>Performance</w:t>
            </w:r>
          </w:p>
        </w:tc>
        <w:tc>
          <w:tcPr>
            <w:tcW w:w="124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6"/>
              </w:rPr>
              <w:t>Unvested and</w:t>
            </w:r>
          </w:p>
        </w:tc>
        <w:tc>
          <w:tcPr>
            <w:tcW w:w="1120" w:type="dxa"/>
            <w:vAlign w:val="bottom"/>
            <w:gridSpan w:val="2"/>
            <w:shd w:val="clear" w:color="auto" w:fill="0E2A35"/>
          </w:tcPr>
          <w:p>
            <w:pPr>
              <w:jc w:val="center"/>
              <w:ind w:left="71"/>
              <w:spacing w:after="0" w:line="129"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41"/>
        </w:trPr>
        <w:tc>
          <w:tcPr>
            <w:tcW w:w="33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240" w:type="dxa"/>
            <w:vAlign w:val="bottom"/>
            <w:gridSpan w:val="2"/>
            <w:vMerge w:val="continue"/>
            <w:shd w:val="clear" w:color="auto" w:fill="0E2A35"/>
          </w:tcPr>
          <w:p>
            <w:pPr>
              <w:spacing w:after="0"/>
              <w:rPr>
                <w:sz w:val="12"/>
                <w:szCs w:val="12"/>
                <w:color w:val="auto"/>
              </w:rPr>
            </w:pPr>
          </w:p>
        </w:tc>
        <w:tc>
          <w:tcPr>
            <w:tcW w:w="300" w:type="dxa"/>
            <w:vAlign w:val="bottom"/>
            <w:shd w:val="clear" w:color="auto" w:fill="0E2A35"/>
          </w:tcPr>
          <w:p>
            <w:pPr>
              <w:spacing w:after="0"/>
              <w:rPr>
                <w:sz w:val="12"/>
                <w:szCs w:val="12"/>
                <w:color w:val="auto"/>
              </w:rPr>
            </w:pPr>
          </w:p>
        </w:tc>
        <w:tc>
          <w:tcPr>
            <w:tcW w:w="860" w:type="dxa"/>
            <w:vAlign w:val="bottom"/>
            <w:shd w:val="clear" w:color="auto" w:fill="0E2A35"/>
          </w:tcPr>
          <w:p>
            <w:pPr>
              <w:jc w:val="center"/>
              <w:ind w:right="230"/>
              <w:spacing w:after="0" w:line="141" w:lineRule="exact"/>
              <w:rPr>
                <w:sz w:val="20"/>
                <w:szCs w:val="20"/>
                <w:color w:val="auto"/>
              </w:rPr>
            </w:pPr>
            <w:r>
              <w:rPr>
                <w:rFonts w:ascii="Arial" w:cs="Arial" w:eastAsia="Arial" w:hAnsi="Arial"/>
                <w:sz w:val="10"/>
                <w:szCs w:val="10"/>
                <w:b w:val="1"/>
                <w:bCs w:val="1"/>
                <w:color w:val="FFFFFF"/>
              </w:rPr>
              <w:t>Plan</w:t>
            </w:r>
            <w:r>
              <w:rPr>
                <w:rFonts w:ascii="Arial" w:cs="Arial" w:eastAsia="Arial" w:hAnsi="Arial"/>
                <w:sz w:val="16"/>
                <w:szCs w:val="16"/>
                <w:b w:val="1"/>
                <w:bCs w:val="1"/>
                <w:color w:val="FFFFFF"/>
                <w:vertAlign w:val="superscript"/>
              </w:rPr>
              <w:t>(2)</w:t>
            </w:r>
          </w:p>
        </w:tc>
        <w:tc>
          <w:tcPr>
            <w:tcW w:w="320" w:type="dxa"/>
            <w:vAlign w:val="bottom"/>
            <w:shd w:val="clear" w:color="auto" w:fill="0E2A35"/>
          </w:tcPr>
          <w:p>
            <w:pPr>
              <w:spacing w:after="0"/>
              <w:rPr>
                <w:sz w:val="12"/>
                <w:szCs w:val="12"/>
                <w:color w:val="auto"/>
              </w:rPr>
            </w:pPr>
          </w:p>
        </w:tc>
        <w:tc>
          <w:tcPr>
            <w:tcW w:w="860" w:type="dxa"/>
            <w:vAlign w:val="bottom"/>
            <w:shd w:val="clear" w:color="auto" w:fill="0E2A35"/>
          </w:tcPr>
          <w:p>
            <w:pPr>
              <w:jc w:val="center"/>
              <w:ind w:right="250"/>
              <w:spacing w:after="0" w:line="141"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(3)</w:t>
            </w:r>
          </w:p>
        </w:tc>
        <w:tc>
          <w:tcPr>
            <w:tcW w:w="1240" w:type="dxa"/>
            <w:vAlign w:val="bottom"/>
            <w:gridSpan w:val="2"/>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(4)</w:t>
            </w:r>
          </w:p>
        </w:tc>
        <w:tc>
          <w:tcPr>
            <w:tcW w:w="1120" w:type="dxa"/>
            <w:vAlign w:val="bottom"/>
            <w:gridSpan w:val="2"/>
            <w:shd w:val="clear" w:color="auto" w:fill="0E2A35"/>
          </w:tcPr>
          <w:p>
            <w:pPr>
              <w:jc w:val="center"/>
              <w:ind w:left="51"/>
              <w:spacing w:after="0" w:line="141"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72"/>
        </w:trPr>
        <w:tc>
          <w:tcPr>
            <w:tcW w:w="3340" w:type="dxa"/>
            <w:vAlign w:val="bottom"/>
            <w:vMerge w:val="continue"/>
            <w:shd w:val="clear" w:color="auto" w:fill="0E2A35"/>
          </w:tcPr>
          <w:p>
            <w:pPr>
              <w:spacing w:after="0"/>
              <w:rPr>
                <w:sz w:val="14"/>
                <w:szCs w:val="14"/>
                <w:color w:val="auto"/>
              </w:rPr>
            </w:pPr>
          </w:p>
        </w:tc>
        <w:tc>
          <w:tcPr>
            <w:tcW w:w="440" w:type="dxa"/>
            <w:vAlign w:val="bottom"/>
            <w:shd w:val="clear" w:color="auto" w:fill="0E2A35"/>
          </w:tcPr>
          <w:p>
            <w:pPr>
              <w:spacing w:after="0"/>
              <w:rPr>
                <w:sz w:val="14"/>
                <w:szCs w:val="14"/>
                <w:color w:val="auto"/>
              </w:rPr>
            </w:pPr>
          </w:p>
        </w:tc>
        <w:tc>
          <w:tcPr>
            <w:tcW w:w="800" w:type="dxa"/>
            <w:vAlign w:val="bottom"/>
            <w:shd w:val="clear" w:color="auto" w:fill="0E2A35"/>
          </w:tcPr>
          <w:p>
            <w:pPr>
              <w:jc w:val="right"/>
              <w:ind w:right="409"/>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E2A35"/>
          </w:tcPr>
          <w:p>
            <w:pPr>
              <w:spacing w:after="0"/>
              <w:rPr>
                <w:sz w:val="14"/>
                <w:szCs w:val="14"/>
                <w:color w:val="auto"/>
              </w:rPr>
            </w:pPr>
          </w:p>
        </w:tc>
        <w:tc>
          <w:tcPr>
            <w:tcW w:w="860" w:type="dxa"/>
            <w:vAlign w:val="bottom"/>
            <w:shd w:val="clear" w:color="auto" w:fill="0E2A35"/>
          </w:tcPr>
          <w:p>
            <w:pPr>
              <w:jc w:val="center"/>
              <w:ind w:right="210"/>
              <w:spacing w:after="0"/>
              <w:rPr>
                <w:sz w:val="20"/>
                <w:szCs w:val="20"/>
                <w:color w:val="auto"/>
              </w:rPr>
            </w:pPr>
            <w:r>
              <w:rPr>
                <w:rFonts w:ascii="Arial" w:cs="Arial" w:eastAsia="Arial" w:hAnsi="Arial"/>
                <w:sz w:val="13"/>
                <w:szCs w:val="13"/>
                <w:b w:val="1"/>
                <w:bCs w:val="1"/>
                <w:color w:val="FFFFFF"/>
                <w:w w:val="87"/>
              </w:rPr>
              <w:t>($)</w:t>
            </w:r>
          </w:p>
        </w:tc>
        <w:tc>
          <w:tcPr>
            <w:tcW w:w="320" w:type="dxa"/>
            <w:vAlign w:val="bottom"/>
            <w:shd w:val="clear" w:color="auto" w:fill="0E2A35"/>
          </w:tcPr>
          <w:p>
            <w:pPr>
              <w:spacing w:after="0"/>
              <w:rPr>
                <w:sz w:val="14"/>
                <w:szCs w:val="14"/>
                <w:color w:val="auto"/>
              </w:rPr>
            </w:pPr>
          </w:p>
        </w:tc>
        <w:tc>
          <w:tcPr>
            <w:tcW w:w="860" w:type="dxa"/>
            <w:vAlign w:val="bottom"/>
            <w:shd w:val="clear" w:color="auto" w:fill="0E2A35"/>
          </w:tcPr>
          <w:p>
            <w:pPr>
              <w:jc w:val="center"/>
              <w:ind w:right="230"/>
              <w:spacing w:after="0"/>
              <w:rPr>
                <w:sz w:val="20"/>
                <w:szCs w:val="20"/>
                <w:color w:val="auto"/>
              </w:rPr>
            </w:pPr>
            <w:r>
              <w:rPr>
                <w:rFonts w:ascii="Arial" w:cs="Arial" w:eastAsia="Arial" w:hAnsi="Arial"/>
                <w:sz w:val="13"/>
                <w:szCs w:val="13"/>
                <w:b w:val="1"/>
                <w:bCs w:val="1"/>
                <w:color w:val="FFFFFF"/>
              </w:rPr>
              <w:t>($)</w:t>
            </w:r>
          </w:p>
        </w:tc>
        <w:tc>
          <w:tcPr>
            <w:tcW w:w="360" w:type="dxa"/>
            <w:vAlign w:val="bottom"/>
            <w:shd w:val="clear" w:color="auto" w:fill="0E2A35"/>
          </w:tcPr>
          <w:p>
            <w:pPr>
              <w:spacing w:after="0"/>
              <w:rPr>
                <w:sz w:val="14"/>
                <w:szCs w:val="14"/>
                <w:color w:val="auto"/>
              </w:rPr>
            </w:pPr>
          </w:p>
        </w:tc>
        <w:tc>
          <w:tcPr>
            <w:tcW w:w="880" w:type="dxa"/>
            <w:vAlign w:val="bottom"/>
            <w:shd w:val="clear" w:color="auto" w:fill="0E2A35"/>
          </w:tcPr>
          <w:p>
            <w:pPr>
              <w:jc w:val="center"/>
              <w:ind w:right="289"/>
              <w:spacing w:after="0"/>
              <w:rPr>
                <w:sz w:val="20"/>
                <w:szCs w:val="20"/>
                <w:color w:val="auto"/>
              </w:rPr>
            </w:pPr>
            <w:r>
              <w:rPr>
                <w:rFonts w:ascii="Arial" w:cs="Arial" w:eastAsia="Arial" w:hAnsi="Arial"/>
                <w:sz w:val="13"/>
                <w:szCs w:val="13"/>
                <w:b w:val="1"/>
                <w:bCs w:val="1"/>
                <w:color w:val="FFFFFF"/>
              </w:rPr>
              <w:t>($)</w:t>
            </w:r>
          </w:p>
        </w:tc>
        <w:tc>
          <w:tcPr>
            <w:tcW w:w="420" w:type="dxa"/>
            <w:vAlign w:val="bottom"/>
            <w:shd w:val="clear" w:color="auto" w:fill="0E2A35"/>
          </w:tcPr>
          <w:p>
            <w:pPr>
              <w:spacing w:after="0"/>
              <w:rPr>
                <w:sz w:val="14"/>
                <w:szCs w:val="14"/>
                <w:color w:val="auto"/>
              </w:rPr>
            </w:pPr>
          </w:p>
        </w:tc>
        <w:tc>
          <w:tcPr>
            <w:tcW w:w="700" w:type="dxa"/>
            <w:vAlign w:val="bottom"/>
            <w:shd w:val="clear" w:color="auto" w:fill="0E2A35"/>
          </w:tcPr>
          <w:p>
            <w:pPr>
              <w:jc w:val="center"/>
              <w:ind w:right="18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3340" w:type="dxa"/>
            <w:vAlign w:val="bottom"/>
            <w:shd w:val="clear" w:color="auto" w:fill="0E2A35"/>
          </w:tcPr>
          <w:p>
            <w:pPr>
              <w:spacing w:after="0"/>
              <w:rPr>
                <w:sz w:val="7"/>
                <w:szCs w:val="7"/>
                <w:color w:val="auto"/>
              </w:rPr>
            </w:pPr>
          </w:p>
        </w:tc>
        <w:tc>
          <w:tcPr>
            <w:tcW w:w="440" w:type="dxa"/>
            <w:vAlign w:val="bottom"/>
            <w:shd w:val="clear" w:color="auto" w:fill="0E2A35"/>
          </w:tcPr>
          <w:p>
            <w:pPr>
              <w:spacing w:after="0"/>
              <w:rPr>
                <w:sz w:val="7"/>
                <w:szCs w:val="7"/>
                <w:color w:val="auto"/>
              </w:rPr>
            </w:pPr>
          </w:p>
        </w:tc>
        <w:tc>
          <w:tcPr>
            <w:tcW w:w="800" w:type="dxa"/>
            <w:vAlign w:val="bottom"/>
            <w:shd w:val="clear" w:color="auto" w:fill="0E2A35"/>
          </w:tcPr>
          <w:p>
            <w:pPr>
              <w:spacing w:after="0"/>
              <w:rPr>
                <w:sz w:val="7"/>
                <w:szCs w:val="7"/>
                <w:color w:val="auto"/>
              </w:rPr>
            </w:pPr>
          </w:p>
        </w:tc>
        <w:tc>
          <w:tcPr>
            <w:tcW w:w="30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32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360" w:type="dxa"/>
            <w:vAlign w:val="bottom"/>
            <w:shd w:val="clear" w:color="auto" w:fill="0E2A35"/>
          </w:tcPr>
          <w:p>
            <w:pPr>
              <w:spacing w:after="0"/>
              <w:rPr>
                <w:sz w:val="7"/>
                <w:szCs w:val="7"/>
                <w:color w:val="auto"/>
              </w:rPr>
            </w:pPr>
          </w:p>
        </w:tc>
        <w:tc>
          <w:tcPr>
            <w:tcW w:w="880" w:type="dxa"/>
            <w:vAlign w:val="bottom"/>
            <w:shd w:val="clear" w:color="auto" w:fill="0E2A35"/>
          </w:tcPr>
          <w:p>
            <w:pPr>
              <w:spacing w:after="0"/>
              <w:rPr>
                <w:sz w:val="7"/>
                <w:szCs w:val="7"/>
                <w:color w:val="auto"/>
              </w:rPr>
            </w:pPr>
          </w:p>
        </w:tc>
        <w:tc>
          <w:tcPr>
            <w:tcW w:w="420" w:type="dxa"/>
            <w:vAlign w:val="bottom"/>
            <w:shd w:val="clear" w:color="auto" w:fill="0E2A35"/>
          </w:tcPr>
          <w:p>
            <w:pPr>
              <w:spacing w:after="0"/>
              <w:rPr>
                <w:sz w:val="7"/>
                <w:szCs w:val="7"/>
                <w:color w:val="auto"/>
              </w:rPr>
            </w:pPr>
          </w:p>
        </w:tc>
        <w:tc>
          <w:tcPr>
            <w:tcW w:w="70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Michael J. Happe</w:t>
            </w:r>
          </w:p>
        </w:tc>
        <w:tc>
          <w:tcPr>
            <w:tcW w:w="440" w:type="dxa"/>
            <w:vAlign w:val="bottom"/>
            <w:shd w:val="clear" w:color="auto" w:fill="C9D4D8"/>
          </w:tcPr>
          <w:p>
            <w:pPr>
              <w:spacing w:after="0"/>
              <w:rPr>
                <w:sz w:val="24"/>
                <w:szCs w:val="24"/>
                <w:color w:val="auto"/>
              </w:rPr>
            </w:pPr>
          </w:p>
        </w:tc>
        <w:tc>
          <w:tcPr>
            <w:tcW w:w="800" w:type="dxa"/>
            <w:vAlign w:val="bottom"/>
            <w:shd w:val="clear" w:color="auto" w:fill="C9D4D8"/>
          </w:tcPr>
          <w:p>
            <w:pPr>
              <w:jc w:val="right"/>
              <w:ind w:right="109"/>
              <w:spacing w:after="0"/>
              <w:rPr>
                <w:sz w:val="20"/>
                <w:szCs w:val="20"/>
                <w:color w:val="auto"/>
              </w:rPr>
            </w:pPr>
            <w:r>
              <w:rPr>
                <w:rFonts w:ascii="Arial" w:cs="Arial" w:eastAsia="Arial" w:hAnsi="Arial"/>
                <w:sz w:val="14"/>
                <w:szCs w:val="14"/>
                <w:color w:val="0E2A35"/>
              </w:rPr>
              <w:t>​</w:t>
            </w:r>
          </w:p>
        </w:tc>
        <w:tc>
          <w:tcPr>
            <w:tcW w:w="30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150"/>
              <w:spacing w:after="0"/>
              <w:rPr>
                <w:sz w:val="20"/>
                <w:szCs w:val="20"/>
                <w:color w:val="auto"/>
              </w:rPr>
            </w:pPr>
            <w:r>
              <w:rPr>
                <w:rFonts w:ascii="Arial" w:cs="Arial" w:eastAsia="Arial" w:hAnsi="Arial"/>
                <w:sz w:val="14"/>
                <w:szCs w:val="14"/>
                <w:color w:val="0E2A35"/>
              </w:rPr>
              <w:t>​</w:t>
            </w:r>
          </w:p>
        </w:tc>
        <w:tc>
          <w:tcPr>
            <w:tcW w:w="32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150"/>
              <w:spacing w:after="0"/>
              <w:rPr>
                <w:sz w:val="20"/>
                <w:szCs w:val="20"/>
                <w:color w:val="auto"/>
              </w:rPr>
            </w:pPr>
            <w:r>
              <w:rPr>
                <w:rFonts w:ascii="Arial" w:cs="Arial" w:eastAsia="Arial" w:hAnsi="Arial"/>
                <w:sz w:val="14"/>
                <w:szCs w:val="14"/>
                <w:color w:val="0E2A35"/>
              </w:rPr>
              <w:t>​</w:t>
            </w:r>
          </w:p>
        </w:tc>
        <w:tc>
          <w:tcPr>
            <w:tcW w:w="360" w:type="dxa"/>
            <w:vAlign w:val="bottom"/>
            <w:shd w:val="clear" w:color="auto" w:fill="C9D4D8"/>
          </w:tcPr>
          <w:p>
            <w:pPr>
              <w:spacing w:after="0"/>
              <w:rPr>
                <w:sz w:val="24"/>
                <w:szCs w:val="24"/>
                <w:color w:val="auto"/>
              </w:rPr>
            </w:pPr>
          </w:p>
        </w:tc>
        <w:tc>
          <w:tcPr>
            <w:tcW w:w="880" w:type="dxa"/>
            <w:vAlign w:val="bottom"/>
            <w:shd w:val="clear" w:color="auto" w:fill="C9D4D8"/>
          </w:tcPr>
          <w:p>
            <w:pPr>
              <w:jc w:val="right"/>
              <w:ind w:right="189"/>
              <w:spacing w:after="0"/>
              <w:rPr>
                <w:sz w:val="20"/>
                <w:szCs w:val="20"/>
                <w:color w:val="auto"/>
              </w:rPr>
            </w:pPr>
            <w:r>
              <w:rPr>
                <w:rFonts w:ascii="Arial" w:cs="Arial" w:eastAsia="Arial" w:hAnsi="Arial"/>
                <w:sz w:val="14"/>
                <w:szCs w:val="14"/>
                <w:color w:val="0E2A35"/>
              </w:rPr>
              <w:t>​</w:t>
            </w:r>
          </w:p>
        </w:tc>
        <w:tc>
          <w:tcPr>
            <w:tcW w:w="420" w:type="dxa"/>
            <w:vAlign w:val="bottom"/>
            <w:shd w:val="clear" w:color="auto" w:fill="C9D4D8"/>
          </w:tcPr>
          <w:p>
            <w:pPr>
              <w:spacing w:after="0"/>
              <w:rPr>
                <w:sz w:val="24"/>
                <w:szCs w:val="24"/>
                <w:color w:val="auto"/>
              </w:rPr>
            </w:pPr>
          </w:p>
        </w:tc>
        <w:tc>
          <w:tcPr>
            <w:tcW w:w="700" w:type="dxa"/>
            <w:vAlign w:val="bottom"/>
            <w:shd w:val="clear" w:color="auto" w:fill="C9D4D8"/>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44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0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32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360" w:type="dxa"/>
            <w:vAlign w:val="bottom"/>
            <w:tcBorders>
              <w:bottom w:val="single" w:sz="8" w:color="0E2A35"/>
            </w:tcBorders>
            <w:shd w:val="clear" w:color="auto" w:fill="C9D4D8"/>
          </w:tcPr>
          <w:p>
            <w:pPr>
              <w:spacing w:after="0"/>
              <w:rPr>
                <w:sz w:val="7"/>
                <w:szCs w:val="7"/>
                <w:color w:val="auto"/>
              </w:rPr>
            </w:pPr>
          </w:p>
        </w:tc>
        <w:tc>
          <w:tcPr>
            <w:tcW w:w="880" w:type="dxa"/>
            <w:vAlign w:val="bottom"/>
            <w:tcBorders>
              <w:bottom w:val="single" w:sz="8" w:color="0E2A35"/>
            </w:tcBorders>
            <w:shd w:val="clear" w:color="auto" w:fill="C9D4D8"/>
          </w:tcPr>
          <w:p>
            <w:pPr>
              <w:spacing w:after="0"/>
              <w:rPr>
                <w:sz w:val="7"/>
                <w:szCs w:val="7"/>
                <w:color w:val="auto"/>
              </w:rPr>
            </w:pPr>
          </w:p>
        </w:tc>
        <w:tc>
          <w:tcPr>
            <w:tcW w:w="420" w:type="dxa"/>
            <w:vAlign w:val="bottom"/>
            <w:tcBorders>
              <w:bottom w:val="single" w:sz="8" w:color="0E2A35"/>
            </w:tcBorders>
            <w:shd w:val="clear" w:color="auto" w:fill="C9D4D8"/>
          </w:tcPr>
          <w:p>
            <w:pPr>
              <w:spacing w:after="0"/>
              <w:rPr>
                <w:sz w:val="7"/>
                <w:szCs w:val="7"/>
                <w:color w:val="auto"/>
              </w:rPr>
            </w:pPr>
          </w:p>
        </w:tc>
        <w:tc>
          <w:tcPr>
            <w:tcW w:w="70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44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82"/>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44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169"/>
              <w:spacing w:after="0"/>
              <w:rPr>
                <w:sz w:val="20"/>
                <w:szCs w:val="20"/>
                <w:color w:val="auto"/>
              </w:rPr>
            </w:pPr>
            <w:r>
              <w:rPr>
                <w:rFonts w:ascii="Arial" w:cs="Arial" w:eastAsia="Arial" w:hAnsi="Arial"/>
                <w:sz w:val="14"/>
                <w:szCs w:val="14"/>
                <w:color w:val="0E2A35"/>
              </w:rPr>
              <w:t>4,433,928​</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ind w:left="28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ind w:left="340"/>
              <w:spacing w:after="0"/>
              <w:rPr>
                <w:sz w:val="20"/>
                <w:szCs w:val="20"/>
                <w:color w:val="auto"/>
              </w:rPr>
            </w:pPr>
            <w:r>
              <w:rPr>
                <w:rFonts w:ascii="Arial" w:cs="Arial" w:eastAsia="Arial" w:hAnsi="Arial"/>
                <w:sz w:val="14"/>
                <w:szCs w:val="14"/>
                <w:color w:val="0E2A35"/>
              </w:rPr>
              <w:t>​</w:t>
            </w: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44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09"/>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32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42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Without Termination</w:t>
            </w:r>
          </w:p>
        </w:tc>
        <w:tc>
          <w:tcPr>
            <w:tcW w:w="440" w:type="dxa"/>
            <w:vAlign w:val="bottom"/>
          </w:tcPr>
          <w:p>
            <w:pPr>
              <w:ind w:left="36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ind w:left="28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ind w:left="340"/>
              <w:spacing w:after="0"/>
              <w:rPr>
                <w:sz w:val="20"/>
                <w:szCs w:val="20"/>
                <w:color w:val="auto"/>
              </w:rPr>
            </w:pPr>
            <w:r>
              <w:rPr>
                <w:rFonts w:ascii="Arial" w:cs="Arial" w:eastAsia="Arial" w:hAnsi="Arial"/>
                <w:sz w:val="14"/>
                <w:szCs w:val="14"/>
                <w:color w:val="0E2A35"/>
              </w:rPr>
              <w:t>​</w:t>
            </w: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60" w:type="dxa"/>
            <w:vAlign w:val="bottom"/>
            <w:tcBorders>
              <w:bottom w:val="single" w:sz="8" w:color="0E2A35"/>
            </w:tcBorders>
            <w:gridSpan w:val="2"/>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2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169"/>
              <w:spacing w:after="0"/>
              <w:rPr>
                <w:sz w:val="20"/>
                <w:szCs w:val="20"/>
                <w:color w:val="auto"/>
              </w:rPr>
            </w:pPr>
            <w:r>
              <w:rPr>
                <w:rFonts w:ascii="Arial" w:cs="Arial" w:eastAsia="Arial" w:hAnsi="Arial"/>
                <w:sz w:val="14"/>
                <w:szCs w:val="14"/>
                <w:color w:val="0E2A35"/>
              </w:rPr>
              <w:t>6,650,892​</w:t>
            </w:r>
          </w:p>
        </w:tc>
        <w:tc>
          <w:tcPr>
            <w:tcW w:w="1160" w:type="dxa"/>
            <w:vAlign w:val="bottom"/>
            <w:gridSpan w:val="2"/>
          </w:tcPr>
          <w:p>
            <w:pPr>
              <w:jc w:val="right"/>
              <w:ind w:right="190"/>
              <w:spacing w:after="0"/>
              <w:rPr>
                <w:sz w:val="20"/>
                <w:szCs w:val="20"/>
                <w:color w:val="auto"/>
              </w:rPr>
            </w:pPr>
            <w:r>
              <w:rPr>
                <w:rFonts w:ascii="Arial" w:cs="Arial" w:eastAsia="Arial" w:hAnsi="Arial"/>
                <w:sz w:val="14"/>
                <w:szCs w:val="14"/>
                <w:color w:val="0E2A35"/>
              </w:rPr>
              <w:t>1,439,700​</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0E2A35"/>
              </w:rPr>
              <w:t>8,300,575​</w:t>
            </w:r>
          </w:p>
        </w:tc>
        <w:tc>
          <w:tcPr>
            <w:tcW w:w="1240" w:type="dxa"/>
            <w:vAlign w:val="bottom"/>
            <w:gridSpan w:val="2"/>
          </w:tcPr>
          <w:p>
            <w:pPr>
              <w:jc w:val="right"/>
              <w:ind w:right="249"/>
              <w:spacing w:after="0"/>
              <w:rPr>
                <w:sz w:val="20"/>
                <w:szCs w:val="20"/>
                <w:color w:val="auto"/>
              </w:rPr>
            </w:pPr>
            <w:r>
              <w:rPr>
                <w:rFonts w:ascii="Arial" w:cs="Arial" w:eastAsia="Arial" w:hAnsi="Arial"/>
                <w:sz w:val="14"/>
                <w:szCs w:val="14"/>
                <w:color w:val="0E2A35"/>
              </w:rPr>
              <w:t>2,570,077​</w:t>
            </w:r>
          </w:p>
        </w:tc>
        <w:tc>
          <w:tcPr>
            <w:tcW w:w="1120" w:type="dxa"/>
            <w:vAlign w:val="bottom"/>
            <w:gridSpan w:val="2"/>
          </w:tcPr>
          <w:p>
            <w:pPr>
              <w:jc w:val="right"/>
              <w:ind w:right="189"/>
              <w:spacing w:after="0"/>
              <w:rPr>
                <w:sz w:val="20"/>
                <w:szCs w:val="20"/>
                <w:color w:val="auto"/>
              </w:rPr>
            </w:pPr>
            <w:r>
              <w:rPr>
                <w:rFonts w:ascii="Arial" w:cs="Arial" w:eastAsia="Arial" w:hAnsi="Arial"/>
                <w:sz w:val="14"/>
                <w:szCs w:val="14"/>
                <w:color w:val="0E2A35"/>
              </w:rPr>
              <w:t>236,594​</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2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440" w:type="dxa"/>
            <w:vAlign w:val="bottom"/>
          </w:tcPr>
          <w:p>
            <w:pPr>
              <w:ind w:left="36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0E2A35"/>
              </w:rPr>
              <w:t>8,300,575​</w:t>
            </w:r>
          </w:p>
        </w:tc>
        <w:tc>
          <w:tcPr>
            <w:tcW w:w="1240" w:type="dxa"/>
            <w:vAlign w:val="bottom"/>
            <w:gridSpan w:val="2"/>
          </w:tcPr>
          <w:p>
            <w:pPr>
              <w:jc w:val="right"/>
              <w:ind w:right="249"/>
              <w:spacing w:after="0"/>
              <w:rPr>
                <w:sz w:val="20"/>
                <w:szCs w:val="20"/>
                <w:color w:val="auto"/>
              </w:rPr>
            </w:pPr>
            <w:r>
              <w:rPr>
                <w:rFonts w:ascii="Arial" w:cs="Arial" w:eastAsia="Arial" w:hAnsi="Arial"/>
                <w:sz w:val="14"/>
                <w:szCs w:val="14"/>
                <w:color w:val="0E2A35"/>
              </w:rPr>
              <w:t>2,570,077​</w:t>
            </w:r>
          </w:p>
        </w:tc>
        <w:tc>
          <w:tcPr>
            <w:tcW w:w="1120" w:type="dxa"/>
            <w:vAlign w:val="bottom"/>
            <w:gridSpan w:val="2"/>
          </w:tcPr>
          <w:p>
            <w:pPr>
              <w:jc w:val="right"/>
              <w:ind w:right="189"/>
              <w:spacing w:after="0"/>
              <w:rPr>
                <w:sz w:val="20"/>
                <w:szCs w:val="20"/>
                <w:color w:val="auto"/>
              </w:rPr>
            </w:pPr>
            <w:r>
              <w:rPr>
                <w:rFonts w:ascii="Arial" w:cs="Arial" w:eastAsia="Arial" w:hAnsi="Arial"/>
                <w:sz w:val="14"/>
                <w:szCs w:val="14"/>
                <w:color w:val="0E2A35"/>
              </w:rPr>
              <w:t>236,594​</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Bryan L. Hughes</w:t>
            </w:r>
          </w:p>
        </w:tc>
        <w:tc>
          <w:tcPr>
            <w:tcW w:w="440" w:type="dxa"/>
            <w:vAlign w:val="bottom"/>
            <w:shd w:val="clear" w:color="auto" w:fill="C9D4D8"/>
          </w:tcPr>
          <w:p>
            <w:pPr>
              <w:spacing w:after="0"/>
              <w:rPr>
                <w:sz w:val="24"/>
                <w:szCs w:val="24"/>
                <w:color w:val="auto"/>
              </w:rPr>
            </w:pPr>
          </w:p>
        </w:tc>
        <w:tc>
          <w:tcPr>
            <w:tcW w:w="800" w:type="dxa"/>
            <w:vAlign w:val="bottom"/>
            <w:shd w:val="clear" w:color="auto" w:fill="C9D4D8"/>
          </w:tcPr>
          <w:p>
            <w:pPr>
              <w:jc w:val="right"/>
              <w:ind w:right="109"/>
              <w:spacing w:after="0"/>
              <w:rPr>
                <w:sz w:val="20"/>
                <w:szCs w:val="20"/>
                <w:color w:val="auto"/>
              </w:rPr>
            </w:pPr>
            <w:r>
              <w:rPr>
                <w:rFonts w:ascii="Arial" w:cs="Arial" w:eastAsia="Arial" w:hAnsi="Arial"/>
                <w:sz w:val="14"/>
                <w:szCs w:val="14"/>
                <w:color w:val="0E2A35"/>
              </w:rPr>
              <w:t>​</w:t>
            </w:r>
          </w:p>
        </w:tc>
        <w:tc>
          <w:tcPr>
            <w:tcW w:w="30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150"/>
              <w:spacing w:after="0"/>
              <w:rPr>
                <w:sz w:val="20"/>
                <w:szCs w:val="20"/>
                <w:color w:val="auto"/>
              </w:rPr>
            </w:pPr>
            <w:r>
              <w:rPr>
                <w:rFonts w:ascii="Arial" w:cs="Arial" w:eastAsia="Arial" w:hAnsi="Arial"/>
                <w:sz w:val="14"/>
                <w:szCs w:val="14"/>
                <w:color w:val="0E2A35"/>
              </w:rPr>
              <w:t>​</w:t>
            </w:r>
          </w:p>
        </w:tc>
        <w:tc>
          <w:tcPr>
            <w:tcW w:w="32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150"/>
              <w:spacing w:after="0"/>
              <w:rPr>
                <w:sz w:val="20"/>
                <w:szCs w:val="20"/>
                <w:color w:val="auto"/>
              </w:rPr>
            </w:pPr>
            <w:r>
              <w:rPr>
                <w:rFonts w:ascii="Arial" w:cs="Arial" w:eastAsia="Arial" w:hAnsi="Arial"/>
                <w:sz w:val="14"/>
                <w:szCs w:val="14"/>
                <w:color w:val="0E2A35"/>
              </w:rPr>
              <w:t>​</w:t>
            </w:r>
          </w:p>
        </w:tc>
        <w:tc>
          <w:tcPr>
            <w:tcW w:w="360" w:type="dxa"/>
            <w:vAlign w:val="bottom"/>
            <w:shd w:val="clear" w:color="auto" w:fill="C9D4D8"/>
          </w:tcPr>
          <w:p>
            <w:pPr>
              <w:spacing w:after="0"/>
              <w:rPr>
                <w:sz w:val="24"/>
                <w:szCs w:val="24"/>
                <w:color w:val="auto"/>
              </w:rPr>
            </w:pPr>
          </w:p>
        </w:tc>
        <w:tc>
          <w:tcPr>
            <w:tcW w:w="880" w:type="dxa"/>
            <w:vAlign w:val="bottom"/>
            <w:shd w:val="clear" w:color="auto" w:fill="C9D4D8"/>
          </w:tcPr>
          <w:p>
            <w:pPr>
              <w:jc w:val="right"/>
              <w:ind w:right="189"/>
              <w:spacing w:after="0"/>
              <w:rPr>
                <w:sz w:val="20"/>
                <w:szCs w:val="20"/>
                <w:color w:val="auto"/>
              </w:rPr>
            </w:pPr>
            <w:r>
              <w:rPr>
                <w:rFonts w:ascii="Arial" w:cs="Arial" w:eastAsia="Arial" w:hAnsi="Arial"/>
                <w:sz w:val="14"/>
                <w:szCs w:val="14"/>
                <w:color w:val="0E2A35"/>
              </w:rPr>
              <w:t>​</w:t>
            </w:r>
          </w:p>
        </w:tc>
        <w:tc>
          <w:tcPr>
            <w:tcW w:w="420" w:type="dxa"/>
            <w:vAlign w:val="bottom"/>
            <w:shd w:val="clear" w:color="auto" w:fill="C9D4D8"/>
          </w:tcPr>
          <w:p>
            <w:pPr>
              <w:spacing w:after="0"/>
              <w:rPr>
                <w:sz w:val="24"/>
                <w:szCs w:val="24"/>
                <w:color w:val="auto"/>
              </w:rPr>
            </w:pPr>
          </w:p>
        </w:tc>
        <w:tc>
          <w:tcPr>
            <w:tcW w:w="700" w:type="dxa"/>
            <w:vAlign w:val="bottom"/>
            <w:shd w:val="clear" w:color="auto" w:fill="C9D4D8"/>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44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0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32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360" w:type="dxa"/>
            <w:vAlign w:val="bottom"/>
            <w:tcBorders>
              <w:bottom w:val="single" w:sz="8" w:color="0E2A35"/>
            </w:tcBorders>
            <w:shd w:val="clear" w:color="auto" w:fill="C9D4D8"/>
          </w:tcPr>
          <w:p>
            <w:pPr>
              <w:spacing w:after="0"/>
              <w:rPr>
                <w:sz w:val="7"/>
                <w:szCs w:val="7"/>
                <w:color w:val="auto"/>
              </w:rPr>
            </w:pPr>
          </w:p>
        </w:tc>
        <w:tc>
          <w:tcPr>
            <w:tcW w:w="880" w:type="dxa"/>
            <w:vAlign w:val="bottom"/>
            <w:tcBorders>
              <w:bottom w:val="single" w:sz="8" w:color="0E2A35"/>
            </w:tcBorders>
            <w:shd w:val="clear" w:color="auto" w:fill="C9D4D8"/>
          </w:tcPr>
          <w:p>
            <w:pPr>
              <w:spacing w:after="0"/>
              <w:rPr>
                <w:sz w:val="7"/>
                <w:szCs w:val="7"/>
                <w:color w:val="auto"/>
              </w:rPr>
            </w:pPr>
          </w:p>
        </w:tc>
        <w:tc>
          <w:tcPr>
            <w:tcW w:w="420" w:type="dxa"/>
            <w:vAlign w:val="bottom"/>
            <w:tcBorders>
              <w:bottom w:val="single" w:sz="8" w:color="0E2A35"/>
            </w:tcBorders>
            <w:shd w:val="clear" w:color="auto" w:fill="C9D4D8"/>
          </w:tcPr>
          <w:p>
            <w:pPr>
              <w:spacing w:after="0"/>
              <w:rPr>
                <w:sz w:val="7"/>
                <w:szCs w:val="7"/>
                <w:color w:val="auto"/>
              </w:rPr>
            </w:pPr>
          </w:p>
        </w:tc>
        <w:tc>
          <w:tcPr>
            <w:tcW w:w="70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44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83"/>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44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169"/>
              <w:spacing w:after="0"/>
              <w:rPr>
                <w:sz w:val="20"/>
                <w:szCs w:val="20"/>
                <w:color w:val="auto"/>
              </w:rPr>
            </w:pPr>
            <w:r>
              <w:rPr>
                <w:rFonts w:ascii="Arial" w:cs="Arial" w:eastAsia="Arial" w:hAnsi="Arial"/>
                <w:sz w:val="14"/>
                <w:szCs w:val="14"/>
                <w:color w:val="0E2A35"/>
              </w:rPr>
              <w:t>1,038,768</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44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09"/>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32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42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420"/>
              <w:spacing w:after="0"/>
              <w:rPr>
                <w:sz w:val="20"/>
                <w:szCs w:val="20"/>
                <w:color w:val="auto"/>
              </w:rPr>
            </w:pPr>
            <w:r>
              <w:rPr>
                <w:rFonts w:ascii="Arial" w:cs="Arial" w:eastAsia="Arial" w:hAnsi="Arial"/>
                <w:sz w:val="14"/>
                <w:szCs w:val="14"/>
                <w:color w:val="0E2A35"/>
              </w:rPr>
              <w:t>Without Termination</w:t>
            </w:r>
          </w:p>
        </w:tc>
        <w:tc>
          <w:tcPr>
            <w:tcW w:w="44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169"/>
              <w:spacing w:after="0"/>
              <w:rPr>
                <w:sz w:val="20"/>
                <w:szCs w:val="20"/>
                <w:color w:val="auto"/>
              </w:rPr>
            </w:pPr>
            <w:r>
              <w:rPr>
                <w:rFonts w:ascii="Arial" w:cs="Arial" w:eastAsia="Arial" w:hAnsi="Arial"/>
                <w:sz w:val="14"/>
                <w:szCs w:val="14"/>
                <w:color w:val="0E2A35"/>
              </w:rPr>
              <w:t>2,077,535​</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560,883</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0E2A35"/>
              </w:rPr>
              <w:t>1,651,042​</w:t>
            </w:r>
          </w:p>
        </w:tc>
        <w:tc>
          <w:tcPr>
            <w:tcW w:w="360" w:type="dxa"/>
            <w:vAlign w:val="bottom"/>
          </w:tcPr>
          <w:p>
            <w:pPr>
              <w:ind w:left="28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555,143</w:t>
            </w:r>
          </w:p>
        </w:tc>
        <w:tc>
          <w:tcPr>
            <w:tcW w:w="1120" w:type="dxa"/>
            <w:vAlign w:val="bottom"/>
            <w:gridSpan w:val="2"/>
          </w:tcPr>
          <w:p>
            <w:pPr>
              <w:jc w:val="right"/>
              <w:ind w:right="189"/>
              <w:spacing w:after="0"/>
              <w:rPr>
                <w:sz w:val="20"/>
                <w:szCs w:val="20"/>
                <w:color w:val="auto"/>
              </w:rPr>
            </w:pPr>
            <w:r>
              <w:rPr>
                <w:rFonts w:ascii="Arial" w:cs="Arial" w:eastAsia="Arial" w:hAnsi="Arial"/>
                <w:sz w:val="14"/>
                <w:szCs w:val="14"/>
                <w:color w:val="0E2A35"/>
              </w:rPr>
              <w:t>​ 43,439</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440" w:type="dxa"/>
            <w:vAlign w:val="bottom"/>
          </w:tcPr>
          <w:p>
            <w:pPr>
              <w:ind w:left="36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0E2A35"/>
              </w:rPr>
              <w:t>1,651,042​</w:t>
            </w:r>
          </w:p>
        </w:tc>
        <w:tc>
          <w:tcPr>
            <w:tcW w:w="360" w:type="dxa"/>
            <w:vAlign w:val="bottom"/>
          </w:tcPr>
          <w:p>
            <w:pPr>
              <w:ind w:left="28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555,143</w:t>
            </w:r>
          </w:p>
        </w:tc>
        <w:tc>
          <w:tcPr>
            <w:tcW w:w="1120" w:type="dxa"/>
            <w:vAlign w:val="bottom"/>
            <w:gridSpan w:val="2"/>
          </w:tcPr>
          <w:p>
            <w:pPr>
              <w:jc w:val="right"/>
              <w:ind w:right="189"/>
              <w:spacing w:after="0"/>
              <w:rPr>
                <w:sz w:val="20"/>
                <w:szCs w:val="20"/>
                <w:color w:val="auto"/>
              </w:rPr>
            </w:pPr>
            <w:r>
              <w:rPr>
                <w:rFonts w:ascii="Arial" w:cs="Arial" w:eastAsia="Arial" w:hAnsi="Arial"/>
                <w:sz w:val="14"/>
                <w:szCs w:val="14"/>
                <w:color w:val="0E2A35"/>
              </w:rPr>
              <w:t>​ 43,439</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Stacy L. Bogart</w:t>
            </w:r>
          </w:p>
        </w:tc>
        <w:tc>
          <w:tcPr>
            <w:tcW w:w="440" w:type="dxa"/>
            <w:vAlign w:val="bottom"/>
            <w:shd w:val="clear" w:color="auto" w:fill="C9D4D8"/>
          </w:tcPr>
          <w:p>
            <w:pPr>
              <w:spacing w:after="0"/>
              <w:rPr>
                <w:sz w:val="24"/>
                <w:szCs w:val="24"/>
                <w:color w:val="auto"/>
              </w:rPr>
            </w:pPr>
          </w:p>
        </w:tc>
        <w:tc>
          <w:tcPr>
            <w:tcW w:w="800" w:type="dxa"/>
            <w:vAlign w:val="bottom"/>
            <w:shd w:val="clear" w:color="auto" w:fill="C9D4D8"/>
          </w:tcPr>
          <w:p>
            <w:pPr>
              <w:spacing w:after="0"/>
              <w:rPr>
                <w:sz w:val="24"/>
                <w:szCs w:val="24"/>
                <w:color w:val="auto"/>
              </w:rPr>
            </w:pPr>
          </w:p>
        </w:tc>
        <w:tc>
          <w:tcPr>
            <w:tcW w:w="300" w:type="dxa"/>
            <w:vAlign w:val="bottom"/>
            <w:shd w:val="clear" w:color="auto" w:fill="C9D4D8"/>
          </w:tcPr>
          <w:p>
            <w:pPr>
              <w:spacing w:after="0"/>
              <w:rPr>
                <w:sz w:val="24"/>
                <w:szCs w:val="24"/>
                <w:color w:val="auto"/>
              </w:rPr>
            </w:pPr>
          </w:p>
        </w:tc>
        <w:tc>
          <w:tcPr>
            <w:tcW w:w="860" w:type="dxa"/>
            <w:vAlign w:val="bottom"/>
            <w:shd w:val="clear" w:color="auto" w:fill="C9D4D8"/>
          </w:tcPr>
          <w:p>
            <w:pPr>
              <w:spacing w:after="0"/>
              <w:rPr>
                <w:sz w:val="24"/>
                <w:szCs w:val="24"/>
                <w:color w:val="auto"/>
              </w:rPr>
            </w:pPr>
          </w:p>
        </w:tc>
        <w:tc>
          <w:tcPr>
            <w:tcW w:w="320" w:type="dxa"/>
            <w:vAlign w:val="bottom"/>
            <w:shd w:val="clear" w:color="auto" w:fill="C9D4D8"/>
          </w:tcPr>
          <w:p>
            <w:pPr>
              <w:spacing w:after="0"/>
              <w:rPr>
                <w:sz w:val="24"/>
                <w:szCs w:val="24"/>
                <w:color w:val="auto"/>
              </w:rPr>
            </w:pPr>
          </w:p>
        </w:tc>
        <w:tc>
          <w:tcPr>
            <w:tcW w:w="860" w:type="dxa"/>
            <w:vAlign w:val="bottom"/>
            <w:shd w:val="clear" w:color="auto" w:fill="C9D4D8"/>
          </w:tcPr>
          <w:p>
            <w:pPr>
              <w:spacing w:after="0"/>
              <w:rPr>
                <w:sz w:val="24"/>
                <w:szCs w:val="24"/>
                <w:color w:val="auto"/>
              </w:rPr>
            </w:pPr>
          </w:p>
        </w:tc>
        <w:tc>
          <w:tcPr>
            <w:tcW w:w="360" w:type="dxa"/>
            <w:vAlign w:val="bottom"/>
            <w:shd w:val="clear" w:color="auto" w:fill="C9D4D8"/>
          </w:tcPr>
          <w:p>
            <w:pPr>
              <w:spacing w:after="0"/>
              <w:rPr>
                <w:sz w:val="24"/>
                <w:szCs w:val="24"/>
                <w:color w:val="auto"/>
              </w:rPr>
            </w:pPr>
          </w:p>
        </w:tc>
        <w:tc>
          <w:tcPr>
            <w:tcW w:w="880" w:type="dxa"/>
            <w:vAlign w:val="bottom"/>
            <w:shd w:val="clear" w:color="auto" w:fill="C9D4D8"/>
          </w:tcPr>
          <w:p>
            <w:pPr>
              <w:spacing w:after="0"/>
              <w:rPr>
                <w:sz w:val="24"/>
                <w:szCs w:val="24"/>
                <w:color w:val="auto"/>
              </w:rPr>
            </w:pPr>
          </w:p>
        </w:tc>
        <w:tc>
          <w:tcPr>
            <w:tcW w:w="420" w:type="dxa"/>
            <w:vAlign w:val="bottom"/>
            <w:shd w:val="clear" w:color="auto" w:fill="C9D4D8"/>
          </w:tcPr>
          <w:p>
            <w:pPr>
              <w:spacing w:after="0"/>
              <w:rPr>
                <w:sz w:val="24"/>
                <w:szCs w:val="24"/>
                <w:color w:val="auto"/>
              </w:rPr>
            </w:pPr>
          </w:p>
        </w:tc>
        <w:tc>
          <w:tcPr>
            <w:tcW w:w="700" w:type="dxa"/>
            <w:vAlign w:val="bottom"/>
            <w:shd w:val="clear" w:color="auto" w:fill="C9D4D8"/>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44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0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32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360" w:type="dxa"/>
            <w:vAlign w:val="bottom"/>
            <w:tcBorders>
              <w:bottom w:val="single" w:sz="8" w:color="0E2A35"/>
            </w:tcBorders>
            <w:shd w:val="clear" w:color="auto" w:fill="C9D4D8"/>
          </w:tcPr>
          <w:p>
            <w:pPr>
              <w:spacing w:after="0"/>
              <w:rPr>
                <w:sz w:val="7"/>
                <w:szCs w:val="7"/>
                <w:color w:val="auto"/>
              </w:rPr>
            </w:pPr>
          </w:p>
        </w:tc>
        <w:tc>
          <w:tcPr>
            <w:tcW w:w="880" w:type="dxa"/>
            <w:vAlign w:val="bottom"/>
            <w:tcBorders>
              <w:bottom w:val="single" w:sz="8" w:color="0E2A35"/>
            </w:tcBorders>
            <w:shd w:val="clear" w:color="auto" w:fill="C9D4D8"/>
          </w:tcPr>
          <w:p>
            <w:pPr>
              <w:spacing w:after="0"/>
              <w:rPr>
                <w:sz w:val="7"/>
                <w:szCs w:val="7"/>
                <w:color w:val="auto"/>
              </w:rPr>
            </w:pPr>
          </w:p>
        </w:tc>
        <w:tc>
          <w:tcPr>
            <w:tcW w:w="420" w:type="dxa"/>
            <w:vAlign w:val="bottom"/>
            <w:tcBorders>
              <w:bottom w:val="single" w:sz="8" w:color="0E2A35"/>
            </w:tcBorders>
            <w:shd w:val="clear" w:color="auto" w:fill="C9D4D8"/>
          </w:tcPr>
          <w:p>
            <w:pPr>
              <w:spacing w:after="0"/>
              <w:rPr>
                <w:sz w:val="7"/>
                <w:szCs w:val="7"/>
                <w:color w:val="auto"/>
              </w:rPr>
            </w:pPr>
          </w:p>
        </w:tc>
        <w:tc>
          <w:tcPr>
            <w:tcW w:w="70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44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82"/>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44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44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882,000</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44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09"/>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32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spacing w:after="0"/>
              <w:rPr>
                <w:sz w:val="24"/>
                <w:szCs w:val="24"/>
                <w:color w:val="auto"/>
              </w:rPr>
            </w:pPr>
          </w:p>
        </w:tc>
        <w:tc>
          <w:tcPr>
            <w:tcW w:w="42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Without Termination</w:t>
            </w:r>
          </w:p>
        </w:tc>
        <w:tc>
          <w:tcPr>
            <w:tcW w:w="440" w:type="dxa"/>
            <w:vAlign w:val="bottom"/>
          </w:tcPr>
          <w:p>
            <w:pPr>
              <w:spacing w:after="0"/>
              <w:rPr>
                <w:sz w:val="24"/>
                <w:szCs w:val="24"/>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24"/>
                <w:szCs w:val="2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169"/>
              <w:spacing w:after="0"/>
              <w:rPr>
                <w:sz w:val="20"/>
                <w:szCs w:val="20"/>
                <w:color w:val="auto"/>
              </w:rPr>
            </w:pPr>
            <w:r>
              <w:rPr>
                <w:rFonts w:ascii="Arial" w:cs="Arial" w:eastAsia="Arial" w:hAnsi="Arial"/>
                <w:sz w:val="14"/>
                <w:szCs w:val="14"/>
                <w:color w:val="0E2A35"/>
              </w:rPr>
              <w:t>1,764,000​</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470,302</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0E2A35"/>
              </w:rPr>
              <w:t>1,322,658​</w:t>
            </w:r>
          </w:p>
        </w:tc>
        <w:tc>
          <w:tcPr>
            <w:tcW w:w="360" w:type="dxa"/>
            <w:vAlign w:val="bottom"/>
          </w:tcPr>
          <w:p>
            <w:pPr>
              <w:ind w:left="28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447,518</w:t>
            </w:r>
          </w:p>
        </w:tc>
        <w:tc>
          <w:tcPr>
            <w:tcW w:w="1120" w:type="dxa"/>
            <w:vAlign w:val="bottom"/>
            <w:gridSpan w:val="2"/>
          </w:tcPr>
          <w:p>
            <w:pPr>
              <w:jc w:val="right"/>
              <w:ind w:right="189"/>
              <w:spacing w:after="0"/>
              <w:rPr>
                <w:sz w:val="20"/>
                <w:szCs w:val="20"/>
                <w:color w:val="auto"/>
              </w:rPr>
            </w:pPr>
            <w:r>
              <w:rPr>
                <w:rFonts w:ascii="Arial" w:cs="Arial" w:eastAsia="Arial" w:hAnsi="Arial"/>
                <w:sz w:val="14"/>
                <w:szCs w:val="14"/>
                <w:color w:val="0E2A35"/>
              </w:rPr>
              <w:t>​ 34,764</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440" w:type="dxa"/>
            <w:vAlign w:val="bottom"/>
          </w:tcPr>
          <w:p>
            <w:pPr>
              <w:ind w:left="36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300" w:type="dxa"/>
            <w:vAlign w:val="bottom"/>
          </w:tcPr>
          <w:p>
            <w:pPr>
              <w:ind w:left="26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80" w:type="dxa"/>
            <w:vAlign w:val="bottom"/>
            <w:gridSpan w:val="2"/>
          </w:tcPr>
          <w:p>
            <w:pPr>
              <w:jc w:val="right"/>
              <w:ind w:right="210"/>
              <w:spacing w:after="0"/>
              <w:rPr>
                <w:sz w:val="20"/>
                <w:szCs w:val="20"/>
                <w:color w:val="auto"/>
              </w:rPr>
            </w:pPr>
            <w:r>
              <w:rPr>
                <w:rFonts w:ascii="Arial" w:cs="Arial" w:eastAsia="Arial" w:hAnsi="Arial"/>
                <w:sz w:val="14"/>
                <w:szCs w:val="14"/>
                <w:color w:val="0E2A35"/>
              </w:rPr>
              <w:t>1,322,658​</w:t>
            </w:r>
          </w:p>
        </w:tc>
        <w:tc>
          <w:tcPr>
            <w:tcW w:w="360" w:type="dxa"/>
            <w:vAlign w:val="bottom"/>
          </w:tcPr>
          <w:p>
            <w:pPr>
              <w:ind w:left="28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0E2A35"/>
              </w:rPr>
              <w:t>447,518</w:t>
            </w:r>
          </w:p>
        </w:tc>
        <w:tc>
          <w:tcPr>
            <w:tcW w:w="1120" w:type="dxa"/>
            <w:vAlign w:val="bottom"/>
            <w:gridSpan w:val="2"/>
          </w:tcPr>
          <w:p>
            <w:pPr>
              <w:jc w:val="right"/>
              <w:ind w:right="189"/>
              <w:spacing w:after="0"/>
              <w:rPr>
                <w:sz w:val="20"/>
                <w:szCs w:val="20"/>
                <w:color w:val="auto"/>
              </w:rPr>
            </w:pPr>
            <w:r>
              <w:rPr>
                <w:rFonts w:ascii="Arial" w:cs="Arial" w:eastAsia="Arial" w:hAnsi="Arial"/>
                <w:sz w:val="14"/>
                <w:szCs w:val="14"/>
                <w:color w:val="0E2A35"/>
              </w:rPr>
              <w:t>​ 34,764</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44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0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shd w:val="clear" w:color="auto" w:fill="0E2A35"/>
          </w:tcPr>
          <w:p>
            <w:pPr>
              <w:spacing w:after="0"/>
              <w:rPr>
                <w:sz w:val="19"/>
                <w:szCs w:val="19"/>
                <w:color w:val="auto"/>
              </w:rPr>
            </w:pPr>
          </w:p>
        </w:tc>
        <w:tc>
          <w:tcPr>
            <w:tcW w:w="500" w:type="dxa"/>
            <w:vAlign w:val="bottom"/>
            <w:shd w:val="clear" w:color="auto" w:fill="0E2A35"/>
          </w:tcPr>
          <w:p>
            <w:pPr>
              <w:spacing w:after="0"/>
              <w:rPr>
                <w:sz w:val="19"/>
                <w:szCs w:val="19"/>
                <w:color w:val="auto"/>
              </w:rPr>
            </w:pPr>
          </w:p>
        </w:tc>
        <w:tc>
          <w:tcPr>
            <w:tcW w:w="740" w:type="dxa"/>
            <w:vAlign w:val="bottom"/>
            <w:shd w:val="clear" w:color="auto" w:fill="0E2A35"/>
          </w:tcPr>
          <w:p>
            <w:pPr>
              <w:spacing w:after="0"/>
              <w:rPr>
                <w:sz w:val="19"/>
                <w:szCs w:val="19"/>
                <w:color w:val="auto"/>
              </w:rPr>
            </w:pPr>
          </w:p>
        </w:tc>
        <w:tc>
          <w:tcPr>
            <w:tcW w:w="11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Annual or</w:t>
            </w:r>
          </w:p>
        </w:tc>
        <w:tc>
          <w:tcPr>
            <w:tcW w:w="380" w:type="dxa"/>
            <w:vAlign w:val="bottom"/>
            <w:shd w:val="clear" w:color="auto" w:fill="0E2A35"/>
          </w:tcPr>
          <w:p>
            <w:pPr>
              <w:spacing w:after="0"/>
              <w:rPr>
                <w:sz w:val="19"/>
                <w:szCs w:val="19"/>
                <w:color w:val="auto"/>
              </w:rPr>
            </w:pPr>
          </w:p>
        </w:tc>
        <w:tc>
          <w:tcPr>
            <w:tcW w:w="800" w:type="dxa"/>
            <w:vAlign w:val="bottom"/>
            <w:vMerge w:val="restart"/>
            <w:shd w:val="clear" w:color="auto" w:fill="0E2A35"/>
          </w:tcPr>
          <w:p>
            <w:pPr>
              <w:jc w:val="center"/>
              <w:ind w:right="309"/>
              <w:spacing w:after="0"/>
              <w:rPr>
                <w:sz w:val="20"/>
                <w:szCs w:val="20"/>
                <w:color w:val="auto"/>
              </w:rPr>
            </w:pPr>
            <w:r>
              <w:rPr>
                <w:rFonts w:ascii="Arial" w:cs="Arial" w:eastAsia="Arial" w:hAnsi="Arial"/>
                <w:sz w:val="13"/>
                <w:szCs w:val="13"/>
                <w:b w:val="1"/>
                <w:bCs w:val="1"/>
                <w:color w:val="FFFFFF"/>
                <w:w w:val="95"/>
              </w:rPr>
              <w:t>LTIP /</w:t>
            </w:r>
          </w:p>
        </w:tc>
        <w:tc>
          <w:tcPr>
            <w:tcW w:w="12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1120" w:type="dxa"/>
            <w:vAlign w:val="bottom"/>
            <w:shd w:val="clear" w:color="auto" w:fill="0E2A35"/>
          </w:tcPr>
          <w:p>
            <w:pPr>
              <w:jc w:val="center"/>
              <w:ind w:left="71"/>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34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1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380" w:type="dxa"/>
            <w:vAlign w:val="bottom"/>
            <w:shd w:val="clear" w:color="auto" w:fill="0E2A35"/>
          </w:tcPr>
          <w:p>
            <w:pPr>
              <w:spacing w:after="0"/>
              <w:rPr>
                <w:sz w:val="11"/>
                <w:szCs w:val="11"/>
                <w:color w:val="auto"/>
              </w:rPr>
            </w:pPr>
          </w:p>
        </w:tc>
        <w:tc>
          <w:tcPr>
            <w:tcW w:w="800" w:type="dxa"/>
            <w:vAlign w:val="bottom"/>
            <w:vMerge w:val="continue"/>
            <w:shd w:val="clear" w:color="auto" w:fill="0E2A35"/>
          </w:tcPr>
          <w:p>
            <w:pPr>
              <w:spacing w:after="0"/>
              <w:rPr>
                <w:sz w:val="11"/>
                <w:szCs w:val="11"/>
                <w:color w:val="auto"/>
              </w:rPr>
            </w:pPr>
          </w:p>
        </w:tc>
        <w:tc>
          <w:tcPr>
            <w:tcW w:w="380" w:type="dxa"/>
            <w:vAlign w:val="bottom"/>
            <w:shd w:val="clear" w:color="auto" w:fill="0E2A35"/>
          </w:tcPr>
          <w:p>
            <w:pPr>
              <w:spacing w:after="0"/>
              <w:rPr>
                <w:sz w:val="11"/>
                <w:szCs w:val="11"/>
                <w:color w:val="auto"/>
              </w:rPr>
            </w:pPr>
          </w:p>
        </w:tc>
        <w:tc>
          <w:tcPr>
            <w:tcW w:w="860" w:type="dxa"/>
            <w:vAlign w:val="bottom"/>
            <w:shd w:val="clear" w:color="auto" w:fill="0E2A35"/>
          </w:tcPr>
          <w:p>
            <w:pPr>
              <w:jc w:val="center"/>
              <w:ind w:right="329"/>
              <w:spacing w:after="0" w:line="135" w:lineRule="exact"/>
              <w:rPr>
                <w:sz w:val="20"/>
                <w:szCs w:val="20"/>
                <w:color w:val="auto"/>
              </w:rPr>
            </w:pPr>
            <w:r>
              <w:rPr>
                <w:rFonts w:ascii="Arial" w:cs="Arial" w:eastAsia="Arial" w:hAnsi="Arial"/>
                <w:sz w:val="13"/>
                <w:szCs w:val="13"/>
                <w:b w:val="1"/>
                <w:bCs w:val="1"/>
                <w:color w:val="FFFFFF"/>
                <w:w w:val="95"/>
              </w:rPr>
              <w:t>Stock-</w:t>
            </w:r>
          </w:p>
        </w:tc>
        <w:tc>
          <w:tcPr>
            <w:tcW w:w="1120" w:type="dxa"/>
            <w:vAlign w:val="bottom"/>
            <w:shd w:val="clear" w:color="auto" w:fill="0E2A35"/>
          </w:tcPr>
          <w:p>
            <w:pPr>
              <w:jc w:val="center"/>
              <w:ind w:left="51"/>
              <w:spacing w:after="0" w:line="135" w:lineRule="exact"/>
              <w:rPr>
                <w:sz w:val="20"/>
                <w:szCs w:val="20"/>
                <w:color w:val="auto"/>
              </w:rPr>
            </w:pPr>
            <w:r>
              <w:rPr>
                <w:rFonts w:ascii="Arial" w:cs="Arial" w:eastAsia="Arial" w:hAnsi="Arial"/>
                <w:sz w:val="13"/>
                <w:szCs w:val="13"/>
                <w:b w:val="1"/>
                <w:bCs w:val="1"/>
                <w:color w:val="FFFFFF"/>
                <w:w w:val="97"/>
              </w:rPr>
              <w:t>Options-</w:t>
            </w:r>
          </w:p>
        </w:tc>
        <w:tc>
          <w:tcPr>
            <w:tcW w:w="0" w:type="dxa"/>
            <w:vAlign w:val="bottom"/>
          </w:tcPr>
          <w:p>
            <w:pPr>
              <w:spacing w:after="0"/>
              <w:rPr>
                <w:sz w:val="1"/>
                <w:szCs w:val="1"/>
                <w:color w:val="auto"/>
              </w:rPr>
            </w:pPr>
          </w:p>
        </w:tc>
      </w:tr>
      <w:tr>
        <w:trPr>
          <w:trHeight w:val="129"/>
        </w:trPr>
        <w:tc>
          <w:tcPr>
            <w:tcW w:w="3340" w:type="dxa"/>
            <w:vAlign w:val="bottom"/>
            <w:shd w:val="clear" w:color="auto" w:fill="0E2A35"/>
          </w:tcPr>
          <w:p>
            <w:pPr>
              <w:spacing w:after="0"/>
              <w:rPr>
                <w:sz w:val="11"/>
                <w:szCs w:val="11"/>
                <w:color w:val="auto"/>
              </w:rPr>
            </w:pPr>
          </w:p>
        </w:tc>
        <w:tc>
          <w:tcPr>
            <w:tcW w:w="1240" w:type="dxa"/>
            <w:vAlign w:val="bottom"/>
            <w:gridSpan w:val="2"/>
            <w:vMerge w:val="restart"/>
            <w:shd w:val="clear" w:color="auto" w:fill="0E2A35"/>
          </w:tcPr>
          <w:p>
            <w:pPr>
              <w:jc w:val="right"/>
              <w:ind w:right="109"/>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20"/>
                <w:szCs w:val="20"/>
                <w:b w:val="1"/>
                <w:bCs w:val="1"/>
                <w:color w:val="FFFFFF"/>
                <w:vertAlign w:val="superscript"/>
              </w:rPr>
              <w:t>(1)</w:t>
            </w:r>
          </w:p>
        </w:tc>
        <w:tc>
          <w:tcPr>
            <w:tcW w:w="1160" w:type="dxa"/>
            <w:vAlign w:val="bottom"/>
            <w:gridSpan w:val="2"/>
            <w:shd w:val="clear" w:color="auto" w:fill="0E2A35"/>
          </w:tcPr>
          <w:p>
            <w:pPr>
              <w:ind w:left="300"/>
              <w:spacing w:after="0" w:line="129" w:lineRule="exact"/>
              <w:rPr>
                <w:sz w:val="20"/>
                <w:szCs w:val="20"/>
                <w:color w:val="auto"/>
              </w:rPr>
            </w:pPr>
            <w:r>
              <w:rPr>
                <w:rFonts w:ascii="Arial" w:cs="Arial" w:eastAsia="Arial" w:hAnsi="Arial"/>
                <w:sz w:val="13"/>
                <w:szCs w:val="13"/>
                <w:b w:val="1"/>
                <w:bCs w:val="1"/>
                <w:color w:val="FFFFFF"/>
              </w:rPr>
              <w:t>Incentive</w:t>
            </w:r>
          </w:p>
        </w:tc>
        <w:tc>
          <w:tcPr>
            <w:tcW w:w="118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8"/>
              </w:rPr>
              <w:t>Performance</w:t>
            </w:r>
          </w:p>
        </w:tc>
        <w:tc>
          <w:tcPr>
            <w:tcW w:w="124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6"/>
              </w:rPr>
              <w:t>Unvested and</w:t>
            </w:r>
          </w:p>
        </w:tc>
        <w:tc>
          <w:tcPr>
            <w:tcW w:w="1120" w:type="dxa"/>
            <w:vAlign w:val="bottom"/>
            <w:shd w:val="clear" w:color="auto" w:fill="0E2A35"/>
          </w:tcPr>
          <w:p>
            <w:pPr>
              <w:jc w:val="center"/>
              <w:ind w:left="71"/>
              <w:spacing w:after="0" w:line="129"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41"/>
        </w:trPr>
        <w:tc>
          <w:tcPr>
            <w:tcW w:w="33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240" w:type="dxa"/>
            <w:vAlign w:val="bottom"/>
            <w:gridSpan w:val="2"/>
            <w:vMerge w:val="continue"/>
            <w:shd w:val="clear" w:color="auto" w:fill="0E2A35"/>
          </w:tcPr>
          <w:p>
            <w:pPr>
              <w:spacing w:after="0"/>
              <w:rPr>
                <w:sz w:val="12"/>
                <w:szCs w:val="12"/>
                <w:color w:val="auto"/>
              </w:rPr>
            </w:pPr>
          </w:p>
        </w:tc>
        <w:tc>
          <w:tcPr>
            <w:tcW w:w="360" w:type="dxa"/>
            <w:vAlign w:val="bottom"/>
            <w:shd w:val="clear" w:color="auto" w:fill="0E2A35"/>
          </w:tcPr>
          <w:p>
            <w:pPr>
              <w:spacing w:after="0"/>
              <w:rPr>
                <w:sz w:val="12"/>
                <w:szCs w:val="12"/>
                <w:color w:val="auto"/>
              </w:rPr>
            </w:pPr>
          </w:p>
        </w:tc>
        <w:tc>
          <w:tcPr>
            <w:tcW w:w="800" w:type="dxa"/>
            <w:vAlign w:val="bottom"/>
            <w:shd w:val="clear" w:color="auto" w:fill="0E2A35"/>
          </w:tcPr>
          <w:p>
            <w:pPr>
              <w:jc w:val="center"/>
              <w:ind w:right="290"/>
              <w:spacing w:after="0" w:line="141" w:lineRule="exact"/>
              <w:rPr>
                <w:sz w:val="20"/>
                <w:szCs w:val="20"/>
                <w:color w:val="auto"/>
              </w:rPr>
            </w:pPr>
            <w:r>
              <w:rPr>
                <w:rFonts w:ascii="Arial" w:cs="Arial" w:eastAsia="Arial" w:hAnsi="Arial"/>
                <w:sz w:val="10"/>
                <w:szCs w:val="10"/>
                <w:b w:val="1"/>
                <w:bCs w:val="1"/>
                <w:color w:val="FFFFFF"/>
              </w:rPr>
              <w:t>Plan</w:t>
            </w:r>
            <w:r>
              <w:rPr>
                <w:rFonts w:ascii="Arial" w:cs="Arial" w:eastAsia="Arial" w:hAnsi="Arial"/>
                <w:sz w:val="16"/>
                <w:szCs w:val="16"/>
                <w:b w:val="1"/>
                <w:bCs w:val="1"/>
                <w:color w:val="FFFFFF"/>
                <w:vertAlign w:val="superscript"/>
              </w:rPr>
              <w:t>(2)</w:t>
            </w:r>
          </w:p>
        </w:tc>
        <w:tc>
          <w:tcPr>
            <w:tcW w:w="1180" w:type="dxa"/>
            <w:vAlign w:val="bottom"/>
            <w:gridSpan w:val="2"/>
            <w:shd w:val="clear" w:color="auto" w:fill="0E2A35"/>
          </w:tcPr>
          <w:p>
            <w:pPr>
              <w:ind w:left="320"/>
              <w:spacing w:after="0" w:line="141"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(3)</w:t>
            </w:r>
          </w:p>
        </w:tc>
        <w:tc>
          <w:tcPr>
            <w:tcW w:w="1240" w:type="dxa"/>
            <w:vAlign w:val="bottom"/>
            <w:gridSpan w:val="2"/>
            <w:shd w:val="clear" w:color="auto" w:fill="0E2A35"/>
          </w:tcPr>
          <w:p>
            <w:pPr>
              <w:jc w:val="center"/>
              <w:spacing w:after="0" w:line="141"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(4)</w:t>
            </w:r>
          </w:p>
        </w:tc>
        <w:tc>
          <w:tcPr>
            <w:tcW w:w="1120" w:type="dxa"/>
            <w:vAlign w:val="bottom"/>
            <w:shd w:val="clear" w:color="auto" w:fill="0E2A35"/>
          </w:tcPr>
          <w:p>
            <w:pPr>
              <w:jc w:val="center"/>
              <w:ind w:left="51"/>
              <w:spacing w:after="0" w:line="141"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72"/>
        </w:trPr>
        <w:tc>
          <w:tcPr>
            <w:tcW w:w="3340" w:type="dxa"/>
            <w:vAlign w:val="bottom"/>
            <w:vMerge w:val="continue"/>
            <w:shd w:val="clear" w:color="auto" w:fill="0E2A35"/>
          </w:tcPr>
          <w:p>
            <w:pPr>
              <w:spacing w:after="0"/>
              <w:rPr>
                <w:sz w:val="14"/>
                <w:szCs w:val="14"/>
                <w:color w:val="auto"/>
              </w:rPr>
            </w:pPr>
          </w:p>
        </w:tc>
        <w:tc>
          <w:tcPr>
            <w:tcW w:w="500" w:type="dxa"/>
            <w:vAlign w:val="bottom"/>
            <w:shd w:val="clear" w:color="auto" w:fill="0E2A35"/>
          </w:tcPr>
          <w:p>
            <w:pPr>
              <w:spacing w:after="0"/>
              <w:rPr>
                <w:sz w:val="14"/>
                <w:szCs w:val="14"/>
                <w:color w:val="auto"/>
              </w:rPr>
            </w:pPr>
          </w:p>
        </w:tc>
        <w:tc>
          <w:tcPr>
            <w:tcW w:w="740" w:type="dxa"/>
            <w:vAlign w:val="bottom"/>
            <w:shd w:val="clear" w:color="auto" w:fill="0E2A35"/>
          </w:tcPr>
          <w:p>
            <w:pPr>
              <w:jc w:val="right"/>
              <w:ind w:right="409"/>
              <w:spacing w:after="0"/>
              <w:rPr>
                <w:sz w:val="20"/>
                <w:szCs w:val="20"/>
                <w:color w:val="auto"/>
              </w:rPr>
            </w:pPr>
            <w:r>
              <w:rPr>
                <w:rFonts w:ascii="Arial" w:cs="Arial" w:eastAsia="Arial" w:hAnsi="Arial"/>
                <w:sz w:val="13"/>
                <w:szCs w:val="13"/>
                <w:b w:val="1"/>
                <w:bCs w:val="1"/>
                <w:color w:val="FFFFFF"/>
              </w:rPr>
              <w:t>($)</w:t>
            </w:r>
          </w:p>
        </w:tc>
        <w:tc>
          <w:tcPr>
            <w:tcW w:w="360" w:type="dxa"/>
            <w:vAlign w:val="bottom"/>
            <w:shd w:val="clear" w:color="auto" w:fill="0E2A35"/>
          </w:tcPr>
          <w:p>
            <w:pPr>
              <w:spacing w:after="0"/>
              <w:rPr>
                <w:sz w:val="14"/>
                <w:szCs w:val="14"/>
                <w:color w:val="auto"/>
              </w:rPr>
            </w:pPr>
          </w:p>
        </w:tc>
        <w:tc>
          <w:tcPr>
            <w:tcW w:w="800" w:type="dxa"/>
            <w:vAlign w:val="bottom"/>
            <w:shd w:val="clear" w:color="auto" w:fill="0E2A35"/>
          </w:tcPr>
          <w:p>
            <w:pPr>
              <w:jc w:val="center"/>
              <w:ind w:right="270"/>
              <w:spacing w:after="0"/>
              <w:rPr>
                <w:sz w:val="20"/>
                <w:szCs w:val="20"/>
                <w:color w:val="auto"/>
              </w:rPr>
            </w:pPr>
            <w:r>
              <w:rPr>
                <w:rFonts w:ascii="Arial" w:cs="Arial" w:eastAsia="Arial" w:hAnsi="Arial"/>
                <w:sz w:val="13"/>
                <w:szCs w:val="13"/>
                <w:b w:val="1"/>
                <w:bCs w:val="1"/>
                <w:color w:val="FFFFFF"/>
                <w:w w:val="87"/>
              </w:rPr>
              <w:t>($)</w:t>
            </w:r>
          </w:p>
        </w:tc>
        <w:tc>
          <w:tcPr>
            <w:tcW w:w="380" w:type="dxa"/>
            <w:vAlign w:val="bottom"/>
            <w:shd w:val="clear" w:color="auto" w:fill="0E2A35"/>
          </w:tcPr>
          <w:p>
            <w:pPr>
              <w:spacing w:after="0"/>
              <w:rPr>
                <w:sz w:val="14"/>
                <w:szCs w:val="14"/>
                <w:color w:val="auto"/>
              </w:rPr>
            </w:pPr>
          </w:p>
        </w:tc>
        <w:tc>
          <w:tcPr>
            <w:tcW w:w="800" w:type="dxa"/>
            <w:vAlign w:val="bottom"/>
            <w:shd w:val="clear" w:color="auto" w:fill="0E2A35"/>
          </w:tcPr>
          <w:p>
            <w:pPr>
              <w:jc w:val="center"/>
              <w:ind w:right="289"/>
              <w:spacing w:after="0"/>
              <w:rPr>
                <w:sz w:val="20"/>
                <w:szCs w:val="20"/>
                <w:color w:val="auto"/>
              </w:rPr>
            </w:pPr>
            <w:r>
              <w:rPr>
                <w:rFonts w:ascii="Arial" w:cs="Arial" w:eastAsia="Arial" w:hAnsi="Arial"/>
                <w:sz w:val="13"/>
                <w:szCs w:val="13"/>
                <w:b w:val="1"/>
                <w:bCs w:val="1"/>
                <w:color w:val="FFFFFF"/>
              </w:rPr>
              <w:t>($)</w:t>
            </w:r>
          </w:p>
        </w:tc>
        <w:tc>
          <w:tcPr>
            <w:tcW w:w="380" w:type="dxa"/>
            <w:vAlign w:val="bottom"/>
            <w:shd w:val="clear" w:color="auto" w:fill="0E2A35"/>
          </w:tcPr>
          <w:p>
            <w:pPr>
              <w:spacing w:after="0"/>
              <w:rPr>
                <w:sz w:val="14"/>
                <w:szCs w:val="14"/>
                <w:color w:val="auto"/>
              </w:rPr>
            </w:pPr>
          </w:p>
        </w:tc>
        <w:tc>
          <w:tcPr>
            <w:tcW w:w="860" w:type="dxa"/>
            <w:vAlign w:val="bottom"/>
            <w:shd w:val="clear" w:color="auto" w:fill="0E2A35"/>
          </w:tcPr>
          <w:p>
            <w:pPr>
              <w:jc w:val="center"/>
              <w:ind w:right="309"/>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E2A35"/>
          </w:tcPr>
          <w:p>
            <w:pPr>
              <w:jc w:val="center"/>
              <w:ind w:left="9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3340" w:type="dxa"/>
            <w:vAlign w:val="bottom"/>
            <w:shd w:val="clear" w:color="auto" w:fill="0E2A35"/>
          </w:tcPr>
          <w:p>
            <w:pPr>
              <w:spacing w:after="0"/>
              <w:rPr>
                <w:sz w:val="7"/>
                <w:szCs w:val="7"/>
                <w:color w:val="auto"/>
              </w:rPr>
            </w:pPr>
          </w:p>
        </w:tc>
        <w:tc>
          <w:tcPr>
            <w:tcW w:w="500" w:type="dxa"/>
            <w:vAlign w:val="bottom"/>
            <w:shd w:val="clear" w:color="auto" w:fill="0E2A35"/>
          </w:tcPr>
          <w:p>
            <w:pPr>
              <w:spacing w:after="0"/>
              <w:rPr>
                <w:sz w:val="7"/>
                <w:szCs w:val="7"/>
                <w:color w:val="auto"/>
              </w:rPr>
            </w:pPr>
          </w:p>
        </w:tc>
        <w:tc>
          <w:tcPr>
            <w:tcW w:w="740" w:type="dxa"/>
            <w:vAlign w:val="bottom"/>
            <w:shd w:val="clear" w:color="auto" w:fill="0E2A35"/>
          </w:tcPr>
          <w:p>
            <w:pPr>
              <w:spacing w:after="0"/>
              <w:rPr>
                <w:sz w:val="7"/>
                <w:szCs w:val="7"/>
                <w:color w:val="auto"/>
              </w:rPr>
            </w:pPr>
          </w:p>
        </w:tc>
        <w:tc>
          <w:tcPr>
            <w:tcW w:w="360" w:type="dxa"/>
            <w:vAlign w:val="bottom"/>
            <w:shd w:val="clear" w:color="auto" w:fill="0E2A35"/>
          </w:tcPr>
          <w:p>
            <w:pPr>
              <w:spacing w:after="0"/>
              <w:rPr>
                <w:sz w:val="7"/>
                <w:szCs w:val="7"/>
                <w:color w:val="auto"/>
              </w:rPr>
            </w:pPr>
          </w:p>
        </w:tc>
        <w:tc>
          <w:tcPr>
            <w:tcW w:w="800" w:type="dxa"/>
            <w:vAlign w:val="bottom"/>
            <w:shd w:val="clear" w:color="auto" w:fill="0E2A35"/>
          </w:tcPr>
          <w:p>
            <w:pPr>
              <w:spacing w:after="0"/>
              <w:rPr>
                <w:sz w:val="7"/>
                <w:szCs w:val="7"/>
                <w:color w:val="auto"/>
              </w:rPr>
            </w:pPr>
          </w:p>
        </w:tc>
        <w:tc>
          <w:tcPr>
            <w:tcW w:w="380" w:type="dxa"/>
            <w:vAlign w:val="bottom"/>
            <w:shd w:val="clear" w:color="auto" w:fill="0E2A35"/>
          </w:tcPr>
          <w:p>
            <w:pPr>
              <w:spacing w:after="0"/>
              <w:rPr>
                <w:sz w:val="7"/>
                <w:szCs w:val="7"/>
                <w:color w:val="auto"/>
              </w:rPr>
            </w:pPr>
          </w:p>
        </w:tc>
        <w:tc>
          <w:tcPr>
            <w:tcW w:w="800" w:type="dxa"/>
            <w:vAlign w:val="bottom"/>
            <w:shd w:val="clear" w:color="auto" w:fill="0E2A35"/>
          </w:tcPr>
          <w:p>
            <w:pPr>
              <w:spacing w:after="0"/>
              <w:rPr>
                <w:sz w:val="7"/>
                <w:szCs w:val="7"/>
                <w:color w:val="auto"/>
              </w:rPr>
            </w:pPr>
          </w:p>
        </w:tc>
        <w:tc>
          <w:tcPr>
            <w:tcW w:w="38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Huw S. Bower</w:t>
            </w:r>
          </w:p>
        </w:tc>
        <w:tc>
          <w:tcPr>
            <w:tcW w:w="500" w:type="dxa"/>
            <w:vAlign w:val="bottom"/>
            <w:shd w:val="clear" w:color="auto" w:fill="C9D4D8"/>
          </w:tcPr>
          <w:p>
            <w:pPr>
              <w:spacing w:after="0"/>
              <w:rPr>
                <w:sz w:val="24"/>
                <w:szCs w:val="24"/>
                <w:color w:val="auto"/>
              </w:rPr>
            </w:pPr>
          </w:p>
        </w:tc>
        <w:tc>
          <w:tcPr>
            <w:tcW w:w="740" w:type="dxa"/>
            <w:vAlign w:val="bottom"/>
            <w:shd w:val="clear" w:color="auto" w:fill="C9D4D8"/>
          </w:tcPr>
          <w:p>
            <w:pPr>
              <w:jc w:val="right"/>
              <w:ind w:right="89"/>
              <w:spacing w:after="0"/>
              <w:rPr>
                <w:sz w:val="20"/>
                <w:szCs w:val="20"/>
                <w:color w:val="auto"/>
              </w:rPr>
            </w:pPr>
            <w:r>
              <w:rPr>
                <w:rFonts w:ascii="Arial" w:cs="Arial" w:eastAsia="Arial" w:hAnsi="Arial"/>
                <w:sz w:val="14"/>
                <w:szCs w:val="14"/>
                <w:color w:val="0E2A35"/>
              </w:rPr>
              <w:t>​</w:t>
            </w:r>
          </w:p>
        </w:tc>
        <w:tc>
          <w:tcPr>
            <w:tcW w:w="360" w:type="dxa"/>
            <w:vAlign w:val="bottom"/>
            <w:shd w:val="clear" w:color="auto" w:fill="C9D4D8"/>
          </w:tcPr>
          <w:p>
            <w:pPr>
              <w:spacing w:after="0"/>
              <w:rPr>
                <w:sz w:val="24"/>
                <w:szCs w:val="24"/>
                <w:color w:val="auto"/>
              </w:rPr>
            </w:pPr>
          </w:p>
        </w:tc>
        <w:tc>
          <w:tcPr>
            <w:tcW w:w="800" w:type="dxa"/>
            <w:vAlign w:val="bottom"/>
            <w:shd w:val="clear" w:color="auto" w:fill="C9D4D8"/>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shd w:val="clear" w:color="auto" w:fill="C9D4D8"/>
          </w:tcPr>
          <w:p>
            <w:pPr>
              <w:spacing w:after="0"/>
              <w:rPr>
                <w:sz w:val="24"/>
                <w:szCs w:val="24"/>
                <w:color w:val="auto"/>
              </w:rPr>
            </w:pPr>
          </w:p>
        </w:tc>
        <w:tc>
          <w:tcPr>
            <w:tcW w:w="800" w:type="dxa"/>
            <w:vAlign w:val="bottom"/>
            <w:shd w:val="clear" w:color="auto" w:fill="C9D4D8"/>
          </w:tcPr>
          <w:p>
            <w:pPr>
              <w:jc w:val="right"/>
              <w:ind w:right="189"/>
              <w:spacing w:after="0"/>
              <w:rPr>
                <w:sz w:val="20"/>
                <w:szCs w:val="20"/>
                <w:color w:val="auto"/>
              </w:rPr>
            </w:pPr>
            <w:r>
              <w:rPr>
                <w:rFonts w:ascii="Arial" w:cs="Arial" w:eastAsia="Arial" w:hAnsi="Arial"/>
                <w:sz w:val="14"/>
                <w:szCs w:val="14"/>
                <w:color w:val="0E2A35"/>
              </w:rPr>
              <w:t>​</w:t>
            </w:r>
          </w:p>
        </w:tc>
        <w:tc>
          <w:tcPr>
            <w:tcW w:w="38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shd w:val="clear" w:color="auto" w:fill="C9D4D8"/>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500" w:type="dxa"/>
            <w:vAlign w:val="bottom"/>
            <w:tcBorders>
              <w:bottom w:val="single" w:sz="8" w:color="0E2A35"/>
            </w:tcBorders>
            <w:shd w:val="clear" w:color="auto" w:fill="C9D4D8"/>
          </w:tcPr>
          <w:p>
            <w:pPr>
              <w:spacing w:after="0"/>
              <w:rPr>
                <w:sz w:val="7"/>
                <w:szCs w:val="7"/>
                <w:color w:val="auto"/>
              </w:rPr>
            </w:pPr>
          </w:p>
        </w:tc>
        <w:tc>
          <w:tcPr>
            <w:tcW w:w="740" w:type="dxa"/>
            <w:vAlign w:val="bottom"/>
            <w:tcBorders>
              <w:bottom w:val="single" w:sz="8" w:color="0E2A35"/>
            </w:tcBorders>
            <w:shd w:val="clear" w:color="auto" w:fill="C9D4D8"/>
          </w:tcPr>
          <w:p>
            <w:pPr>
              <w:spacing w:after="0"/>
              <w:rPr>
                <w:sz w:val="7"/>
                <w:szCs w:val="7"/>
                <w:color w:val="auto"/>
              </w:rPr>
            </w:pPr>
          </w:p>
        </w:tc>
        <w:tc>
          <w:tcPr>
            <w:tcW w:w="36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112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50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83"/>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500" w:type="dxa"/>
            <w:vAlign w:val="bottom"/>
          </w:tcPr>
          <w:p>
            <w:pPr>
              <w:spacing w:after="0"/>
              <w:rPr>
                <w:sz w:val="24"/>
                <w:szCs w:val="24"/>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1,066,769</w:t>
            </w:r>
          </w:p>
        </w:tc>
        <w:tc>
          <w:tcPr>
            <w:tcW w:w="36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50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50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Without Termination</w:t>
            </w:r>
          </w:p>
        </w:tc>
        <w:tc>
          <w:tcPr>
            <w:tcW w:w="500" w:type="dxa"/>
            <w:vAlign w:val="bottom"/>
          </w:tcPr>
          <w:p>
            <w:pPr>
              <w:spacing w:after="0"/>
              <w:rPr>
                <w:sz w:val="24"/>
                <w:szCs w:val="24"/>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60" w:type="dxa"/>
            <w:vAlign w:val="bottom"/>
            <w:tcBorders>
              <w:bottom w:val="single" w:sz="8" w:color="0E2A35"/>
            </w:tcBorders>
            <w:gridSpan w:val="2"/>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​2,133,538</w:t>
            </w:r>
          </w:p>
        </w:tc>
        <w:tc>
          <w:tcPr>
            <w:tcW w:w="1160" w:type="dxa"/>
            <w:vAlign w:val="bottom"/>
            <w:gridSpan w:val="2"/>
          </w:tcPr>
          <w:p>
            <w:pPr>
              <w:jc w:val="right"/>
              <w:ind w:right="250"/>
              <w:spacing w:after="0"/>
              <w:rPr>
                <w:sz w:val="20"/>
                <w:szCs w:val="20"/>
                <w:color w:val="auto"/>
              </w:rPr>
            </w:pPr>
            <w:r>
              <w:rPr>
                <w:rFonts w:ascii="Arial" w:cs="Arial" w:eastAsia="Arial" w:hAnsi="Arial"/>
                <w:sz w:val="14"/>
                <w:szCs w:val="14"/>
                <w:color w:val="0E2A35"/>
              </w:rPr>
              <w:t>​460,016</w:t>
            </w:r>
          </w:p>
        </w:tc>
        <w:tc>
          <w:tcPr>
            <w:tcW w:w="1180" w:type="dxa"/>
            <w:vAlign w:val="bottom"/>
            <w:gridSpan w:val="2"/>
          </w:tcPr>
          <w:p>
            <w:pPr>
              <w:jc w:val="right"/>
              <w:ind w:right="269"/>
              <w:spacing w:after="0"/>
              <w:rPr>
                <w:sz w:val="20"/>
                <w:szCs w:val="20"/>
                <w:color w:val="auto"/>
              </w:rPr>
            </w:pPr>
            <w:r>
              <w:rPr>
                <w:rFonts w:ascii="Arial" w:cs="Arial" w:eastAsia="Arial" w:hAnsi="Arial"/>
                <w:sz w:val="14"/>
                <w:szCs w:val="14"/>
                <w:color w:val="0E2A35"/>
              </w:rPr>
              <w:t>968,990​</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1,214,544​</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32,566​</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50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gridSpan w:val="2"/>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500" w:type="dxa"/>
            <w:vAlign w:val="bottom"/>
          </w:tcPr>
          <w:p>
            <w:pPr>
              <w:ind w:left="320"/>
              <w:spacing w:after="0"/>
              <w:rPr>
                <w:sz w:val="20"/>
                <w:szCs w:val="20"/>
                <w:color w:val="auto"/>
              </w:rPr>
            </w:pPr>
            <w:r>
              <w:rPr>
                <w:rFonts w:ascii="Arial" w:cs="Arial" w:eastAsia="Arial" w:hAnsi="Arial"/>
                <w:sz w:val="14"/>
                <w:szCs w:val="14"/>
                <w:color w:val="0E2A35"/>
              </w:rPr>
              <w:t>​</w:t>
            </w:r>
          </w:p>
        </w:tc>
        <w:tc>
          <w:tcPr>
            <w:tcW w:w="7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1180" w:type="dxa"/>
            <w:vAlign w:val="bottom"/>
            <w:gridSpan w:val="2"/>
          </w:tcPr>
          <w:p>
            <w:pPr>
              <w:jc w:val="right"/>
              <w:ind w:right="269"/>
              <w:spacing w:after="0"/>
              <w:rPr>
                <w:sz w:val="20"/>
                <w:szCs w:val="20"/>
                <w:color w:val="auto"/>
              </w:rPr>
            </w:pPr>
            <w:r>
              <w:rPr>
                <w:rFonts w:ascii="Arial" w:cs="Arial" w:eastAsia="Arial" w:hAnsi="Arial"/>
                <w:sz w:val="14"/>
                <w:szCs w:val="14"/>
                <w:color w:val="0E2A35"/>
              </w:rPr>
              <w:t>968,990​</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1,214,544​</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32,566​</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50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Donald J. Clark</w:t>
            </w:r>
          </w:p>
        </w:tc>
        <w:tc>
          <w:tcPr>
            <w:tcW w:w="500" w:type="dxa"/>
            <w:vAlign w:val="bottom"/>
            <w:shd w:val="clear" w:color="auto" w:fill="C9D4D8"/>
          </w:tcPr>
          <w:p>
            <w:pPr>
              <w:spacing w:after="0"/>
              <w:rPr>
                <w:sz w:val="24"/>
                <w:szCs w:val="24"/>
                <w:color w:val="auto"/>
              </w:rPr>
            </w:pPr>
          </w:p>
        </w:tc>
        <w:tc>
          <w:tcPr>
            <w:tcW w:w="740" w:type="dxa"/>
            <w:vAlign w:val="bottom"/>
            <w:shd w:val="clear" w:color="auto" w:fill="C9D4D8"/>
          </w:tcPr>
          <w:p>
            <w:pPr>
              <w:spacing w:after="0"/>
              <w:rPr>
                <w:sz w:val="24"/>
                <w:szCs w:val="24"/>
                <w:color w:val="auto"/>
              </w:rPr>
            </w:pPr>
          </w:p>
        </w:tc>
        <w:tc>
          <w:tcPr>
            <w:tcW w:w="360" w:type="dxa"/>
            <w:vAlign w:val="bottom"/>
            <w:shd w:val="clear" w:color="auto" w:fill="C9D4D8"/>
          </w:tcPr>
          <w:p>
            <w:pPr>
              <w:spacing w:after="0"/>
              <w:rPr>
                <w:sz w:val="24"/>
                <w:szCs w:val="24"/>
                <w:color w:val="auto"/>
              </w:rPr>
            </w:pPr>
          </w:p>
        </w:tc>
        <w:tc>
          <w:tcPr>
            <w:tcW w:w="800" w:type="dxa"/>
            <w:vAlign w:val="bottom"/>
            <w:shd w:val="clear" w:color="auto" w:fill="C9D4D8"/>
          </w:tcPr>
          <w:p>
            <w:pPr>
              <w:spacing w:after="0"/>
              <w:rPr>
                <w:sz w:val="24"/>
                <w:szCs w:val="24"/>
                <w:color w:val="auto"/>
              </w:rPr>
            </w:pPr>
          </w:p>
        </w:tc>
        <w:tc>
          <w:tcPr>
            <w:tcW w:w="380" w:type="dxa"/>
            <w:vAlign w:val="bottom"/>
            <w:shd w:val="clear" w:color="auto" w:fill="C9D4D8"/>
          </w:tcPr>
          <w:p>
            <w:pPr>
              <w:spacing w:after="0"/>
              <w:rPr>
                <w:sz w:val="24"/>
                <w:szCs w:val="24"/>
                <w:color w:val="auto"/>
              </w:rPr>
            </w:pPr>
          </w:p>
        </w:tc>
        <w:tc>
          <w:tcPr>
            <w:tcW w:w="800" w:type="dxa"/>
            <w:vAlign w:val="bottom"/>
            <w:shd w:val="clear" w:color="auto" w:fill="C9D4D8"/>
          </w:tcPr>
          <w:p>
            <w:pPr>
              <w:spacing w:after="0"/>
              <w:rPr>
                <w:sz w:val="24"/>
                <w:szCs w:val="24"/>
                <w:color w:val="auto"/>
              </w:rPr>
            </w:pPr>
          </w:p>
        </w:tc>
        <w:tc>
          <w:tcPr>
            <w:tcW w:w="380" w:type="dxa"/>
            <w:vAlign w:val="bottom"/>
            <w:shd w:val="clear" w:color="auto" w:fill="C9D4D8"/>
          </w:tcPr>
          <w:p>
            <w:pPr>
              <w:spacing w:after="0"/>
              <w:rPr>
                <w:sz w:val="24"/>
                <w:szCs w:val="24"/>
                <w:color w:val="auto"/>
              </w:rPr>
            </w:pPr>
          </w:p>
        </w:tc>
        <w:tc>
          <w:tcPr>
            <w:tcW w:w="860" w:type="dxa"/>
            <w:vAlign w:val="bottom"/>
            <w:shd w:val="clear" w:color="auto" w:fill="C9D4D8"/>
          </w:tcPr>
          <w:p>
            <w:pPr>
              <w:spacing w:after="0"/>
              <w:rPr>
                <w:sz w:val="24"/>
                <w:szCs w:val="24"/>
                <w:color w:val="auto"/>
              </w:rPr>
            </w:pPr>
          </w:p>
        </w:tc>
        <w:tc>
          <w:tcPr>
            <w:tcW w:w="1120" w:type="dxa"/>
            <w:vAlign w:val="bottom"/>
            <w:shd w:val="clear" w:color="auto" w:fill="C9D4D8"/>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500" w:type="dxa"/>
            <w:vAlign w:val="bottom"/>
            <w:tcBorders>
              <w:bottom w:val="single" w:sz="8" w:color="0E2A35"/>
            </w:tcBorders>
            <w:shd w:val="clear" w:color="auto" w:fill="C9D4D8"/>
          </w:tcPr>
          <w:p>
            <w:pPr>
              <w:spacing w:after="0"/>
              <w:rPr>
                <w:sz w:val="7"/>
                <w:szCs w:val="7"/>
                <w:color w:val="auto"/>
              </w:rPr>
            </w:pPr>
          </w:p>
        </w:tc>
        <w:tc>
          <w:tcPr>
            <w:tcW w:w="740" w:type="dxa"/>
            <w:vAlign w:val="bottom"/>
            <w:tcBorders>
              <w:bottom w:val="single" w:sz="8" w:color="0E2A35"/>
            </w:tcBorders>
            <w:shd w:val="clear" w:color="auto" w:fill="C9D4D8"/>
          </w:tcPr>
          <w:p>
            <w:pPr>
              <w:spacing w:after="0"/>
              <w:rPr>
                <w:sz w:val="7"/>
                <w:szCs w:val="7"/>
                <w:color w:val="auto"/>
              </w:rPr>
            </w:pPr>
          </w:p>
        </w:tc>
        <w:tc>
          <w:tcPr>
            <w:tcW w:w="36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0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112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50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83"/>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500" w:type="dxa"/>
            <w:vAlign w:val="bottom"/>
          </w:tcPr>
          <w:p>
            <w:pPr>
              <w:spacing w:after="0"/>
              <w:rPr>
                <w:sz w:val="24"/>
                <w:szCs w:val="24"/>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2,358,594​</w:t>
            </w:r>
          </w:p>
        </w:tc>
        <w:tc>
          <w:tcPr>
            <w:tcW w:w="36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50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6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50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36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Without Termination</w:t>
            </w:r>
          </w:p>
        </w:tc>
        <w:tc>
          <w:tcPr>
            <w:tcW w:w="500" w:type="dxa"/>
            <w:vAlign w:val="bottom"/>
          </w:tcPr>
          <w:p>
            <w:pPr>
              <w:ind w:left="320"/>
              <w:spacing w:after="0"/>
              <w:rPr>
                <w:sz w:val="20"/>
                <w:szCs w:val="20"/>
                <w:color w:val="auto"/>
              </w:rPr>
            </w:pPr>
            <w:r>
              <w:rPr>
                <w:rFonts w:ascii="Arial" w:cs="Arial" w:eastAsia="Arial" w:hAnsi="Arial"/>
                <w:sz w:val="14"/>
                <w:szCs w:val="14"/>
                <w:color w:val="0E2A35"/>
              </w:rPr>
              <w:t>​</w:t>
            </w:r>
          </w:p>
        </w:tc>
        <w:tc>
          <w:tcPr>
            <w:tcW w:w="7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3,000,000​</w:t>
            </w:r>
          </w:p>
        </w:tc>
        <w:tc>
          <w:tcPr>
            <w:tcW w:w="36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1,026,170​</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tcPr>
          <w:p>
            <w:pPr>
              <w:spacing w:after="0"/>
              <w:rPr>
                <w:sz w:val="7"/>
                <w:szCs w:val="7"/>
                <w:color w:val="auto"/>
              </w:rPr>
            </w:pPr>
          </w:p>
        </w:tc>
        <w:tc>
          <w:tcPr>
            <w:tcW w:w="50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3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gridSpan w:val="2"/>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500" w:type="dxa"/>
            <w:vAlign w:val="bottom"/>
          </w:tcPr>
          <w:p>
            <w:pPr>
              <w:ind w:left="320"/>
              <w:spacing w:after="0"/>
              <w:rPr>
                <w:sz w:val="20"/>
                <w:szCs w:val="20"/>
                <w:color w:val="auto"/>
              </w:rPr>
            </w:pPr>
            <w:r>
              <w:rPr>
                <w:rFonts w:ascii="Arial" w:cs="Arial" w:eastAsia="Arial" w:hAnsi="Arial"/>
                <w:sz w:val="14"/>
                <w:szCs w:val="14"/>
                <w:color w:val="0E2A35"/>
              </w:rPr>
              <w:t>​</w:t>
            </w:r>
          </w:p>
        </w:tc>
        <w:tc>
          <w:tcPr>
            <w:tcW w:w="7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36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50"/>
              <w:spacing w:after="0"/>
              <w:rPr>
                <w:sz w:val="20"/>
                <w:szCs w:val="20"/>
                <w:color w:val="auto"/>
              </w:rPr>
            </w:pPr>
            <w:r>
              <w:rPr>
                <w:rFonts w:ascii="Arial" w:cs="Arial" w:eastAsia="Arial" w:hAnsi="Arial"/>
                <w:sz w:val="14"/>
                <w:szCs w:val="14"/>
                <w:color w:val="0E2A35"/>
              </w:rPr>
              <w:t>—</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00" w:type="dxa"/>
            <w:vAlign w:val="bottom"/>
          </w:tcPr>
          <w:p>
            <w:pPr>
              <w:jc w:val="right"/>
              <w:ind w:right="269"/>
              <w:spacing w:after="0"/>
              <w:rPr>
                <w:sz w:val="20"/>
                <w:szCs w:val="20"/>
                <w:color w:val="auto"/>
              </w:rPr>
            </w:pPr>
            <w:r>
              <w:rPr>
                <w:rFonts w:ascii="Arial" w:cs="Arial" w:eastAsia="Arial" w:hAnsi="Arial"/>
                <w:sz w:val="14"/>
                <w:szCs w:val="14"/>
                <w:color w:val="0E2A35"/>
              </w:rPr>
              <w:t>—</w:t>
            </w:r>
          </w:p>
        </w:tc>
        <w:tc>
          <w:tcPr>
            <w:tcW w:w="1240" w:type="dxa"/>
            <w:vAlign w:val="bottom"/>
            <w:gridSpan w:val="2"/>
          </w:tcPr>
          <w:p>
            <w:pPr>
              <w:jc w:val="right"/>
              <w:ind w:right="209"/>
              <w:spacing w:after="0"/>
              <w:rPr>
                <w:sz w:val="20"/>
                <w:szCs w:val="20"/>
                <w:color w:val="auto"/>
              </w:rPr>
            </w:pPr>
            <w:r>
              <w:rPr>
                <w:rFonts w:ascii="Arial" w:cs="Arial" w:eastAsia="Arial" w:hAnsi="Arial"/>
                <w:sz w:val="14"/>
                <w:szCs w:val="14"/>
                <w:color w:val="0E2A35"/>
              </w:rPr>
              <w:t>1,026,170​</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3" w:lineRule="exact"/>
        <w:rPr>
          <w:sz w:val="20"/>
          <w:szCs w:val="20"/>
          <w:color w:val="auto"/>
        </w:rPr>
      </w:pPr>
    </w:p>
    <w:p>
      <w:pPr>
        <w:ind w:left="360" w:right="20" w:hanging="360"/>
        <w:spacing w:after="0" w:line="223" w:lineRule="auto"/>
        <w:tabs>
          <w:tab w:leader="none" w:pos="36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For Mr. Happe, the Involuntary Termination without Cause or Termination for Good Reason before a Change in Control reflects two years of base salary, annual target incentive, and annual premium cost of COBRA. For Mr. Clark, the Involuntary Termination without Cause or Termination for Good Reason before a Change in Control reflects one year of base salary and the equity portion of the Grand Design MIP due.. For Messrs. Hughes, Bower, and Ms. Bogart, the Involuntary Termination without Cause or Termination for Good Reason before a Change in Control reflects one year of base salary, annual target incentive, and annual premium cost of COBRA. For all NEOs (except Mr. Clark), the Change in Control severance equals an amount equal to two times (or three times in the case of our CEO) base salary and annual target incentive, and annual premium cost of COBRA. In the case of Mr. Clark, the total severance benefit for a Change in Control termination is capped at $3,000,000.</w:t>
      </w:r>
    </w:p>
    <w:p>
      <w:pPr>
        <w:spacing w:after="0" w:line="26" w:lineRule="exact"/>
        <w:rPr>
          <w:rFonts w:ascii="Arial" w:cs="Arial" w:eastAsia="Arial" w:hAnsi="Arial"/>
          <w:sz w:val="13"/>
          <w:szCs w:val="13"/>
          <w:color w:val="0E2A35"/>
        </w:rPr>
      </w:pPr>
    </w:p>
    <w:p>
      <w:pPr>
        <w:ind w:left="360" w:hanging="360"/>
        <w:spacing w:after="0"/>
        <w:tabs>
          <w:tab w:leader="none" w:pos="36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Represents the NEOs' actual annual incentive payout pursuant to the 2022 OICP (other than Mr. Clark).</w:t>
      </w:r>
    </w:p>
    <w:p>
      <w:pPr>
        <w:spacing w:after="0" w:line="39" w:lineRule="exact"/>
        <w:rPr>
          <w:rFonts w:ascii="Arial" w:cs="Arial" w:eastAsia="Arial" w:hAnsi="Arial"/>
          <w:sz w:val="13"/>
          <w:szCs w:val="13"/>
          <w:color w:val="0E2A35"/>
        </w:rPr>
      </w:pPr>
    </w:p>
    <w:p>
      <w:pPr>
        <w:ind w:left="360" w:right="120" w:hanging="360"/>
        <w:spacing w:after="0" w:line="229" w:lineRule="auto"/>
        <w:tabs>
          <w:tab w:leader="none" w:pos="36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Represents the LTIP incentive achieved pursuant to the fiscal 2020-2022 LTIP and the target amount payable under the fiscal 2021-2023 LTIP and the fiscal 2022-2024 LTIP. Valuation is based on our closing stock price of $61.22 per share, on August 27, 2022. Actual payouts will depend on, among other things, whether or not awards are assumed or replaced, the type of change in control transaction and, in some cases, whether the payout will occur at target or actual based on the situation at the time, all as explained in the narrative preceding the table.</w:t>
      </w:r>
    </w:p>
    <w:p>
      <w:pPr>
        <w:spacing w:after="0" w:line="23" w:lineRule="exact"/>
        <w:rPr>
          <w:rFonts w:ascii="Arial" w:cs="Arial" w:eastAsia="Arial" w:hAnsi="Arial"/>
          <w:sz w:val="13"/>
          <w:szCs w:val="13"/>
          <w:color w:val="0E2A35"/>
        </w:rPr>
      </w:pPr>
    </w:p>
    <w:p>
      <w:pPr>
        <w:ind w:left="360" w:hanging="360"/>
        <w:spacing w:after="0"/>
        <w:tabs>
          <w:tab w:leader="none" w:pos="360" w:val="left"/>
        </w:tabs>
        <w:numPr>
          <w:ilvl w:val="0"/>
          <w:numId w:val="52"/>
        </w:numPr>
        <w:rPr>
          <w:rFonts w:ascii="Arial" w:cs="Arial" w:eastAsia="Arial" w:hAnsi="Arial"/>
          <w:sz w:val="12"/>
          <w:szCs w:val="12"/>
          <w:color w:val="0E2A35"/>
        </w:rPr>
      </w:pPr>
      <w:r>
        <w:rPr>
          <w:rFonts w:ascii="Arial" w:cs="Arial" w:eastAsia="Arial" w:hAnsi="Arial"/>
          <w:sz w:val="12"/>
          <w:szCs w:val="12"/>
          <w:color w:val="0E2A35"/>
        </w:rPr>
        <w:t>Represents the intrinsic value of unvested stock grants based on our closing stock price of $61.22 per share on August 27, 2022, the last day of fiscal 2022.</w:t>
      </w:r>
    </w:p>
    <w:p>
      <w:pPr>
        <w:spacing w:after="0" w:line="51" w:lineRule="exact"/>
        <w:rPr>
          <w:rFonts w:ascii="Arial" w:cs="Arial" w:eastAsia="Arial" w:hAnsi="Arial"/>
          <w:sz w:val="12"/>
          <w:szCs w:val="12"/>
          <w:color w:val="0E2A35"/>
        </w:rPr>
      </w:pPr>
    </w:p>
    <w:p>
      <w:pPr>
        <w:ind w:left="360" w:right="80" w:hanging="360"/>
        <w:spacing w:after="0" w:line="243" w:lineRule="auto"/>
        <w:tabs>
          <w:tab w:leader="none" w:pos="36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Represents the intrinsic value of unvested and accelerated stock options based on our closing stock price of $61.22 per share on August 27, 2022, the last day of fiscal 2022.</w:t>
      </w:r>
    </w:p>
    <w:p>
      <w:pPr>
        <w:spacing w:after="0" w:line="21" w:lineRule="exact"/>
        <w:rPr>
          <w:rFonts w:ascii="Arial" w:cs="Arial" w:eastAsia="Arial" w:hAnsi="Arial"/>
          <w:sz w:val="13"/>
          <w:szCs w:val="13"/>
          <w:color w:val="0E2A35"/>
        </w:rPr>
      </w:pPr>
    </w:p>
    <w:p>
      <w:pPr>
        <w:ind w:left="360" w:right="40" w:hanging="360"/>
        <w:spacing w:after="0" w:line="229" w:lineRule="auto"/>
        <w:tabs>
          <w:tab w:leader="none" w:pos="36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Retirement under certain of the 2014 Plan award agreements is defined as attaining age 60 and five or more years of service with the Company. Retirement under the 2019 Plan awards, granted prior to October 2021, does not trigger automatic acceleration of such awards. For grants beginning in October 2021, retirement is defined as attaining age 55 and 10 or more years of service with the Company, or age 65. In the event of a voluntary termination upon meeting this definition of retirement, vesting of wards granted at least one year prior to the date of retirement will accelerate.</w:t>
      </w:r>
    </w:p>
    <w:p>
      <w:pPr>
        <w:spacing w:after="0" w:line="23" w:lineRule="exact"/>
        <w:rPr>
          <w:rFonts w:ascii="Arial" w:cs="Arial" w:eastAsia="Arial" w:hAnsi="Arial"/>
          <w:sz w:val="13"/>
          <w:szCs w:val="13"/>
          <w:color w:val="0E2A35"/>
        </w:rPr>
      </w:pPr>
    </w:p>
    <w:p>
      <w:pPr>
        <w:ind w:left="360" w:right="160" w:hanging="360"/>
        <w:spacing w:after="0" w:line="233" w:lineRule="auto"/>
        <w:tabs>
          <w:tab w:leader="none" w:pos="36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The term “Change of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CEO Pay Ratio Disclosure</w:t>
      </w:r>
    </w:p>
    <w:p>
      <w:pPr>
        <w:spacing w:after="0" w:line="191"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0E2A35"/>
        </w:rPr>
        <w:t>For fiscal 2022, we calculated the ration of the annual total compensation of our principal executive officer (PEO), who is Mr. Happe, our President and CEO, to the annual total compensation of our median employee, as described below.</w:t>
      </w:r>
    </w:p>
    <w:p>
      <w:pPr>
        <w:spacing w:after="0" w:line="12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0E2A35"/>
        </w:rPr>
        <w:t>As of our measurement date of August 27, 2022, our employee population including all full-time, part-time and temporary workers, consisted of approximately 7,445 individuals, all of whom worked in the United States.</w:t>
      </w:r>
    </w:p>
    <w:p>
      <w:pPr>
        <w:spacing w:after="0" w:line="11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0E2A35"/>
        </w:rPr>
        <w:t>To identify the median employee, as well as determine the annual total compensation of the median employee, we used the following methodology and consistently applied material assumptions, adjustments and estimates.</w:t>
      </w:r>
    </w:p>
    <w:p>
      <w:pPr>
        <w:spacing w:after="0" w:line="115" w:lineRule="exact"/>
        <w:rPr>
          <w:sz w:val="20"/>
          <w:szCs w:val="20"/>
          <w:color w:val="auto"/>
        </w:rPr>
      </w:pPr>
    </w:p>
    <w:p>
      <w:pPr>
        <w:ind w:left="720" w:right="60" w:hanging="360"/>
        <w:spacing w:after="0" w:line="254" w:lineRule="auto"/>
        <w:tabs>
          <w:tab w:leader="none" w:pos="720" w:val="left"/>
        </w:tabs>
        <w:numPr>
          <w:ilvl w:val="0"/>
          <w:numId w:val="53"/>
        </w:numPr>
        <w:rPr>
          <w:rFonts w:ascii="Arial" w:cs="Arial" w:eastAsia="Arial" w:hAnsi="Arial"/>
          <w:sz w:val="16"/>
          <w:szCs w:val="16"/>
          <w:color w:val="C7D265"/>
        </w:rPr>
      </w:pPr>
      <w:r>
        <w:rPr>
          <w:rFonts w:ascii="Arial" w:cs="Arial" w:eastAsia="Arial" w:hAnsi="Arial"/>
          <w:sz w:val="16"/>
          <w:szCs w:val="16"/>
          <w:color w:val="0E2A35"/>
        </w:rPr>
        <w:t>We compared the payroll data for our employee population described above (minus our PEO) using a compensation measure consisting of base pay related wages and incentive pay paid during fiscal 2022.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54" w:lineRule="exact"/>
        <w:rPr>
          <w:rFonts w:ascii="Arial" w:cs="Arial" w:eastAsia="Arial" w:hAnsi="Arial"/>
          <w:sz w:val="16"/>
          <w:szCs w:val="16"/>
          <w:color w:val="C7D265"/>
        </w:rPr>
      </w:pPr>
    </w:p>
    <w:p>
      <w:pPr>
        <w:ind w:left="720" w:right="200" w:hanging="360"/>
        <w:spacing w:after="0" w:line="286" w:lineRule="auto"/>
        <w:tabs>
          <w:tab w:leader="none" w:pos="720" w:val="left"/>
        </w:tabs>
        <w:numPr>
          <w:ilvl w:val="0"/>
          <w:numId w:val="53"/>
        </w:numPr>
        <w:rPr>
          <w:rFonts w:ascii="Arial" w:cs="Arial" w:eastAsia="Arial" w:hAnsi="Arial"/>
          <w:sz w:val="16"/>
          <w:szCs w:val="16"/>
          <w:color w:val="C7D265"/>
        </w:rPr>
      </w:pPr>
      <w:r>
        <w:rPr>
          <w:rFonts w:ascii="Arial" w:cs="Arial" w:eastAsia="Arial" w:hAnsi="Arial"/>
          <w:sz w:val="16"/>
          <w:szCs w:val="16"/>
          <w:color w:val="0E2A35"/>
        </w:rPr>
        <w:t>We annualized the base pay related wages and incentive pay of all full-time and part-time employees who were hired by the Company and its subsidiaries between August 29, 2021 and August 27, 2022.</w:t>
      </w:r>
    </w:p>
    <w:p>
      <w:pPr>
        <w:spacing w:after="0" w:line="115" w:lineRule="exact"/>
        <w:rPr>
          <w:rFonts w:ascii="Arial" w:cs="Arial" w:eastAsia="Arial" w:hAnsi="Arial"/>
          <w:sz w:val="16"/>
          <w:szCs w:val="16"/>
          <w:color w:val="C7D265"/>
        </w:rPr>
      </w:pPr>
    </w:p>
    <w:p>
      <w:pPr>
        <w:ind w:left="720" w:right="160" w:hanging="360"/>
        <w:spacing w:after="0" w:line="286" w:lineRule="auto"/>
        <w:tabs>
          <w:tab w:leader="none" w:pos="720" w:val="left"/>
        </w:tabs>
        <w:numPr>
          <w:ilvl w:val="0"/>
          <w:numId w:val="53"/>
        </w:numPr>
        <w:rPr>
          <w:rFonts w:ascii="Arial" w:cs="Arial" w:eastAsia="Arial" w:hAnsi="Arial"/>
          <w:sz w:val="16"/>
          <w:szCs w:val="16"/>
          <w:color w:val="C7D265"/>
        </w:rPr>
      </w:pPr>
      <w:r>
        <w:rPr>
          <w:rFonts w:ascii="Arial" w:cs="Arial" w:eastAsia="Arial" w:hAnsi="Arial"/>
          <w:sz w:val="16"/>
          <w:szCs w:val="16"/>
          <w:color w:val="0E2A35"/>
        </w:rPr>
        <w:t>Based upon base pay related wages and cash incentive pay of each employee, we identified a median employee and calculated that employee’s annual total compensation.</w:t>
      </w:r>
    </w:p>
    <w:p>
      <w:pPr>
        <w:spacing w:after="0" w:line="115" w:lineRule="exact"/>
        <w:rPr>
          <w:rFonts w:ascii="Arial" w:cs="Arial" w:eastAsia="Arial" w:hAnsi="Arial"/>
          <w:sz w:val="16"/>
          <w:szCs w:val="16"/>
          <w:color w:val="C7D265"/>
        </w:rPr>
      </w:pPr>
    </w:p>
    <w:p>
      <w:pPr>
        <w:ind w:left="720" w:right="240" w:hanging="360"/>
        <w:spacing w:after="0" w:line="266" w:lineRule="auto"/>
        <w:tabs>
          <w:tab w:leader="none" w:pos="720" w:val="left"/>
        </w:tabs>
        <w:numPr>
          <w:ilvl w:val="0"/>
          <w:numId w:val="53"/>
        </w:numPr>
        <w:rPr>
          <w:rFonts w:ascii="Arial" w:cs="Arial" w:eastAsia="Arial" w:hAnsi="Arial"/>
          <w:sz w:val="16"/>
          <w:szCs w:val="16"/>
          <w:color w:val="C7D265"/>
        </w:rPr>
      </w:pPr>
      <w:r>
        <w:rPr>
          <w:rFonts w:ascii="Arial" w:cs="Arial" w:eastAsia="Arial" w:hAnsi="Arial"/>
          <w:sz w:val="16"/>
          <w:szCs w:val="16"/>
          <w:color w:val="0E2A35"/>
        </w:rPr>
        <w:t>We determined annual total compensation, including any perquisites and other benefits, in the same manner that we determine the annual total compensation of our PEO for purposes of the Summary Compensation Table disclosed above.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E2A35"/>
        </w:rPr>
        <w:t>This resulted in the median employee’s annual total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58978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ind w:left="60"/>
              <w:spacing w:after="0"/>
              <w:rPr>
                <w:sz w:val="20"/>
                <w:szCs w:val="20"/>
                <w:color w:val="auto"/>
              </w:rPr>
            </w:pPr>
            <w:r>
              <w:rPr>
                <w:rFonts w:ascii="Arial" w:cs="Arial" w:eastAsia="Arial" w:hAnsi="Arial"/>
                <w:sz w:val="14"/>
                <w:szCs w:val="14"/>
                <w:color w:val="0E2A35"/>
              </w:rPr>
              <w:t>Annual Total Compensation of Median Employee</w:t>
            </w:r>
          </w:p>
        </w:tc>
        <w:tc>
          <w:tcPr>
            <w:tcW w:w="2760" w:type="dxa"/>
            <w:vAlign w:val="bottom"/>
          </w:tcPr>
          <w:p>
            <w:pPr>
              <w:jc w:val="right"/>
              <w:ind w:right="28"/>
              <w:spacing w:after="0"/>
              <w:rPr>
                <w:sz w:val="20"/>
                <w:szCs w:val="20"/>
                <w:color w:val="auto"/>
              </w:rPr>
            </w:pPr>
            <w:r>
              <w:rPr>
                <w:rFonts w:ascii="Arial" w:cs="Arial" w:eastAsia="Arial" w:hAnsi="Arial"/>
                <w:sz w:val="14"/>
                <w:szCs w:val="14"/>
                <w:color w:val="0E2A35"/>
              </w:rPr>
              <w:t>$</w:t>
            </w:r>
          </w:p>
        </w:tc>
        <w:tc>
          <w:tcPr>
            <w:tcW w:w="760" w:type="dxa"/>
            <w:vAlign w:val="bottom"/>
          </w:tcPr>
          <w:p>
            <w:pPr>
              <w:jc w:val="right"/>
              <w:spacing w:after="0"/>
              <w:rPr>
                <w:sz w:val="20"/>
                <w:szCs w:val="20"/>
                <w:color w:val="auto"/>
              </w:rPr>
            </w:pPr>
            <w:r>
              <w:rPr>
                <w:rFonts w:ascii="Arial" w:cs="Arial" w:eastAsia="Arial" w:hAnsi="Arial"/>
                <w:sz w:val="14"/>
                <w:szCs w:val="14"/>
                <w:color w:val="0E2A35"/>
              </w:rPr>
              <w:t>​  76,084</w:t>
            </w:r>
          </w:p>
        </w:tc>
      </w:tr>
      <w:tr>
        <w:trPr>
          <w:trHeight w:val="89"/>
        </w:trPr>
        <w:tc>
          <w:tcPr>
            <w:tcW w:w="5760" w:type="dxa"/>
            <w:vAlign w:val="bottom"/>
            <w:tcBorders>
              <w:bottom w:val="single" w:sz="8" w:color="0E2A35"/>
            </w:tcBorders>
          </w:tcPr>
          <w:p>
            <w:pPr>
              <w:spacing w:after="0"/>
              <w:rPr>
                <w:sz w:val="7"/>
                <w:szCs w:val="7"/>
                <w:color w:val="auto"/>
              </w:rPr>
            </w:pPr>
          </w:p>
        </w:tc>
        <w:tc>
          <w:tcPr>
            <w:tcW w:w="276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r>
      <w:tr>
        <w:trPr>
          <w:trHeight w:val="283"/>
        </w:trPr>
        <w:tc>
          <w:tcPr>
            <w:tcW w:w="5760" w:type="dxa"/>
            <w:vAlign w:val="bottom"/>
          </w:tcPr>
          <w:p>
            <w:pPr>
              <w:ind w:left="60"/>
              <w:spacing w:after="0"/>
              <w:rPr>
                <w:sz w:val="20"/>
                <w:szCs w:val="20"/>
                <w:color w:val="auto"/>
              </w:rPr>
            </w:pPr>
            <w:r>
              <w:rPr>
                <w:rFonts w:ascii="Arial" w:cs="Arial" w:eastAsia="Arial" w:hAnsi="Arial"/>
                <w:sz w:val="14"/>
                <w:szCs w:val="14"/>
                <w:color w:val="0E2A35"/>
              </w:rPr>
              <w:t>Annual Total Compensation of PEO (Mr. Happe)</w:t>
            </w:r>
          </w:p>
        </w:tc>
        <w:tc>
          <w:tcPr>
            <w:tcW w:w="2760" w:type="dxa"/>
            <w:vAlign w:val="bottom"/>
          </w:tcPr>
          <w:p>
            <w:pPr>
              <w:jc w:val="right"/>
              <w:ind w:right="28"/>
              <w:spacing w:after="0"/>
              <w:rPr>
                <w:sz w:val="20"/>
                <w:szCs w:val="20"/>
                <w:color w:val="auto"/>
              </w:rPr>
            </w:pPr>
            <w:r>
              <w:rPr>
                <w:rFonts w:ascii="Arial" w:cs="Arial" w:eastAsia="Arial" w:hAnsi="Arial"/>
                <w:sz w:val="14"/>
                <w:szCs w:val="14"/>
                <w:color w:val="0E2A35"/>
              </w:rPr>
              <w:t>$</w:t>
            </w:r>
          </w:p>
        </w:tc>
        <w:tc>
          <w:tcPr>
            <w:tcW w:w="760" w:type="dxa"/>
            <w:vAlign w:val="bottom"/>
          </w:tcPr>
          <w:p>
            <w:pPr>
              <w:jc w:val="right"/>
              <w:spacing w:after="0"/>
              <w:rPr>
                <w:sz w:val="20"/>
                <w:szCs w:val="20"/>
                <w:color w:val="auto"/>
              </w:rPr>
            </w:pPr>
            <w:r>
              <w:rPr>
                <w:rFonts w:ascii="Arial" w:cs="Arial" w:eastAsia="Arial" w:hAnsi="Arial"/>
                <w:sz w:val="14"/>
                <w:szCs w:val="14"/>
                <w:color w:val="0E2A35"/>
              </w:rPr>
              <w:t>6,676,569</w:t>
            </w:r>
          </w:p>
        </w:tc>
      </w:tr>
      <w:tr>
        <w:trPr>
          <w:trHeight w:val="89"/>
        </w:trPr>
        <w:tc>
          <w:tcPr>
            <w:tcW w:w="5760" w:type="dxa"/>
            <w:vAlign w:val="bottom"/>
            <w:tcBorders>
              <w:bottom w:val="single" w:sz="8" w:color="0E2A35"/>
            </w:tcBorders>
          </w:tcPr>
          <w:p>
            <w:pPr>
              <w:spacing w:after="0"/>
              <w:rPr>
                <w:sz w:val="7"/>
                <w:szCs w:val="7"/>
                <w:color w:val="auto"/>
              </w:rPr>
            </w:pPr>
          </w:p>
        </w:tc>
        <w:tc>
          <w:tcPr>
            <w:tcW w:w="276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r>
    </w:tbl>
    <w:p>
      <w:pPr>
        <w:spacing w:after="0" w:line="26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0E2A35"/>
        </w:rPr>
        <w:t>Based on this information for fiscal 2022, we reasonably estimate that the ratio of our CEO’s annual total compensation to the annual total compensation of our median employee was 88 to 1. Our pay ratio estimate has been calculated in a manner consistent with Item 402(u) of Regulation S-K.</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E2A35"/>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Equity Compensation Plan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0E2A35"/>
        </w:rPr>
        <w:t>Information with respect to shares of our common stock that may be issued under our existing equity compensation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August 27, 2022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40" w:type="dxa"/>
            <w:vAlign w:val="bottom"/>
            <w:shd w:val="clear" w:color="auto" w:fill="0E2A35"/>
          </w:tcPr>
          <w:p>
            <w:pPr>
              <w:spacing w:after="0"/>
              <w:rPr>
                <w:sz w:val="22"/>
                <w:szCs w:val="22"/>
                <w:color w:val="auto"/>
              </w:rPr>
            </w:pPr>
          </w:p>
        </w:tc>
        <w:tc>
          <w:tcPr>
            <w:tcW w:w="300" w:type="dxa"/>
            <w:vAlign w:val="bottom"/>
            <w:shd w:val="clear" w:color="auto" w:fill="0E2A35"/>
          </w:tcPr>
          <w:p>
            <w:pPr>
              <w:spacing w:after="0"/>
              <w:rPr>
                <w:sz w:val="22"/>
                <w:szCs w:val="22"/>
                <w:color w:val="auto"/>
              </w:rPr>
            </w:pPr>
          </w:p>
        </w:tc>
        <w:tc>
          <w:tcPr>
            <w:tcW w:w="540" w:type="dxa"/>
            <w:vAlign w:val="bottom"/>
            <w:shd w:val="clear" w:color="auto" w:fill="0E2A35"/>
          </w:tcPr>
          <w:p>
            <w:pPr>
              <w:spacing w:after="0"/>
              <w:rPr>
                <w:sz w:val="22"/>
                <w:szCs w:val="22"/>
                <w:color w:val="auto"/>
              </w:rPr>
            </w:pPr>
          </w:p>
        </w:tc>
        <w:tc>
          <w:tcPr>
            <w:tcW w:w="940" w:type="dxa"/>
            <w:vAlign w:val="bottom"/>
            <w:shd w:val="clear" w:color="auto" w:fill="0E2A35"/>
          </w:tcPr>
          <w:p>
            <w:pPr>
              <w:jc w:val="center"/>
              <w:ind w:right="475"/>
              <w:spacing w:after="0"/>
              <w:rPr>
                <w:sz w:val="20"/>
                <w:szCs w:val="20"/>
                <w:color w:val="auto"/>
              </w:rPr>
            </w:pPr>
            <w:r>
              <w:rPr>
                <w:rFonts w:ascii="Arial" w:cs="Arial" w:eastAsia="Arial" w:hAnsi="Arial"/>
                <w:sz w:val="13"/>
                <w:szCs w:val="13"/>
                <w:b w:val="1"/>
                <w:bCs w:val="1"/>
                <w:color w:val="FFFFFF"/>
              </w:rPr>
              <w:t>(a)​</w:t>
            </w:r>
          </w:p>
        </w:tc>
        <w:tc>
          <w:tcPr>
            <w:tcW w:w="300" w:type="dxa"/>
            <w:vAlign w:val="bottom"/>
            <w:shd w:val="clear" w:color="auto" w:fill="0E2A35"/>
          </w:tcPr>
          <w:p>
            <w:pPr>
              <w:spacing w:after="0"/>
              <w:rPr>
                <w:sz w:val="22"/>
                <w:szCs w:val="22"/>
                <w:color w:val="auto"/>
              </w:rPr>
            </w:pPr>
          </w:p>
        </w:tc>
        <w:tc>
          <w:tcPr>
            <w:tcW w:w="150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(b)​</w:t>
            </w:r>
          </w:p>
        </w:tc>
        <w:tc>
          <w:tcPr>
            <w:tcW w:w="300" w:type="dxa"/>
            <w:vAlign w:val="bottom"/>
            <w:shd w:val="clear" w:color="auto" w:fill="0E2A35"/>
          </w:tcPr>
          <w:p>
            <w:pPr>
              <w:spacing w:after="0"/>
              <w:rPr>
                <w:sz w:val="22"/>
                <w:szCs w:val="22"/>
                <w:color w:val="auto"/>
              </w:rPr>
            </w:pPr>
          </w:p>
        </w:tc>
        <w:tc>
          <w:tcPr>
            <w:tcW w:w="700" w:type="dxa"/>
            <w:vAlign w:val="bottom"/>
            <w:shd w:val="clear" w:color="auto" w:fill="0E2A35"/>
          </w:tcPr>
          <w:p>
            <w:pPr>
              <w:spacing w:after="0"/>
              <w:rPr>
                <w:sz w:val="22"/>
                <w:szCs w:val="22"/>
                <w:color w:val="auto"/>
              </w:rPr>
            </w:pPr>
          </w:p>
        </w:tc>
        <w:tc>
          <w:tcPr>
            <w:tcW w:w="1160" w:type="dxa"/>
            <w:vAlign w:val="bottom"/>
            <w:shd w:val="clear" w:color="auto" w:fill="0E2A35"/>
          </w:tcPr>
          <w:p>
            <w:pPr>
              <w:jc w:val="center"/>
              <w:ind w:right="612"/>
              <w:spacing w:after="0"/>
              <w:rPr>
                <w:sz w:val="20"/>
                <w:szCs w:val="20"/>
                <w:color w:val="auto"/>
              </w:rPr>
            </w:pPr>
            <w:r>
              <w:rPr>
                <w:rFonts w:ascii="Arial" w:cs="Arial" w:eastAsia="Arial" w:hAnsi="Arial"/>
                <w:sz w:val="13"/>
                <w:szCs w:val="13"/>
                <w:b w:val="1"/>
                <w:bCs w:val="1"/>
                <w:color w:val="FFFFFF"/>
              </w:rPr>
              <w:t>(c)​</w:t>
            </w:r>
          </w:p>
        </w:tc>
        <w:tc>
          <w:tcPr>
            <w:tcW w:w="0" w:type="dxa"/>
            <w:vAlign w:val="bottom"/>
          </w:tcPr>
          <w:p>
            <w:pPr>
              <w:spacing w:after="0"/>
              <w:rPr>
                <w:sz w:val="1"/>
                <w:szCs w:val="1"/>
                <w:color w:val="auto"/>
              </w:rPr>
            </w:pPr>
          </w:p>
        </w:tc>
      </w:tr>
      <w:tr>
        <w:trPr>
          <w:trHeight w:val="328"/>
        </w:trPr>
        <w:tc>
          <w:tcPr>
            <w:tcW w:w="3540" w:type="dxa"/>
            <w:vAlign w:val="bottom"/>
            <w:shd w:val="clear" w:color="auto" w:fill="0E2A35"/>
          </w:tcPr>
          <w:p>
            <w:pPr>
              <w:spacing w:after="0"/>
              <w:rPr>
                <w:sz w:val="24"/>
                <w:szCs w:val="24"/>
                <w:color w:val="auto"/>
              </w:rPr>
            </w:pPr>
          </w:p>
        </w:tc>
        <w:tc>
          <w:tcPr>
            <w:tcW w:w="300" w:type="dxa"/>
            <w:vAlign w:val="bottom"/>
            <w:shd w:val="clear" w:color="auto" w:fill="0E2A35"/>
          </w:tcPr>
          <w:p>
            <w:pPr>
              <w:spacing w:after="0"/>
              <w:rPr>
                <w:sz w:val="24"/>
                <w:szCs w:val="24"/>
                <w:color w:val="auto"/>
              </w:rPr>
            </w:pPr>
          </w:p>
        </w:tc>
        <w:tc>
          <w:tcPr>
            <w:tcW w:w="148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Number of Securities</w:t>
            </w:r>
          </w:p>
        </w:tc>
        <w:tc>
          <w:tcPr>
            <w:tcW w:w="300" w:type="dxa"/>
            <w:vAlign w:val="bottom"/>
            <w:shd w:val="clear" w:color="auto" w:fill="0E2A35"/>
          </w:tcPr>
          <w:p>
            <w:pPr>
              <w:spacing w:after="0"/>
              <w:rPr>
                <w:sz w:val="24"/>
                <w:szCs w:val="24"/>
                <w:color w:val="auto"/>
              </w:rPr>
            </w:pPr>
          </w:p>
        </w:tc>
        <w:tc>
          <w:tcPr>
            <w:tcW w:w="150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Weighted Average</w:t>
            </w:r>
          </w:p>
        </w:tc>
        <w:tc>
          <w:tcPr>
            <w:tcW w:w="300" w:type="dxa"/>
            <w:vAlign w:val="bottom"/>
            <w:shd w:val="clear" w:color="auto" w:fill="0E2A35"/>
          </w:tcPr>
          <w:p>
            <w:pPr>
              <w:spacing w:after="0"/>
              <w:rPr>
                <w:sz w:val="24"/>
                <w:szCs w:val="24"/>
                <w:color w:val="auto"/>
              </w:rPr>
            </w:pPr>
          </w:p>
        </w:tc>
        <w:tc>
          <w:tcPr>
            <w:tcW w:w="18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Number of Securities</w:t>
            </w:r>
          </w:p>
        </w:tc>
        <w:tc>
          <w:tcPr>
            <w:tcW w:w="0" w:type="dxa"/>
            <w:vAlign w:val="bottom"/>
          </w:tcPr>
          <w:p>
            <w:pPr>
              <w:spacing w:after="0"/>
              <w:rPr>
                <w:sz w:val="1"/>
                <w:szCs w:val="1"/>
                <w:color w:val="auto"/>
              </w:rPr>
            </w:pPr>
          </w:p>
        </w:tc>
      </w:tr>
      <w:tr>
        <w:trPr>
          <w:trHeight w:val="135"/>
        </w:trPr>
        <w:tc>
          <w:tcPr>
            <w:tcW w:w="354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480" w:type="dxa"/>
            <w:vAlign w:val="bottom"/>
            <w:gridSpan w:val="2"/>
            <w:vMerge w:val="continue"/>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500" w:type="dxa"/>
            <w:vAlign w:val="bottom"/>
            <w:gridSpan w:val="2"/>
            <w:vMerge w:val="continue"/>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8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Remaining Available for</w:t>
            </w:r>
          </w:p>
        </w:tc>
        <w:tc>
          <w:tcPr>
            <w:tcW w:w="0" w:type="dxa"/>
            <w:vAlign w:val="bottom"/>
          </w:tcPr>
          <w:p>
            <w:pPr>
              <w:spacing w:after="0"/>
              <w:rPr>
                <w:sz w:val="1"/>
                <w:szCs w:val="1"/>
                <w:color w:val="auto"/>
              </w:rPr>
            </w:pPr>
          </w:p>
        </w:tc>
      </w:tr>
      <w:tr>
        <w:trPr>
          <w:trHeight w:val="135"/>
        </w:trPr>
        <w:tc>
          <w:tcPr>
            <w:tcW w:w="354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4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to be Issued Upon</w:t>
            </w:r>
          </w:p>
        </w:tc>
        <w:tc>
          <w:tcPr>
            <w:tcW w:w="300" w:type="dxa"/>
            <w:vAlign w:val="bottom"/>
            <w:shd w:val="clear" w:color="auto" w:fill="0E2A35"/>
          </w:tcPr>
          <w:p>
            <w:pPr>
              <w:spacing w:after="0"/>
              <w:rPr>
                <w:sz w:val="11"/>
                <w:szCs w:val="11"/>
                <w:color w:val="auto"/>
              </w:rPr>
            </w:pPr>
          </w:p>
        </w:tc>
        <w:tc>
          <w:tcPr>
            <w:tcW w:w="150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Exercise Price of</w:t>
            </w:r>
          </w:p>
        </w:tc>
        <w:tc>
          <w:tcPr>
            <w:tcW w:w="300" w:type="dxa"/>
            <w:vAlign w:val="bottom"/>
            <w:shd w:val="clear" w:color="auto" w:fill="0E2A35"/>
          </w:tcPr>
          <w:p>
            <w:pPr>
              <w:spacing w:after="0"/>
              <w:rPr>
                <w:sz w:val="11"/>
                <w:szCs w:val="11"/>
                <w:color w:val="auto"/>
              </w:rPr>
            </w:pPr>
          </w:p>
        </w:tc>
        <w:tc>
          <w:tcPr>
            <w:tcW w:w="18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Future Issuance Under</w:t>
            </w:r>
          </w:p>
        </w:tc>
        <w:tc>
          <w:tcPr>
            <w:tcW w:w="0" w:type="dxa"/>
            <w:vAlign w:val="bottom"/>
          </w:tcPr>
          <w:p>
            <w:pPr>
              <w:spacing w:after="0"/>
              <w:rPr>
                <w:sz w:val="1"/>
                <w:szCs w:val="1"/>
                <w:color w:val="auto"/>
              </w:rPr>
            </w:pPr>
          </w:p>
        </w:tc>
      </w:tr>
      <w:tr>
        <w:trPr>
          <w:trHeight w:val="129"/>
        </w:trPr>
        <w:tc>
          <w:tcPr>
            <w:tcW w:w="354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48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7"/>
              </w:rPr>
              <w:t>Exercise of</w:t>
            </w:r>
          </w:p>
        </w:tc>
        <w:tc>
          <w:tcPr>
            <w:tcW w:w="300" w:type="dxa"/>
            <w:vAlign w:val="bottom"/>
            <w:shd w:val="clear" w:color="auto" w:fill="0E2A35"/>
          </w:tcPr>
          <w:p>
            <w:pPr>
              <w:spacing w:after="0"/>
              <w:rPr>
                <w:sz w:val="11"/>
                <w:szCs w:val="11"/>
                <w:color w:val="auto"/>
              </w:rPr>
            </w:pPr>
          </w:p>
        </w:tc>
        <w:tc>
          <w:tcPr>
            <w:tcW w:w="150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6"/>
              </w:rPr>
              <w:t>Outstanding Options,</w:t>
            </w:r>
          </w:p>
        </w:tc>
        <w:tc>
          <w:tcPr>
            <w:tcW w:w="300" w:type="dxa"/>
            <w:vAlign w:val="bottom"/>
            <w:shd w:val="clear" w:color="auto" w:fill="0E2A35"/>
          </w:tcPr>
          <w:p>
            <w:pPr>
              <w:spacing w:after="0"/>
              <w:rPr>
                <w:sz w:val="11"/>
                <w:szCs w:val="11"/>
                <w:color w:val="auto"/>
              </w:rPr>
            </w:pPr>
          </w:p>
        </w:tc>
        <w:tc>
          <w:tcPr>
            <w:tcW w:w="186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7"/>
              </w:rPr>
              <w:t>Equity Compensation Plans</w:t>
            </w:r>
          </w:p>
        </w:tc>
        <w:tc>
          <w:tcPr>
            <w:tcW w:w="0" w:type="dxa"/>
            <w:vAlign w:val="bottom"/>
          </w:tcPr>
          <w:p>
            <w:pPr>
              <w:spacing w:after="0"/>
              <w:rPr>
                <w:sz w:val="1"/>
                <w:szCs w:val="1"/>
                <w:color w:val="auto"/>
              </w:rPr>
            </w:pPr>
          </w:p>
        </w:tc>
      </w:tr>
      <w:tr>
        <w:trPr>
          <w:trHeight w:val="135"/>
        </w:trPr>
        <w:tc>
          <w:tcPr>
            <w:tcW w:w="35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Plan Category</w:t>
            </w:r>
          </w:p>
        </w:tc>
        <w:tc>
          <w:tcPr>
            <w:tcW w:w="300" w:type="dxa"/>
            <w:vAlign w:val="bottom"/>
            <w:shd w:val="clear" w:color="auto" w:fill="0E2A35"/>
          </w:tcPr>
          <w:p>
            <w:pPr>
              <w:spacing w:after="0"/>
              <w:rPr>
                <w:sz w:val="11"/>
                <w:szCs w:val="11"/>
                <w:color w:val="auto"/>
              </w:rPr>
            </w:pPr>
          </w:p>
        </w:tc>
        <w:tc>
          <w:tcPr>
            <w:tcW w:w="14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300" w:type="dxa"/>
            <w:vAlign w:val="bottom"/>
            <w:shd w:val="clear" w:color="auto" w:fill="0E2A35"/>
          </w:tcPr>
          <w:p>
            <w:pPr>
              <w:spacing w:after="0"/>
              <w:rPr>
                <w:sz w:val="11"/>
                <w:szCs w:val="11"/>
                <w:color w:val="auto"/>
              </w:rPr>
            </w:pPr>
          </w:p>
        </w:tc>
        <w:tc>
          <w:tcPr>
            <w:tcW w:w="150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300" w:type="dxa"/>
            <w:vAlign w:val="bottom"/>
            <w:shd w:val="clear" w:color="auto" w:fill="0E2A35"/>
          </w:tcPr>
          <w:p>
            <w:pPr>
              <w:spacing w:after="0"/>
              <w:rPr>
                <w:sz w:val="11"/>
                <w:szCs w:val="11"/>
                <w:color w:val="auto"/>
              </w:rPr>
            </w:pPr>
          </w:p>
        </w:tc>
        <w:tc>
          <w:tcPr>
            <w:tcW w:w="18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0" w:type="dxa"/>
            <w:vAlign w:val="bottom"/>
          </w:tcPr>
          <w:p>
            <w:pPr>
              <w:spacing w:after="0"/>
              <w:rPr>
                <w:sz w:val="1"/>
                <w:szCs w:val="1"/>
                <w:color w:val="auto"/>
              </w:rPr>
            </w:pPr>
          </w:p>
        </w:tc>
      </w:tr>
      <w:tr>
        <w:trPr>
          <w:trHeight w:val="267"/>
        </w:trPr>
        <w:tc>
          <w:tcPr>
            <w:tcW w:w="3540" w:type="dxa"/>
            <w:vAlign w:val="bottom"/>
            <w:vMerge w:val="continue"/>
            <w:shd w:val="clear" w:color="auto" w:fill="0E2A35"/>
          </w:tcPr>
          <w:p>
            <w:pPr>
              <w:spacing w:after="0"/>
              <w:rPr>
                <w:sz w:val="23"/>
                <w:szCs w:val="23"/>
                <w:color w:val="auto"/>
              </w:rPr>
            </w:pPr>
          </w:p>
        </w:tc>
        <w:tc>
          <w:tcPr>
            <w:tcW w:w="300" w:type="dxa"/>
            <w:vAlign w:val="bottom"/>
            <w:shd w:val="clear" w:color="auto" w:fill="0E2A35"/>
          </w:tcPr>
          <w:p>
            <w:pPr>
              <w:spacing w:after="0"/>
              <w:rPr>
                <w:sz w:val="23"/>
                <w:szCs w:val="23"/>
                <w:color w:val="auto"/>
              </w:rPr>
            </w:pPr>
          </w:p>
        </w:tc>
        <w:tc>
          <w:tcPr>
            <w:tcW w:w="148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800" w:type="dxa"/>
            <w:vAlign w:val="bottom"/>
            <w:gridSpan w:val="3"/>
            <w:shd w:val="clear" w:color="auto" w:fill="0E2A35"/>
          </w:tcPr>
          <w:p>
            <w:pPr>
              <w:jc w:val="center"/>
              <w:ind w:left="237"/>
              <w:spacing w:after="0"/>
              <w:rPr>
                <w:sz w:val="20"/>
                <w:szCs w:val="20"/>
                <w:color w:val="auto"/>
              </w:rPr>
            </w:pPr>
            <w:r>
              <w:rPr>
                <w:rFonts w:ascii="Arial" w:cs="Arial" w:eastAsia="Arial" w:hAnsi="Arial"/>
                <w:sz w:val="13"/>
                <w:szCs w:val="13"/>
                <w:b w:val="1"/>
                <w:bCs w:val="1"/>
                <w:color w:val="FFFFFF"/>
                <w:w w:val="87"/>
              </w:rPr>
              <w:t>($)</w:t>
            </w:r>
          </w:p>
        </w:tc>
        <w:tc>
          <w:tcPr>
            <w:tcW w:w="300" w:type="dxa"/>
            <w:vAlign w:val="bottom"/>
            <w:shd w:val="clear" w:color="auto" w:fill="0E2A35"/>
          </w:tcPr>
          <w:p>
            <w:pPr>
              <w:spacing w:after="0"/>
              <w:rPr>
                <w:sz w:val="23"/>
                <w:szCs w:val="23"/>
                <w:color w:val="auto"/>
              </w:rPr>
            </w:pPr>
          </w:p>
        </w:tc>
        <w:tc>
          <w:tcPr>
            <w:tcW w:w="18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Reflected in (a))</w:t>
            </w:r>
          </w:p>
        </w:tc>
        <w:tc>
          <w:tcPr>
            <w:tcW w:w="0" w:type="dxa"/>
            <w:vAlign w:val="bottom"/>
          </w:tcPr>
          <w:p>
            <w:pPr>
              <w:spacing w:after="0"/>
              <w:rPr>
                <w:sz w:val="1"/>
                <w:szCs w:val="1"/>
                <w:color w:val="auto"/>
              </w:rPr>
            </w:pPr>
          </w:p>
        </w:tc>
      </w:tr>
      <w:tr>
        <w:trPr>
          <w:trHeight w:val="261"/>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vMerge w:val="restart"/>
          </w:tcPr>
          <w:p>
            <w:pPr>
              <w:jc w:val="right"/>
              <w:ind w:right="315"/>
              <w:spacing w:after="0"/>
              <w:rPr>
                <w:sz w:val="20"/>
                <w:szCs w:val="20"/>
                <w:color w:val="auto"/>
              </w:rPr>
            </w:pPr>
            <w:r>
              <w:rPr>
                <w:rFonts w:ascii="Arial" w:cs="Arial" w:eastAsia="Arial" w:hAnsi="Arial"/>
                <w:sz w:val="14"/>
                <w:szCs w:val="14"/>
                <w:color w:val="0E2A35"/>
              </w:rPr>
              <w:t>6,500</w:t>
            </w:r>
            <w:r>
              <w:rPr>
                <w:rFonts w:ascii="Arial" w:cs="Arial" w:eastAsia="Arial" w:hAnsi="Arial"/>
                <w:sz w:val="23"/>
                <w:szCs w:val="23"/>
                <w:color w:val="0E2A35"/>
                <w:vertAlign w:val="superscript"/>
              </w:rPr>
              <w:t>(3)</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2004 Plan</w:t>
            </w:r>
          </w:p>
        </w:tc>
        <w:tc>
          <w:tcPr>
            <w:tcW w:w="300" w:type="dxa"/>
            <w:vAlign w:val="bottom"/>
            <w:tcBorders>
              <w:bottom w:val="single" w:sz="8" w:color="0E2A35"/>
            </w:tcBorders>
          </w:tcPr>
          <w:p>
            <w:pPr>
              <w:spacing w:after="0"/>
              <w:rPr>
                <w:sz w:val="24"/>
                <w:szCs w:val="24"/>
                <w:color w:val="auto"/>
              </w:rPr>
            </w:pPr>
          </w:p>
        </w:tc>
        <w:tc>
          <w:tcPr>
            <w:tcW w:w="540" w:type="dxa"/>
            <w:vAlign w:val="bottom"/>
            <w:tcBorders>
              <w:bottom w:val="single" w:sz="8" w:color="0E2A35"/>
            </w:tcBorders>
          </w:tcPr>
          <w:p>
            <w:pPr>
              <w:ind w:left="440"/>
              <w:spacing w:after="0"/>
              <w:rPr>
                <w:sz w:val="20"/>
                <w:szCs w:val="20"/>
                <w:color w:val="auto"/>
              </w:rPr>
            </w:pPr>
            <w:r>
              <w:rPr>
                <w:rFonts w:ascii="Arial" w:cs="Arial" w:eastAsia="Arial" w:hAnsi="Arial"/>
                <w:sz w:val="14"/>
                <w:szCs w:val="14"/>
                <w:color w:val="0E2A35"/>
              </w:rPr>
              <w:t>​</w:t>
            </w:r>
          </w:p>
        </w:tc>
        <w:tc>
          <w:tcPr>
            <w:tcW w:w="940" w:type="dxa"/>
            <w:vAlign w:val="bottom"/>
            <w:tcBorders>
              <w:bottom w:val="single" w:sz="8" w:color="0E2A35"/>
            </w:tcBorders>
            <w:vMerge w:val="continue"/>
          </w:tcPr>
          <w:p>
            <w:pPr>
              <w:spacing w:after="0"/>
              <w:rPr>
                <w:sz w:val="24"/>
                <w:szCs w:val="24"/>
                <w:color w:val="auto"/>
              </w:rPr>
            </w:pP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rPr>
              <w:t>​</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572"/>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54"/>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2"/>
                <w:szCs w:val="22"/>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color w:val="0E2A35"/>
              </w:rPr>
              <w:t>​240,949</w:t>
            </w:r>
            <w:r>
              <w:rPr>
                <w:rFonts w:ascii="Arial" w:cs="Arial" w:eastAsia="Arial" w:hAnsi="Arial"/>
                <w:sz w:val="23"/>
                <w:szCs w:val="23"/>
                <w:color w:val="0E2A35"/>
                <w:vertAlign w:val="superscript"/>
              </w:rPr>
              <w:t>(4)</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2014 Plan</w:t>
            </w:r>
          </w:p>
        </w:tc>
        <w:tc>
          <w:tcPr>
            <w:tcW w:w="300" w:type="dxa"/>
            <w:vAlign w:val="bottom"/>
            <w:tcBorders>
              <w:bottom w:val="single" w:sz="8" w:color="0E2A35"/>
            </w:tcBorders>
          </w:tcPr>
          <w:p>
            <w:pPr>
              <w:spacing w:after="0"/>
              <w:rPr>
                <w:sz w:val="24"/>
                <w:szCs w:val="24"/>
                <w:color w:val="auto"/>
              </w:rPr>
            </w:pPr>
          </w:p>
        </w:tc>
        <w:tc>
          <w:tcPr>
            <w:tcW w:w="1480" w:type="dxa"/>
            <w:vAlign w:val="bottom"/>
            <w:tcBorders>
              <w:bottom w:val="single" w:sz="8" w:color="0E2A35"/>
            </w:tcBorders>
            <w:gridSpan w:val="2"/>
            <w:vMerge w:val="continue"/>
          </w:tcPr>
          <w:p>
            <w:pPr>
              <w:spacing w:after="0"/>
              <w:rPr>
                <w:sz w:val="24"/>
                <w:szCs w:val="24"/>
                <w:color w:val="auto"/>
              </w:rPr>
            </w:pP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w w:val="89"/>
              </w:rPr>
              <w:t>34​</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w w:val="92"/>
              </w:rPr>
              <w:t>.54</w:t>
            </w: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572"/>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54"/>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2"/>
                <w:szCs w:val="22"/>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color w:val="0E2A35"/>
              </w:rPr>
              <w:t>​601,702</w:t>
            </w:r>
            <w:r>
              <w:rPr>
                <w:rFonts w:ascii="Arial" w:cs="Arial" w:eastAsia="Arial" w:hAnsi="Arial"/>
                <w:sz w:val="23"/>
                <w:szCs w:val="23"/>
                <w:color w:val="0E2A35"/>
                <w:vertAlign w:val="superscript"/>
              </w:rPr>
              <w:t>(5)</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gridSpan w:val="2"/>
            <w:vMerge w:val="restart"/>
          </w:tcPr>
          <w:p>
            <w:pPr>
              <w:ind w:left="580"/>
              <w:spacing w:after="0"/>
              <w:rPr>
                <w:sz w:val="20"/>
                <w:szCs w:val="20"/>
                <w:color w:val="auto"/>
              </w:rPr>
            </w:pPr>
            <w:r>
              <w:rPr>
                <w:rFonts w:ascii="Arial" w:cs="Arial" w:eastAsia="Arial" w:hAnsi="Arial"/>
                <w:sz w:val="14"/>
                <w:szCs w:val="14"/>
                <w:color w:val="0E2A35"/>
              </w:rPr>
              <w:t>​2,530,374</w:t>
            </w:r>
            <w:r>
              <w:rPr>
                <w:rFonts w:ascii="Arial" w:cs="Arial" w:eastAsia="Arial" w:hAnsi="Arial"/>
                <w:sz w:val="23"/>
                <w:szCs w:val="23"/>
                <w:color w:val="0E2A35"/>
                <w:vertAlign w:val="superscript"/>
              </w:rPr>
              <w:t>(6)</w:t>
            </w:r>
          </w:p>
        </w:tc>
        <w:tc>
          <w:tcPr>
            <w:tcW w:w="0" w:type="dxa"/>
            <w:vAlign w:val="bottom"/>
          </w:tcPr>
          <w:p>
            <w:pPr>
              <w:spacing w:after="0"/>
              <w:rPr>
                <w:sz w:val="1"/>
                <w:szCs w:val="1"/>
                <w:color w:val="auto"/>
              </w:rPr>
            </w:pPr>
          </w:p>
        </w:tc>
      </w:tr>
      <w:tr>
        <w:trPr>
          <w:trHeight w:val="279"/>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2019 Plan</w:t>
            </w:r>
          </w:p>
        </w:tc>
        <w:tc>
          <w:tcPr>
            <w:tcW w:w="300" w:type="dxa"/>
            <w:vAlign w:val="bottom"/>
            <w:tcBorders>
              <w:bottom w:val="single" w:sz="8" w:color="0E2A35"/>
            </w:tcBorders>
          </w:tcPr>
          <w:p>
            <w:pPr>
              <w:spacing w:after="0"/>
              <w:rPr>
                <w:sz w:val="24"/>
                <w:szCs w:val="24"/>
                <w:color w:val="auto"/>
              </w:rPr>
            </w:pPr>
          </w:p>
        </w:tc>
        <w:tc>
          <w:tcPr>
            <w:tcW w:w="1480" w:type="dxa"/>
            <w:vAlign w:val="bottom"/>
            <w:tcBorders>
              <w:bottom w:val="single" w:sz="8" w:color="0E2A35"/>
            </w:tcBorders>
            <w:gridSpan w:val="2"/>
            <w:vMerge w:val="continue"/>
          </w:tcPr>
          <w:p>
            <w:pPr>
              <w:spacing w:after="0"/>
              <w:rPr>
                <w:sz w:val="24"/>
                <w:szCs w:val="24"/>
                <w:color w:val="auto"/>
              </w:rPr>
            </w:pP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w w:val="89"/>
              </w:rPr>
              <w:t>58​</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w w:val="92"/>
              </w:rPr>
              <w:t>.47</w:t>
            </w:r>
          </w:p>
        </w:tc>
        <w:tc>
          <w:tcPr>
            <w:tcW w:w="300" w:type="dxa"/>
            <w:vAlign w:val="bottom"/>
            <w:tcBorders>
              <w:bottom w:val="single" w:sz="8" w:color="0E2A35"/>
            </w:tcBorders>
          </w:tcPr>
          <w:p>
            <w:pPr>
              <w:spacing w:after="0"/>
              <w:rPr>
                <w:sz w:val="24"/>
                <w:szCs w:val="24"/>
                <w:color w:val="auto"/>
              </w:rPr>
            </w:pPr>
          </w:p>
        </w:tc>
        <w:tc>
          <w:tcPr>
            <w:tcW w:w="1860" w:type="dxa"/>
            <w:vAlign w:val="bottom"/>
            <w:tcBorders>
              <w:bottom w:val="single" w:sz="8" w:color="0E2A35"/>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vMerge w:val="restart"/>
          </w:tcPr>
          <w:p>
            <w:pPr>
              <w:jc w:val="right"/>
              <w:ind w:right="315"/>
              <w:spacing w:after="0"/>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(7)</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4"/>
                <w:szCs w:val="14"/>
                <w:color w:val="0E2A35"/>
              </w:rPr>
              <w:t>62,352</w:t>
            </w:r>
            <w:r>
              <w:rPr>
                <w:rFonts w:ascii="Arial" w:cs="Arial" w:eastAsia="Arial" w:hAnsi="Arial"/>
                <w:sz w:val="23"/>
                <w:szCs w:val="23"/>
                <w:color w:val="0E2A35"/>
                <w:vertAlign w:val="superscript"/>
              </w:rPr>
              <w:t>(8)</w:t>
            </w:r>
          </w:p>
        </w:tc>
        <w:tc>
          <w:tcPr>
            <w:tcW w:w="0" w:type="dxa"/>
            <w:vAlign w:val="bottom"/>
          </w:tcPr>
          <w:p>
            <w:pPr>
              <w:spacing w:after="0"/>
              <w:rPr>
                <w:sz w:val="1"/>
                <w:szCs w:val="1"/>
                <w:color w:val="auto"/>
              </w:rPr>
            </w:pPr>
          </w:p>
        </w:tc>
      </w:tr>
      <w:tr>
        <w:trPr>
          <w:trHeight w:val="279"/>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ESPP</w:t>
            </w:r>
          </w:p>
        </w:tc>
        <w:tc>
          <w:tcPr>
            <w:tcW w:w="300" w:type="dxa"/>
            <w:vAlign w:val="bottom"/>
            <w:tcBorders>
              <w:bottom w:val="single" w:sz="8" w:color="0E2A35"/>
            </w:tcBorders>
          </w:tcPr>
          <w:p>
            <w:pPr>
              <w:spacing w:after="0"/>
              <w:rPr>
                <w:sz w:val="24"/>
                <w:szCs w:val="24"/>
                <w:color w:val="auto"/>
              </w:rPr>
            </w:pPr>
          </w:p>
        </w:tc>
        <w:tc>
          <w:tcPr>
            <w:tcW w:w="540" w:type="dxa"/>
            <w:vAlign w:val="bottom"/>
            <w:tcBorders>
              <w:bottom w:val="single" w:sz="8" w:color="0E2A35"/>
            </w:tcBorders>
          </w:tcPr>
          <w:p>
            <w:pPr>
              <w:ind w:left="440"/>
              <w:spacing w:after="0"/>
              <w:rPr>
                <w:sz w:val="20"/>
                <w:szCs w:val="20"/>
                <w:color w:val="auto"/>
              </w:rPr>
            </w:pPr>
            <w:r>
              <w:rPr>
                <w:rFonts w:ascii="Arial" w:cs="Arial" w:eastAsia="Arial" w:hAnsi="Arial"/>
                <w:sz w:val="14"/>
                <w:szCs w:val="14"/>
                <w:color w:val="0E2A35"/>
              </w:rPr>
              <w:t>​</w:t>
            </w:r>
          </w:p>
        </w:tc>
        <w:tc>
          <w:tcPr>
            <w:tcW w:w="940" w:type="dxa"/>
            <w:vAlign w:val="bottom"/>
            <w:tcBorders>
              <w:bottom w:val="single" w:sz="8" w:color="0E2A35"/>
            </w:tcBorders>
            <w:vMerge w:val="continue"/>
          </w:tcPr>
          <w:p>
            <w:pPr>
              <w:spacing w:after="0"/>
              <w:rPr>
                <w:sz w:val="24"/>
                <w:szCs w:val="24"/>
                <w:color w:val="auto"/>
              </w:rPr>
            </w:pP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rPr>
              <w:t>​</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not approved by</w:t>
            </w:r>
          </w:p>
        </w:tc>
        <w:tc>
          <w:tcPr>
            <w:tcW w:w="300" w:type="dxa"/>
            <w:vAlign w:val="bottom"/>
          </w:tcPr>
          <w:p>
            <w:pPr>
              <w:spacing w:after="0"/>
              <w:rPr>
                <w:sz w:val="20"/>
                <w:szCs w:val="20"/>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color w:val="0E2A35"/>
              </w:rPr>
              <w:t>​ 43,071</w:t>
            </w:r>
            <w:r>
              <w:rPr>
                <w:rFonts w:ascii="Arial" w:cs="Arial" w:eastAsia="Arial" w:hAnsi="Arial"/>
                <w:sz w:val="23"/>
                <w:szCs w:val="23"/>
                <w:color w:val="0E2A35"/>
                <w:vertAlign w:val="superscript"/>
              </w:rPr>
              <w:t>(10)</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vMerge w:val="restart"/>
          </w:tcPr>
          <w:p>
            <w:pPr>
              <w:jc w:val="right"/>
              <w:ind w:right="372"/>
              <w:spacing w:after="0"/>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(11)</w:t>
            </w:r>
          </w:p>
        </w:tc>
        <w:tc>
          <w:tcPr>
            <w:tcW w:w="0" w:type="dxa"/>
            <w:vAlign w:val="bottom"/>
          </w:tcPr>
          <w:p>
            <w:pPr>
              <w:spacing w:after="0"/>
              <w:rPr>
                <w:sz w:val="1"/>
                <w:szCs w:val="1"/>
                <w:color w:val="auto"/>
              </w:rPr>
            </w:pPr>
          </w:p>
        </w:tc>
      </w:tr>
      <w:tr>
        <w:trPr>
          <w:trHeight w:val="296"/>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shareholders</w:t>
            </w:r>
            <w:r>
              <w:rPr>
                <w:rFonts w:ascii="Arial" w:cs="Arial" w:eastAsia="Arial" w:hAnsi="Arial"/>
                <w:sz w:val="23"/>
                <w:szCs w:val="23"/>
                <w:color w:val="0E2A35"/>
                <w:vertAlign w:val="superscript"/>
              </w:rPr>
              <w:t>(9)</w:t>
            </w:r>
          </w:p>
        </w:tc>
        <w:tc>
          <w:tcPr>
            <w:tcW w:w="300" w:type="dxa"/>
            <w:vAlign w:val="bottom"/>
            <w:tcBorders>
              <w:bottom w:val="single" w:sz="8" w:color="0E2A35"/>
            </w:tcBorders>
          </w:tcPr>
          <w:p>
            <w:pPr>
              <w:spacing w:after="0"/>
              <w:rPr>
                <w:sz w:val="24"/>
                <w:szCs w:val="24"/>
                <w:color w:val="auto"/>
              </w:rPr>
            </w:pPr>
          </w:p>
        </w:tc>
        <w:tc>
          <w:tcPr>
            <w:tcW w:w="1480" w:type="dxa"/>
            <w:vAlign w:val="bottom"/>
            <w:tcBorders>
              <w:bottom w:val="single" w:sz="8" w:color="0E2A35"/>
            </w:tcBorders>
            <w:gridSpan w:val="2"/>
            <w:vMerge w:val="continue"/>
          </w:tcPr>
          <w:p>
            <w:pPr>
              <w:spacing w:after="0"/>
              <w:rPr>
                <w:sz w:val="24"/>
                <w:szCs w:val="24"/>
                <w:color w:val="auto"/>
              </w:rPr>
            </w:pP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rPr>
              <w:t>​</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40" w:type="dxa"/>
            <w:vAlign w:val="bottom"/>
          </w:tcPr>
          <w:p>
            <w:pPr>
              <w:ind w:left="60"/>
              <w:spacing w:after="0"/>
              <w:rPr>
                <w:sz w:val="20"/>
                <w:szCs w:val="20"/>
                <w:color w:val="auto"/>
              </w:rPr>
            </w:pPr>
            <w:r>
              <w:rPr>
                <w:rFonts w:ascii="Arial" w:cs="Arial" w:eastAsia="Arial" w:hAnsi="Arial"/>
                <w:sz w:val="14"/>
                <w:szCs w:val="14"/>
                <w:color w:val="0E2A35"/>
              </w:rPr>
              <w:t>Total</w:t>
            </w:r>
          </w:p>
        </w:tc>
        <w:tc>
          <w:tcPr>
            <w:tcW w:w="300" w:type="dxa"/>
            <w:vAlign w:val="bottom"/>
          </w:tcPr>
          <w:p>
            <w:pPr>
              <w:spacing w:after="0"/>
              <w:rPr>
                <w:sz w:val="24"/>
                <w:szCs w:val="24"/>
                <w:color w:val="auto"/>
              </w:rPr>
            </w:pPr>
          </w:p>
        </w:tc>
        <w:tc>
          <w:tcPr>
            <w:tcW w:w="1480" w:type="dxa"/>
            <w:vAlign w:val="bottom"/>
            <w:gridSpan w:val="2"/>
          </w:tcPr>
          <w:p>
            <w:pPr>
              <w:ind w:left="440"/>
              <w:spacing w:after="0"/>
              <w:rPr>
                <w:sz w:val="20"/>
                <w:szCs w:val="20"/>
                <w:color w:val="auto"/>
              </w:rPr>
            </w:pPr>
            <w:r>
              <w:rPr>
                <w:rFonts w:ascii="Arial" w:cs="Arial" w:eastAsia="Arial" w:hAnsi="Arial"/>
                <w:sz w:val="14"/>
                <w:szCs w:val="14"/>
                <w:color w:val="0E2A35"/>
              </w:rPr>
              <w:t>​892,222</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ind w:left="580"/>
              <w:spacing w:after="0"/>
              <w:rPr>
                <w:sz w:val="20"/>
                <w:szCs w:val="20"/>
                <w:color w:val="auto"/>
              </w:rPr>
            </w:pPr>
            <w:r>
              <w:rPr>
                <w:rFonts w:ascii="Arial" w:cs="Arial" w:eastAsia="Arial" w:hAnsi="Arial"/>
                <w:sz w:val="14"/>
                <w:szCs w:val="14"/>
                <w:color w:val="0E2A35"/>
              </w:rPr>
              <w:t>2,592,726​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-2600325</wp:posOffset>
            </wp:positionV>
            <wp:extent cx="3463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73" w:lineRule="exact"/>
        <w:rPr>
          <w:sz w:val="20"/>
          <w:szCs w:val="20"/>
          <w:color w:val="auto"/>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Number of securities to be issued in the table are shown in whole numbers.</w:t>
      </w:r>
    </w:p>
    <w:p>
      <w:pPr>
        <w:spacing w:after="0" w:line="39" w:lineRule="exact"/>
        <w:rPr>
          <w:rFonts w:ascii="Arial" w:cs="Arial" w:eastAsia="Arial" w:hAnsi="Arial"/>
          <w:sz w:val="13"/>
          <w:szCs w:val="13"/>
          <w:color w:val="0E2A35"/>
        </w:rPr>
      </w:pPr>
    </w:p>
    <w:p>
      <w:pPr>
        <w:ind w:left="360" w:right="80" w:hanging="360"/>
        <w:spacing w:after="0" w:line="243" w:lineRule="auto"/>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the weighted average exercise price of outstanding stock options only. Restricted share awards do not have an exercise price so weighted average is not applicable.</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unvested share awards granted under the 2004 Incentive Compensation Plan (2004 Plan). No new grants may be made under the 2004 Plan.</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2014 Plan. The 2014 Plan replaced the 2004 Plan effective January 1, 2014.</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2019 Plan, which replaced the 2014 Plan effective on December 11, 2018.</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shares available for grant of awards under the 2019 Plan as of August 27, 2022.</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unvested stock awards granted under the Winnebago Industries, Inc. Employee Stock Purchase Plan (ESPP).</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shares available for issuance under the ESPP as of August 27, 2022.</w:t>
      </w:r>
    </w:p>
    <w:p>
      <w:pPr>
        <w:spacing w:after="0" w:line="39" w:lineRule="exact"/>
        <w:rPr>
          <w:rFonts w:ascii="Arial" w:cs="Arial" w:eastAsia="Arial" w:hAnsi="Arial"/>
          <w:sz w:val="13"/>
          <w:szCs w:val="13"/>
          <w:color w:val="0E2A35"/>
        </w:rPr>
      </w:pPr>
    </w:p>
    <w:p>
      <w:pPr>
        <w:ind w:left="360" w:right="280" w:hanging="360"/>
        <w:spacing w:after="0" w:line="233" w:lineRule="auto"/>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Our sole equity compensation plan not previously submitted to our shareholders for approval is the Directors' Deferred Compensation Plan. The Board may terminate the Directors' Deferred Compensation Plan at any time. If not terminated earlier, the Directors' Deferred Compensation Plan will automatically terminate on June 30, 2023.</w:t>
      </w:r>
    </w:p>
    <w:p>
      <w:pPr>
        <w:spacing w:after="0" w:line="23" w:lineRule="exact"/>
        <w:rPr>
          <w:rFonts w:ascii="Arial" w:cs="Arial" w:eastAsia="Arial" w:hAnsi="Arial"/>
          <w:sz w:val="13"/>
          <w:szCs w:val="13"/>
          <w:color w:val="0E2A35"/>
        </w:rPr>
      </w:pPr>
    </w:p>
    <w:p>
      <w:pPr>
        <w:ind w:left="360" w:right="620" w:hanging="360"/>
        <w:spacing w:after="0" w:line="243" w:lineRule="auto"/>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shares of common stock issued to a trust which underlie stock units, payable on a one-for-one basis, credited to stock unit accounts as of August 27, 2022 under the Directors' Deferred Compensation Plan.</w:t>
      </w:r>
    </w:p>
    <w:p>
      <w:pPr>
        <w:spacing w:after="0" w:line="21" w:lineRule="exact"/>
        <w:rPr>
          <w:rFonts w:ascii="Arial" w:cs="Arial" w:eastAsia="Arial" w:hAnsi="Arial"/>
          <w:sz w:val="13"/>
          <w:szCs w:val="13"/>
          <w:color w:val="0E2A35"/>
        </w:rPr>
      </w:pPr>
    </w:p>
    <w:p>
      <w:pPr>
        <w:ind w:left="360" w:right="60" w:hanging="360"/>
        <w:spacing w:after="0" w:line="229" w:lineRule="auto"/>
        <w:tabs>
          <w:tab w:leader="none" w:pos="36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293"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ind w:right="100"/>
        <w:spacing w:after="0" w:line="308" w:lineRule="auto"/>
        <w:rPr>
          <w:sz w:val="20"/>
          <w:szCs w:val="20"/>
          <w:color w:val="auto"/>
        </w:rPr>
      </w:pPr>
      <w:r>
        <w:rPr>
          <w:rFonts w:ascii="Arial" w:cs="Arial" w:eastAsia="Arial" w:hAnsi="Arial"/>
          <w:sz w:val="26"/>
          <w:szCs w:val="26"/>
          <w:b w:val="1"/>
          <w:bCs w:val="1"/>
          <w:color w:val="0E2A35"/>
        </w:rPr>
        <w:t>Proposal 3 – Ratification of the Appointment of Independent Registered Public Accountant for the Fiscal Year Ending August 26, 2023</w:t>
      </w:r>
    </w:p>
    <w:p>
      <w:pPr>
        <w:spacing w:after="0" w:line="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Deloitte &amp; Touche LLP (Deloitte) was appointed by the Audit Committee as our independent registered public accountant for the fiscal year ending August 26, 2023.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2021 and fiscal 2022, and a description of our policy regarding the approval of independent registered public accountant provision of audit and non-audit services, see “Independent Registered Public Accountant’s Fees and Services” below.</w:t>
      </w:r>
    </w:p>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Although ratification by the shareholders is not required by law, the Board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3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0E2A35"/>
        </w:rPr>
        <w:t>Passage of the proposal requires the affirmative vote of a majority of the shares entitled to vote on the proposal and represented in person or by proxy at the Annual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287655</wp:posOffset>
            </wp:positionV>
            <wp:extent cx="4714875" cy="797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14875" cy="79756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FFFFFF"/>
        </w:rPr>
        <w:t>THE BOARD UNANIMOUSLY RECOMMENDS THAT YOU VOTE FOR</w:t>
      </w:r>
    </w:p>
    <w:p>
      <w:pPr>
        <w:spacing w:after="0" w:line="53" w:lineRule="exact"/>
        <w:rPr>
          <w:sz w:val="20"/>
          <w:szCs w:val="20"/>
          <w:color w:val="auto"/>
        </w:rPr>
      </w:pPr>
    </w:p>
    <w:p>
      <w:pPr>
        <w:ind w:left="1480" w:right="1540" w:hanging="616"/>
        <w:spacing w:after="0" w:line="184" w:lineRule="auto"/>
        <w:tabs>
          <w:tab w:leader="none" w:pos="1480" w:val="left"/>
        </w:tabs>
        <w:numPr>
          <w:ilvl w:val="0"/>
          <w:numId w:val="55"/>
        </w:numPr>
        <w:rPr>
          <w:rFonts w:ascii="MS PGothic" w:cs="MS PGothic" w:eastAsia="MS PGothic" w:hAnsi="MS PGothic"/>
          <w:sz w:val="48"/>
          <w:szCs w:val="48"/>
          <w:color w:val="FFFFFF"/>
        </w:rPr>
      </w:pPr>
      <w:r>
        <w:rPr>
          <w:rFonts w:ascii="Arial" w:cs="Arial" w:eastAsia="Arial" w:hAnsi="Arial"/>
          <w:sz w:val="19"/>
          <w:szCs w:val="19"/>
          <w:b w:val="1"/>
          <w:bCs w:val="1"/>
          <w:color w:val="FFFFFF"/>
        </w:rPr>
        <w:t>THE RATIFICATION OF THE APPOINTMENT OF DELOITTE &amp; TOUCHE LLP AS OUR INDEPENDENT REGISTERED PUBLIC ACCOUNTANT FOR THE FISCAL YEAR ENDING AUGUST 26, 2023.</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Report of the Audit Committee</w:t>
      </w:r>
    </w:p>
    <w:p>
      <w:pPr>
        <w:spacing w:after="0" w:line="19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0E2A35"/>
        </w:rPr>
        <w:t>The Audit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0E2A35"/>
        </w:rPr>
        <w:t>Management is responsible for the financial statements and the reporting process, including the system of internal controls.</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0E2A35"/>
        </w:rPr>
        <w:t>We retained PricewaterhouseCoopers LLP (PwC) to act as our internal audit function. In this role, PwC assisted management with completing its assessment of our internal controls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4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0E2A35"/>
        </w:rPr>
        <w:t>The Audit Committee reviews the Company's financial reporting process on behalf of the Board. In fulfilling its responsibilities, the Audit Committee has reviewed and discussed the Company's audited financial statements to be included in the 2022 Form 10-K with management and the independent accountants. The Audit Committee reports as follows:</w:t>
      </w:r>
    </w:p>
    <w:p>
      <w:pPr>
        <w:spacing w:after="0" w:line="144" w:lineRule="exact"/>
        <w:rPr>
          <w:sz w:val="20"/>
          <w:szCs w:val="20"/>
          <w:color w:val="auto"/>
        </w:rPr>
      </w:pPr>
    </w:p>
    <w:p>
      <w:pPr>
        <w:ind w:left="720" w:right="20" w:hanging="360"/>
        <w:spacing w:after="0" w:line="286" w:lineRule="auto"/>
        <w:tabs>
          <w:tab w:leader="none" w:pos="720" w:val="left"/>
        </w:tabs>
        <w:numPr>
          <w:ilvl w:val="0"/>
          <w:numId w:val="56"/>
        </w:numPr>
        <w:rPr>
          <w:rFonts w:ascii="Arial" w:cs="Arial" w:eastAsia="Arial" w:hAnsi="Arial"/>
          <w:sz w:val="16"/>
          <w:szCs w:val="16"/>
          <w:color w:val="C7D265"/>
        </w:rPr>
      </w:pPr>
      <w:r>
        <w:rPr>
          <w:rFonts w:ascii="Arial" w:cs="Arial" w:eastAsia="Arial" w:hAnsi="Arial"/>
          <w:sz w:val="16"/>
          <w:szCs w:val="16"/>
          <w:color w:val="0E2A35"/>
        </w:rPr>
        <w:t>The Audit Committee has reviewed and discussed the Company’s audited financial statements for the fiscal year ended August 27, 2022 with the Company’s management.</w:t>
      </w:r>
    </w:p>
    <w:p>
      <w:pPr>
        <w:spacing w:after="0" w:line="115" w:lineRule="exact"/>
        <w:rPr>
          <w:rFonts w:ascii="Arial" w:cs="Arial" w:eastAsia="Arial" w:hAnsi="Arial"/>
          <w:sz w:val="16"/>
          <w:szCs w:val="16"/>
          <w:color w:val="C7D265"/>
        </w:rPr>
      </w:pPr>
    </w:p>
    <w:p>
      <w:pPr>
        <w:ind w:left="720" w:right="140" w:hanging="360"/>
        <w:spacing w:after="0" w:line="286" w:lineRule="auto"/>
        <w:tabs>
          <w:tab w:leader="none" w:pos="720" w:val="left"/>
        </w:tabs>
        <w:numPr>
          <w:ilvl w:val="0"/>
          <w:numId w:val="56"/>
        </w:numPr>
        <w:rPr>
          <w:rFonts w:ascii="Arial" w:cs="Arial" w:eastAsia="Arial" w:hAnsi="Arial"/>
          <w:sz w:val="16"/>
          <w:szCs w:val="16"/>
          <w:color w:val="C7D265"/>
        </w:rPr>
      </w:pPr>
      <w:r>
        <w:rPr>
          <w:rFonts w:ascii="Arial" w:cs="Arial" w:eastAsia="Arial" w:hAnsi="Arial"/>
          <w:sz w:val="16"/>
          <w:szCs w:val="16"/>
          <w:color w:val="0E2A35"/>
        </w:rPr>
        <w:t>The Audit Committee has discussed with Deloitte the matters required to be discussed by the applicable requirements of the PCAOB and the SEC.</w:t>
      </w:r>
    </w:p>
    <w:p>
      <w:pPr>
        <w:spacing w:after="0" w:line="115" w:lineRule="exact"/>
        <w:rPr>
          <w:rFonts w:ascii="Arial" w:cs="Arial" w:eastAsia="Arial" w:hAnsi="Arial"/>
          <w:sz w:val="16"/>
          <w:szCs w:val="16"/>
          <w:color w:val="C7D265"/>
        </w:rPr>
      </w:pPr>
    </w:p>
    <w:p>
      <w:pPr>
        <w:ind w:left="720" w:right="120" w:hanging="360"/>
        <w:spacing w:after="0" w:line="266" w:lineRule="auto"/>
        <w:tabs>
          <w:tab w:leader="none" w:pos="720" w:val="left"/>
        </w:tabs>
        <w:numPr>
          <w:ilvl w:val="0"/>
          <w:numId w:val="56"/>
        </w:numPr>
        <w:rPr>
          <w:rFonts w:ascii="Arial" w:cs="Arial" w:eastAsia="Arial" w:hAnsi="Arial"/>
          <w:sz w:val="16"/>
          <w:szCs w:val="16"/>
          <w:color w:val="C7D265"/>
        </w:rPr>
      </w:pPr>
      <w:r>
        <w:rPr>
          <w:rFonts w:ascii="Arial" w:cs="Arial" w:eastAsia="Arial" w:hAnsi="Arial"/>
          <w:sz w:val="16"/>
          <w:szCs w:val="16"/>
          <w:color w:val="0E2A35"/>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E2A35"/>
        </w:rPr>
        <w:t>Based on the review and discussion referred to in the bullet points above, the Audit Committee recommended to the Board that the audited financial statements be included in our 2022 Form 10-K, for filing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0E2A35"/>
        </w:rPr>
        <w:t>The Audit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Richard D. Moss,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Christopher J. Braun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Kevin E. Bryant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William C. Fisher</w:t>
      </w:r>
    </w:p>
    <w:p>
      <w:pPr>
        <w:spacing w:after="0" w:line="167" w:lineRule="exact"/>
        <w:rPr>
          <w:sz w:val="20"/>
          <w:szCs w:val="20"/>
          <w:color w:val="auto"/>
        </w:rPr>
      </w:pPr>
    </w:p>
    <w:p>
      <w:pPr>
        <w:jc w:val="both"/>
        <w:ind w:right="600"/>
        <w:spacing w:after="0" w:line="265" w:lineRule="auto"/>
        <w:rPr>
          <w:sz w:val="20"/>
          <w:szCs w:val="20"/>
          <w:color w:val="auto"/>
        </w:rPr>
      </w:pPr>
      <w:r>
        <w:rPr>
          <w:rFonts w:ascii="Arial" w:cs="Arial" w:eastAsia="Arial" w:hAnsi="Arial"/>
          <w:sz w:val="16"/>
          <w:szCs w:val="16"/>
          <w:i w:val="1"/>
          <w:iCs w:val="1"/>
          <w:color w:val="0E2A35"/>
        </w:rPr>
        <w:t>The foregoing report of our Audit Committee will not be deemed to be incorporated by reference in any previous or future documents filed by the Company with the SEC under the Securities Act or the Exchange Act, except to the extent that we incorporate the report by reference in any such document.</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Independent Registered Public Accountant’s Fees and Services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0E2A35"/>
        </w:rPr>
        <w:t>The following table presents fees for professional audit services rendered by Deloitte for the audit of our annual financial statements for fiscal years ended August 27, 2022 and August 28, 2021, and fees billed for other services rendered by Deloitte during those periods.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shd w:val="clear" w:color="auto" w:fill="0E2A35"/>
          </w:tcPr>
          <w:p>
            <w:pPr>
              <w:spacing w:after="0"/>
              <w:rPr>
                <w:sz w:val="19"/>
                <w:szCs w:val="19"/>
                <w:color w:val="auto"/>
              </w:rPr>
            </w:pPr>
          </w:p>
        </w:tc>
        <w:tc>
          <w:tcPr>
            <w:tcW w:w="3920" w:type="dxa"/>
            <w:vAlign w:val="bottom"/>
            <w:shd w:val="clear" w:color="auto" w:fill="0E2A35"/>
          </w:tcPr>
          <w:p>
            <w:pPr>
              <w:jc w:val="right"/>
              <w:ind w:right="291"/>
              <w:spacing w:after="0"/>
              <w:rPr>
                <w:sz w:val="20"/>
                <w:szCs w:val="20"/>
                <w:color w:val="auto"/>
              </w:rPr>
            </w:pPr>
            <w:r>
              <w:rPr>
                <w:rFonts w:ascii="Arial" w:cs="Arial" w:eastAsia="Arial" w:hAnsi="Arial"/>
                <w:sz w:val="13"/>
                <w:szCs w:val="13"/>
                <w:b w:val="1"/>
                <w:bCs w:val="1"/>
                <w:color w:val="FFFFFF"/>
              </w:rPr>
              <w:t>​Fiscal 2022</w:t>
            </w:r>
          </w:p>
        </w:tc>
        <w:tc>
          <w:tcPr>
            <w:tcW w:w="110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​Fiscal 2021</w:t>
            </w:r>
          </w:p>
        </w:tc>
      </w:tr>
      <w:tr>
        <w:trPr>
          <w:trHeight w:val="172"/>
        </w:trPr>
        <w:tc>
          <w:tcPr>
            <w:tcW w:w="4260" w:type="dxa"/>
            <w:vAlign w:val="bottom"/>
            <w:shd w:val="clear" w:color="auto" w:fill="0E2A35"/>
          </w:tcPr>
          <w:p>
            <w:pPr>
              <w:spacing w:after="0"/>
              <w:rPr>
                <w:sz w:val="14"/>
                <w:szCs w:val="14"/>
                <w:color w:val="auto"/>
              </w:rPr>
            </w:pPr>
          </w:p>
        </w:tc>
        <w:tc>
          <w:tcPr>
            <w:tcW w:w="3920" w:type="dxa"/>
            <w:vAlign w:val="bottom"/>
            <w:shd w:val="clear" w:color="auto" w:fill="0E2A35"/>
          </w:tcPr>
          <w:p>
            <w:pPr>
              <w:jc w:val="right"/>
              <w:ind w:right="551"/>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E2A35"/>
          </w:tcPr>
          <w:p>
            <w:pPr>
              <w:jc w:val="right"/>
              <w:ind w:right="231"/>
              <w:spacing w:after="0"/>
              <w:rPr>
                <w:sz w:val="20"/>
                <w:szCs w:val="20"/>
                <w:color w:val="auto"/>
              </w:rPr>
            </w:pPr>
            <w:r>
              <w:rPr>
                <w:rFonts w:ascii="Arial" w:cs="Arial" w:eastAsia="Arial" w:hAnsi="Arial"/>
                <w:sz w:val="13"/>
                <w:szCs w:val="13"/>
                <w:b w:val="1"/>
                <w:bCs w:val="1"/>
                <w:color w:val="FFFFFF"/>
              </w:rPr>
              <w:t>($)</w:t>
            </w:r>
          </w:p>
        </w:tc>
      </w:tr>
      <w:tr>
        <w:trPr>
          <w:trHeight w:val="89"/>
        </w:trPr>
        <w:tc>
          <w:tcPr>
            <w:tcW w:w="4260" w:type="dxa"/>
            <w:vAlign w:val="bottom"/>
            <w:shd w:val="clear" w:color="auto" w:fill="0E2A35"/>
          </w:tcPr>
          <w:p>
            <w:pPr>
              <w:spacing w:after="0"/>
              <w:rPr>
                <w:sz w:val="7"/>
                <w:szCs w:val="7"/>
                <w:color w:val="auto"/>
              </w:rPr>
            </w:pPr>
          </w:p>
        </w:tc>
        <w:tc>
          <w:tcPr>
            <w:tcW w:w="3920" w:type="dxa"/>
            <w:vAlign w:val="bottom"/>
            <w:shd w:val="clear" w:color="auto" w:fill="0E2A35"/>
          </w:tcPr>
          <w:p>
            <w:pPr>
              <w:spacing w:after="0"/>
              <w:rPr>
                <w:sz w:val="7"/>
                <w:szCs w:val="7"/>
                <w:color w:val="auto"/>
              </w:rPr>
            </w:pPr>
          </w:p>
        </w:tc>
        <w:tc>
          <w:tcPr>
            <w:tcW w:w="1100" w:type="dxa"/>
            <w:vAlign w:val="bottom"/>
            <w:shd w:val="clear" w:color="auto" w:fill="0E2A35"/>
          </w:tcPr>
          <w:p>
            <w:pPr>
              <w:spacing w:after="0"/>
              <w:rPr>
                <w:sz w:val="7"/>
                <w:szCs w:val="7"/>
                <w:color w:val="auto"/>
              </w:rPr>
            </w:pPr>
          </w:p>
        </w:tc>
      </w:tr>
      <w:tr>
        <w:trPr>
          <w:trHeight w:val="378"/>
        </w:trPr>
        <w:tc>
          <w:tcPr>
            <w:tcW w:w="42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Audit Fees</w:t>
            </w:r>
            <w:r>
              <w:rPr>
                <w:rFonts w:ascii="Arial" w:cs="Arial" w:eastAsia="Arial" w:hAnsi="Arial"/>
                <w:sz w:val="23"/>
                <w:szCs w:val="23"/>
                <w:color w:val="0E2A35"/>
                <w:vertAlign w:val="superscript"/>
              </w:rPr>
              <w:t>(1)</w:t>
            </w:r>
          </w:p>
        </w:tc>
        <w:tc>
          <w:tcPr>
            <w:tcW w:w="3920" w:type="dxa"/>
            <w:vAlign w:val="bottom"/>
            <w:tcBorders>
              <w:bottom w:val="single" w:sz="8" w:color="0E2A35"/>
            </w:tcBorders>
          </w:tcPr>
          <w:p>
            <w:pPr>
              <w:jc w:val="right"/>
              <w:ind w:right="331"/>
              <w:spacing w:after="0"/>
              <w:rPr>
                <w:sz w:val="20"/>
                <w:szCs w:val="20"/>
                <w:color w:val="auto"/>
              </w:rPr>
            </w:pPr>
            <w:r>
              <w:rPr>
                <w:rFonts w:ascii="Arial" w:cs="Arial" w:eastAsia="Arial" w:hAnsi="Arial"/>
                <w:sz w:val="14"/>
                <w:szCs w:val="14"/>
                <w:color w:val="0E2A35"/>
              </w:rPr>
              <w:t>1,667,000​</w:t>
            </w:r>
          </w:p>
        </w:tc>
        <w:tc>
          <w:tcPr>
            <w:tcW w:w="110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1,528,000</w:t>
            </w:r>
          </w:p>
        </w:tc>
      </w:tr>
      <w:tr>
        <w:trPr>
          <w:trHeight w:val="372"/>
        </w:trPr>
        <w:tc>
          <w:tcPr>
            <w:tcW w:w="42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Audit-Related Fees</w:t>
            </w:r>
            <w:r>
              <w:rPr>
                <w:rFonts w:ascii="Arial" w:cs="Arial" w:eastAsia="Arial" w:hAnsi="Arial"/>
                <w:sz w:val="23"/>
                <w:szCs w:val="23"/>
                <w:color w:val="0E2A35"/>
                <w:vertAlign w:val="superscript"/>
              </w:rPr>
              <w:t>(2)</w:t>
            </w:r>
          </w:p>
        </w:tc>
        <w:tc>
          <w:tcPr>
            <w:tcW w:w="3920" w:type="dxa"/>
            <w:vAlign w:val="bottom"/>
            <w:tcBorders>
              <w:bottom w:val="single" w:sz="8" w:color="0E2A35"/>
            </w:tcBorders>
          </w:tcPr>
          <w:p>
            <w:pPr>
              <w:jc w:val="right"/>
              <w:ind w:right="331"/>
              <w:spacing w:after="0"/>
              <w:rPr>
                <w:sz w:val="20"/>
                <w:szCs w:val="20"/>
                <w:color w:val="auto"/>
              </w:rPr>
            </w:pPr>
            <w:r>
              <w:rPr>
                <w:rFonts w:ascii="Arial" w:cs="Arial" w:eastAsia="Arial" w:hAnsi="Arial"/>
                <w:sz w:val="14"/>
                <w:szCs w:val="14"/>
                <w:color w:val="0E2A35"/>
              </w:rPr>
              <w:t>​  32,000</w:t>
            </w:r>
          </w:p>
        </w:tc>
        <w:tc>
          <w:tcPr>
            <w:tcW w:w="110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34,000</w:t>
            </w:r>
          </w:p>
        </w:tc>
      </w:tr>
      <w:tr>
        <w:trPr>
          <w:trHeight w:val="372"/>
        </w:trPr>
        <w:tc>
          <w:tcPr>
            <w:tcW w:w="42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Tax Fees</w:t>
            </w:r>
            <w:r>
              <w:rPr>
                <w:rFonts w:ascii="Arial" w:cs="Arial" w:eastAsia="Arial" w:hAnsi="Arial"/>
                <w:sz w:val="23"/>
                <w:szCs w:val="23"/>
                <w:color w:val="0E2A35"/>
                <w:vertAlign w:val="superscript"/>
              </w:rPr>
              <w:t>(3)</w:t>
            </w:r>
          </w:p>
        </w:tc>
        <w:tc>
          <w:tcPr>
            <w:tcW w:w="3920" w:type="dxa"/>
            <w:vAlign w:val="bottom"/>
            <w:tcBorders>
              <w:bottom w:val="single" w:sz="8" w:color="0E2A35"/>
            </w:tcBorders>
          </w:tcPr>
          <w:p>
            <w:pPr>
              <w:jc w:val="right"/>
              <w:ind w:right="331"/>
              <w:spacing w:after="0"/>
              <w:rPr>
                <w:sz w:val="20"/>
                <w:szCs w:val="20"/>
                <w:color w:val="auto"/>
              </w:rPr>
            </w:pPr>
            <w:r>
              <w:rPr>
                <w:rFonts w:ascii="Arial" w:cs="Arial" w:eastAsia="Arial" w:hAnsi="Arial"/>
                <w:sz w:val="14"/>
                <w:szCs w:val="14"/>
                <w:color w:val="0E2A35"/>
              </w:rPr>
              <w:t>—</w:t>
            </w:r>
          </w:p>
        </w:tc>
        <w:tc>
          <w:tcPr>
            <w:tcW w:w="110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w:t>
            </w:r>
          </w:p>
        </w:tc>
      </w:tr>
      <w:tr>
        <w:trPr>
          <w:trHeight w:val="283"/>
        </w:trPr>
        <w:tc>
          <w:tcPr>
            <w:tcW w:w="4260" w:type="dxa"/>
            <w:vAlign w:val="bottom"/>
          </w:tcPr>
          <w:p>
            <w:pPr>
              <w:ind w:left="60"/>
              <w:spacing w:after="0"/>
              <w:rPr>
                <w:sz w:val="20"/>
                <w:szCs w:val="20"/>
                <w:color w:val="auto"/>
              </w:rPr>
            </w:pPr>
            <w:r>
              <w:rPr>
                <w:rFonts w:ascii="Arial" w:cs="Arial" w:eastAsia="Arial" w:hAnsi="Arial"/>
                <w:sz w:val="14"/>
                <w:szCs w:val="14"/>
                <w:color w:val="0E2A35"/>
              </w:rPr>
              <w:t>All Other Fees</w:t>
            </w:r>
          </w:p>
        </w:tc>
        <w:tc>
          <w:tcPr>
            <w:tcW w:w="3920" w:type="dxa"/>
            <w:vAlign w:val="bottom"/>
          </w:tcPr>
          <w:p>
            <w:pPr>
              <w:jc w:val="right"/>
              <w:ind w:right="331"/>
              <w:spacing w:after="0"/>
              <w:rPr>
                <w:sz w:val="20"/>
                <w:szCs w:val="20"/>
                <w:color w:val="auto"/>
              </w:rPr>
            </w:pPr>
            <w:r>
              <w:rPr>
                <w:rFonts w:ascii="Arial" w:cs="Arial" w:eastAsia="Arial" w:hAnsi="Arial"/>
                <w:sz w:val="14"/>
                <w:szCs w:val="14"/>
                <w:color w:val="0E2A35"/>
              </w:rPr>
              <w:t>—</w:t>
            </w:r>
          </w:p>
        </w:tc>
        <w:tc>
          <w:tcPr>
            <w:tcW w:w="1100" w:type="dxa"/>
            <w:vAlign w:val="bottom"/>
          </w:tcPr>
          <w:p>
            <w:pPr>
              <w:jc w:val="right"/>
              <w:spacing w:after="0"/>
              <w:rPr>
                <w:sz w:val="20"/>
                <w:szCs w:val="20"/>
                <w:color w:val="auto"/>
              </w:rPr>
            </w:pPr>
            <w:r>
              <w:rPr>
                <w:rFonts w:ascii="Arial" w:cs="Arial" w:eastAsia="Arial" w:hAnsi="Arial"/>
                <w:sz w:val="14"/>
                <w:szCs w:val="14"/>
                <w:color w:val="0E2A35"/>
              </w:rPr>
              <w:t>—</w:t>
            </w:r>
          </w:p>
        </w:tc>
      </w:tr>
      <w:tr>
        <w:trPr>
          <w:trHeight w:val="89"/>
        </w:trPr>
        <w:tc>
          <w:tcPr>
            <w:tcW w:w="4260" w:type="dxa"/>
            <w:vAlign w:val="bottom"/>
            <w:tcBorders>
              <w:bottom w:val="single" w:sz="8" w:color="0E2A35"/>
            </w:tcBorders>
          </w:tcPr>
          <w:p>
            <w:pPr>
              <w:spacing w:after="0"/>
              <w:rPr>
                <w:sz w:val="7"/>
                <w:szCs w:val="7"/>
                <w:color w:val="auto"/>
              </w:rPr>
            </w:pPr>
          </w:p>
        </w:tc>
        <w:tc>
          <w:tcPr>
            <w:tcW w:w="3920" w:type="dxa"/>
            <w:vAlign w:val="bottom"/>
            <w:tcBorders>
              <w:bottom w:val="single" w:sz="8" w:color="0E2A35"/>
            </w:tcBorders>
          </w:tcPr>
          <w:p>
            <w:pPr>
              <w:spacing w:after="0"/>
              <w:rPr>
                <w:sz w:val="7"/>
                <w:szCs w:val="7"/>
                <w:color w:val="auto"/>
              </w:rPr>
            </w:pPr>
          </w:p>
        </w:tc>
        <w:tc>
          <w:tcPr>
            <w:tcW w:w="1100" w:type="dxa"/>
            <w:vAlign w:val="bottom"/>
            <w:tcBorders>
              <w:bottom w:val="single" w:sz="8" w:color="0E2A35"/>
            </w:tcBorders>
          </w:tcPr>
          <w:p>
            <w:pPr>
              <w:spacing w:after="0"/>
              <w:rPr>
                <w:sz w:val="7"/>
                <w:szCs w:val="7"/>
                <w:color w:val="auto"/>
              </w:rPr>
            </w:pPr>
          </w:p>
        </w:tc>
      </w:tr>
      <w:tr>
        <w:trPr>
          <w:trHeight w:val="282"/>
        </w:trPr>
        <w:tc>
          <w:tcPr>
            <w:tcW w:w="4260" w:type="dxa"/>
            <w:vAlign w:val="bottom"/>
          </w:tcPr>
          <w:p>
            <w:pPr>
              <w:ind w:left="60"/>
              <w:spacing w:after="0"/>
              <w:rPr>
                <w:sz w:val="20"/>
                <w:szCs w:val="20"/>
                <w:color w:val="auto"/>
              </w:rPr>
            </w:pPr>
            <w:r>
              <w:rPr>
                <w:rFonts w:ascii="Arial" w:cs="Arial" w:eastAsia="Arial" w:hAnsi="Arial"/>
                <w:sz w:val="14"/>
                <w:szCs w:val="14"/>
                <w:color w:val="0E2A35"/>
              </w:rPr>
              <w:t>Total</w:t>
            </w:r>
          </w:p>
        </w:tc>
        <w:tc>
          <w:tcPr>
            <w:tcW w:w="3920" w:type="dxa"/>
            <w:vAlign w:val="bottom"/>
          </w:tcPr>
          <w:p>
            <w:pPr>
              <w:jc w:val="right"/>
              <w:ind w:right="331"/>
              <w:spacing w:after="0"/>
              <w:rPr>
                <w:sz w:val="20"/>
                <w:szCs w:val="20"/>
                <w:color w:val="auto"/>
              </w:rPr>
            </w:pPr>
            <w:r>
              <w:rPr>
                <w:rFonts w:ascii="Arial" w:cs="Arial" w:eastAsia="Arial" w:hAnsi="Arial"/>
                <w:sz w:val="14"/>
                <w:szCs w:val="14"/>
                <w:color w:val="0E2A35"/>
              </w:rPr>
              <w:t>1,699,000​</w:t>
            </w:r>
          </w:p>
        </w:tc>
        <w:tc>
          <w:tcPr>
            <w:tcW w:w="1100" w:type="dxa"/>
            <w:vAlign w:val="bottom"/>
          </w:tcPr>
          <w:p>
            <w:pPr>
              <w:jc w:val="right"/>
              <w:ind w:right="11"/>
              <w:spacing w:after="0"/>
              <w:rPr>
                <w:sz w:val="20"/>
                <w:szCs w:val="20"/>
                <w:color w:val="auto"/>
              </w:rPr>
            </w:pPr>
            <w:r>
              <w:rPr>
                <w:rFonts w:ascii="Arial" w:cs="Arial" w:eastAsia="Arial" w:hAnsi="Arial"/>
                <w:sz w:val="14"/>
                <w:szCs w:val="14"/>
                <w:color w:val="0E2A35"/>
              </w:rPr>
              <w:t>1,562,000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73" w:lineRule="exact"/>
        <w:rPr>
          <w:sz w:val="20"/>
          <w:szCs w:val="20"/>
          <w:color w:val="auto"/>
        </w:rPr>
      </w:pPr>
    </w:p>
    <w:p>
      <w:pPr>
        <w:ind w:left="360" w:right="360" w:hanging="360"/>
        <w:spacing w:after="0" w:line="243" w:lineRule="auto"/>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1" w:lineRule="exact"/>
        <w:rPr>
          <w:rFonts w:ascii="Arial" w:cs="Arial" w:eastAsia="Arial" w:hAnsi="Arial"/>
          <w:sz w:val="13"/>
          <w:szCs w:val="13"/>
          <w:color w:val="0E2A35"/>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benefit plan and due diligence services.</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fees for professional services related to tax compliance and tax planning.</w:t>
      </w:r>
    </w:p>
    <w:p>
      <w:pPr>
        <w:spacing w:after="0" w:line="178"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0E2A35"/>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22"/>
          <w:szCs w:val="22"/>
          <w:b w:val="1"/>
          <w:bCs w:val="1"/>
          <w:color w:val="C7D265"/>
        </w:rPr>
        <w:t>Policy Regarding the Approval of Independent Registered Public Accountant Provision of Audit and Non-audit Services</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E2A35"/>
        </w:rPr>
        <w:t>The Audit Committee charter requires the committee to pre-approve the audit and non-audit fees and services that may be provided by Deloitte, our independent registered public accountant, to us. The Audit Committee consults with management but does not delegate these responsibilities, except that pre-approvals of non-audit services may be delegated to a single member of the committee, who then informs the entire committee of the engagement of such services. The Audit Committee pre-approved under that policy all of the audit and non-audit fees and services provided by Deloitte for fiscal 2022 and 2021.</w:t>
      </w:r>
    </w:p>
    <w:p>
      <w:pPr>
        <w:spacing w:after="0" w:line="284"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144780</wp:posOffset>
            </wp:positionV>
            <wp:extent cx="6900545" cy="894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00545" cy="89408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170815</wp:posOffset>
            </wp:positionV>
            <wp:extent cx="6900545" cy="8940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00545" cy="89408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Security Ownership of Certain Beneficial Owners and Management</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E2A35"/>
        </w:rPr>
        <w:t>The following table contains information with respect to the ownership of common stock by each person known to us who is the beneficial owner of more than 5% of our outstanding common stock. This information is based on ownership reported as of October 18, 2022 according to SEC filings of the beneficial owners listed below unless more recent information was appropriate to be used.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shd w:val="clear" w:color="auto" w:fill="0E2A35"/>
          </w:tcPr>
          <w:p>
            <w:pPr>
              <w:spacing w:after="0"/>
              <w:rPr>
                <w:sz w:val="19"/>
                <w:szCs w:val="19"/>
                <w:color w:val="auto"/>
              </w:rPr>
            </w:pPr>
          </w:p>
        </w:tc>
        <w:tc>
          <w:tcPr>
            <w:tcW w:w="3860" w:type="dxa"/>
            <w:vAlign w:val="bottom"/>
            <w:gridSpan w:val="2"/>
            <w:shd w:val="clear" w:color="auto" w:fill="0E2A35"/>
          </w:tcPr>
          <w:p>
            <w:pPr>
              <w:jc w:val="center"/>
              <w:ind w:left="1733"/>
              <w:spacing w:after="0"/>
              <w:rPr>
                <w:sz w:val="20"/>
                <w:szCs w:val="20"/>
                <w:color w:val="auto"/>
              </w:rPr>
            </w:pPr>
            <w:r>
              <w:rPr>
                <w:rFonts w:ascii="Arial" w:cs="Arial" w:eastAsia="Arial" w:hAnsi="Arial"/>
                <w:sz w:val="13"/>
                <w:szCs w:val="13"/>
                <w:b w:val="1"/>
                <w:bCs w:val="1"/>
                <w:color w:val="FFFFFF"/>
                <w:w w:val="97"/>
              </w:rPr>
              <w:t>Amount and Nature</w:t>
            </w:r>
          </w:p>
        </w:tc>
        <w:tc>
          <w:tcPr>
            <w:tcW w:w="1060" w:type="dxa"/>
            <w:vAlign w:val="bottom"/>
            <w:shd w:val="clear" w:color="auto" w:fill="0E2A35"/>
          </w:tcPr>
          <w:p>
            <w:pPr>
              <w:jc w:val="center"/>
              <w:ind w:left="293"/>
              <w:spacing w:after="0"/>
              <w:rPr>
                <w:sz w:val="20"/>
                <w:szCs w:val="20"/>
                <w:color w:val="auto"/>
              </w:rPr>
            </w:pPr>
            <w:r>
              <w:rPr>
                <w:rFonts w:ascii="Arial" w:cs="Arial" w:eastAsia="Arial" w:hAnsi="Arial"/>
                <w:sz w:val="13"/>
                <w:szCs w:val="13"/>
                <w:b w:val="1"/>
                <w:bCs w:val="1"/>
                <w:color w:val="FFFFFF"/>
                <w:w w:val="94"/>
              </w:rPr>
              <w:t>%​ of</w:t>
            </w:r>
          </w:p>
        </w:tc>
        <w:tc>
          <w:tcPr>
            <w:tcW w:w="0" w:type="dxa"/>
            <w:vAlign w:val="bottom"/>
          </w:tcPr>
          <w:p>
            <w:pPr>
              <w:spacing w:after="0"/>
              <w:rPr>
                <w:sz w:val="1"/>
                <w:szCs w:val="1"/>
                <w:color w:val="auto"/>
              </w:rPr>
            </w:pPr>
          </w:p>
        </w:tc>
      </w:tr>
      <w:tr>
        <w:trPr>
          <w:trHeight w:val="129"/>
        </w:trPr>
        <w:tc>
          <w:tcPr>
            <w:tcW w:w="43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 and Address of Beneficial Owner</w:t>
            </w:r>
          </w:p>
        </w:tc>
        <w:tc>
          <w:tcPr>
            <w:tcW w:w="3860" w:type="dxa"/>
            <w:vAlign w:val="bottom"/>
            <w:gridSpan w:val="2"/>
            <w:shd w:val="clear" w:color="auto" w:fill="0E2A35"/>
          </w:tcPr>
          <w:p>
            <w:pPr>
              <w:jc w:val="center"/>
              <w:ind w:left="1693"/>
              <w:spacing w:after="0" w:line="129" w:lineRule="exact"/>
              <w:rPr>
                <w:sz w:val="20"/>
                <w:szCs w:val="20"/>
                <w:color w:val="auto"/>
              </w:rPr>
            </w:pPr>
            <w:r>
              <w:rPr>
                <w:rFonts w:ascii="Arial" w:cs="Arial" w:eastAsia="Arial" w:hAnsi="Arial"/>
                <w:sz w:val="13"/>
                <w:szCs w:val="13"/>
                <w:b w:val="1"/>
                <w:bCs w:val="1"/>
                <w:color w:val="FFFFFF"/>
                <w:w w:val="95"/>
              </w:rPr>
              <w:t>of Beneficial</w:t>
            </w:r>
          </w:p>
        </w:tc>
        <w:tc>
          <w:tcPr>
            <w:tcW w:w="1060" w:type="dxa"/>
            <w:vAlign w:val="bottom"/>
            <w:shd w:val="clear" w:color="auto" w:fill="0E2A35"/>
          </w:tcPr>
          <w:p>
            <w:pPr>
              <w:jc w:val="center"/>
              <w:ind w:left="293"/>
              <w:spacing w:after="0" w:line="129" w:lineRule="exact"/>
              <w:rPr>
                <w:sz w:val="20"/>
                <w:szCs w:val="20"/>
                <w:color w:val="auto"/>
              </w:rPr>
            </w:pPr>
            <w:r>
              <w:rPr>
                <w:rFonts w:ascii="Arial" w:cs="Arial" w:eastAsia="Arial" w:hAnsi="Arial"/>
                <w:sz w:val="13"/>
                <w:szCs w:val="13"/>
                <w:b w:val="1"/>
                <w:bCs w:val="1"/>
                <w:color w:val="FFFFFF"/>
                <w:w w:val="95"/>
              </w:rPr>
              <w:t>Common</w:t>
            </w:r>
          </w:p>
        </w:tc>
        <w:tc>
          <w:tcPr>
            <w:tcW w:w="0" w:type="dxa"/>
            <w:vAlign w:val="bottom"/>
          </w:tcPr>
          <w:p>
            <w:pPr>
              <w:spacing w:after="0"/>
              <w:rPr>
                <w:sz w:val="1"/>
                <w:szCs w:val="1"/>
                <w:color w:val="auto"/>
              </w:rPr>
            </w:pPr>
          </w:p>
        </w:tc>
      </w:tr>
      <w:tr>
        <w:trPr>
          <w:trHeight w:val="267"/>
        </w:trPr>
        <w:tc>
          <w:tcPr>
            <w:tcW w:w="4360" w:type="dxa"/>
            <w:vAlign w:val="bottom"/>
            <w:vMerge w:val="continue"/>
            <w:shd w:val="clear" w:color="auto" w:fill="0E2A35"/>
          </w:tcPr>
          <w:p>
            <w:pPr>
              <w:spacing w:after="0"/>
              <w:rPr>
                <w:sz w:val="23"/>
                <w:szCs w:val="23"/>
                <w:color w:val="auto"/>
              </w:rPr>
            </w:pPr>
          </w:p>
        </w:tc>
        <w:tc>
          <w:tcPr>
            <w:tcW w:w="3860" w:type="dxa"/>
            <w:vAlign w:val="bottom"/>
            <w:gridSpan w:val="2"/>
            <w:shd w:val="clear" w:color="auto" w:fill="0E2A35"/>
          </w:tcPr>
          <w:p>
            <w:pPr>
              <w:jc w:val="center"/>
              <w:ind w:left="1733"/>
              <w:spacing w:after="0"/>
              <w:rPr>
                <w:sz w:val="20"/>
                <w:szCs w:val="20"/>
                <w:color w:val="auto"/>
              </w:rPr>
            </w:pPr>
            <w:r>
              <w:rPr>
                <w:rFonts w:ascii="Arial" w:cs="Arial" w:eastAsia="Arial" w:hAnsi="Arial"/>
                <w:sz w:val="13"/>
                <w:szCs w:val="13"/>
                <w:b w:val="1"/>
                <w:bCs w:val="1"/>
                <w:color w:val="FFFFFF"/>
                <w:w w:val="98"/>
              </w:rPr>
              <w:t>Ownership</w:t>
            </w:r>
          </w:p>
        </w:tc>
        <w:tc>
          <w:tcPr>
            <w:tcW w:w="1060" w:type="dxa"/>
            <w:vAlign w:val="bottom"/>
            <w:shd w:val="clear" w:color="auto" w:fill="0E2A35"/>
          </w:tcPr>
          <w:p>
            <w:pPr>
              <w:jc w:val="center"/>
              <w:ind w:left="333"/>
              <w:spacing w:after="0"/>
              <w:rPr>
                <w:sz w:val="20"/>
                <w:szCs w:val="20"/>
                <w:color w:val="auto"/>
              </w:rPr>
            </w:pPr>
            <w:r>
              <w:rPr>
                <w:rFonts w:ascii="Arial" w:cs="Arial" w:eastAsia="Arial" w:hAnsi="Arial"/>
                <w:sz w:val="13"/>
                <w:szCs w:val="13"/>
                <w:b w:val="1"/>
                <w:bCs w:val="1"/>
                <w:color w:val="FFFFFF"/>
                <w:w w:val="88"/>
              </w:rPr>
              <w:t>Stock</w:t>
            </w:r>
            <w:r>
              <w:rPr>
                <w:rFonts w:ascii="Arial" w:cs="Arial" w:eastAsia="Arial" w:hAnsi="Arial"/>
                <w:sz w:val="20"/>
                <w:szCs w:val="20"/>
                <w:b w:val="1"/>
                <w:bCs w:val="1"/>
                <w:color w:val="FFFFFF"/>
                <w:w w:val="88"/>
                <w:vertAlign w:val="superscript"/>
              </w:rPr>
              <w:t>(1)</w:t>
            </w:r>
          </w:p>
        </w:tc>
        <w:tc>
          <w:tcPr>
            <w:tcW w:w="0" w:type="dxa"/>
            <w:vAlign w:val="bottom"/>
          </w:tcPr>
          <w:p>
            <w:pPr>
              <w:spacing w:after="0"/>
              <w:rPr>
                <w:sz w:val="1"/>
                <w:szCs w:val="1"/>
                <w:color w:val="auto"/>
              </w:rPr>
            </w:pPr>
          </w:p>
        </w:tc>
      </w:tr>
      <w:tr>
        <w:trPr>
          <w:trHeight w:val="244"/>
        </w:trPr>
        <w:tc>
          <w:tcPr>
            <w:tcW w:w="4360" w:type="dxa"/>
            <w:vAlign w:val="bottom"/>
          </w:tcPr>
          <w:p>
            <w:pPr>
              <w:ind w:left="60"/>
              <w:spacing w:after="0"/>
              <w:rPr>
                <w:sz w:val="20"/>
                <w:szCs w:val="20"/>
                <w:color w:val="auto"/>
              </w:rPr>
            </w:pPr>
            <w:r>
              <w:rPr>
                <w:rFonts w:ascii="Arial" w:cs="Arial" w:eastAsia="Arial" w:hAnsi="Arial"/>
                <w:sz w:val="14"/>
                <w:szCs w:val="14"/>
                <w:color w:val="0E2A35"/>
              </w:rPr>
              <w:t>BlackRock, Inc.</w:t>
            </w:r>
          </w:p>
        </w:tc>
        <w:tc>
          <w:tcPr>
            <w:tcW w:w="3860" w:type="dxa"/>
            <w:vAlign w:val="bottom"/>
            <w:gridSpan w:val="2"/>
          </w:tcPr>
          <w:p>
            <w:pPr>
              <w:ind w:left="1940"/>
              <w:spacing w:after="0"/>
              <w:rPr>
                <w:sz w:val="20"/>
                <w:szCs w:val="20"/>
                <w:color w:val="auto"/>
              </w:rPr>
            </w:pPr>
            <w:r>
              <w:rPr>
                <w:rFonts w:ascii="Arial" w:cs="Arial" w:eastAsia="Arial" w:hAnsi="Arial"/>
                <w:sz w:val="14"/>
                <w:szCs w:val="14"/>
                <w:color w:val="0E2A35"/>
              </w:rPr>
              <w:t>​5,191,121 shares of</w:t>
            </w:r>
          </w:p>
        </w:tc>
        <w:tc>
          <w:tcPr>
            <w:tcW w:w="1060" w:type="dxa"/>
            <w:vAlign w:val="bottom"/>
          </w:tcPr>
          <w:p>
            <w:pPr>
              <w:ind w:left="520"/>
              <w:spacing w:after="0"/>
              <w:rPr>
                <w:sz w:val="20"/>
                <w:szCs w:val="20"/>
                <w:color w:val="auto"/>
              </w:rPr>
            </w:pPr>
            <w:r>
              <w:rPr>
                <w:rFonts w:ascii="Arial" w:cs="Arial" w:eastAsia="Arial" w:hAnsi="Arial"/>
                <w:sz w:val="14"/>
                <w:szCs w:val="14"/>
                <w:color w:val="0E2A35"/>
              </w:rPr>
              <w:t>​17.02%</w:t>
            </w:r>
          </w:p>
        </w:tc>
        <w:tc>
          <w:tcPr>
            <w:tcW w:w="0" w:type="dxa"/>
            <w:vAlign w:val="bottom"/>
          </w:tcPr>
          <w:p>
            <w:pPr>
              <w:spacing w:after="0"/>
              <w:rPr>
                <w:sz w:val="1"/>
                <w:szCs w:val="1"/>
                <w:color w:val="auto"/>
              </w:rPr>
            </w:pPr>
          </w:p>
        </w:tc>
      </w:tr>
      <w:tr>
        <w:trPr>
          <w:trHeight w:val="179"/>
        </w:trPr>
        <w:tc>
          <w:tcPr>
            <w:tcW w:w="4360" w:type="dxa"/>
            <w:vAlign w:val="bottom"/>
          </w:tcPr>
          <w:p>
            <w:pPr>
              <w:ind w:left="60"/>
              <w:spacing w:after="0"/>
              <w:rPr>
                <w:sz w:val="20"/>
                <w:szCs w:val="20"/>
                <w:color w:val="auto"/>
              </w:rPr>
            </w:pPr>
            <w:r>
              <w:rPr>
                <w:rFonts w:ascii="Arial" w:cs="Arial" w:eastAsia="Arial" w:hAnsi="Arial"/>
                <w:sz w:val="14"/>
                <w:szCs w:val="14"/>
                <w:color w:val="0E2A35"/>
              </w:rPr>
              <w:t>55 East 52nd Street</w:t>
            </w:r>
          </w:p>
        </w:tc>
        <w:tc>
          <w:tcPr>
            <w:tcW w:w="3860" w:type="dxa"/>
            <w:vAlign w:val="bottom"/>
            <w:gridSpan w:val="2"/>
          </w:tcPr>
          <w:p>
            <w:pPr>
              <w:ind w:left="1940"/>
              <w:spacing w:after="0" w:line="179" w:lineRule="exact"/>
              <w:rPr>
                <w:sz w:val="20"/>
                <w:szCs w:val="20"/>
                <w:color w:val="auto"/>
              </w:rPr>
            </w:pPr>
            <w:r>
              <w:rPr>
                <w:rFonts w:ascii="Arial" w:cs="Arial" w:eastAsia="Arial" w:hAnsi="Arial"/>
                <w:sz w:val="13"/>
                <w:szCs w:val="13"/>
                <w:color w:val="0E2A35"/>
              </w:rPr>
              <w:t>common stock</w:t>
            </w:r>
            <w:r>
              <w:rPr>
                <w:rFonts w:ascii="Arial" w:cs="Arial" w:eastAsia="Arial" w:hAnsi="Arial"/>
                <w:sz w:val="20"/>
                <w:szCs w:val="20"/>
                <w:color w:val="0E2A35"/>
                <w:vertAlign w:val="superscript"/>
              </w:rPr>
              <w:t>(2)</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60"/>
              <w:spacing w:after="0"/>
              <w:rPr>
                <w:sz w:val="20"/>
                <w:szCs w:val="20"/>
                <w:color w:val="auto"/>
              </w:rPr>
            </w:pPr>
            <w:r>
              <w:rPr>
                <w:rFonts w:ascii="Arial" w:cs="Arial" w:eastAsia="Arial" w:hAnsi="Arial"/>
                <w:sz w:val="14"/>
                <w:szCs w:val="14"/>
                <w:color w:val="0E2A35"/>
              </w:rPr>
              <w:t>New York, NY 10055</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4360" w:type="dxa"/>
            <w:vAlign w:val="bottom"/>
            <w:tcBorders>
              <w:bottom w:val="single" w:sz="8" w:color="0E2A35"/>
            </w:tcBorders>
          </w:tcPr>
          <w:p>
            <w:pPr>
              <w:spacing w:after="0"/>
              <w:rPr>
                <w:sz w:val="7"/>
                <w:szCs w:val="7"/>
                <w:color w:val="auto"/>
              </w:rPr>
            </w:pPr>
          </w:p>
        </w:tc>
        <w:tc>
          <w:tcPr>
            <w:tcW w:w="2600" w:type="dxa"/>
            <w:vAlign w:val="bottom"/>
            <w:tcBorders>
              <w:bottom w:val="single" w:sz="8" w:color="0E2A35"/>
            </w:tcBorders>
          </w:tcPr>
          <w:p>
            <w:pPr>
              <w:spacing w:after="0"/>
              <w:rPr>
                <w:sz w:val="7"/>
                <w:szCs w:val="7"/>
                <w:color w:val="auto"/>
              </w:rPr>
            </w:pPr>
          </w:p>
        </w:tc>
        <w:tc>
          <w:tcPr>
            <w:tcW w:w="1260" w:type="dxa"/>
            <w:vAlign w:val="bottom"/>
            <w:tcBorders>
              <w:bottom w:val="single" w:sz="8" w:color="0E2A35"/>
            </w:tcBorders>
          </w:tcPr>
          <w:p>
            <w:pPr>
              <w:spacing w:after="0"/>
              <w:rPr>
                <w:sz w:val="7"/>
                <w:szCs w:val="7"/>
                <w:color w:val="auto"/>
              </w:rPr>
            </w:pPr>
          </w:p>
        </w:tc>
        <w:tc>
          <w:tcPr>
            <w:tcW w:w="106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60"/>
              <w:spacing w:after="0"/>
              <w:rPr>
                <w:sz w:val="20"/>
                <w:szCs w:val="20"/>
                <w:color w:val="auto"/>
              </w:rPr>
            </w:pPr>
            <w:r>
              <w:rPr>
                <w:rFonts w:ascii="Arial" w:cs="Arial" w:eastAsia="Arial" w:hAnsi="Arial"/>
                <w:sz w:val="14"/>
                <w:szCs w:val="14"/>
                <w:color w:val="0E2A35"/>
              </w:rPr>
              <w:t>The Vanguard Group</w:t>
            </w:r>
          </w:p>
        </w:tc>
        <w:tc>
          <w:tcPr>
            <w:tcW w:w="2600" w:type="dxa"/>
            <w:vAlign w:val="bottom"/>
          </w:tcPr>
          <w:p>
            <w:pPr>
              <w:ind w:left="1940"/>
              <w:spacing w:after="0"/>
              <w:rPr>
                <w:sz w:val="20"/>
                <w:szCs w:val="20"/>
                <w:color w:val="auto"/>
              </w:rPr>
            </w:pPr>
            <w:r>
              <w:rPr>
                <w:rFonts w:ascii="Arial" w:cs="Arial" w:eastAsia="Arial" w:hAnsi="Arial"/>
                <w:sz w:val="14"/>
                <w:szCs w:val="14"/>
                <w:color w:val="0E2A35"/>
              </w:rPr>
              <w:t>2,469,407​</w:t>
            </w:r>
          </w:p>
        </w:tc>
        <w:tc>
          <w:tcPr>
            <w:tcW w:w="1260" w:type="dxa"/>
            <w:vAlign w:val="bottom"/>
          </w:tcPr>
          <w:p>
            <w:pPr>
              <w:ind w:left="20"/>
              <w:spacing w:after="0"/>
              <w:rPr>
                <w:sz w:val="20"/>
                <w:szCs w:val="20"/>
                <w:color w:val="auto"/>
              </w:rPr>
            </w:pPr>
            <w:r>
              <w:rPr>
                <w:rFonts w:ascii="Arial" w:cs="Arial" w:eastAsia="Arial" w:hAnsi="Arial"/>
                <w:sz w:val="14"/>
                <w:szCs w:val="14"/>
                <w:color w:val="0E2A35"/>
              </w:rPr>
              <w:t>shares of</w:t>
            </w:r>
          </w:p>
        </w:tc>
        <w:tc>
          <w:tcPr>
            <w:tcW w:w="1060" w:type="dxa"/>
            <w:vAlign w:val="bottom"/>
          </w:tcPr>
          <w:p>
            <w:pPr>
              <w:ind w:left="520"/>
              <w:spacing w:after="0"/>
              <w:rPr>
                <w:sz w:val="20"/>
                <w:szCs w:val="20"/>
                <w:color w:val="auto"/>
              </w:rPr>
            </w:pPr>
            <w:r>
              <w:rPr>
                <w:rFonts w:ascii="Arial" w:cs="Arial" w:eastAsia="Arial" w:hAnsi="Arial"/>
                <w:sz w:val="14"/>
                <w:szCs w:val="14"/>
                <w:color w:val="0E2A35"/>
              </w:rPr>
              <w:t>​ 8.09%</w:t>
            </w:r>
          </w:p>
        </w:tc>
        <w:tc>
          <w:tcPr>
            <w:tcW w:w="0" w:type="dxa"/>
            <w:vAlign w:val="bottom"/>
          </w:tcPr>
          <w:p>
            <w:pPr>
              <w:spacing w:after="0"/>
              <w:rPr>
                <w:sz w:val="1"/>
                <w:szCs w:val="1"/>
                <w:color w:val="auto"/>
              </w:rPr>
            </w:pPr>
          </w:p>
        </w:tc>
      </w:tr>
      <w:tr>
        <w:trPr>
          <w:trHeight w:val="179"/>
        </w:trPr>
        <w:tc>
          <w:tcPr>
            <w:tcW w:w="4360" w:type="dxa"/>
            <w:vAlign w:val="bottom"/>
          </w:tcPr>
          <w:p>
            <w:pPr>
              <w:ind w:left="60"/>
              <w:spacing w:after="0"/>
              <w:rPr>
                <w:sz w:val="20"/>
                <w:szCs w:val="20"/>
                <w:color w:val="auto"/>
              </w:rPr>
            </w:pPr>
            <w:r>
              <w:rPr>
                <w:rFonts w:ascii="Arial" w:cs="Arial" w:eastAsia="Arial" w:hAnsi="Arial"/>
                <w:sz w:val="14"/>
                <w:szCs w:val="14"/>
                <w:color w:val="0E2A35"/>
              </w:rPr>
              <w:t>100 Vanguard Blvd.</w:t>
            </w:r>
          </w:p>
        </w:tc>
        <w:tc>
          <w:tcPr>
            <w:tcW w:w="3860" w:type="dxa"/>
            <w:vAlign w:val="bottom"/>
            <w:gridSpan w:val="2"/>
          </w:tcPr>
          <w:p>
            <w:pPr>
              <w:ind w:left="1940"/>
              <w:spacing w:after="0" w:line="179" w:lineRule="exact"/>
              <w:rPr>
                <w:sz w:val="20"/>
                <w:szCs w:val="20"/>
                <w:color w:val="auto"/>
              </w:rPr>
            </w:pPr>
            <w:r>
              <w:rPr>
                <w:rFonts w:ascii="Arial" w:cs="Arial" w:eastAsia="Arial" w:hAnsi="Arial"/>
                <w:sz w:val="13"/>
                <w:szCs w:val="13"/>
                <w:color w:val="0E2A35"/>
              </w:rPr>
              <w:t>common stock</w:t>
            </w:r>
            <w:r>
              <w:rPr>
                <w:rFonts w:ascii="Arial" w:cs="Arial" w:eastAsia="Arial" w:hAnsi="Arial"/>
                <w:sz w:val="20"/>
                <w:szCs w:val="20"/>
                <w:color w:val="0E2A35"/>
                <w:vertAlign w:val="superscript"/>
              </w:rPr>
              <w:t>(3)</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60"/>
              <w:spacing w:after="0"/>
              <w:rPr>
                <w:sz w:val="20"/>
                <w:szCs w:val="20"/>
                <w:color w:val="auto"/>
              </w:rPr>
            </w:pPr>
            <w:r>
              <w:rPr>
                <w:rFonts w:ascii="Arial" w:cs="Arial" w:eastAsia="Arial" w:hAnsi="Arial"/>
                <w:sz w:val="14"/>
                <w:szCs w:val="14"/>
                <w:color w:val="0E2A35"/>
              </w:rPr>
              <w:t>Malvern, PA 19355</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4360" w:type="dxa"/>
            <w:vAlign w:val="bottom"/>
            <w:tcBorders>
              <w:bottom w:val="single" w:sz="8" w:color="0E2A35"/>
            </w:tcBorders>
          </w:tcPr>
          <w:p>
            <w:pPr>
              <w:spacing w:after="0"/>
              <w:rPr>
                <w:sz w:val="7"/>
                <w:szCs w:val="7"/>
                <w:color w:val="auto"/>
              </w:rPr>
            </w:pPr>
          </w:p>
        </w:tc>
        <w:tc>
          <w:tcPr>
            <w:tcW w:w="3860" w:type="dxa"/>
            <w:vAlign w:val="bottom"/>
            <w:tcBorders>
              <w:bottom w:val="single" w:sz="8" w:color="0E2A35"/>
            </w:tcBorders>
            <w:gridSpan w:val="2"/>
          </w:tcPr>
          <w:p>
            <w:pPr>
              <w:spacing w:after="0"/>
              <w:rPr>
                <w:sz w:val="7"/>
                <w:szCs w:val="7"/>
                <w:color w:val="auto"/>
              </w:rPr>
            </w:pPr>
          </w:p>
        </w:tc>
        <w:tc>
          <w:tcPr>
            <w:tcW w:w="106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60"/>
              <w:spacing w:after="0"/>
              <w:rPr>
                <w:sz w:val="20"/>
                <w:szCs w:val="20"/>
                <w:color w:val="auto"/>
              </w:rPr>
            </w:pPr>
            <w:r>
              <w:rPr>
                <w:rFonts w:ascii="Arial" w:cs="Arial" w:eastAsia="Arial" w:hAnsi="Arial"/>
                <w:sz w:val="14"/>
                <w:szCs w:val="14"/>
                <w:color w:val="0E2A35"/>
              </w:rPr>
              <w:t>Cooke &amp; Bieler LP</w:t>
            </w:r>
          </w:p>
        </w:tc>
        <w:tc>
          <w:tcPr>
            <w:tcW w:w="3860" w:type="dxa"/>
            <w:vAlign w:val="bottom"/>
            <w:gridSpan w:val="2"/>
          </w:tcPr>
          <w:p>
            <w:pPr>
              <w:ind w:left="1940"/>
              <w:spacing w:after="0"/>
              <w:rPr>
                <w:sz w:val="20"/>
                <w:szCs w:val="20"/>
                <w:color w:val="auto"/>
              </w:rPr>
            </w:pPr>
            <w:r>
              <w:rPr>
                <w:rFonts w:ascii="Arial" w:cs="Arial" w:eastAsia="Arial" w:hAnsi="Arial"/>
                <w:sz w:val="14"/>
                <w:szCs w:val="14"/>
                <w:color w:val="0E2A35"/>
              </w:rPr>
              <w:t>2,075,467 shares of</w:t>
            </w:r>
          </w:p>
        </w:tc>
        <w:tc>
          <w:tcPr>
            <w:tcW w:w="1060" w:type="dxa"/>
            <w:vAlign w:val="bottom"/>
          </w:tcPr>
          <w:p>
            <w:pPr>
              <w:ind w:left="520"/>
              <w:spacing w:after="0"/>
              <w:rPr>
                <w:sz w:val="20"/>
                <w:szCs w:val="20"/>
                <w:color w:val="auto"/>
              </w:rPr>
            </w:pPr>
            <w:r>
              <w:rPr>
                <w:rFonts w:ascii="Arial" w:cs="Arial" w:eastAsia="Arial" w:hAnsi="Arial"/>
                <w:sz w:val="14"/>
                <w:szCs w:val="14"/>
                <w:color w:val="0E2A35"/>
              </w:rPr>
              <w:t>​ 6.81%</w:t>
            </w:r>
          </w:p>
        </w:tc>
        <w:tc>
          <w:tcPr>
            <w:tcW w:w="0" w:type="dxa"/>
            <w:vAlign w:val="bottom"/>
          </w:tcPr>
          <w:p>
            <w:pPr>
              <w:spacing w:after="0"/>
              <w:rPr>
                <w:sz w:val="1"/>
                <w:szCs w:val="1"/>
                <w:color w:val="auto"/>
              </w:rPr>
            </w:pPr>
          </w:p>
        </w:tc>
      </w:tr>
      <w:tr>
        <w:trPr>
          <w:trHeight w:val="193"/>
        </w:trPr>
        <w:tc>
          <w:tcPr>
            <w:tcW w:w="4360" w:type="dxa"/>
            <w:vAlign w:val="bottom"/>
          </w:tcPr>
          <w:p>
            <w:pPr>
              <w:ind w:left="60"/>
              <w:spacing w:after="0"/>
              <w:rPr>
                <w:sz w:val="20"/>
                <w:szCs w:val="20"/>
                <w:color w:val="auto"/>
              </w:rPr>
            </w:pPr>
            <w:r>
              <w:rPr>
                <w:rFonts w:ascii="Arial" w:cs="Arial" w:eastAsia="Arial" w:hAnsi="Arial"/>
                <w:sz w:val="14"/>
                <w:szCs w:val="14"/>
                <w:color w:val="0E2A35"/>
              </w:rPr>
              <w:t>2001 Market Street</w:t>
            </w:r>
          </w:p>
        </w:tc>
        <w:tc>
          <w:tcPr>
            <w:tcW w:w="3860" w:type="dxa"/>
            <w:vAlign w:val="bottom"/>
            <w:gridSpan w:val="2"/>
          </w:tcPr>
          <w:p>
            <w:pPr>
              <w:ind w:left="1940"/>
              <w:spacing w:after="0" w:line="192" w:lineRule="exact"/>
              <w:rPr>
                <w:sz w:val="20"/>
                <w:szCs w:val="20"/>
                <w:color w:val="auto"/>
              </w:rPr>
            </w:pPr>
            <w:r>
              <w:rPr>
                <w:rFonts w:ascii="Arial" w:cs="Arial" w:eastAsia="Arial" w:hAnsi="Arial"/>
                <w:sz w:val="14"/>
                <w:szCs w:val="14"/>
                <w:color w:val="0E2A35"/>
              </w:rPr>
              <w:t>common stock</w:t>
            </w:r>
            <w:r>
              <w:rPr>
                <w:rFonts w:ascii="Arial" w:cs="Arial" w:eastAsia="Arial" w:hAnsi="Arial"/>
                <w:sz w:val="22"/>
                <w:szCs w:val="22"/>
                <w:color w:val="0E2A35"/>
                <w:vertAlign w:val="superscript"/>
              </w:rPr>
              <w:t>(4)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4"/>
          <w:szCs w:val="14"/>
          <w:color w:val="0E2A35"/>
        </w:rPr>
        <w:t>Suite 4000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0E2A35"/>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8978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8" w:lineRule="exact"/>
        <w:rPr>
          <w:sz w:val="20"/>
          <w:szCs w:val="20"/>
          <w:color w:val="auto"/>
        </w:rPr>
      </w:pPr>
    </w:p>
    <w:p>
      <w:pPr>
        <w:ind w:left="360" w:hanging="360"/>
        <w:spacing w:after="0"/>
        <w:tabs>
          <w:tab w:leader="none" w:pos="36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Based on 30,491,649 outstanding shares of common stock on October 18, 2022.</w:t>
      </w:r>
    </w:p>
    <w:p>
      <w:pPr>
        <w:spacing w:after="0" w:line="39" w:lineRule="exact"/>
        <w:rPr>
          <w:rFonts w:ascii="Arial" w:cs="Arial" w:eastAsia="Arial" w:hAnsi="Arial"/>
          <w:sz w:val="13"/>
          <w:szCs w:val="13"/>
          <w:color w:val="0E2A35"/>
        </w:rPr>
      </w:pPr>
    </w:p>
    <w:p>
      <w:pPr>
        <w:ind w:left="360" w:right="60" w:hanging="360"/>
        <w:spacing w:after="0" w:line="243" w:lineRule="auto"/>
        <w:tabs>
          <w:tab w:leader="none" w:pos="36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January 27, 2022 by BlackRock, Inc., a parent holding company. BlackRock reported that it has sole voting power of 5,135,052 shares and sole dispositive power of 5,191,121 shares.</w:t>
      </w:r>
    </w:p>
    <w:p>
      <w:pPr>
        <w:spacing w:after="0" w:line="21" w:lineRule="exact"/>
        <w:rPr>
          <w:rFonts w:ascii="Arial" w:cs="Arial" w:eastAsia="Arial" w:hAnsi="Arial"/>
          <w:sz w:val="13"/>
          <w:szCs w:val="13"/>
          <w:color w:val="0E2A35"/>
        </w:rPr>
      </w:pPr>
    </w:p>
    <w:p>
      <w:pPr>
        <w:jc w:val="both"/>
        <w:ind w:left="360" w:right="240" w:hanging="360"/>
        <w:spacing w:after="0" w:line="233" w:lineRule="auto"/>
        <w:tabs>
          <w:tab w:leader="none" w:pos="36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10, 2022 by The Vanguard Group, an investment adviser. The Vanguard Group reported that it has shared voting power over 63,988 shares, sole dispositive power over 2,377,717 shares and shared dispositive power over 91,690 shares.</w:t>
      </w:r>
    </w:p>
    <w:p>
      <w:pPr>
        <w:spacing w:after="0" w:line="23" w:lineRule="exact"/>
        <w:rPr>
          <w:rFonts w:ascii="Arial" w:cs="Arial" w:eastAsia="Arial" w:hAnsi="Arial"/>
          <w:sz w:val="13"/>
          <w:szCs w:val="13"/>
          <w:color w:val="0E2A35"/>
        </w:rPr>
      </w:pPr>
    </w:p>
    <w:p>
      <w:pPr>
        <w:ind w:left="360" w:right="360" w:hanging="360"/>
        <w:spacing w:after="0" w:line="243" w:lineRule="auto"/>
        <w:tabs>
          <w:tab w:leader="none" w:pos="36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11, 2022 by Cooke &amp; Bieler LP, an investment adviser. Cooke &amp; Bieler reported that it has shared voting power over 1,428,178 shares and shared dispositive power over 2,075,467 shares.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0E2A35"/>
        </w:rPr>
        <w:t>The following table sets forth certain information known to us with respect to beneficial ownership of our common stock, as defined in Rule 13d-3 under the Exchange Act, at October 18, 2022 for (i) each of our directors and director nominees, (ii) each NEO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 w:type="dxa"/>
            <w:vAlign w:val="bottom"/>
            <w:shd w:val="clear" w:color="auto" w:fill="0E2A35"/>
          </w:tcPr>
          <w:p>
            <w:pPr>
              <w:spacing w:after="0"/>
              <w:rPr>
                <w:sz w:val="19"/>
                <w:szCs w:val="19"/>
                <w:color w:val="auto"/>
              </w:rPr>
            </w:pPr>
          </w:p>
        </w:tc>
        <w:tc>
          <w:tcPr>
            <w:tcW w:w="2980" w:type="dxa"/>
            <w:vAlign w:val="bottom"/>
            <w:shd w:val="clear" w:color="auto" w:fill="0E2A35"/>
          </w:tcPr>
          <w:p>
            <w:pPr>
              <w:spacing w:after="0"/>
              <w:rPr>
                <w:sz w:val="19"/>
                <w:szCs w:val="19"/>
                <w:color w:val="auto"/>
              </w:rPr>
            </w:pPr>
          </w:p>
        </w:tc>
        <w:tc>
          <w:tcPr>
            <w:tcW w:w="1220" w:type="dxa"/>
            <w:vAlign w:val="bottom"/>
            <w:gridSpan w:val="2"/>
            <w:shd w:val="clear" w:color="auto" w:fill="0E2A35"/>
          </w:tcPr>
          <w:p>
            <w:pPr>
              <w:ind w:left="320"/>
              <w:spacing w:after="0"/>
              <w:rPr>
                <w:sz w:val="20"/>
                <w:szCs w:val="20"/>
                <w:color w:val="auto"/>
              </w:rPr>
            </w:pPr>
            <w:r>
              <w:rPr>
                <w:rFonts w:ascii="Arial" w:cs="Arial" w:eastAsia="Arial" w:hAnsi="Arial"/>
                <w:sz w:val="13"/>
                <w:szCs w:val="13"/>
                <w:b w:val="1"/>
                <w:bCs w:val="1"/>
                <w:color w:val="FFFFFF"/>
              </w:rPr>
              <w:t>Shares of</w:t>
            </w:r>
          </w:p>
        </w:tc>
        <w:tc>
          <w:tcPr>
            <w:tcW w:w="40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42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138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Total Shares</w:t>
            </w:r>
          </w:p>
        </w:tc>
        <w:tc>
          <w:tcPr>
            <w:tcW w:w="700" w:type="dxa"/>
            <w:vAlign w:val="bottom"/>
            <w:shd w:val="clear" w:color="auto" w:fill="0E2A35"/>
          </w:tcPr>
          <w:p>
            <w:pPr>
              <w:spacing w:after="0"/>
              <w:rPr>
                <w:sz w:val="19"/>
                <w:szCs w:val="19"/>
                <w:color w:val="auto"/>
              </w:rPr>
            </w:pPr>
          </w:p>
        </w:tc>
        <w:tc>
          <w:tcPr>
            <w:tcW w:w="18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60" w:type="dxa"/>
            <w:vAlign w:val="bottom"/>
            <w:shd w:val="clear" w:color="auto" w:fill="0E2A35"/>
          </w:tcPr>
          <w:p>
            <w:pPr>
              <w:spacing w:after="0"/>
              <w:rPr>
                <w:sz w:val="11"/>
                <w:szCs w:val="11"/>
                <w:color w:val="auto"/>
              </w:rPr>
            </w:pPr>
          </w:p>
        </w:tc>
        <w:tc>
          <w:tcPr>
            <w:tcW w:w="2980" w:type="dxa"/>
            <w:vAlign w:val="bottom"/>
            <w:shd w:val="clear" w:color="auto" w:fill="0E2A35"/>
          </w:tcPr>
          <w:p>
            <w:pPr>
              <w:spacing w:after="0"/>
              <w:rPr>
                <w:sz w:val="11"/>
                <w:szCs w:val="11"/>
                <w:color w:val="auto"/>
              </w:rPr>
            </w:pPr>
          </w:p>
        </w:tc>
        <w:tc>
          <w:tcPr>
            <w:tcW w:w="1220" w:type="dxa"/>
            <w:vAlign w:val="bottom"/>
            <w:gridSpan w:val="2"/>
            <w:shd w:val="clear" w:color="auto" w:fill="0E2A35"/>
          </w:tcPr>
          <w:p>
            <w:pPr>
              <w:ind w:left="340"/>
              <w:spacing w:after="0" w:line="135" w:lineRule="exact"/>
              <w:rPr>
                <w:sz w:val="20"/>
                <w:szCs w:val="20"/>
                <w:color w:val="auto"/>
              </w:rPr>
            </w:pPr>
            <w:r>
              <w:rPr>
                <w:rFonts w:ascii="Arial" w:cs="Arial" w:eastAsia="Arial" w:hAnsi="Arial"/>
                <w:sz w:val="13"/>
                <w:szCs w:val="13"/>
                <w:b w:val="1"/>
                <w:bCs w:val="1"/>
                <w:color w:val="FFFFFF"/>
              </w:rPr>
              <w:t>Common</w:t>
            </w:r>
          </w:p>
        </w:tc>
        <w:tc>
          <w:tcPr>
            <w:tcW w:w="122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24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Winnebago</w:t>
            </w:r>
          </w:p>
        </w:tc>
        <w:tc>
          <w:tcPr>
            <w:tcW w:w="1380" w:type="dxa"/>
            <w:vAlign w:val="bottom"/>
            <w:gridSpan w:val="2"/>
            <w:vMerge w:val="continue"/>
            <w:shd w:val="clear" w:color="auto" w:fill="0E2A35"/>
          </w:tcPr>
          <w:p>
            <w:pPr>
              <w:spacing w:after="0"/>
              <w:rPr>
                <w:sz w:val="11"/>
                <w:szCs w:val="11"/>
                <w:color w:val="auto"/>
              </w:rPr>
            </w:pPr>
          </w:p>
        </w:tc>
        <w:tc>
          <w:tcPr>
            <w:tcW w:w="700" w:type="dxa"/>
            <w:vAlign w:val="bottom"/>
            <w:vMerge w:val="restart"/>
            <w:shd w:val="clear" w:color="auto" w:fill="0E2A35"/>
          </w:tcPr>
          <w:p>
            <w:pPr>
              <w:ind w:left="420"/>
              <w:spacing w:after="0"/>
              <w:rPr>
                <w:sz w:val="20"/>
                <w:szCs w:val="20"/>
                <w:color w:val="auto"/>
              </w:rPr>
            </w:pPr>
            <w:r>
              <w:rPr>
                <w:rFonts w:ascii="Arial" w:cs="Arial" w:eastAsia="Arial" w:hAnsi="Arial"/>
                <w:sz w:val="13"/>
                <w:szCs w:val="13"/>
                <w:b w:val="1"/>
                <w:bCs w:val="1"/>
                <w:color w:val="FFFFFF"/>
                <w:w w:val="94"/>
              </w:rPr>
              <w:t>%​ of</w:t>
            </w:r>
          </w:p>
        </w:tc>
        <w:tc>
          <w:tcPr>
            <w:tcW w:w="1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shd w:val="clear" w:color="auto" w:fill="0E2A35"/>
          </w:tcPr>
          <w:p>
            <w:pPr>
              <w:spacing w:after="0"/>
              <w:rPr>
                <w:sz w:val="11"/>
                <w:szCs w:val="11"/>
                <w:color w:val="auto"/>
              </w:rPr>
            </w:pPr>
          </w:p>
        </w:tc>
        <w:tc>
          <w:tcPr>
            <w:tcW w:w="2980" w:type="dxa"/>
            <w:vAlign w:val="bottom"/>
            <w:shd w:val="clear" w:color="auto" w:fill="0E2A35"/>
          </w:tcPr>
          <w:p>
            <w:pPr>
              <w:spacing w:after="0"/>
              <w:rPr>
                <w:sz w:val="11"/>
                <w:szCs w:val="11"/>
                <w:color w:val="auto"/>
              </w:rPr>
            </w:pPr>
          </w:p>
        </w:tc>
        <w:tc>
          <w:tcPr>
            <w:tcW w:w="380" w:type="dxa"/>
            <w:vAlign w:val="bottom"/>
            <w:shd w:val="clear" w:color="auto" w:fill="0E2A35"/>
          </w:tcPr>
          <w:p>
            <w:pPr>
              <w:spacing w:after="0"/>
              <w:rPr>
                <w:sz w:val="11"/>
                <w:szCs w:val="11"/>
                <w:color w:val="auto"/>
              </w:rPr>
            </w:pPr>
          </w:p>
        </w:tc>
        <w:tc>
          <w:tcPr>
            <w:tcW w:w="840" w:type="dxa"/>
            <w:vAlign w:val="bottom"/>
            <w:shd w:val="clear" w:color="auto" w:fill="0E2A35"/>
          </w:tcPr>
          <w:p>
            <w:pPr>
              <w:jc w:val="right"/>
              <w:ind w:right="369"/>
              <w:spacing w:after="0" w:line="135" w:lineRule="exact"/>
              <w:rPr>
                <w:sz w:val="20"/>
                <w:szCs w:val="20"/>
                <w:color w:val="auto"/>
              </w:rPr>
            </w:pPr>
            <w:r>
              <w:rPr>
                <w:rFonts w:ascii="Arial" w:cs="Arial" w:eastAsia="Arial" w:hAnsi="Arial"/>
                <w:sz w:val="13"/>
                <w:szCs w:val="13"/>
                <w:b w:val="1"/>
                <w:bCs w:val="1"/>
                <w:color w:val="FFFFFF"/>
              </w:rPr>
              <w:t>Stock</w:t>
            </w:r>
          </w:p>
        </w:tc>
        <w:tc>
          <w:tcPr>
            <w:tcW w:w="1220" w:type="dxa"/>
            <w:vAlign w:val="bottom"/>
            <w:gridSpan w:val="2"/>
            <w:vMerge w:val="continue"/>
            <w:shd w:val="clear" w:color="auto" w:fill="0E2A35"/>
          </w:tcPr>
          <w:p>
            <w:pPr>
              <w:spacing w:after="0"/>
              <w:rPr>
                <w:sz w:val="11"/>
                <w:szCs w:val="11"/>
                <w:color w:val="auto"/>
              </w:rPr>
            </w:pPr>
          </w:p>
        </w:tc>
        <w:tc>
          <w:tcPr>
            <w:tcW w:w="1240" w:type="dxa"/>
            <w:vAlign w:val="bottom"/>
            <w:gridSpan w:val="2"/>
            <w:vMerge w:val="continue"/>
            <w:shd w:val="clear" w:color="auto" w:fill="0E2A35"/>
          </w:tcPr>
          <w:p>
            <w:pPr>
              <w:spacing w:after="0"/>
              <w:rPr>
                <w:sz w:val="11"/>
                <w:szCs w:val="11"/>
                <w:color w:val="auto"/>
              </w:rPr>
            </w:pPr>
          </w:p>
        </w:tc>
        <w:tc>
          <w:tcPr>
            <w:tcW w:w="13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of Common</w:t>
            </w:r>
          </w:p>
        </w:tc>
        <w:tc>
          <w:tcPr>
            <w:tcW w:w="700" w:type="dxa"/>
            <w:vAlign w:val="bottom"/>
            <w:vMerge w:val="continue"/>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4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380" w:type="dxa"/>
            <w:vAlign w:val="bottom"/>
            <w:shd w:val="clear" w:color="auto" w:fill="0E2A35"/>
          </w:tcPr>
          <w:p>
            <w:pPr>
              <w:spacing w:after="0"/>
              <w:rPr>
                <w:sz w:val="11"/>
                <w:szCs w:val="11"/>
                <w:color w:val="auto"/>
              </w:rPr>
            </w:pPr>
          </w:p>
        </w:tc>
        <w:tc>
          <w:tcPr>
            <w:tcW w:w="840" w:type="dxa"/>
            <w:vAlign w:val="bottom"/>
            <w:shd w:val="clear" w:color="auto" w:fill="0E2A35"/>
          </w:tcPr>
          <w:p>
            <w:pPr>
              <w:jc w:val="right"/>
              <w:ind w:right="329"/>
              <w:spacing w:after="0" w:line="129" w:lineRule="exact"/>
              <w:rPr>
                <w:sz w:val="20"/>
                <w:szCs w:val="20"/>
                <w:color w:val="auto"/>
              </w:rPr>
            </w:pPr>
            <w:r>
              <w:rPr>
                <w:rFonts w:ascii="Arial" w:cs="Arial" w:eastAsia="Arial" w:hAnsi="Arial"/>
                <w:sz w:val="13"/>
                <w:szCs w:val="13"/>
                <w:b w:val="1"/>
                <w:bCs w:val="1"/>
                <w:color w:val="FFFFFF"/>
                <w:w w:val="96"/>
              </w:rPr>
              <w:t>Owned</w:t>
            </w:r>
          </w:p>
        </w:tc>
        <w:tc>
          <w:tcPr>
            <w:tcW w:w="400" w:type="dxa"/>
            <w:vAlign w:val="bottom"/>
            <w:shd w:val="clear" w:color="auto" w:fill="0E2A35"/>
          </w:tcPr>
          <w:p>
            <w:pPr>
              <w:spacing w:after="0"/>
              <w:rPr>
                <w:sz w:val="11"/>
                <w:szCs w:val="11"/>
                <w:color w:val="auto"/>
              </w:rPr>
            </w:pPr>
          </w:p>
        </w:tc>
        <w:tc>
          <w:tcPr>
            <w:tcW w:w="820" w:type="dxa"/>
            <w:vAlign w:val="bottom"/>
            <w:shd w:val="clear" w:color="auto" w:fill="0E2A35"/>
          </w:tcPr>
          <w:p>
            <w:pPr>
              <w:jc w:val="center"/>
              <w:ind w:right="369"/>
              <w:spacing w:after="0" w:line="129" w:lineRule="exact"/>
              <w:rPr>
                <w:sz w:val="20"/>
                <w:szCs w:val="20"/>
                <w:color w:val="auto"/>
              </w:rPr>
            </w:pPr>
            <w:r>
              <w:rPr>
                <w:rFonts w:ascii="Arial" w:cs="Arial" w:eastAsia="Arial" w:hAnsi="Arial"/>
                <w:sz w:val="13"/>
                <w:szCs w:val="13"/>
                <w:b w:val="1"/>
                <w:bCs w:val="1"/>
                <w:color w:val="FFFFFF"/>
                <w:w w:val="95"/>
              </w:rPr>
              <w:t>Stock</w:t>
            </w:r>
          </w:p>
        </w:tc>
        <w:tc>
          <w:tcPr>
            <w:tcW w:w="420" w:type="dxa"/>
            <w:vAlign w:val="bottom"/>
            <w:shd w:val="clear" w:color="auto" w:fill="0E2A35"/>
          </w:tcPr>
          <w:p>
            <w:pPr>
              <w:spacing w:after="0"/>
              <w:rPr>
                <w:sz w:val="11"/>
                <w:szCs w:val="11"/>
                <w:color w:val="auto"/>
              </w:rPr>
            </w:pPr>
          </w:p>
        </w:tc>
        <w:tc>
          <w:tcPr>
            <w:tcW w:w="820" w:type="dxa"/>
            <w:vAlign w:val="bottom"/>
            <w:shd w:val="clear" w:color="auto" w:fill="0E2A35"/>
          </w:tcPr>
          <w:p>
            <w:pPr>
              <w:jc w:val="center"/>
              <w:ind w:right="369"/>
              <w:spacing w:after="0" w:line="129" w:lineRule="exact"/>
              <w:rPr>
                <w:sz w:val="20"/>
                <w:szCs w:val="20"/>
                <w:color w:val="auto"/>
              </w:rPr>
            </w:pPr>
            <w:r>
              <w:rPr>
                <w:rFonts w:ascii="Arial" w:cs="Arial" w:eastAsia="Arial" w:hAnsi="Arial"/>
                <w:sz w:val="13"/>
                <w:szCs w:val="13"/>
                <w:b w:val="1"/>
                <w:bCs w:val="1"/>
                <w:color w:val="FFFFFF"/>
                <w:w w:val="95"/>
              </w:rPr>
              <w:t>Stock</w:t>
            </w:r>
          </w:p>
        </w:tc>
        <w:tc>
          <w:tcPr>
            <w:tcW w:w="1380" w:type="dxa"/>
            <w:vAlign w:val="bottom"/>
            <w:gridSpan w:val="2"/>
            <w:shd w:val="clear" w:color="auto" w:fill="0E2A35"/>
          </w:tcPr>
          <w:p>
            <w:pPr>
              <w:jc w:val="center"/>
              <w:spacing w:after="0" w:line="129" w:lineRule="exact"/>
              <w:rPr>
                <w:sz w:val="20"/>
                <w:szCs w:val="20"/>
                <w:color w:val="auto"/>
              </w:rPr>
            </w:pPr>
            <w:r>
              <w:rPr>
                <w:rFonts w:ascii="Arial" w:cs="Arial" w:eastAsia="Arial" w:hAnsi="Arial"/>
                <w:sz w:val="13"/>
                <w:szCs w:val="13"/>
                <w:b w:val="1"/>
                <w:bCs w:val="1"/>
                <w:color w:val="FFFFFF"/>
                <w:w w:val="97"/>
              </w:rPr>
              <w:t>Stock Owned</w:t>
            </w:r>
          </w:p>
        </w:tc>
        <w:tc>
          <w:tcPr>
            <w:tcW w:w="880" w:type="dxa"/>
            <w:vAlign w:val="bottom"/>
            <w:gridSpan w:val="2"/>
            <w:shd w:val="clear" w:color="auto" w:fill="0E2A35"/>
          </w:tcPr>
          <w:p>
            <w:pPr>
              <w:jc w:val="right"/>
              <w:spacing w:after="0" w:line="129" w:lineRule="exact"/>
              <w:rPr>
                <w:sz w:val="20"/>
                <w:szCs w:val="20"/>
                <w:color w:val="auto"/>
              </w:rPr>
            </w:pPr>
            <w:r>
              <w:rPr>
                <w:rFonts w:ascii="Arial" w:cs="Arial" w:eastAsia="Arial" w:hAnsi="Arial"/>
                <w:sz w:val="13"/>
                <w:szCs w:val="13"/>
                <w:b w:val="1"/>
                <w:bCs w:val="1"/>
                <w:color w:val="FFFFFF"/>
              </w:rPr>
              <w:t>Common</w:t>
            </w:r>
          </w:p>
        </w:tc>
        <w:tc>
          <w:tcPr>
            <w:tcW w:w="0" w:type="dxa"/>
            <w:vAlign w:val="bottom"/>
          </w:tcPr>
          <w:p>
            <w:pPr>
              <w:spacing w:after="0"/>
              <w:rPr>
                <w:sz w:val="1"/>
                <w:szCs w:val="1"/>
                <w:color w:val="auto"/>
              </w:rPr>
            </w:pPr>
          </w:p>
        </w:tc>
      </w:tr>
      <w:tr>
        <w:trPr>
          <w:trHeight w:val="267"/>
        </w:trPr>
        <w:tc>
          <w:tcPr>
            <w:tcW w:w="3340" w:type="dxa"/>
            <w:vAlign w:val="bottom"/>
            <w:gridSpan w:val="2"/>
            <w:vMerge w:val="continue"/>
            <w:shd w:val="clear" w:color="auto" w:fill="0E2A35"/>
          </w:tcPr>
          <w:p>
            <w:pPr>
              <w:spacing w:after="0"/>
              <w:rPr>
                <w:sz w:val="23"/>
                <w:szCs w:val="23"/>
                <w:color w:val="auto"/>
              </w:rPr>
            </w:pPr>
          </w:p>
        </w:tc>
        <w:tc>
          <w:tcPr>
            <w:tcW w:w="1220" w:type="dxa"/>
            <w:vAlign w:val="bottom"/>
            <w:gridSpan w:val="2"/>
            <w:shd w:val="clear" w:color="auto" w:fill="0E2A35"/>
          </w:tcPr>
          <w:p>
            <w:pPr>
              <w:ind w:left="300"/>
              <w:spacing w:after="0"/>
              <w:rPr>
                <w:sz w:val="20"/>
                <w:szCs w:val="20"/>
                <w:color w:val="auto"/>
              </w:rPr>
            </w:pPr>
            <w:r>
              <w:rPr>
                <w:rFonts w:ascii="Arial" w:cs="Arial" w:eastAsia="Arial" w:hAnsi="Arial"/>
                <w:sz w:val="13"/>
                <w:szCs w:val="13"/>
                <w:b w:val="1"/>
                <w:bCs w:val="1"/>
                <w:color w:val="FFFFFF"/>
              </w:rPr>
              <w:t>Outright</w:t>
            </w:r>
            <w:r>
              <w:rPr>
                <w:rFonts w:ascii="Arial" w:cs="Arial" w:eastAsia="Arial" w:hAnsi="Arial"/>
                <w:sz w:val="20"/>
                <w:szCs w:val="20"/>
                <w:b w:val="1"/>
                <w:bCs w:val="1"/>
                <w:color w:val="FFFFFF"/>
                <w:vertAlign w:val="superscript"/>
              </w:rPr>
              <w:t>(1)</w:t>
            </w:r>
          </w:p>
        </w:tc>
        <w:tc>
          <w:tcPr>
            <w:tcW w:w="122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Options</w:t>
            </w:r>
            <w:r>
              <w:rPr>
                <w:rFonts w:ascii="Arial" w:cs="Arial" w:eastAsia="Arial" w:hAnsi="Arial"/>
                <w:sz w:val="20"/>
                <w:szCs w:val="20"/>
                <w:b w:val="1"/>
                <w:bCs w:val="1"/>
                <w:color w:val="FFFFFF"/>
                <w:w w:val="94"/>
                <w:vertAlign w:val="superscript"/>
              </w:rPr>
              <w:t>(2)</w:t>
            </w:r>
          </w:p>
        </w:tc>
        <w:tc>
          <w:tcPr>
            <w:tcW w:w="12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(3)</w:t>
            </w:r>
          </w:p>
        </w:tc>
        <w:tc>
          <w:tcPr>
            <w:tcW w:w="138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880" w:type="dxa"/>
            <w:vAlign w:val="bottom"/>
            <w:gridSpan w:val="2"/>
            <w:shd w:val="clear" w:color="auto" w:fill="0E2A35"/>
          </w:tcPr>
          <w:p>
            <w:pPr>
              <w:jc w:val="right"/>
              <w:ind w:right="6"/>
              <w:spacing w:after="0"/>
              <w:rPr>
                <w:sz w:val="20"/>
                <w:szCs w:val="20"/>
                <w:color w:val="auto"/>
              </w:rPr>
            </w:pPr>
            <w:r>
              <w:rPr>
                <w:rFonts w:ascii="Arial" w:cs="Arial" w:eastAsia="Arial" w:hAnsi="Arial"/>
                <w:sz w:val="13"/>
                <w:szCs w:val="13"/>
                <w:b w:val="1"/>
                <w:bCs w:val="1"/>
                <w:color w:val="FFFFFF"/>
              </w:rPr>
              <w:t>Stock</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209"/>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Sara E. Armbruster</w:t>
            </w:r>
          </w:p>
        </w:tc>
        <w:tc>
          <w:tcPr>
            <w:tcW w:w="380" w:type="dxa"/>
            <w:vAlign w:val="bottom"/>
          </w:tcPr>
          <w:p>
            <w:pPr>
              <w:spacing w:after="0"/>
              <w:rPr>
                <w:sz w:val="18"/>
                <w:szCs w:val="18"/>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5,253</w:t>
            </w:r>
          </w:p>
        </w:tc>
        <w:tc>
          <w:tcPr>
            <w:tcW w:w="400" w:type="dxa"/>
            <w:vAlign w:val="bottom"/>
          </w:tcPr>
          <w:p>
            <w:pPr>
              <w:spacing w:after="0"/>
              <w:rPr>
                <w:sz w:val="18"/>
                <w:szCs w:val="18"/>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8"/>
                <w:szCs w:val="18"/>
                <w:color w:val="auto"/>
              </w:rPr>
            </w:pP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spacing w:after="0"/>
              <w:rPr>
                <w:sz w:val="18"/>
                <w:szCs w:val="18"/>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color w:val="0E2A35"/>
              </w:rPr>
              <w:t>5,253</w:t>
            </w: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Stacy L. Bogart</w:t>
            </w:r>
          </w:p>
        </w:tc>
        <w:tc>
          <w:tcPr>
            <w:tcW w:w="380" w:type="dxa"/>
            <w:vAlign w:val="bottom"/>
            <w:vMerge w:val="restart"/>
          </w:tcPr>
          <w:p>
            <w:pPr>
              <w:ind w:left="320"/>
              <w:spacing w:after="0"/>
              <w:rPr>
                <w:sz w:val="20"/>
                <w:szCs w:val="20"/>
                <w:color w:val="auto"/>
              </w:rPr>
            </w:pPr>
            <w:r>
              <w:rPr>
                <w:rFonts w:ascii="Arial" w:cs="Arial" w:eastAsia="Arial" w:hAnsi="Arial"/>
                <w:sz w:val="14"/>
                <w:szCs w:val="14"/>
                <w:color w:val="0E2A35"/>
              </w:rPr>
              <w:t>​</w:t>
            </w: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32,856</w:t>
            </w:r>
          </w:p>
        </w:tc>
        <w:tc>
          <w:tcPr>
            <w:tcW w:w="1220" w:type="dxa"/>
            <w:vAlign w:val="bottom"/>
            <w:gridSpan w:val="2"/>
            <w:vMerge w:val="restart"/>
          </w:tcPr>
          <w:p>
            <w:pPr>
              <w:jc w:val="right"/>
              <w:ind w:right="289"/>
              <w:spacing w:after="0"/>
              <w:rPr>
                <w:sz w:val="20"/>
                <w:szCs w:val="20"/>
                <w:color w:val="auto"/>
              </w:rPr>
            </w:pPr>
            <w:r>
              <w:rPr>
                <w:rFonts w:ascii="Arial" w:cs="Arial" w:eastAsia="Arial" w:hAnsi="Arial"/>
                <w:sz w:val="14"/>
                <w:szCs w:val="14"/>
                <w:color w:val="0E2A35"/>
              </w:rPr>
              <w:t>​ 17,472</w:t>
            </w:r>
          </w:p>
        </w:tc>
        <w:tc>
          <w:tcPr>
            <w:tcW w:w="420" w:type="dxa"/>
            <w:vAlign w:val="bottom"/>
            <w:vMerge w:val="restart"/>
          </w:tcPr>
          <w:p>
            <w:pPr>
              <w:ind w:left="360"/>
              <w:spacing w:after="0"/>
              <w:rPr>
                <w:sz w:val="20"/>
                <w:szCs w:val="20"/>
                <w:color w:val="auto"/>
              </w:rPr>
            </w:pPr>
            <w:r>
              <w:rPr>
                <w:rFonts w:ascii="Arial" w:cs="Arial" w:eastAsia="Arial" w:hAnsi="Arial"/>
                <w:sz w:val="14"/>
                <w:szCs w:val="14"/>
                <w:color w:val="0E2A35"/>
              </w:rPr>
              <w:t>​</w:t>
            </w: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vMerge w:val="restart"/>
          </w:tcPr>
          <w:p>
            <w:pPr>
              <w:ind w:left="380"/>
              <w:spacing w:after="0"/>
              <w:rPr>
                <w:sz w:val="20"/>
                <w:szCs w:val="20"/>
                <w:color w:val="auto"/>
              </w:rPr>
            </w:pPr>
            <w:r>
              <w:rPr>
                <w:rFonts w:ascii="Arial" w:cs="Arial" w:eastAsia="Arial" w:hAnsi="Arial"/>
                <w:sz w:val="14"/>
                <w:szCs w:val="14"/>
                <w:color w:val="0E2A35"/>
              </w:rPr>
              <w:t>​</w:t>
            </w: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50,328</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0" w:type="dxa"/>
            <w:vAlign w:val="bottom"/>
            <w:vMerge w:val="restart"/>
          </w:tcPr>
          <w:p>
            <w:pPr>
              <w:ind w:left="60"/>
              <w:spacing w:after="0"/>
              <w:rPr>
                <w:sz w:val="20"/>
                <w:szCs w:val="20"/>
                <w:color w:val="auto"/>
              </w:rPr>
            </w:pPr>
            <w:r>
              <w:rPr>
                <w:rFonts w:ascii="Arial" w:cs="Arial" w:eastAsia="Arial" w:hAnsi="Arial"/>
                <w:sz w:val="14"/>
                <w:szCs w:val="14"/>
                <w:color w:val="0E2A35"/>
                <w:w w:val="99"/>
              </w:rPr>
              <w:t>Huw​</w:t>
            </w:r>
          </w:p>
        </w:tc>
        <w:tc>
          <w:tcPr>
            <w:tcW w:w="2980" w:type="dxa"/>
            <w:vAlign w:val="bottom"/>
            <w:vMerge w:val="restart"/>
          </w:tcPr>
          <w:p>
            <w:pPr>
              <w:ind w:left="20"/>
              <w:spacing w:after="0"/>
              <w:rPr>
                <w:sz w:val="20"/>
                <w:szCs w:val="20"/>
                <w:color w:val="auto"/>
              </w:rPr>
            </w:pPr>
            <w:r>
              <w:rPr>
                <w:rFonts w:ascii="Arial" w:cs="Arial" w:eastAsia="Arial" w:hAnsi="Arial"/>
                <w:sz w:val="14"/>
                <w:szCs w:val="14"/>
                <w:color w:val="0E2A35"/>
              </w:rPr>
              <w:t>S. Bower</w:t>
            </w:r>
          </w:p>
        </w:tc>
        <w:tc>
          <w:tcPr>
            <w:tcW w:w="380" w:type="dxa"/>
            <w:vAlign w:val="bottom"/>
            <w:vMerge w:val="restart"/>
          </w:tcPr>
          <w:p>
            <w:pPr>
              <w:ind w:left="320"/>
              <w:spacing w:after="0"/>
              <w:rPr>
                <w:sz w:val="20"/>
                <w:szCs w:val="20"/>
                <w:color w:val="auto"/>
              </w:rPr>
            </w:pPr>
            <w:r>
              <w:rPr>
                <w:rFonts w:ascii="Arial" w:cs="Arial" w:eastAsia="Arial" w:hAnsi="Arial"/>
                <w:sz w:val="14"/>
                <w:szCs w:val="14"/>
                <w:color w:val="0E2A35"/>
              </w:rPr>
              <w:t>​</w:t>
            </w: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19,177</w:t>
            </w:r>
          </w:p>
        </w:tc>
        <w:tc>
          <w:tcPr>
            <w:tcW w:w="400" w:type="dxa"/>
            <w:vAlign w:val="bottom"/>
            <w:vMerge w:val="restart"/>
          </w:tcPr>
          <w:p>
            <w:pPr>
              <w:ind w:left="340"/>
              <w:spacing w:after="0"/>
              <w:rPr>
                <w:sz w:val="20"/>
                <w:szCs w:val="20"/>
                <w:color w:val="auto"/>
              </w:rPr>
            </w:pPr>
            <w:r>
              <w:rPr>
                <w:rFonts w:ascii="Arial" w:cs="Arial" w:eastAsia="Arial" w:hAnsi="Arial"/>
                <w:sz w:val="14"/>
                <w:szCs w:val="14"/>
                <w:color w:val="0E2A35"/>
              </w:rPr>
              <w:t>​</w:t>
            </w: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6,510</w:t>
            </w:r>
          </w:p>
        </w:tc>
        <w:tc>
          <w:tcPr>
            <w:tcW w:w="420" w:type="dxa"/>
            <w:vAlign w:val="bottom"/>
            <w:vMerge w:val="restart"/>
          </w:tcPr>
          <w:p>
            <w:pPr>
              <w:ind w:left="360"/>
              <w:spacing w:after="0"/>
              <w:rPr>
                <w:sz w:val="20"/>
                <w:szCs w:val="20"/>
                <w:color w:val="auto"/>
              </w:rPr>
            </w:pPr>
            <w:r>
              <w:rPr>
                <w:rFonts w:ascii="Arial" w:cs="Arial" w:eastAsia="Arial" w:hAnsi="Arial"/>
                <w:sz w:val="14"/>
                <w:szCs w:val="14"/>
                <w:color w:val="0E2A35"/>
              </w:rPr>
              <w:t>​</w:t>
            </w: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vMerge w:val="restart"/>
          </w:tcPr>
          <w:p>
            <w:pPr>
              <w:ind w:left="380"/>
              <w:spacing w:after="0"/>
              <w:rPr>
                <w:sz w:val="20"/>
                <w:szCs w:val="20"/>
                <w:color w:val="auto"/>
              </w:rPr>
            </w:pPr>
            <w:r>
              <w:rPr>
                <w:rFonts w:ascii="Arial" w:cs="Arial" w:eastAsia="Arial" w:hAnsi="Arial"/>
                <w:sz w:val="14"/>
                <w:szCs w:val="14"/>
                <w:color w:val="0E2A35"/>
              </w:rPr>
              <w:t>​</w:t>
            </w: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25,687</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60" w:type="dxa"/>
            <w:vAlign w:val="bottom"/>
            <w:vMerge w:val="continue"/>
          </w:tcPr>
          <w:p>
            <w:pPr>
              <w:spacing w:after="0"/>
              <w:rPr>
                <w:sz w:val="6"/>
                <w:szCs w:val="6"/>
                <w:color w:val="auto"/>
              </w:rPr>
            </w:pPr>
          </w:p>
        </w:tc>
        <w:tc>
          <w:tcPr>
            <w:tcW w:w="29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Christopher J. Braun</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21,357</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7"/>
                <w:szCs w:val="17"/>
                <w:color w:val="auto"/>
              </w:rPr>
            </w:pP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spacing w:after="0"/>
              <w:rPr>
                <w:sz w:val="17"/>
                <w:szCs w:val="17"/>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21,357</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Kevin E. Bryant</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2,222</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7"/>
                <w:szCs w:val="17"/>
                <w:color w:val="auto"/>
              </w:rPr>
            </w:pP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spacing w:after="0"/>
              <w:rPr>
                <w:sz w:val="17"/>
                <w:szCs w:val="17"/>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color w:val="0E2A35"/>
              </w:rPr>
              <w:t>2,222</w:t>
            </w:r>
          </w:p>
        </w:tc>
        <w:tc>
          <w:tcPr>
            <w:tcW w:w="700" w:type="dxa"/>
            <w:vAlign w:val="bottom"/>
            <w:vMerge w:val="restart"/>
          </w:tcPr>
          <w:p>
            <w:pPr>
              <w:ind w:left="420"/>
              <w:spacing w:after="0"/>
              <w:rPr>
                <w:sz w:val="20"/>
                <w:szCs w:val="20"/>
                <w:color w:val="auto"/>
              </w:rPr>
            </w:pPr>
            <w:r>
              <w:rPr>
                <w:rFonts w:ascii="Arial" w:cs="Arial" w:eastAsia="Arial" w:hAnsi="Arial"/>
                <w:sz w:val="14"/>
                <w:szCs w:val="14"/>
                <w:color w:val="0E2A35"/>
              </w:rPr>
              <w:t>​</w:t>
            </w: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Robert M. Chiusano</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34,317</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1240" w:type="dxa"/>
            <w:vAlign w:val="bottom"/>
            <w:gridSpan w:val="2"/>
            <w:vMerge w:val="restart"/>
          </w:tcPr>
          <w:p>
            <w:pPr>
              <w:jc w:val="right"/>
              <w:ind w:right="369"/>
              <w:spacing w:after="0"/>
              <w:rPr>
                <w:sz w:val="20"/>
                <w:szCs w:val="20"/>
                <w:color w:val="auto"/>
              </w:rPr>
            </w:pPr>
            <w:r>
              <w:rPr>
                <w:rFonts w:ascii="Arial" w:cs="Arial" w:eastAsia="Arial" w:hAnsi="Arial"/>
                <w:sz w:val="14"/>
                <w:szCs w:val="14"/>
                <w:color w:val="0E2A35"/>
              </w:rPr>
              <w:t>27,290</w:t>
            </w:r>
          </w:p>
        </w:tc>
        <w:tc>
          <w:tcPr>
            <w:tcW w:w="460" w:type="dxa"/>
            <w:vAlign w:val="bottom"/>
          </w:tcPr>
          <w:p>
            <w:pPr>
              <w:spacing w:after="0"/>
              <w:rPr>
                <w:sz w:val="17"/>
                <w:szCs w:val="17"/>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61,607</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gridSpan w:val="2"/>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880" w:type="dxa"/>
            <w:vAlign w:val="bottom"/>
            <w:tcBorders>
              <w:bottom w:val="single" w:sz="8" w:color="0E2A3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340" w:type="dxa"/>
            <w:vAlign w:val="bottom"/>
            <w:gridSpan w:val="2"/>
          </w:tcPr>
          <w:p>
            <w:pPr>
              <w:ind w:left="60"/>
              <w:spacing w:after="0"/>
              <w:rPr>
                <w:sz w:val="20"/>
                <w:szCs w:val="20"/>
                <w:color w:val="auto"/>
              </w:rPr>
            </w:pPr>
            <w:r>
              <w:rPr>
                <w:rFonts w:ascii="Arial" w:cs="Arial" w:eastAsia="Arial" w:hAnsi="Arial"/>
                <w:sz w:val="14"/>
                <w:szCs w:val="14"/>
                <w:color w:val="0E2A35"/>
              </w:rPr>
              <w:t>Donald J. Clark</w:t>
            </w:r>
          </w:p>
        </w:tc>
        <w:tc>
          <w:tcPr>
            <w:tcW w:w="380" w:type="dxa"/>
            <w:vAlign w:val="bottom"/>
          </w:tcPr>
          <w:p>
            <w:pPr>
              <w:ind w:left="320"/>
              <w:spacing w:after="0"/>
              <w:rPr>
                <w:sz w:val="20"/>
                <w:szCs w:val="20"/>
                <w:color w:val="auto"/>
              </w:rPr>
            </w:pPr>
            <w:r>
              <w:rPr>
                <w:rFonts w:ascii="Arial" w:cs="Arial" w:eastAsia="Arial" w:hAnsi="Arial"/>
                <w:sz w:val="14"/>
                <w:szCs w:val="14"/>
                <w:color w:val="0E2A35"/>
              </w:rPr>
              <w:t>​</w:t>
            </w:r>
          </w:p>
        </w:tc>
        <w:tc>
          <w:tcPr>
            <w:tcW w:w="840" w:type="dxa"/>
            <w:vAlign w:val="bottom"/>
          </w:tcPr>
          <w:p>
            <w:pPr>
              <w:jc w:val="right"/>
              <w:ind w:right="189"/>
              <w:spacing w:after="0"/>
              <w:rPr>
                <w:sz w:val="20"/>
                <w:szCs w:val="20"/>
                <w:color w:val="auto"/>
              </w:rPr>
            </w:pPr>
            <w:r>
              <w:rPr>
                <w:rFonts w:ascii="Arial" w:cs="Arial" w:eastAsia="Arial" w:hAnsi="Arial"/>
                <w:sz w:val="14"/>
                <w:szCs w:val="14"/>
                <w:color w:val="0E2A35"/>
              </w:rPr>
              <w:t>718,294</w:t>
            </w:r>
          </w:p>
        </w:tc>
        <w:tc>
          <w:tcPr>
            <w:tcW w:w="400" w:type="dxa"/>
            <w:vAlign w:val="bottom"/>
          </w:tcPr>
          <w:p>
            <w:pPr>
              <w:ind w:left="340"/>
              <w:spacing w:after="0"/>
              <w:rPr>
                <w:sz w:val="20"/>
                <w:szCs w:val="20"/>
                <w:color w:val="auto"/>
              </w:rPr>
            </w:pPr>
            <w:r>
              <w:rPr>
                <w:rFonts w:ascii="Arial" w:cs="Arial" w:eastAsia="Arial" w:hAnsi="Arial"/>
                <w:sz w:val="14"/>
                <w:szCs w:val="14"/>
                <w:color w:val="0E2A35"/>
              </w:rPr>
              <w:t>​</w:t>
            </w:r>
          </w:p>
        </w:tc>
        <w:tc>
          <w:tcPr>
            <w:tcW w:w="820" w:type="dxa"/>
            <w:vAlign w:val="bottom"/>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ind w:left="360"/>
              <w:spacing w:after="0"/>
              <w:rPr>
                <w:sz w:val="20"/>
                <w:szCs w:val="20"/>
                <w:color w:val="auto"/>
              </w:rPr>
            </w:pPr>
            <w:r>
              <w:rPr>
                <w:rFonts w:ascii="Arial" w:cs="Arial" w:eastAsia="Arial" w:hAnsi="Arial"/>
                <w:sz w:val="14"/>
                <w:szCs w:val="14"/>
                <w:color w:val="0E2A35"/>
              </w:rPr>
              <w:t>​</w:t>
            </w:r>
          </w:p>
        </w:tc>
        <w:tc>
          <w:tcPr>
            <w:tcW w:w="820" w:type="dxa"/>
            <w:vAlign w:val="bottom"/>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ind w:left="380"/>
              <w:spacing w:after="0"/>
              <w:rPr>
                <w:sz w:val="20"/>
                <w:szCs w:val="20"/>
                <w:color w:val="auto"/>
              </w:rPr>
            </w:pPr>
            <w:r>
              <w:rPr>
                <w:rFonts w:ascii="Arial" w:cs="Arial" w:eastAsia="Arial" w:hAnsi="Arial"/>
                <w:sz w:val="14"/>
                <w:szCs w:val="14"/>
                <w:color w:val="0E2A35"/>
              </w:rPr>
              <w:t>​</w:t>
            </w:r>
          </w:p>
        </w:tc>
        <w:tc>
          <w:tcPr>
            <w:tcW w:w="920" w:type="dxa"/>
            <w:vAlign w:val="bottom"/>
          </w:tcPr>
          <w:p>
            <w:pPr>
              <w:jc w:val="right"/>
              <w:ind w:right="288"/>
              <w:spacing w:after="0"/>
              <w:rPr>
                <w:sz w:val="20"/>
                <w:szCs w:val="20"/>
                <w:color w:val="auto"/>
              </w:rPr>
            </w:pPr>
            <w:r>
              <w:rPr>
                <w:rFonts w:ascii="Arial" w:cs="Arial" w:eastAsia="Arial" w:hAnsi="Arial"/>
                <w:sz w:val="14"/>
                <w:szCs w:val="14"/>
                <w:color w:val="0E2A35"/>
              </w:rPr>
              <w:t>718,294</w:t>
            </w:r>
          </w:p>
        </w:tc>
        <w:tc>
          <w:tcPr>
            <w:tcW w:w="880" w:type="dxa"/>
            <w:vAlign w:val="bottom"/>
            <w:gridSpan w:val="2"/>
          </w:tcPr>
          <w:p>
            <w:pPr>
              <w:ind w:left="420"/>
              <w:spacing w:after="0"/>
              <w:rPr>
                <w:sz w:val="20"/>
                <w:szCs w:val="20"/>
                <w:color w:val="auto"/>
              </w:rPr>
            </w:pPr>
            <w:r>
              <w:rPr>
                <w:rFonts w:ascii="Arial" w:cs="Arial" w:eastAsia="Arial" w:hAnsi="Arial"/>
                <w:sz w:val="14"/>
                <w:szCs w:val="14"/>
                <w:color w:val="0E2A35"/>
              </w:rPr>
              <w:t>2​.33%</w:t>
            </w: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William C. Fisher</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23,410</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7"/>
                <w:szCs w:val="17"/>
                <w:color w:val="auto"/>
              </w:rPr>
            </w:pP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7,851</w:t>
            </w:r>
          </w:p>
        </w:tc>
        <w:tc>
          <w:tcPr>
            <w:tcW w:w="460" w:type="dxa"/>
            <w:vAlign w:val="bottom"/>
          </w:tcPr>
          <w:p>
            <w:pPr>
              <w:spacing w:after="0"/>
              <w:rPr>
                <w:sz w:val="17"/>
                <w:szCs w:val="17"/>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31,261</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Michael J. Happe</w:t>
            </w:r>
          </w:p>
        </w:tc>
        <w:tc>
          <w:tcPr>
            <w:tcW w:w="380" w:type="dxa"/>
            <w:vAlign w:val="bottom"/>
            <w:vMerge w:val="restart"/>
          </w:tcPr>
          <w:p>
            <w:pPr>
              <w:ind w:left="320"/>
              <w:spacing w:after="0"/>
              <w:rPr>
                <w:sz w:val="20"/>
                <w:szCs w:val="20"/>
                <w:color w:val="auto"/>
              </w:rPr>
            </w:pPr>
            <w:r>
              <w:rPr>
                <w:rFonts w:ascii="Arial" w:cs="Arial" w:eastAsia="Arial" w:hAnsi="Arial"/>
                <w:sz w:val="14"/>
                <w:szCs w:val="14"/>
                <w:color w:val="0E2A35"/>
              </w:rPr>
              <w:t>​</w:t>
            </w: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158,473</w:t>
            </w:r>
          </w:p>
        </w:tc>
        <w:tc>
          <w:tcPr>
            <w:tcW w:w="1220" w:type="dxa"/>
            <w:vAlign w:val="bottom"/>
            <w:gridSpan w:val="2"/>
            <w:vMerge w:val="restart"/>
          </w:tcPr>
          <w:p>
            <w:pPr>
              <w:jc w:val="right"/>
              <w:ind w:right="289"/>
              <w:spacing w:after="0"/>
              <w:rPr>
                <w:sz w:val="20"/>
                <w:szCs w:val="20"/>
                <w:color w:val="auto"/>
              </w:rPr>
            </w:pPr>
            <w:r>
              <w:rPr>
                <w:rFonts w:ascii="Arial" w:cs="Arial" w:eastAsia="Arial" w:hAnsi="Arial"/>
                <w:sz w:val="14"/>
                <w:szCs w:val="14"/>
                <w:color w:val="0E2A35"/>
              </w:rPr>
              <w:t>162,557​</w:t>
            </w:r>
          </w:p>
        </w:tc>
        <w:tc>
          <w:tcPr>
            <w:tcW w:w="420" w:type="dxa"/>
            <w:vAlign w:val="bottom"/>
            <w:vMerge w:val="restart"/>
          </w:tcPr>
          <w:p>
            <w:pPr>
              <w:ind w:left="360"/>
              <w:spacing w:after="0"/>
              <w:rPr>
                <w:sz w:val="20"/>
                <w:szCs w:val="20"/>
                <w:color w:val="auto"/>
              </w:rPr>
            </w:pPr>
            <w:r>
              <w:rPr>
                <w:rFonts w:ascii="Arial" w:cs="Arial" w:eastAsia="Arial" w:hAnsi="Arial"/>
                <w:sz w:val="14"/>
                <w:szCs w:val="14"/>
                <w:color w:val="0E2A35"/>
              </w:rPr>
              <w:t>​</w:t>
            </w: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vMerge w:val="restart"/>
          </w:tcPr>
          <w:p>
            <w:pPr>
              <w:ind w:left="380"/>
              <w:spacing w:after="0"/>
              <w:rPr>
                <w:sz w:val="20"/>
                <w:szCs w:val="20"/>
                <w:color w:val="auto"/>
              </w:rPr>
            </w:pPr>
            <w:r>
              <w:rPr>
                <w:rFonts w:ascii="Arial" w:cs="Arial" w:eastAsia="Arial" w:hAnsi="Arial"/>
                <w:sz w:val="14"/>
                <w:szCs w:val="14"/>
                <w:color w:val="0E2A35"/>
              </w:rPr>
              <w:t>​</w:t>
            </w: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321,030</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Bryan L. Hughes</w:t>
            </w:r>
          </w:p>
        </w:tc>
        <w:tc>
          <w:tcPr>
            <w:tcW w:w="380" w:type="dxa"/>
            <w:vAlign w:val="bottom"/>
            <w:vMerge w:val="restart"/>
          </w:tcPr>
          <w:p>
            <w:pPr>
              <w:ind w:left="320"/>
              <w:spacing w:after="0"/>
              <w:rPr>
                <w:sz w:val="20"/>
                <w:szCs w:val="20"/>
                <w:color w:val="auto"/>
              </w:rPr>
            </w:pPr>
            <w:r>
              <w:rPr>
                <w:rFonts w:ascii="Arial" w:cs="Arial" w:eastAsia="Arial" w:hAnsi="Arial"/>
                <w:sz w:val="14"/>
                <w:szCs w:val="14"/>
                <w:color w:val="0E2A35"/>
              </w:rPr>
              <w:t>​</w:t>
            </w: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44,453</w:t>
            </w:r>
          </w:p>
        </w:tc>
        <w:tc>
          <w:tcPr>
            <w:tcW w:w="1220" w:type="dxa"/>
            <w:vAlign w:val="bottom"/>
            <w:gridSpan w:val="2"/>
            <w:vMerge w:val="restart"/>
          </w:tcPr>
          <w:p>
            <w:pPr>
              <w:jc w:val="right"/>
              <w:ind w:right="289"/>
              <w:spacing w:after="0"/>
              <w:rPr>
                <w:sz w:val="20"/>
                <w:szCs w:val="20"/>
                <w:color w:val="auto"/>
              </w:rPr>
            </w:pPr>
            <w:r>
              <w:rPr>
                <w:rFonts w:ascii="Arial" w:cs="Arial" w:eastAsia="Arial" w:hAnsi="Arial"/>
                <w:sz w:val="14"/>
                <w:szCs w:val="14"/>
                <w:color w:val="0E2A35"/>
              </w:rPr>
              <w:t>​ 29,303</w:t>
            </w:r>
          </w:p>
        </w:tc>
        <w:tc>
          <w:tcPr>
            <w:tcW w:w="420" w:type="dxa"/>
            <w:vAlign w:val="bottom"/>
            <w:vMerge w:val="restart"/>
          </w:tcPr>
          <w:p>
            <w:pPr>
              <w:ind w:left="360"/>
              <w:spacing w:after="0"/>
              <w:rPr>
                <w:sz w:val="20"/>
                <w:szCs w:val="20"/>
                <w:color w:val="auto"/>
              </w:rPr>
            </w:pPr>
            <w:r>
              <w:rPr>
                <w:rFonts w:ascii="Arial" w:cs="Arial" w:eastAsia="Arial" w:hAnsi="Arial"/>
                <w:sz w:val="14"/>
                <w:szCs w:val="14"/>
                <w:color w:val="0E2A35"/>
              </w:rPr>
              <w:t>​</w:t>
            </w: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spacing w:after="0"/>
              <w:rPr>
                <w:sz w:val="17"/>
                <w:szCs w:val="17"/>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73,756</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David W. Miles</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16,357</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1240" w:type="dxa"/>
            <w:vAlign w:val="bottom"/>
            <w:gridSpan w:val="2"/>
            <w:vMerge w:val="restart"/>
          </w:tcPr>
          <w:p>
            <w:pPr>
              <w:jc w:val="right"/>
              <w:ind w:right="349"/>
              <w:spacing w:after="0"/>
              <w:rPr>
                <w:sz w:val="20"/>
                <w:szCs w:val="20"/>
                <w:color w:val="auto"/>
              </w:rPr>
            </w:pPr>
            <w:r>
              <w:rPr>
                <w:rFonts w:ascii="Arial" w:cs="Arial" w:eastAsia="Arial" w:hAnsi="Arial"/>
                <w:sz w:val="14"/>
                <w:szCs w:val="14"/>
                <w:color w:val="0E2A35"/>
              </w:rPr>
              <w:t>​ 5,445</w:t>
            </w:r>
          </w:p>
        </w:tc>
        <w:tc>
          <w:tcPr>
            <w:tcW w:w="460" w:type="dxa"/>
            <w:vAlign w:val="bottom"/>
            <w:vMerge w:val="restart"/>
          </w:tcPr>
          <w:p>
            <w:pPr>
              <w:ind w:left="380"/>
              <w:spacing w:after="0"/>
              <w:rPr>
                <w:sz w:val="20"/>
                <w:szCs w:val="20"/>
                <w:color w:val="auto"/>
              </w:rPr>
            </w:pPr>
            <w:r>
              <w:rPr>
                <w:rFonts w:ascii="Arial" w:cs="Arial" w:eastAsia="Arial" w:hAnsi="Arial"/>
                <w:sz w:val="14"/>
                <w:szCs w:val="14"/>
                <w:color w:val="0E2A35"/>
              </w:rPr>
              <w:t>​</w:t>
            </w: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21,802</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Richard D. Moss</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14,757</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7"/>
                <w:szCs w:val="17"/>
                <w:color w:val="auto"/>
              </w:rPr>
            </w:pP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spacing w:after="0"/>
              <w:rPr>
                <w:sz w:val="17"/>
                <w:szCs w:val="17"/>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14,757</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John M. Murabito</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13,457</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7"/>
                <w:szCs w:val="17"/>
                <w:color w:val="auto"/>
              </w:rPr>
            </w:pPr>
          </w:p>
        </w:tc>
        <w:tc>
          <w:tcPr>
            <w:tcW w:w="820" w:type="dxa"/>
            <w:vAlign w:val="bottom"/>
            <w:vMerge w:val="restart"/>
          </w:tcPr>
          <w:p>
            <w:pPr>
              <w:jc w:val="right"/>
              <w:ind w:right="349"/>
              <w:spacing w:after="0"/>
              <w:rPr>
                <w:sz w:val="20"/>
                <w:szCs w:val="20"/>
                <w:color w:val="auto"/>
              </w:rPr>
            </w:pPr>
            <w:r>
              <w:rPr>
                <w:rFonts w:ascii="Arial" w:cs="Arial" w:eastAsia="Arial" w:hAnsi="Arial"/>
                <w:sz w:val="14"/>
                <w:szCs w:val="14"/>
                <w:color w:val="0E2A35"/>
              </w:rPr>
              <w:t>—</w:t>
            </w:r>
          </w:p>
        </w:tc>
        <w:tc>
          <w:tcPr>
            <w:tcW w:w="460" w:type="dxa"/>
            <w:vAlign w:val="bottom"/>
          </w:tcPr>
          <w:p>
            <w:pPr>
              <w:spacing w:after="0"/>
              <w:rPr>
                <w:sz w:val="17"/>
                <w:szCs w:val="17"/>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0E2A35"/>
              </w:rPr>
              <w:t>13,457</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0E2A35"/>
            </w:tcBorders>
          </w:tcPr>
          <w:p>
            <w:pPr>
              <w:spacing w:after="0"/>
              <w:rPr>
                <w:sz w:val="7"/>
                <w:szCs w:val="7"/>
                <w:color w:val="auto"/>
              </w:rPr>
            </w:pPr>
          </w:p>
        </w:tc>
        <w:tc>
          <w:tcPr>
            <w:tcW w:w="2980" w:type="dxa"/>
            <w:vAlign w:val="bottom"/>
            <w:tcBorders>
              <w:bottom w:val="single" w:sz="8" w:color="0E2A35"/>
            </w:tcBorders>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40" w:type="dxa"/>
            <w:vAlign w:val="bottom"/>
            <w:gridSpan w:val="2"/>
            <w:vMerge w:val="restart"/>
          </w:tcPr>
          <w:p>
            <w:pPr>
              <w:ind w:left="60"/>
              <w:spacing w:after="0"/>
              <w:rPr>
                <w:sz w:val="20"/>
                <w:szCs w:val="20"/>
                <w:color w:val="auto"/>
              </w:rPr>
            </w:pPr>
            <w:r>
              <w:rPr>
                <w:rFonts w:ascii="Arial" w:cs="Arial" w:eastAsia="Arial" w:hAnsi="Arial"/>
                <w:sz w:val="14"/>
                <w:szCs w:val="14"/>
                <w:color w:val="0E2A35"/>
              </w:rPr>
              <w:t>Jacqueline D. Woods</w:t>
            </w:r>
          </w:p>
        </w:tc>
        <w:tc>
          <w:tcPr>
            <w:tcW w:w="380" w:type="dxa"/>
            <w:vAlign w:val="bottom"/>
          </w:tcPr>
          <w:p>
            <w:pPr>
              <w:spacing w:after="0"/>
              <w:rPr>
                <w:sz w:val="17"/>
                <w:szCs w:val="17"/>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4"/>
                <w:szCs w:val="14"/>
                <w:color w:val="0E2A35"/>
              </w:rPr>
              <w:t>2,222</w:t>
            </w:r>
          </w:p>
        </w:tc>
        <w:tc>
          <w:tcPr>
            <w:tcW w:w="400" w:type="dxa"/>
            <w:vAlign w:val="bottom"/>
          </w:tcPr>
          <w:p>
            <w:pPr>
              <w:spacing w:after="0"/>
              <w:rPr>
                <w:sz w:val="17"/>
                <w:szCs w:val="17"/>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color w:val="0E2A35"/>
              </w:rPr>
              <w:t>—</w:t>
            </w:r>
          </w:p>
        </w:tc>
        <w:tc>
          <w:tcPr>
            <w:tcW w:w="420" w:type="dxa"/>
            <w:vAlign w:val="bottom"/>
          </w:tcPr>
          <w:p>
            <w:pPr>
              <w:spacing w:after="0"/>
              <w:rPr>
                <w:sz w:val="17"/>
                <w:szCs w:val="17"/>
                <w:color w:val="auto"/>
              </w:rPr>
            </w:pPr>
          </w:p>
        </w:tc>
        <w:tc>
          <w:tcPr>
            <w:tcW w:w="820" w:type="dxa"/>
            <w:vAlign w:val="bottom"/>
            <w:vMerge w:val="restart"/>
          </w:tcPr>
          <w:p>
            <w:pPr>
              <w:jc w:val="right"/>
              <w:ind w:right="369"/>
              <w:spacing w:after="0"/>
              <w:rPr>
                <w:sz w:val="20"/>
                <w:szCs w:val="20"/>
                <w:color w:val="auto"/>
              </w:rPr>
            </w:pPr>
            <w:r>
              <w:rPr>
                <w:rFonts w:ascii="Arial" w:cs="Arial" w:eastAsia="Arial" w:hAnsi="Arial"/>
                <w:sz w:val="14"/>
                <w:szCs w:val="14"/>
                <w:color w:val="0E2A35"/>
              </w:rPr>
              <w:t>1,508</w:t>
            </w:r>
          </w:p>
        </w:tc>
        <w:tc>
          <w:tcPr>
            <w:tcW w:w="460" w:type="dxa"/>
            <w:vAlign w:val="bottom"/>
            <w:vMerge w:val="restart"/>
          </w:tcPr>
          <w:p>
            <w:pPr>
              <w:ind w:left="380"/>
              <w:spacing w:after="0"/>
              <w:rPr>
                <w:sz w:val="20"/>
                <w:szCs w:val="20"/>
                <w:color w:val="auto"/>
              </w:rPr>
            </w:pPr>
            <w:r>
              <w:rPr>
                <w:rFonts w:ascii="Arial" w:cs="Arial" w:eastAsia="Arial" w:hAnsi="Arial"/>
                <w:sz w:val="14"/>
                <w:szCs w:val="14"/>
                <w:color w:val="0E2A35"/>
              </w:rPr>
              <w:t>​</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color w:val="0E2A35"/>
              </w:rPr>
              <w:t>3,730</w:t>
            </w: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0E2A35"/>
                <w:w w:val="88"/>
              </w:rPr>
              <w:t>(5)</w:t>
            </w:r>
          </w:p>
        </w:tc>
        <w:tc>
          <w:tcPr>
            <w:tcW w:w="0" w:type="dxa"/>
            <w:vAlign w:val="bottom"/>
          </w:tcPr>
          <w:p>
            <w:pPr>
              <w:spacing w:after="0"/>
              <w:rPr>
                <w:sz w:val="1"/>
                <w:szCs w:val="1"/>
                <w:color w:val="auto"/>
              </w:rPr>
            </w:pPr>
          </w:p>
        </w:tc>
      </w:tr>
      <w:tr>
        <w:trPr>
          <w:trHeight w:val="79"/>
        </w:trPr>
        <w:tc>
          <w:tcPr>
            <w:tcW w:w="33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340" w:type="dxa"/>
            <w:vAlign w:val="bottom"/>
            <w:tcBorders>
              <w:bottom w:val="single" w:sz="8" w:color="0E2A35"/>
            </w:tcBorders>
            <w:gridSpan w:val="2"/>
          </w:tcPr>
          <w:p>
            <w:pPr>
              <w:spacing w:after="0"/>
              <w:rPr>
                <w:sz w:val="7"/>
                <w:szCs w:val="7"/>
                <w:color w:val="auto"/>
              </w:rPr>
            </w:pPr>
          </w:p>
        </w:tc>
        <w:tc>
          <w:tcPr>
            <w:tcW w:w="380" w:type="dxa"/>
            <w:vAlign w:val="bottom"/>
            <w:tcBorders>
              <w:bottom w:val="single" w:sz="8" w:color="0E2A35"/>
            </w:tcBorders>
          </w:tcPr>
          <w:p>
            <w:pPr>
              <w:spacing w:after="0"/>
              <w:rPr>
                <w:sz w:val="7"/>
                <w:szCs w:val="7"/>
                <w:color w:val="auto"/>
              </w:rPr>
            </w:pPr>
          </w:p>
        </w:tc>
        <w:tc>
          <w:tcPr>
            <w:tcW w:w="840" w:type="dxa"/>
            <w:vAlign w:val="bottom"/>
            <w:tcBorders>
              <w:bottom w:val="single" w:sz="8" w:color="0E2A35"/>
            </w:tcBorders>
          </w:tcPr>
          <w:p>
            <w:pPr>
              <w:spacing w:after="0"/>
              <w:rPr>
                <w:sz w:val="7"/>
                <w:szCs w:val="7"/>
                <w:color w:val="auto"/>
              </w:rPr>
            </w:pPr>
          </w:p>
        </w:tc>
        <w:tc>
          <w:tcPr>
            <w:tcW w:w="40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460" w:type="dxa"/>
            <w:vAlign w:val="bottom"/>
            <w:tcBorders>
              <w:bottom w:val="single" w:sz="8" w:color="0E2A35"/>
            </w:tcBorders>
          </w:tcPr>
          <w:p>
            <w:pPr>
              <w:spacing w:after="0"/>
              <w:rPr>
                <w:sz w:val="7"/>
                <w:szCs w:val="7"/>
                <w:color w:val="auto"/>
              </w:rPr>
            </w:pPr>
          </w:p>
        </w:tc>
        <w:tc>
          <w:tcPr>
            <w:tcW w:w="920" w:type="dxa"/>
            <w:vAlign w:val="bottom"/>
            <w:tcBorders>
              <w:bottom w:val="single" w:sz="8" w:color="0E2A35"/>
            </w:tcBorders>
          </w:tcPr>
          <w:p>
            <w:pPr>
              <w:spacing w:after="0"/>
              <w:rPr>
                <w:sz w:val="7"/>
                <w:szCs w:val="7"/>
                <w:color w:val="auto"/>
              </w:rPr>
            </w:pPr>
          </w:p>
        </w:tc>
        <w:tc>
          <w:tcPr>
            <w:tcW w:w="70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3340" w:type="dxa"/>
            <w:vAlign w:val="bottom"/>
            <w:gridSpan w:val="2"/>
          </w:tcPr>
          <w:p>
            <w:pPr>
              <w:ind w:left="60"/>
              <w:spacing w:after="0"/>
              <w:rPr>
                <w:sz w:val="20"/>
                <w:szCs w:val="20"/>
                <w:color w:val="auto"/>
              </w:rPr>
            </w:pPr>
            <w:r>
              <w:rPr>
                <w:rFonts w:ascii="Arial" w:cs="Arial" w:eastAsia="Arial" w:hAnsi="Arial"/>
                <w:sz w:val="14"/>
                <w:szCs w:val="14"/>
                <w:color w:val="0E2A35"/>
              </w:rPr>
              <w:t>Directors and executive officers as a group (18</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340" w:type="dxa"/>
            <w:vAlign w:val="bottom"/>
            <w:gridSpan w:val="2"/>
          </w:tcPr>
          <w:p>
            <w:pPr>
              <w:ind w:left="220"/>
              <w:spacing w:after="0"/>
              <w:rPr>
                <w:sz w:val="20"/>
                <w:szCs w:val="20"/>
                <w:color w:val="auto"/>
              </w:rPr>
            </w:pPr>
            <w:r>
              <w:rPr>
                <w:rFonts w:ascii="Arial" w:cs="Arial" w:eastAsia="Arial" w:hAnsi="Arial"/>
                <w:sz w:val="14"/>
                <w:szCs w:val="14"/>
                <w:color w:val="0E2A35"/>
              </w:rPr>
              <w:t>persons)</w:t>
            </w:r>
          </w:p>
        </w:tc>
        <w:tc>
          <w:tcPr>
            <w:tcW w:w="1220" w:type="dxa"/>
            <w:vAlign w:val="bottom"/>
            <w:gridSpan w:val="2"/>
          </w:tcPr>
          <w:p>
            <w:pPr>
              <w:jc w:val="right"/>
              <w:ind w:right="189"/>
              <w:spacing w:after="0"/>
              <w:rPr>
                <w:sz w:val="20"/>
                <w:szCs w:val="20"/>
                <w:color w:val="auto"/>
              </w:rPr>
            </w:pPr>
            <w:r>
              <w:rPr>
                <w:rFonts w:ascii="Arial" w:cs="Arial" w:eastAsia="Arial" w:hAnsi="Arial"/>
                <w:sz w:val="14"/>
                <w:szCs w:val="14"/>
                <w:color w:val="0E2A35"/>
              </w:rPr>
              <w:t>1,191,919​</w:t>
            </w:r>
          </w:p>
        </w:tc>
        <w:tc>
          <w:tcPr>
            <w:tcW w:w="1220" w:type="dxa"/>
            <w:vAlign w:val="bottom"/>
            <w:gridSpan w:val="2"/>
          </w:tcPr>
          <w:p>
            <w:pPr>
              <w:jc w:val="right"/>
              <w:ind w:right="289"/>
              <w:spacing w:after="0"/>
              <w:rPr>
                <w:sz w:val="20"/>
                <w:szCs w:val="20"/>
                <w:color w:val="auto"/>
              </w:rPr>
            </w:pPr>
            <w:r>
              <w:rPr>
                <w:rFonts w:ascii="Arial" w:cs="Arial" w:eastAsia="Arial" w:hAnsi="Arial"/>
                <w:sz w:val="14"/>
                <w:szCs w:val="14"/>
                <w:color w:val="0E2A35"/>
              </w:rPr>
              <w:t>277,092​</w:t>
            </w:r>
          </w:p>
        </w:tc>
        <w:tc>
          <w:tcPr>
            <w:tcW w:w="1240" w:type="dxa"/>
            <w:vAlign w:val="bottom"/>
            <w:gridSpan w:val="2"/>
          </w:tcPr>
          <w:p>
            <w:pPr>
              <w:jc w:val="right"/>
              <w:ind w:right="369"/>
              <w:spacing w:after="0"/>
              <w:rPr>
                <w:sz w:val="20"/>
                <w:szCs w:val="20"/>
                <w:color w:val="auto"/>
              </w:rPr>
            </w:pPr>
            <w:r>
              <w:rPr>
                <w:rFonts w:ascii="Arial" w:cs="Arial" w:eastAsia="Arial" w:hAnsi="Arial"/>
                <w:sz w:val="14"/>
                <w:szCs w:val="14"/>
                <w:color w:val="0E2A35"/>
              </w:rPr>
              <w:t>42,094​</w:t>
            </w:r>
          </w:p>
        </w:tc>
        <w:tc>
          <w:tcPr>
            <w:tcW w:w="1380" w:type="dxa"/>
            <w:vAlign w:val="bottom"/>
            <w:gridSpan w:val="2"/>
          </w:tcPr>
          <w:p>
            <w:pPr>
              <w:jc w:val="right"/>
              <w:ind w:right="288"/>
              <w:spacing w:after="0"/>
              <w:rPr>
                <w:sz w:val="20"/>
                <w:szCs w:val="20"/>
                <w:color w:val="auto"/>
              </w:rPr>
            </w:pPr>
            <w:r>
              <w:rPr>
                <w:rFonts w:ascii="Arial" w:cs="Arial" w:eastAsia="Arial" w:hAnsi="Arial"/>
                <w:sz w:val="14"/>
                <w:szCs w:val="14"/>
                <w:color w:val="0E2A35"/>
              </w:rPr>
              <w:t>1,514,569​</w:t>
            </w:r>
          </w:p>
        </w:tc>
        <w:tc>
          <w:tcPr>
            <w:tcW w:w="880" w:type="dxa"/>
            <w:vAlign w:val="bottom"/>
            <w:gridSpan w:val="2"/>
          </w:tcPr>
          <w:p>
            <w:pPr>
              <w:ind w:left="420"/>
              <w:spacing w:after="0"/>
              <w:rPr>
                <w:sz w:val="20"/>
                <w:szCs w:val="20"/>
                <w:color w:val="auto"/>
              </w:rPr>
            </w:pPr>
            <w:r>
              <w:rPr>
                <w:rFonts w:ascii="Arial" w:cs="Arial" w:eastAsia="Arial" w:hAnsi="Arial"/>
                <w:sz w:val="14"/>
                <w:szCs w:val="14"/>
                <w:color w:val="0E2A35"/>
              </w:rPr>
              <w:t>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8978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73" w:lineRule="exact"/>
        <w:rPr>
          <w:sz w:val="20"/>
          <w:szCs w:val="20"/>
          <w:color w:val="auto"/>
        </w:rPr>
      </w:pPr>
    </w:p>
    <w:p>
      <w:pPr>
        <w:ind w:left="360" w:hanging="360"/>
        <w:spacing w:after="0" w:line="233" w:lineRule="auto"/>
        <w:tabs>
          <w:tab w:leader="none" w:pos="360" w:val="left"/>
        </w:tabs>
        <w:numPr>
          <w:ilvl w:val="0"/>
          <w:numId w:val="59"/>
        </w:numPr>
        <w:rPr>
          <w:rFonts w:ascii="Arial" w:cs="Arial" w:eastAsia="Arial" w:hAnsi="Arial"/>
          <w:sz w:val="13"/>
          <w:szCs w:val="13"/>
          <w:color w:val="0E2A35"/>
        </w:rPr>
      </w:pPr>
      <w:r>
        <w:rPr>
          <w:rFonts w:ascii="Arial" w:cs="Arial" w:eastAsia="Arial" w:hAnsi="Arial"/>
          <w:sz w:val="13"/>
          <w:szCs w:val="13"/>
          <w:color w:val="0E2A35"/>
        </w:rPr>
        <w:t>Includes the following shares not currently outstanding but deemed beneficially owned because of the right to acquire them pursuant to restricted stock units that vest within 60 days or have vested but have not yet been distributed: 7,545 shares for Mr. Happe, 1,709 shares for Mr. Hughes, 1,432 for Ms. Bogart, and 3,513 shares in total for all non-NEO executive officers as a group</w:t>
      </w:r>
      <w:r>
        <w:rPr>
          <w:rFonts w:ascii="Arial" w:cs="Arial" w:eastAsia="Arial" w:hAnsi="Arial"/>
          <w:sz w:val="13"/>
          <w:szCs w:val="13"/>
          <w:color w:val="000000"/>
        </w:rPr>
        <w:t>.</w:t>
      </w:r>
    </w:p>
    <w:p>
      <w:pPr>
        <w:spacing w:after="0" w:line="23" w:lineRule="exact"/>
        <w:rPr>
          <w:rFonts w:ascii="Arial" w:cs="Arial" w:eastAsia="Arial" w:hAnsi="Arial"/>
          <w:sz w:val="13"/>
          <w:szCs w:val="13"/>
          <w:color w:val="0E2A35"/>
        </w:rPr>
      </w:pPr>
    </w:p>
    <w:p>
      <w:pPr>
        <w:ind w:left="360" w:hanging="360"/>
        <w:spacing w:after="0"/>
        <w:tabs>
          <w:tab w:leader="none" w:pos="360" w:val="left"/>
        </w:tabs>
        <w:numPr>
          <w:ilvl w:val="0"/>
          <w:numId w:val="59"/>
        </w:numPr>
        <w:rPr>
          <w:rFonts w:ascii="Arial" w:cs="Arial" w:eastAsia="Arial" w:hAnsi="Arial"/>
          <w:sz w:val="13"/>
          <w:szCs w:val="13"/>
          <w:color w:val="0E2A35"/>
        </w:rPr>
      </w:pPr>
      <w:r>
        <w:rPr>
          <w:rFonts w:ascii="Arial" w:cs="Arial" w:eastAsia="Arial" w:hAnsi="Arial"/>
          <w:sz w:val="13"/>
          <w:szCs w:val="13"/>
          <w:color w:val="0E2A35"/>
        </w:rPr>
        <w:t>Includes shares underlying stock options that are currently exercisable or become exercisable within 60 days.</w:t>
      </w:r>
    </w:p>
    <w:p>
      <w:pPr>
        <w:spacing w:after="0" w:line="39" w:lineRule="exact"/>
        <w:rPr>
          <w:rFonts w:ascii="Arial" w:cs="Arial" w:eastAsia="Arial" w:hAnsi="Arial"/>
          <w:sz w:val="13"/>
          <w:szCs w:val="13"/>
          <w:color w:val="0E2A35"/>
        </w:rPr>
      </w:pPr>
    </w:p>
    <w:p>
      <w:pPr>
        <w:ind w:left="360" w:right="300" w:hanging="360"/>
        <w:spacing w:after="0" w:line="233" w:lineRule="auto"/>
        <w:tabs>
          <w:tab w:leader="none" w:pos="360" w:val="left"/>
        </w:tabs>
        <w:numPr>
          <w:ilvl w:val="0"/>
          <w:numId w:val="59"/>
        </w:numPr>
        <w:rPr>
          <w:rFonts w:ascii="Arial" w:cs="Arial" w:eastAsia="Arial" w:hAnsi="Arial"/>
          <w:sz w:val="13"/>
          <w:szCs w:val="13"/>
          <w:color w:val="0E2A35"/>
        </w:rPr>
      </w:pPr>
      <w:r>
        <w:rPr>
          <w:rFonts w:ascii="Arial" w:cs="Arial" w:eastAsia="Arial" w:hAnsi="Arial"/>
          <w:sz w:val="13"/>
          <w:szCs w:val="13"/>
          <w:color w:val="0E2A35"/>
        </w:rPr>
        <w:t>Winnebago Stock Units held under our Directors' Deferred Compensation Plan as of October 18, 2022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23" w:lineRule="exact"/>
        <w:rPr>
          <w:rFonts w:ascii="Arial" w:cs="Arial" w:eastAsia="Arial" w:hAnsi="Arial"/>
          <w:sz w:val="13"/>
          <w:szCs w:val="13"/>
          <w:color w:val="0E2A35"/>
        </w:rPr>
      </w:pPr>
    </w:p>
    <w:p>
      <w:pPr>
        <w:ind w:left="360" w:hanging="360"/>
        <w:spacing w:after="0"/>
        <w:tabs>
          <w:tab w:leader="none" w:pos="360" w:val="left"/>
        </w:tabs>
        <w:numPr>
          <w:ilvl w:val="0"/>
          <w:numId w:val="59"/>
        </w:numPr>
        <w:rPr>
          <w:rFonts w:ascii="Arial" w:cs="Arial" w:eastAsia="Arial" w:hAnsi="Arial"/>
          <w:sz w:val="13"/>
          <w:szCs w:val="13"/>
          <w:color w:val="0E2A35"/>
        </w:rPr>
      </w:pPr>
      <w:r>
        <w:rPr>
          <w:rFonts w:ascii="Arial" w:cs="Arial" w:eastAsia="Arial" w:hAnsi="Arial"/>
          <w:sz w:val="13"/>
          <w:szCs w:val="13"/>
          <w:color w:val="0E2A35"/>
        </w:rPr>
        <w:t>Based on 30,491,649 outstanding shares of common stock on October 18, 2022.</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9"/>
        </w:numPr>
        <w:rPr>
          <w:rFonts w:ascii="Arial" w:cs="Arial" w:eastAsia="Arial" w:hAnsi="Arial"/>
          <w:sz w:val="13"/>
          <w:szCs w:val="13"/>
          <w:color w:val="0E2A35"/>
        </w:rPr>
      </w:pPr>
      <w:r>
        <w:rPr>
          <w:rFonts w:ascii="Arial" w:cs="Arial" w:eastAsia="Arial" w:hAnsi="Arial"/>
          <w:sz w:val="13"/>
          <w:szCs w:val="13"/>
          <w:color w:val="0E2A35"/>
        </w:rPr>
        <w:t>Less than 1%.</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 xml:space="preserve">Proxy Statement for 2022 Annual Meeting      </w:t>
      </w:r>
      <w:r>
        <w:rPr>
          <w:rFonts w:ascii="Arial" w:cs="Arial" w:eastAsia="Arial" w:hAnsi="Arial"/>
          <w:sz w:val="12"/>
          <w:szCs w:val="12"/>
          <w:b w:val="1"/>
          <w:bCs w:val="1"/>
          <w:color w:val="0E2A35"/>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198120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Voting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Internet Availability of Proxy Materials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October 31, 2022.</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Shareholders Entitled to Vote</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0E2A35"/>
        </w:rPr>
        <w:t>The Board set October 18, 2022 as the record date for the Annual Meeting. This means that our shareholders as of the close of business on that date are entitled to notice of and to vote at the Annual Meeting. On the record date, 30,491,649 shares of our common stock were outstanding. The common stock is the only class of securities entitled to vote at the Annual Meeting. Each outstanding share entitles its holder to one vote.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Quorum for the Annual Meeting</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0E2A35"/>
        </w:rPr>
        <w:t>A majority of the outstanding shares is necessary to constitute a quorum for the transaction of business at the Annual Meeting. If you submit a valid proxy or attend the Annual Meeting, your shares will be counted to determine whether there is a quorum.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How to Vote</w:t>
      </w:r>
    </w:p>
    <w:p>
      <w:pPr>
        <w:spacing w:after="0" w:line="19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0E2A35"/>
        </w:rPr>
        <w:t>Whether or not you expect to attend the Annual Meeting, please carefully review the proxy materials and follow the instructions below to cast your vote.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Shares Registered in Your Name</w:t>
      </w:r>
    </w:p>
    <w:p>
      <w:pPr>
        <w:spacing w:after="0" w:line="19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E2A35"/>
        </w:rPr>
        <w:t xml:space="preserve">By submitting voting instructions for shares registered in your name before the Annual Meeting, you are appointing a proxy to vote these shares. You may vote in one of the following ways (additional details about each of these voting methods is provided on page </w:t>
      </w:r>
      <w:r>
        <w:rPr>
          <w:rFonts w:ascii="Arial" w:cs="Arial" w:eastAsia="Arial" w:hAnsi="Arial"/>
          <w:sz w:val="16"/>
          <w:szCs w:val="16"/>
          <w:u w:val="single" w:color="auto"/>
          <w:color w:val="0000EE"/>
        </w:rPr>
        <w:t>2</w:t>
      </w:r>
      <w:r>
        <w:rPr>
          <w:rFonts w:ascii="Arial" w:cs="Arial" w:eastAsia="Arial" w:hAnsi="Arial"/>
          <w:sz w:val="16"/>
          <w:szCs w:val="16"/>
          <w:color w:val="0E2A35"/>
        </w:rPr>
        <w:t>):</w:t>
      </w:r>
    </w:p>
    <w:p>
      <w:pPr>
        <w:spacing w:after="0" w:line="131" w:lineRule="exact"/>
        <w:rPr>
          <w:sz w:val="20"/>
          <w:szCs w:val="20"/>
          <w:color w:val="auto"/>
        </w:rPr>
      </w:pPr>
    </w:p>
    <w:p>
      <w:pPr>
        <w:ind w:left="720" w:right="340" w:hanging="360"/>
        <w:spacing w:after="0" w:line="259" w:lineRule="auto"/>
        <w:tabs>
          <w:tab w:leader="none" w:pos="720" w:val="left"/>
        </w:tabs>
        <w:numPr>
          <w:ilvl w:val="0"/>
          <w:numId w:val="6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Internet or Telephone</w:t>
      </w:r>
      <w:r>
        <w:rPr>
          <w:rFonts w:ascii="Arial" w:cs="Arial" w:eastAsia="Arial" w:hAnsi="Arial"/>
          <w:sz w:val="16"/>
          <w:szCs w:val="16"/>
          <w:color w:val="0E2A35"/>
        </w:rPr>
        <w:t>. You may vote using the Internet or telephone by following the instructions in the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37" w:lineRule="exact"/>
        <w:rPr>
          <w:rFonts w:ascii="Arial" w:cs="Arial" w:eastAsia="Arial" w:hAnsi="Arial"/>
          <w:sz w:val="16"/>
          <w:szCs w:val="16"/>
          <w:color w:val="C7D265"/>
        </w:rPr>
      </w:pPr>
    </w:p>
    <w:p>
      <w:pPr>
        <w:ind w:left="720" w:right="460" w:hanging="360"/>
        <w:spacing w:after="0" w:line="286" w:lineRule="auto"/>
        <w:tabs>
          <w:tab w:leader="none" w:pos="720" w:val="left"/>
        </w:tabs>
        <w:numPr>
          <w:ilvl w:val="0"/>
          <w:numId w:val="6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Proxy Card</w:t>
      </w:r>
      <w:r>
        <w:rPr>
          <w:rFonts w:ascii="Arial" w:cs="Arial" w:eastAsia="Arial" w:hAnsi="Arial"/>
          <w:sz w:val="16"/>
          <w:szCs w:val="16"/>
          <w:color w:val="0E2A35"/>
        </w:rPr>
        <w:t>. If you obtained a paper copy of the proxy materials, you may vote by completing, signing,</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dating and returning the proxy card in the enclosed postage pre-paid envelope.</w:t>
      </w:r>
    </w:p>
    <w:p>
      <w:pPr>
        <w:spacing w:after="0" w:line="128" w:lineRule="exact"/>
        <w:rPr>
          <w:rFonts w:ascii="Arial" w:cs="Arial" w:eastAsia="Arial" w:hAnsi="Arial"/>
          <w:sz w:val="16"/>
          <w:szCs w:val="16"/>
          <w:color w:val="C7D265"/>
        </w:rPr>
      </w:pPr>
    </w:p>
    <w:p>
      <w:pPr>
        <w:ind w:left="720" w:right="40" w:hanging="360"/>
        <w:spacing w:after="0" w:line="286" w:lineRule="auto"/>
        <w:tabs>
          <w:tab w:leader="none" w:pos="720" w:val="left"/>
        </w:tabs>
        <w:numPr>
          <w:ilvl w:val="0"/>
          <w:numId w:val="6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during the Annual Meeting</w:t>
      </w:r>
      <w:r>
        <w:rPr>
          <w:rFonts w:ascii="Arial" w:cs="Arial" w:eastAsia="Arial" w:hAnsi="Arial"/>
          <w:sz w:val="16"/>
          <w:szCs w:val="16"/>
          <w:color w:val="0E2A35"/>
        </w:rPr>
        <w:t>. You may also vote by attending the Annual Meeting and voting via the online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meeting platform. To vote online during the Annual Meeting, you will need your 16-digit control included with the Notice.</w:t>
      </w: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0E2A35"/>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Shares Held in Street Name</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0E2A35"/>
        </w:rPr>
        <w:t>If your shares are held in the name of a broker or bank (that is, in “street name”), refer to the instructions provided by your broker or bank regarding how to vote your shares. If you do not return voting instructions to your broker or bank by its deadline, your shares may be voted by your broker or bank on Proposal 3, but not the other proposals described in this proxy. Broker non-votes will not be considered in connection with Proposals 1 and 2.</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Revoking a Proxy or Voting Instructions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0E2A35"/>
        </w:rPr>
        <w:t>You may revoke your proxy or change your vote at any time before the Annual Meeting by:</w:t>
      </w:r>
    </w:p>
    <w:p>
      <w:pPr>
        <w:spacing w:after="0" w:line="181" w:lineRule="exact"/>
        <w:rPr>
          <w:sz w:val="20"/>
          <w:szCs w:val="20"/>
          <w:color w:val="auto"/>
        </w:rPr>
      </w:pPr>
    </w:p>
    <w:p>
      <w:pPr>
        <w:ind w:left="720" w:right="220" w:hanging="360"/>
        <w:spacing w:after="0" w:line="286" w:lineRule="auto"/>
        <w:tabs>
          <w:tab w:leader="none" w:pos="720" w:val="left"/>
        </w:tabs>
        <w:numPr>
          <w:ilvl w:val="0"/>
          <w:numId w:val="61"/>
        </w:numPr>
        <w:rPr>
          <w:rFonts w:ascii="Arial" w:cs="Arial" w:eastAsia="Arial" w:hAnsi="Arial"/>
          <w:sz w:val="16"/>
          <w:szCs w:val="16"/>
          <w:color w:val="C7D265"/>
        </w:rPr>
      </w:pPr>
      <w:r>
        <w:rPr>
          <w:rFonts w:ascii="Arial" w:cs="Arial" w:eastAsia="Arial" w:hAnsi="Arial"/>
          <w:sz w:val="16"/>
          <w:szCs w:val="16"/>
          <w:color w:val="0E2A35"/>
        </w:rPr>
        <w:t>Submitting a new, later-dated proxy by (1) following the Internet voting instructions; (2) following the telephone voting instructions; or (3) completing, signing, dating and returning a new proxy card;</w:t>
      </w:r>
    </w:p>
    <w:p>
      <w:pPr>
        <w:spacing w:after="0" w:line="128" w:lineRule="exact"/>
        <w:rPr>
          <w:rFonts w:ascii="Arial" w:cs="Arial" w:eastAsia="Arial" w:hAnsi="Arial"/>
          <w:sz w:val="16"/>
          <w:szCs w:val="16"/>
          <w:color w:val="C7D265"/>
        </w:rPr>
      </w:pPr>
    </w:p>
    <w:p>
      <w:pPr>
        <w:ind w:left="720" w:hanging="360"/>
        <w:spacing w:after="0"/>
        <w:tabs>
          <w:tab w:leader="none" w:pos="720" w:val="left"/>
        </w:tabs>
        <w:numPr>
          <w:ilvl w:val="0"/>
          <w:numId w:val="61"/>
        </w:numPr>
        <w:rPr>
          <w:rFonts w:ascii="Arial" w:cs="Arial" w:eastAsia="Arial" w:hAnsi="Arial"/>
          <w:sz w:val="16"/>
          <w:szCs w:val="16"/>
          <w:color w:val="C7D265"/>
        </w:rPr>
      </w:pPr>
      <w:r>
        <w:rPr>
          <w:rFonts w:ascii="Arial" w:cs="Arial" w:eastAsia="Arial" w:hAnsi="Arial"/>
          <w:sz w:val="16"/>
          <w:szCs w:val="16"/>
          <w:color w:val="0E2A35"/>
        </w:rPr>
        <w:t>Giving written notice before the vote to our Secretary, stating that you are revoking your proxy; or</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61"/>
        </w:numPr>
        <w:rPr>
          <w:rFonts w:ascii="Arial" w:cs="Arial" w:eastAsia="Arial" w:hAnsi="Arial"/>
          <w:sz w:val="16"/>
          <w:szCs w:val="16"/>
          <w:color w:val="C7D265"/>
        </w:rPr>
      </w:pPr>
      <w:r>
        <w:rPr>
          <w:rFonts w:ascii="Arial" w:cs="Arial" w:eastAsia="Arial" w:hAnsi="Arial"/>
          <w:sz w:val="16"/>
          <w:szCs w:val="16"/>
          <w:color w:val="0E2A35"/>
        </w:rPr>
        <w:t>Attending the Annual Meeting and voting via the online voting platform.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E2A35"/>
        </w:rPr>
        <w:t>To revoke your proxy by Internet or telephone, you must do so by 12:00 p.m. Central Standard Time on December 12,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E2A35"/>
        </w:rPr>
        <w:t>Attending the Annual Meeting will not, by itself, revoke your proxy.</w:t>
      </w:r>
    </w:p>
    <w:p>
      <w:pPr>
        <w:spacing w:after="0" w:line="325"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Other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Forward-looking Information</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0E2A35"/>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3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0E2A35"/>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27, 2022 filed with the SEC for a list of such factors.</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190500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Other Matters</w:t>
      </w:r>
    </w:p>
    <w:p>
      <w:pPr>
        <w:spacing w:after="0" w:line="193"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0E2A35"/>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2023 Shareholder Proposals</w:t>
      </w:r>
    </w:p>
    <w:p>
      <w:pPr>
        <w:spacing w:after="0" w:line="180"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0E2A35"/>
        </w:rPr>
        <w:t>To be considered for inclusion in our proxy statement for the 2023 annual meeting, shareholder proposals other than a director nomination must comply with Rule 14a-8 under the Exchange Act and must be submitted in writing and received by us no later than July 3, 2023 at our principal executive offices, addressed to the Secretary.</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0E2A35"/>
        </w:rPr>
        <w:t>A shareholder proposal that is not intended for inclusion in our proxy statement under Rule 14a-8 or a shareholder nomination of a director candidate may be brought before the 2023 annual meeting so long as we receive information and notice of the proposal in compliance with the requirements of our bylaws. Notice of such proposal or nomination must be addressed to the Secretary at our principal executive offices and received no later than September 14, 2023 and no earlier than August 15, 2023.</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0E2A35"/>
        </w:rPr>
        <w:t>In addition, to comply with the SEC’s universal proxy rules, a shareholder who intends to solicit proxies in support of director nominees other than the Company’s nominees, must provide notice that sets forth the information required by Rule 14a-19 of the Exchange Act no later than October 14, 2023. However, this date does not supersede any of the requirements or timing required by our bylaws.</w:t>
      </w:r>
    </w:p>
    <w:p>
      <w:pPr>
        <w:spacing w:after="0" w:line="13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0E2A35"/>
        </w:rPr>
        <w:t>It is also possible that certain other deadlines would apply under either the Exchange Act rules or our bylaws if, for example, the date of our 2023 annual meeting differs from the anniversary of the 2022 Annual Meeting by more than the number of days specified in the Exchange Act rules or our bylaws, as applicable.</w:t>
      </w:r>
    </w:p>
    <w:p>
      <w:pPr>
        <w:spacing w:after="0" w:line="13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0E2A35"/>
        </w:rPr>
        <w:t>A copy of our bylaws may be obtained by written request to: Winnebago Industries, Inc., Attn: Senior Vice President, General Counsel, Secretary and Corporate Responsibility, 13200 Pioneer Trail, Eden Prairie, Minnesota 55347.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Proxy Solicitation Costs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E2A35"/>
        </w:rPr>
        <w:t>We will pay the cost of soliciting proxies. Proxies will be solicited primarily through the Internet and the use of mail. Our directors and employees (without additional compensation) may also solicit proxies in person, by telephone or email. We will reimburse brokers, banks, and other custodians, nominees, and fiduciaries for reasonable expenses incurred in forwarding proxies and proxy materials to the beneficial owners of Winnebago Industries stock.</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Annual Report</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E2A35"/>
        </w:rPr>
        <w:t xml:space="preserve">Our Annual Report for the fiscal year ended August 27, 2022 is available on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xml:space="preserve"> in the “Investors” section. The financial statements contained in the Annual Report are not deemed material to the exercise of prudent judgment in regard to any matter to be acted upon at the Annual Meeting and, therefore, such financial statements are not incorporated in this proxy statement by reference. You may also request a free copy of our Annual Report and proxy statement by writing to Winnebago Industries, Inc., Attn: Senior Vice President, General Counsel, Secretary and Corporate Responsibility, 13200 Pioneer Trail, Eden Prairie, Minnesota 55347.</w:t>
      </w:r>
    </w:p>
    <w:p>
      <w:pPr>
        <w:spacing w:after="0" w:line="141"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By Order of the Board of Directors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0E2A35"/>
        </w:rPr>
        <w:t>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-107315</wp:posOffset>
            </wp:positionV>
            <wp:extent cx="1431290" cy="3086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82"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 </w:t>
      </w:r>
    </w:p>
    <w:p>
      <w:pPr>
        <w:spacing w:after="0" w:line="113"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Stacy L. Bogart</w:t>
      </w:r>
    </w:p>
    <w:p>
      <w:pPr>
        <w:spacing w:after="0" w:line="113"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Senior Vice President - General Counsel, Secretary and</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Corporate Responsibility</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 xml:space="preserve">Proxy Statement for 2022 Annual Meeting      </w:t>
      </w:r>
      <w:r>
        <w:rPr>
          <w:rFonts w:ascii="Arial" w:cs="Arial" w:eastAsia="Arial" w:hAnsi="Arial"/>
          <w:sz w:val="13"/>
          <w:szCs w:val="13"/>
          <w:b w:val="1"/>
          <w:bCs w:val="1"/>
          <w:color w:val="0E2A35"/>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199390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161925</wp:posOffset>
            </wp:positionV>
            <wp:extent cx="6926580" cy="89579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6580" cy="89579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470535</wp:posOffset>
            </wp:positionV>
            <wp:extent cx="6292215" cy="8143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539115</wp:posOffset>
            </wp:positionV>
            <wp:extent cx="6292215" cy="8143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0E2A35"/>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6CEAF087"/>
    <w:multiLevelType w:val="hybridMultilevel"/>
    <w:lvl w:ilvl="0">
      <w:lvlJc w:val="left"/>
      <w:lvlText w:val="%1)"/>
      <w:numFmt w:val="decimal"/>
      <w:start w:val="4"/>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amp;"/>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lowerRoman"/>
      <w:start w:val="2"/>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3"/>
    </w:lvl>
  </w:abstractNum>
  <w:abstractNum w:abstractNumId="41">
    <w:nsid w:val="79A1DEAA"/>
    <w:multiLevelType w:val="hybridMultilevel"/>
    <w:lvl w:ilvl="0">
      <w:lvlJc w:val="left"/>
      <w:lvlText w:val="%1"/>
      <w:numFmt w:val="decimal"/>
      <w:start w:val="1"/>
    </w:lvl>
    <w:lvl w:ilvl="1">
      <w:lvlJc w:val="left"/>
      <w:lvlText w:val="(%2)"/>
      <w:numFmt w:val="lowerLetter"/>
      <w:start w:val="1"/>
    </w:lvl>
  </w:abstractNum>
  <w:abstractNum w:abstractNumId="42">
    <w:nsid w:val="75C6C33A"/>
    <w:multiLevelType w:val="hybridMultilevel"/>
    <w:lvl w:ilvl="0">
      <w:lvlJc w:val="left"/>
      <w:lvlText w:val="(%1)"/>
      <w:numFmt w:val="decimal"/>
      <w:start w:val="4"/>
    </w:lvl>
    <w:lvl w:ilvl="1">
      <w:lvlJc w:val="left"/>
      <w:lvlText w:val="%2"/>
      <w:numFmt w:val="lowerLetter"/>
      <w:start w:val="1"/>
    </w:lvl>
  </w:abstractNum>
  <w:abstractNum w:abstractNumId="43">
    <w:nsid w:val="12E685FB"/>
    <w:multiLevelType w:val="hybridMultilevel"/>
    <w:lvl w:ilvl="0">
      <w:lvlJc w:val="left"/>
      <w:lvlText w:val="(%1)"/>
      <w:numFmt w:val="decimal"/>
      <w:start w:val="6"/>
    </w:lvl>
  </w:abstractNum>
  <w:abstractNum w:abstractNumId="44">
    <w:nsid w:val="70C6A529"/>
    <w:multiLevelType w:val="hybridMultilevel"/>
    <w:lvl w:ilvl="0">
      <w:lvlJc w:val="left"/>
      <w:lvlText w:val="%1"/>
      <w:numFmt w:val="decimal"/>
      <w:start w:val="1"/>
    </w:lvl>
    <w:lvl w:ilvl="1">
      <w:lvlJc w:val="left"/>
      <w:lvlText w:val="(%2)"/>
      <w:numFmt w:val="lowerLetter"/>
      <w:start w:val="1"/>
    </w:lvl>
  </w:abstractNum>
  <w:abstractNum w:abstractNumId="45">
    <w:nsid w:val="520EEDD1"/>
    <w:multiLevelType w:val="hybridMultilevel"/>
    <w:lvl w:ilvl="0">
      <w:lvlJc w:val="left"/>
      <w:lvlText w:val="(%1)"/>
      <w:numFmt w:val="decimal"/>
      <w:start w:val="7"/>
    </w:lvl>
    <w:lvl w:ilvl="1">
      <w:lvlJc w:val="left"/>
      <w:lvlText w:val="%2"/>
      <w:numFmt w:val="lowerLetter"/>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2022-10-31T07:38:47Z</dcterms:created>
  <dcterms:modified xsi:type="dcterms:W3CDTF">2022-10-31T07:38:47Z</dcterms:modified>
</cp:coreProperties>
</file>