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62026_041005.xml.htm"/>
      <w:bookmarkStart w:id="1" w:name="ksform410162026_0410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Hughes Bryan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21,311</w:t>
            </w:r>
            <w:r>
              <w:rPr>
                <w:rFonts w:ascii="Times;serif" w:hAnsi="Times;serif"/>
                <w:color w:val="008000"/>
                <w:position w:val="7"/>
                <w:sz w:val="16"/>
                <w:sz w:val="20"/>
                <w:shd w:fill="FFFFFF" w:val="clear"/>
              </w:rPr>
              <w:t>(1)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104,559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1,586</w:t>
            </w:r>
            <w:r>
              <w:rPr>
                <w:rFonts w:ascii="Times;serif" w:hAnsi="Times;serif"/>
                <w:color w:val="008000"/>
                <w:position w:val="7"/>
                <w:sz w:val="16"/>
                <w:sz w:val="20"/>
                <w:shd w:fill="FFFFFF" w:val="clear"/>
              </w:rPr>
              <w:t>(2)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23.09</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102,973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23.09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29,999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29,999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10/14/2026 under the Winnebago Industries, Inc. Amended &amp; Restated 2019 Omnibus Incentive Plan. Restricted stock units vest in annual increments of one-third beginning on 10/14/2027.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Upon the annual incremental vesting of a restricted stock unit award granted 10/14/2025 under the Winnebago Industries, Inc. Amended &amp; Rested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Stock options vest in annual increments of one-third beginning on 10/14/2027.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8349"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731</Words>
  <Characters>3952</Characters>
  <CharactersWithSpaces>4593</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