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7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December 18,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156210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390" w:lineRule="exact"/>
        <w:rPr>
          <w:sz w:val="24"/>
          <w:szCs w:val="24"/>
          <w:color w:val="auto"/>
        </w:rPr>
      </w:pPr>
    </w:p>
    <w:tbl>
      <w:tblPr>
        <w:tblLayout w:type="fixed"/>
        <w:tblInd w:w="40" w:type="dxa"/>
        <w:tblCellMar>
          <w:top w:w="0" w:type="dxa"/>
          <w:left w:w="0" w:type="dxa"/>
          <w:bottom w:w="0" w:type="dxa"/>
          <w:right w:w="0" w:type="dxa"/>
        </w:tblCellMar>
      </w:tblPr>
      <w:tr>
        <w:trPr>
          <w:trHeight w:val="218"/>
        </w:trPr>
        <w:tc>
          <w:tcPr>
            <w:tcW w:w="16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b w:val="1"/>
                <w:bCs w:val="1"/>
                <w:color w:val="auto"/>
              </w:rPr>
              <w:t>Iowa</w:t>
            </w:r>
          </w:p>
        </w:tc>
        <w:tc>
          <w:tcPr>
            <w:tcW w:w="18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001-06403</w:t>
            </w:r>
          </w:p>
        </w:tc>
        <w:tc>
          <w:tcPr>
            <w:tcW w:w="4280" w:type="dxa"/>
            <w:vAlign w:val="bottom"/>
            <w:tcBorders>
              <w:bottom w:val="single" w:sz="8" w:color="auto"/>
            </w:tcBorders>
          </w:tcPr>
          <w:p>
            <w:pPr>
              <w:jc w:val="right"/>
              <w:ind w:right="1639"/>
              <w:spacing w:after="0"/>
              <w:rPr>
                <w:sz w:val="20"/>
                <w:szCs w:val="20"/>
                <w:color w:val="auto"/>
              </w:rPr>
            </w:pPr>
            <w:r>
              <w:rPr>
                <w:rFonts w:ascii="Arial" w:cs="Arial" w:eastAsia="Arial" w:hAnsi="Arial"/>
                <w:sz w:val="16"/>
                <w:szCs w:val="16"/>
                <w:b w:val="1"/>
                <w:bCs w:val="1"/>
                <w:color w:val="auto"/>
              </w:rPr>
              <w:t>42-0802678</w:t>
            </w:r>
          </w:p>
        </w:tc>
      </w:tr>
      <w:tr>
        <w:trPr>
          <w:trHeight w:val="206"/>
        </w:trPr>
        <w:tc>
          <w:tcPr>
            <w:tcW w:w="490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w:t>
            </w:r>
          </w:p>
        </w:tc>
        <w:tc>
          <w:tcPr>
            <w:tcW w:w="2000" w:type="dxa"/>
            <w:vAlign w:val="bottom"/>
          </w:tcPr>
          <w:p>
            <w:pPr>
              <w:jc w:val="right"/>
              <w:spacing w:after="0"/>
              <w:rPr>
                <w:sz w:val="20"/>
                <w:szCs w:val="20"/>
                <w:color w:val="auto"/>
              </w:rPr>
            </w:pPr>
            <w:r>
              <w:rPr>
                <w:rFonts w:ascii="Arial" w:cs="Arial" w:eastAsia="Arial" w:hAnsi="Arial"/>
                <w:sz w:val="16"/>
                <w:szCs w:val="16"/>
                <w:color w:val="auto"/>
              </w:rPr>
              <w:t>(Commission File Number)</w:t>
            </w:r>
          </w:p>
        </w:tc>
        <w:tc>
          <w:tcPr>
            <w:tcW w:w="428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35"/>
        </w:trPr>
        <w:tc>
          <w:tcPr>
            <w:tcW w:w="164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P.O. Box 152</w:t>
            </w:r>
          </w:p>
        </w:tc>
        <w:tc>
          <w:tcPr>
            <w:tcW w:w="138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rPr>
              <w:t>Forest City</w:t>
            </w:r>
          </w:p>
        </w:tc>
        <w:tc>
          <w:tcPr>
            <w:tcW w:w="1880" w:type="dxa"/>
            <w:vAlign w:val="bottom"/>
            <w:tcBorders>
              <w:bottom w:val="single" w:sz="8" w:color="auto"/>
            </w:tcBorders>
          </w:tcPr>
          <w:p>
            <w:pPr>
              <w:ind w:left="880"/>
              <w:spacing w:after="0"/>
              <w:rPr>
                <w:sz w:val="20"/>
                <w:szCs w:val="20"/>
                <w:color w:val="auto"/>
              </w:rPr>
            </w:pPr>
            <w:r>
              <w:rPr>
                <w:rFonts w:ascii="Arial" w:cs="Arial" w:eastAsia="Arial" w:hAnsi="Arial"/>
                <w:sz w:val="16"/>
                <w:szCs w:val="16"/>
                <w:b w:val="1"/>
                <w:bCs w:val="1"/>
                <w:color w:val="auto"/>
              </w:rPr>
              <w:t>Iowa</w:t>
            </w:r>
          </w:p>
        </w:tc>
        <w:tc>
          <w:tcPr>
            <w:tcW w:w="2000" w:type="dxa"/>
            <w:vAlign w:val="bottom"/>
          </w:tcPr>
          <w:p>
            <w:pPr>
              <w:spacing w:after="0"/>
              <w:rPr>
                <w:sz w:val="24"/>
                <w:szCs w:val="24"/>
                <w:color w:val="auto"/>
              </w:rPr>
            </w:pPr>
          </w:p>
        </w:tc>
        <w:tc>
          <w:tcPr>
            <w:tcW w:w="4280" w:type="dxa"/>
            <w:vAlign w:val="bottom"/>
            <w:tcBorders>
              <w:bottom w:val="single" w:sz="8" w:color="auto"/>
            </w:tcBorders>
          </w:tcPr>
          <w:p>
            <w:pPr>
              <w:jc w:val="right"/>
              <w:ind w:right="1839"/>
              <w:spacing w:after="0"/>
              <w:rPr>
                <w:sz w:val="20"/>
                <w:szCs w:val="20"/>
                <w:color w:val="auto"/>
              </w:rPr>
            </w:pPr>
            <w:r>
              <w:rPr>
                <w:rFonts w:ascii="Arial" w:cs="Arial" w:eastAsia="Arial" w:hAnsi="Arial"/>
                <w:sz w:val="16"/>
                <w:szCs w:val="16"/>
                <w:b w:val="1"/>
                <w:bCs w:val="1"/>
                <w:color w:val="auto"/>
              </w:rPr>
              <w:t>50436</w:t>
            </w:r>
          </w:p>
        </w:tc>
      </w:tr>
      <w:tr>
        <w:trPr>
          <w:trHeight w:val="207"/>
        </w:trPr>
        <w:tc>
          <w:tcPr>
            <w:tcW w:w="490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000" w:type="dxa"/>
            <w:vAlign w:val="bottom"/>
          </w:tcPr>
          <w:p>
            <w:pPr>
              <w:spacing w:after="0"/>
              <w:rPr>
                <w:sz w:val="17"/>
                <w:szCs w:val="17"/>
                <w:color w:val="auto"/>
              </w:rPr>
            </w:pPr>
          </w:p>
        </w:tc>
        <w:tc>
          <w:tcPr>
            <w:tcW w:w="4280" w:type="dxa"/>
            <w:vAlign w:val="bottom"/>
          </w:tcPr>
          <w:p>
            <w:pPr>
              <w:jc w:val="center"/>
              <w:spacing w:after="0"/>
              <w:rPr>
                <w:sz w:val="20"/>
                <w:szCs w:val="20"/>
                <w:color w:val="auto"/>
              </w:rPr>
            </w:pPr>
            <w:r>
              <w:rPr>
                <w:rFonts w:ascii="Arial" w:cs="Arial" w:eastAsia="Arial" w:hAnsi="Arial"/>
                <w:sz w:val="16"/>
                <w:szCs w:val="16"/>
                <w:color w:val="auto"/>
              </w:rPr>
              <w:t>(Zip Code)</w:t>
            </w:r>
          </w:p>
        </w:tc>
      </w:tr>
      <w:tr>
        <w:trPr>
          <w:trHeight w:val="561"/>
        </w:trPr>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80" w:type="dxa"/>
            <w:vAlign w:val="bottom"/>
            <w:gridSpan w:val="2"/>
          </w:tcPr>
          <w:p>
            <w:pPr>
              <w:jc w:val="right"/>
              <w:spacing w:after="0"/>
              <w:rPr>
                <w:sz w:val="20"/>
                <w:szCs w:val="20"/>
                <w:color w:val="auto"/>
              </w:rPr>
            </w:pPr>
            <w:r>
              <w:rPr>
                <w:rFonts w:ascii="Arial" w:cs="Arial" w:eastAsia="Arial" w:hAnsi="Arial"/>
                <w:sz w:val="16"/>
                <w:szCs w:val="16"/>
                <w:color w:val="auto"/>
              </w:rPr>
              <w:t>Registrant's telephone number, including area code</w:t>
            </w:r>
          </w:p>
        </w:tc>
        <w:tc>
          <w:tcPr>
            <w:tcW w:w="4280" w:type="dxa"/>
            <w:vAlign w:val="bottom"/>
          </w:tcPr>
          <w:p>
            <w:pPr>
              <w:jc w:val="right"/>
              <w:ind w:right="3099"/>
              <w:spacing w:after="0"/>
              <w:rPr>
                <w:sz w:val="20"/>
                <w:szCs w:val="20"/>
                <w:color w:val="auto"/>
              </w:rPr>
            </w:pPr>
            <w:r>
              <w:rPr>
                <w:rFonts w:ascii="Arial" w:cs="Arial" w:eastAsia="Arial" w:hAnsi="Arial"/>
                <w:sz w:val="16"/>
                <w:szCs w:val="16"/>
                <w:b w:val="1"/>
                <w:bCs w:val="1"/>
                <w:color w:val="auto"/>
              </w:rPr>
              <w:t>641-585-3535</w:t>
            </w:r>
          </w:p>
        </w:tc>
      </w:tr>
      <w:tr>
        <w:trPr>
          <w:trHeight w:val="189"/>
        </w:trPr>
        <w:tc>
          <w:tcPr>
            <w:tcW w:w="1640" w:type="dxa"/>
            <w:vAlign w:val="bottom"/>
          </w:tcPr>
          <w:p>
            <w:pPr>
              <w:spacing w:after="0"/>
              <w:rPr>
                <w:sz w:val="16"/>
                <w:szCs w:val="16"/>
                <w:color w:val="auto"/>
              </w:rPr>
            </w:pPr>
          </w:p>
        </w:tc>
        <w:tc>
          <w:tcPr>
            <w:tcW w:w="9540" w:type="dxa"/>
            <w:vAlign w:val="bottom"/>
            <w:gridSpan w:val="4"/>
          </w:tcPr>
          <w:p>
            <w:pPr>
              <w:jc w:val="right"/>
              <w:ind w:right="2359"/>
              <w:spacing w:after="0"/>
              <w:rPr>
                <w:sz w:val="20"/>
                <w:szCs w:val="20"/>
                <w:color w:val="auto"/>
              </w:rPr>
            </w:pPr>
            <w:r>
              <w:rPr>
                <w:rFonts w:ascii="Arial" w:cs="Arial" w:eastAsia="Arial" w:hAnsi="Arial"/>
                <w:sz w:val="16"/>
                <w:szCs w:val="16"/>
                <w:color w:val="auto"/>
              </w:rPr>
              <w:t>______________________________________________________________________</w:t>
            </w:r>
          </w:p>
        </w:tc>
      </w:tr>
      <w:tr>
        <w:trPr>
          <w:trHeight w:val="195"/>
        </w:trPr>
        <w:tc>
          <w:tcPr>
            <w:tcW w:w="1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160" w:type="dxa"/>
            <w:vAlign w:val="bottom"/>
            <w:gridSpan w:val="3"/>
          </w:tcPr>
          <w:p>
            <w:pPr>
              <w:jc w:val="center"/>
              <w:ind w:right="2999"/>
              <w:spacing w:after="0"/>
              <w:rPr>
                <w:sz w:val="20"/>
                <w:szCs w:val="20"/>
                <w:color w:val="auto"/>
              </w:rPr>
            </w:pPr>
            <w:r>
              <w:rPr>
                <w:rFonts w:ascii="Arial" w:cs="Arial" w:eastAsia="Arial" w:hAnsi="Arial"/>
                <w:sz w:val="16"/>
                <w:szCs w:val="16"/>
                <w:color w:val="auto"/>
              </w:rPr>
              <w:t>(Former Name or Former Address, if Changed Since Last Report.)</w:t>
            </w:r>
          </w:p>
        </w:tc>
      </w:tr>
    </w:tbl>
    <w:p>
      <w:pPr>
        <w:spacing w:after="0" w:line="237" w:lineRule="exact"/>
        <w:rPr>
          <w:sz w:val="24"/>
          <w:szCs w:val="24"/>
          <w:color w:val="auto"/>
        </w:rPr>
      </w:pPr>
    </w:p>
    <w:p>
      <w:pPr>
        <w:jc w:val="both"/>
        <w:ind w:right="2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right="2880" w:firstLine="8"/>
        <w:spacing w:after="0" w:line="421" w:lineRule="auto"/>
        <w:tabs>
          <w:tab w:leader="none" w:pos="3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07"/>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53" w:lineRule="exact"/>
        <w:rPr>
          <w:sz w:val="24"/>
          <w:szCs w:val="24"/>
          <w:color w:val="auto"/>
        </w:rPr>
      </w:pPr>
    </w:p>
    <w:p>
      <w:pPr>
        <w:jc w:val="both"/>
        <w:ind w:right="20"/>
        <w:spacing w:after="0" w:line="24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998"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6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On December 18, 2020, Winnebago Industries, Inc. issued a press release to report financial results for the first quarter of Fiscal 2021 ended November 28, 2020. A copy of the press release is attached as Exhibit 99.1 and is incorporated by reference herein.</w:t>
      </w:r>
    </w:p>
    <w:p>
      <w:pPr>
        <w:spacing w:after="0" w:line="222"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first quarter of Fiscal 2021.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24"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Exhibit</w:t>
      </w:r>
    </w:p>
    <w:p>
      <w:pPr>
        <w:ind w:left="420"/>
        <w:spacing w:after="0"/>
        <w:tabs>
          <w:tab w:leader="none" w:pos="136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10795</wp:posOffset>
            </wp:positionV>
            <wp:extent cx="6866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pacing w:after="0" w:line="26" w:lineRule="exact"/>
        <w:rPr>
          <w:sz w:val="20"/>
          <w:szCs w:val="20"/>
          <w:color w:val="auto"/>
        </w:rPr>
      </w:pPr>
    </w:p>
    <w:p>
      <w:pPr>
        <w:ind w:left="420"/>
        <w:spacing w:after="0"/>
        <w:tabs>
          <w:tab w:leader="none" w:pos="1360" w:val="left"/>
        </w:tabs>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99.1</w:t>
        </w:r>
      </w:hyperlink>
      <w:r>
        <w:rPr>
          <w:rFonts w:ascii="Arial" w:cs="Arial" w:eastAsia="Arial" w:hAnsi="Arial"/>
          <w:sz w:val="16"/>
          <w:szCs w:val="16"/>
          <w:color w:val="0000FF"/>
        </w:rPr>
        <w:tab/>
      </w:r>
      <w:hyperlink w:anchor="page4">
        <w:r>
          <w:rPr>
            <w:rFonts w:ascii="Arial" w:cs="Arial" w:eastAsia="Arial" w:hAnsi="Arial"/>
            <w:sz w:val="16"/>
            <w:szCs w:val="16"/>
            <w:u w:val="single" w:color="auto"/>
            <w:color w:val="0000FF"/>
          </w:rPr>
          <w:t xml:space="preserve">Press Release of Winnebago Industries, Inc. dated December </w:t>
        </w:r>
        <w:r>
          <w:rPr>
            <w:rFonts w:ascii="Arial" w:cs="Arial" w:eastAsia="Arial" w:hAnsi="Arial"/>
            <w:sz w:val="16"/>
            <w:szCs w:val="16"/>
            <w:color w:val="0000FF"/>
          </w:rPr>
          <w:t>18,</w:t>
        </w:r>
        <w:r>
          <w:rPr>
            <w:rFonts w:ascii="Arial" w:cs="Arial" w:eastAsia="Arial" w:hAnsi="Arial"/>
            <w:sz w:val="16"/>
            <w:szCs w:val="16"/>
            <w:u w:val="single" w:color="auto"/>
            <w:color w:val="0000FF"/>
          </w:rPr>
          <w:t xml:space="preserve">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790575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56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6480" w:type="dxa"/>
            <w:vAlign w:val="bottom"/>
            <w:gridSpan w:val="2"/>
          </w:tcPr>
          <w:p>
            <w:pPr>
              <w:ind w:left="102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433"/>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580" w:type="dxa"/>
            <w:vAlign w:val="bottom"/>
          </w:tcPr>
          <w:p>
            <w:pPr>
              <w:ind w:left="160"/>
              <w:spacing w:after="0"/>
              <w:rPr>
                <w:sz w:val="20"/>
                <w:szCs w:val="20"/>
                <w:color w:val="auto"/>
              </w:rPr>
            </w:pPr>
            <w:r>
              <w:rPr>
                <w:rFonts w:ascii="Arial" w:cs="Arial" w:eastAsia="Arial" w:hAnsi="Arial"/>
                <w:sz w:val="16"/>
                <w:szCs w:val="16"/>
                <w:color w:val="auto"/>
              </w:rPr>
              <w:t>December 18, 2020</w:t>
            </w:r>
          </w:p>
        </w:tc>
        <w:tc>
          <w:tcPr>
            <w:tcW w:w="1820" w:type="dxa"/>
            <w:vAlign w:val="bottom"/>
          </w:tcPr>
          <w:p>
            <w:pPr>
              <w:ind w:left="102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r>
      <w:tr>
        <w:trPr>
          <w:trHeight w:val="207"/>
        </w:trPr>
        <w:tc>
          <w:tcPr>
            <w:tcW w:w="5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820" w:type="dxa"/>
            <w:vAlign w:val="bottom"/>
          </w:tcPr>
          <w:p>
            <w:pPr>
              <w:ind w:left="102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Bryan L. Hughes</w:t>
            </w:r>
          </w:p>
        </w:tc>
      </w:tr>
      <w:tr>
        <w:trPr>
          <w:trHeight w:val="216"/>
        </w:trPr>
        <w:tc>
          <w:tcPr>
            <w:tcW w:w="5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20" w:type="dxa"/>
            <w:vAlign w:val="bottom"/>
          </w:tcPr>
          <w:p>
            <w:pPr>
              <w:ind w:left="102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rPr>
                <w:sz w:val="20"/>
                <w:szCs w:val="20"/>
                <w:color w:val="auto"/>
              </w:rPr>
            </w:pPr>
            <w:r>
              <w:rPr>
                <w:rFonts w:ascii="Arial" w:cs="Arial" w:eastAsia="Arial" w:hAnsi="Arial"/>
                <w:sz w:val="16"/>
                <w:szCs w:val="16"/>
                <w:color w:val="auto"/>
              </w:rPr>
              <w:t>Senior Vice President, Chief Financial Officer</w:t>
            </w:r>
          </w:p>
        </w:tc>
      </w:tr>
    </w:tbl>
    <w:p>
      <w:pPr>
        <w:sectPr>
          <w:pgSz w:w="11900" w:h="16838" w:orient="portrait"/>
          <w:cols w:equalWidth="0" w:num="1">
            <w:col w:w="11220"/>
          </w:cols>
          <w:pgMar w:left="320" w:top="881" w:right="359" w:bottom="1440" w:gutter="0" w:footer="0" w:header="0"/>
        </w:sectPr>
      </w:pPr>
    </w:p>
    <w:bookmarkStart w:id="3" w:name="page4"/>
    <w:bookmarkEnd w:id="3"/>
    <w:p>
      <w:pPr>
        <w:spacing w:after="0" w:line="1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749300</wp:posOffset>
            </wp:positionV>
            <wp:extent cx="2957195" cy="814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957195" cy="814705"/>
                    </a:xfrm>
                    <a:prstGeom prst="rect">
                      <a:avLst/>
                    </a:prstGeom>
                    <a:noFill/>
                  </pic:spPr>
                </pic:pic>
              </a:graphicData>
            </a:graphic>
          </wp:anchor>
        </w:drawing>
      </w:r>
    </w:p>
    <w:p>
      <w:pPr>
        <w:ind w:left="7020"/>
        <w:spacing w:after="0"/>
        <w:rPr>
          <w:sz w:val="20"/>
          <w:szCs w:val="20"/>
          <w:color w:val="auto"/>
        </w:rPr>
      </w:pPr>
      <w:r>
        <w:rPr>
          <w:rFonts w:ascii="Arial" w:cs="Arial" w:eastAsia="Arial" w:hAnsi="Arial"/>
          <w:sz w:val="43"/>
          <w:szCs w:val="43"/>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Contact: Steve Stuber - Investor Relations - 952-828-8461 - srstuber@wgo.net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WINNEBAGO INDUSTRIES ANNOUNCES STRONG FIRST QUARTER FISCAL 2021 RESULTS</w:t>
      </w:r>
    </w:p>
    <w:p>
      <w:pPr>
        <w:spacing w:after="0" w:line="198" w:lineRule="exact"/>
        <w:rPr>
          <w:sz w:val="20"/>
          <w:szCs w:val="20"/>
          <w:color w:val="auto"/>
        </w:rPr>
      </w:pPr>
    </w:p>
    <w:p>
      <w:pPr>
        <w:jc w:val="center"/>
        <w:ind w:left="360" w:right="1600"/>
        <w:spacing w:after="0" w:line="485" w:lineRule="auto"/>
        <w:rPr>
          <w:sz w:val="20"/>
          <w:szCs w:val="20"/>
          <w:color w:val="auto"/>
        </w:rPr>
      </w:pPr>
      <w:r>
        <w:rPr>
          <w:rFonts w:ascii="Arial" w:cs="Arial" w:eastAsia="Arial" w:hAnsi="Arial"/>
          <w:sz w:val="16"/>
          <w:szCs w:val="16"/>
          <w:b w:val="1"/>
          <w:bCs w:val="1"/>
          <w:color w:val="auto"/>
        </w:rPr>
        <w:t>-- Organic RV Market Share Gains Continue, Rising 110 Basis Points on a Trailing Twelve Month Basis -- -- Quarterly Revenues Up 34.8% Year-Over-Year, Bolstered by Strong End Consumer Demand -- -- First Quarter Gross Margin Expansion of 390 Basis Points -- -- Reported Diluted EPS of $1.70; Adjusted EPS of $1.69 Up 131.5% Over Prior Year -- -- Record Order Backlogs and Retail Sales Momentum Validate Continued Interest in the Outdoors --</w:t>
      </w:r>
    </w:p>
    <w:p>
      <w:pPr>
        <w:spacing w:after="0" w:line="253" w:lineRule="exact"/>
        <w:rPr>
          <w:sz w:val="20"/>
          <w:szCs w:val="20"/>
          <w:color w:val="auto"/>
        </w:rPr>
      </w:pPr>
    </w:p>
    <w:p>
      <w:pPr>
        <w:ind w:right="320"/>
        <w:spacing w:after="0" w:line="401" w:lineRule="auto"/>
        <w:rPr>
          <w:sz w:val="20"/>
          <w:szCs w:val="20"/>
          <w:color w:val="auto"/>
        </w:rPr>
      </w:pPr>
      <w:r>
        <w:rPr>
          <w:rFonts w:ascii="Arial" w:cs="Arial" w:eastAsia="Arial" w:hAnsi="Arial"/>
          <w:sz w:val="16"/>
          <w:szCs w:val="16"/>
          <w:color w:val="auto"/>
        </w:rPr>
        <w:t>FOREST CITY, IOWA, December 18, 2020 - Winnebago Industries, Inc. (NYSE: WGO), a leading outdoor lifestyle product manufacturer, today reported financial results for the Company's Fiscal 2021 first quarter.</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First Quarter Fiscal 2021 Results</w:t>
      </w:r>
    </w:p>
    <w:p>
      <w:pPr>
        <w:spacing w:after="0" w:line="86" w:lineRule="exact"/>
        <w:rPr>
          <w:sz w:val="20"/>
          <w:szCs w:val="20"/>
          <w:color w:val="auto"/>
        </w:rPr>
      </w:pPr>
    </w:p>
    <w:p>
      <w:pPr>
        <w:spacing w:after="0" w:line="353" w:lineRule="auto"/>
        <w:rPr>
          <w:sz w:val="20"/>
          <w:szCs w:val="20"/>
          <w:color w:val="auto"/>
        </w:rPr>
      </w:pPr>
      <w:r>
        <w:rPr>
          <w:rFonts w:ascii="Arial" w:cs="Arial" w:eastAsia="Arial" w:hAnsi="Arial"/>
          <w:sz w:val="16"/>
          <w:szCs w:val="16"/>
          <w:color w:val="auto"/>
        </w:rPr>
        <w:t>Revenues for the Fiscal 2021 first quarter ended November 28, 2020, were $793.1 million, an increase of 34.8% compared to $588.5 million for the Fiscal 2020 period, which included three weeks of Newmar performance. Fiscal 2021 first quarter revenues excluding Newmar were $674.4 million, reflecting an increase of 22.0% when excluding revenues from Newmar in the same period of Fiscal 2020, driven by strong end consumer demand. Gross profit was $137.0 million, an increase of 74.3% compared to $78.6 million for the Fiscal 2020 period. Gross profit margin increased 390 basis points in the quarter to 17.3%, driven by operating leverage, motorhome segment productivity initiatives and lower discounts and allowances, partially offset by the dilutive impact of mix related to the Newmar acquisition. Operating income was $85.0 million for the quarter, an increase of 255.8% compared to $23.9 million for the first quarter of last year. Fiscal 2021 first quarter net income was $57.4 million, an increase of 308.2% compared to $14.1 million in the prior year quarter. Reported earnings per diluted share was $1.70, compared to reported earnings per diluted share of $0.44 in the same period last year. Adjusted earnings per diluted share was $1.69, an increase of 131.5% compared to adjusted earnings per diluted share of $0.73 in the same period last year. Consolidated Adjusted EBITDA was $89.3 million for the quarter, compared to $42.0 million last year, an increase of 112.4%.</w:t>
      </w:r>
    </w:p>
    <w:p>
      <w:pPr>
        <w:spacing w:after="0" w:line="237" w:lineRule="exact"/>
        <w:rPr>
          <w:sz w:val="20"/>
          <w:szCs w:val="20"/>
          <w:color w:val="auto"/>
        </w:rPr>
      </w:pPr>
    </w:p>
    <w:p>
      <w:pPr>
        <w:ind w:right="20"/>
        <w:spacing w:after="0" w:line="354" w:lineRule="auto"/>
        <w:rPr>
          <w:sz w:val="20"/>
          <w:szCs w:val="20"/>
          <w:color w:val="auto"/>
        </w:rPr>
      </w:pPr>
      <w:r>
        <w:rPr>
          <w:rFonts w:ascii="Arial" w:cs="Arial" w:eastAsia="Arial" w:hAnsi="Arial"/>
          <w:sz w:val="16"/>
          <w:szCs w:val="16"/>
          <w:color w:val="auto"/>
        </w:rPr>
        <w:t>President and Chief Executive Officer Michael Happe commented, “Winnebago Industries’ first quarter results underscore the strength of our unmatched portfolio of leading brands and continued demand from the end consumer for our high quality, innovative outdoor products. The momentum we are seeing across our segments allowed us to capture the full value of our products in the marketplace, while continuing to gain market share. Our strong profit performance – including significant margin expansion – reflects the hard work and focus of our world-class Winnebago Industries team, which has maintained a commitment to operational excellence and safely manufacturing our products with a steadfast dedication to quality. We especially remain focused on continuing to deliver for our dealer partners, working hard to replenish their inventories, while ensuring strong financial performance and flexibility for both parties during these dynamic times. Interest in the outdoors is not waning and in fact,</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20"/>
          </w:cols>
          <w:pgMar w:left="320" w:top="1440" w:right="359" w:bottom="1440" w:gutter="0" w:footer="0" w:header="0"/>
        </w:sectPr>
      </w:pPr>
    </w:p>
    <w:bookmarkStart w:id="4" w:name="page5"/>
    <w:bookmarkEnd w:id="4"/>
    <w:p>
      <w:pPr>
        <w:ind w:right="540"/>
        <w:spacing w:after="0" w:line="366" w:lineRule="auto"/>
        <w:rPr>
          <w:sz w:val="20"/>
          <w:szCs w:val="20"/>
          <w:color w:val="auto"/>
        </w:rPr>
      </w:pPr>
      <w:r>
        <w:rPr>
          <w:rFonts w:ascii="Arial" w:cs="Arial" w:eastAsia="Arial" w:hAnsi="Arial"/>
          <w:sz w:val="16"/>
          <w:szCs w:val="16"/>
          <w:color w:val="auto"/>
        </w:rPr>
        <w:t>appears to be strengthening heading into calendar year 2021, and Winnebago Industries is positioned well to maximize value for our employees, end customers, dealers, and shareholders.”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Towable</w:t>
      </w:r>
    </w:p>
    <w:p>
      <w:pPr>
        <w:spacing w:after="0" w:line="86" w:lineRule="exact"/>
        <w:rPr>
          <w:sz w:val="20"/>
          <w:szCs w:val="20"/>
          <w:color w:val="auto"/>
        </w:rPr>
      </w:pPr>
    </w:p>
    <w:p>
      <w:pPr>
        <w:spacing w:after="0" w:line="355" w:lineRule="auto"/>
        <w:rPr>
          <w:sz w:val="20"/>
          <w:szCs w:val="20"/>
          <w:color w:val="auto"/>
        </w:rPr>
      </w:pPr>
      <w:r>
        <w:rPr>
          <w:rFonts w:ascii="Arial" w:cs="Arial" w:eastAsia="Arial" w:hAnsi="Arial"/>
          <w:sz w:val="16"/>
          <w:szCs w:val="16"/>
          <w:color w:val="auto"/>
        </w:rPr>
        <w:t>Revenues for the Towable segment were $454.9 million for the first quarter, up 33.3% over the prior year, primarily driven by strong continued end consumer demand for our Grand Design and Winnebago product lines. Segment Adjusted EBITDA was $63.1 million, up 76.5% over the prior year period. Adjusted EBITDA margin of 13.9% increased 340 basis points, primarily due to lower discounts and allowances and operating leverage during the quarter. Backlog increased to 29,659 units, an increase of 313.4% over the prior year period, as dealer inventories have experienced a significant reduction amidst heightened levels of consumer retail demand since the summer of 2020.</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Motorhome</w:t>
      </w:r>
    </w:p>
    <w:p>
      <w:pPr>
        <w:spacing w:after="0" w:line="86" w:lineRule="exact"/>
        <w:rPr>
          <w:sz w:val="20"/>
          <w:szCs w:val="20"/>
          <w:color w:val="auto"/>
        </w:rPr>
      </w:pPr>
    </w:p>
    <w:p>
      <w:pPr>
        <w:spacing w:after="0" w:line="355" w:lineRule="auto"/>
        <w:rPr>
          <w:sz w:val="20"/>
          <w:szCs w:val="20"/>
          <w:color w:val="auto"/>
        </w:rPr>
      </w:pPr>
      <w:r>
        <w:rPr>
          <w:rFonts w:ascii="Arial" w:cs="Arial" w:eastAsia="Arial" w:hAnsi="Arial"/>
          <w:sz w:val="16"/>
          <w:szCs w:val="16"/>
          <w:color w:val="auto"/>
        </w:rPr>
        <w:t>Revenues for the Motorhome segment were $322.4 million for the first quarter, up 42.7% from the prior year, driven by the addition of Newmar and strong Winnebago Class B products. Excluding Newmar, segment revenues were $203.6 million, an increase of 7.0% over the prior year period. Segment Adjusted EBITDA was $30.3 million, up 225.2% from the prior year. Adjusted EBITDA margin of 9.4% increased 530 basis points driven by pricing actions, including lower discounts and allowances, productivity initiatives and operating leverage. Backlog increased to 13,217 units, an increase of 402.4% over the prior year period, as dealer inventories have experienced a significant reduction amidst heightened levels of consumer retail demand in the last six months.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Balance Sheet and Cash Flow</w:t>
      </w:r>
    </w:p>
    <w:p>
      <w:pPr>
        <w:spacing w:after="0" w:line="86" w:lineRule="exact"/>
        <w:rPr>
          <w:sz w:val="20"/>
          <w:szCs w:val="20"/>
          <w:color w:val="auto"/>
        </w:rPr>
      </w:pPr>
    </w:p>
    <w:p>
      <w:pPr>
        <w:ind w:right="20"/>
        <w:spacing w:after="0" w:line="359" w:lineRule="auto"/>
        <w:rPr>
          <w:sz w:val="20"/>
          <w:szCs w:val="20"/>
          <w:color w:val="auto"/>
        </w:rPr>
      </w:pPr>
      <w:r>
        <w:rPr>
          <w:rFonts w:ascii="Arial" w:cs="Arial" w:eastAsia="Arial" w:hAnsi="Arial"/>
          <w:sz w:val="16"/>
          <w:szCs w:val="16"/>
          <w:color w:val="auto"/>
        </w:rPr>
        <w:t>As of November 28, 2020, the Company had total outstanding debt of $516.5 million ($600.0 million of debt, net of convertible note discount of $70.9 million, and net of debt issuance costs of $12.5 million) and working capital of $475.0 million. Cash flow from operations was an outflow of $2.7 million in the first quarter of Fiscal 2021, as inventory levels have increased in response to very strong dealer orders and heightened backlog position.</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Quarterly Cash Dividend</w:t>
      </w:r>
    </w:p>
    <w:p>
      <w:pPr>
        <w:spacing w:after="0" w:line="86" w:lineRule="exact"/>
        <w:rPr>
          <w:sz w:val="20"/>
          <w:szCs w:val="20"/>
          <w:color w:val="auto"/>
        </w:rPr>
      </w:pPr>
    </w:p>
    <w:p>
      <w:pPr>
        <w:ind w:right="80"/>
        <w:spacing w:after="0" w:line="366" w:lineRule="auto"/>
        <w:rPr>
          <w:sz w:val="20"/>
          <w:szCs w:val="20"/>
          <w:color w:val="auto"/>
        </w:rPr>
      </w:pPr>
      <w:r>
        <w:rPr>
          <w:rFonts w:ascii="Arial" w:cs="Arial" w:eastAsia="Arial" w:hAnsi="Arial"/>
          <w:sz w:val="16"/>
          <w:szCs w:val="16"/>
          <w:color w:val="auto"/>
        </w:rPr>
        <w:t>On December 16, 2020, the Company’s board of directors approved a quarterly cash dividend of $0.12 per share payable on January 27, 2021, to common stockholders of record at the close of business on January 13, 2021.</w:t>
      </w:r>
    </w:p>
    <w:p>
      <w:pPr>
        <w:spacing w:after="0" w:line="222" w:lineRule="exact"/>
        <w:rPr>
          <w:sz w:val="20"/>
          <w:szCs w:val="20"/>
          <w:color w:val="auto"/>
        </w:rPr>
      </w:pPr>
    </w:p>
    <w:p>
      <w:pPr>
        <w:ind w:right="40"/>
        <w:spacing w:after="0" w:line="353" w:lineRule="auto"/>
        <w:rPr>
          <w:sz w:val="20"/>
          <w:szCs w:val="20"/>
          <w:color w:val="auto"/>
        </w:rPr>
      </w:pPr>
      <w:r>
        <w:rPr>
          <w:rFonts w:ascii="Arial" w:cs="Arial" w:eastAsia="Arial" w:hAnsi="Arial"/>
          <w:sz w:val="16"/>
          <w:szCs w:val="16"/>
          <w:color w:val="auto"/>
        </w:rPr>
        <w:t>Mr. Happe continued, “During the first quarter we unveiled a refreshed Winnebago Industries enterprise brand, that reflects our status as a fast-growing company with a portfolio of premium outdoor brands. While proud of our iconic flagship Winnebago-brand RVs, the parent organization, Winnebago Industries, also reflects our pride in having the Grand Design, Newmar, and Chris-Craft businesses as part of our family and the aspiration that all our employees and end customers share together to “Be Great, Outdoors”. Our recently published 2020 Corporate Responsibility report reinforces our six core cultural values and outlines the actions we have taken to enhance sustainability and support the communities in which our stakeholders live, work, and play. I am exceptionally proud of our team’s efforts in not only delivering fantastic results, but also driving positive change within our organization and neighborhoods. Throughout the remainder of Fiscal Year 2021, Winnebago Industries will be focused on building upon our market momentum, and doing good in the social arena as well. We are confident that the favorable industry dynamics in the RV and marine markets and the unique appeal of our innovative products will continue to drive market share gains and strong financial results."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86" w:lineRule="exact"/>
        <w:rPr>
          <w:sz w:val="20"/>
          <w:szCs w:val="20"/>
          <w:color w:val="auto"/>
        </w:rPr>
      </w:pPr>
    </w:p>
    <w:p>
      <w:pPr>
        <w:ind w:right="540"/>
        <w:spacing w:after="0" w:line="366" w:lineRule="auto"/>
        <w:rPr>
          <w:sz w:val="20"/>
          <w:szCs w:val="20"/>
          <w:color w:val="auto"/>
        </w:rPr>
      </w:pPr>
      <w:r>
        <w:rPr>
          <w:rFonts w:ascii="Arial" w:cs="Arial" w:eastAsia="Arial" w:hAnsi="Arial"/>
          <w:sz w:val="16"/>
          <w:szCs w:val="16"/>
          <w:color w:val="auto"/>
        </w:rPr>
        <w:t>Winnebago Industries, Inc. will discuss Fiscal 2021 first quarter earnings results during a conference call scheduled for 9:00 a.m. Central Time today. Members of the news media, investors and the general public are invited to access a live broadcast of the</w:t>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00"/>
          </w:cols>
          <w:pgMar w:left="320" w:top="951" w:right="379" w:bottom="1440" w:gutter="0" w:footer="0" w:header="0"/>
        </w:sectPr>
      </w:pPr>
    </w:p>
    <w:bookmarkStart w:id="5" w:name="page6"/>
    <w:bookmarkEnd w:id="5"/>
    <w:p>
      <w:pPr>
        <w:ind w:right="220"/>
        <w:spacing w:after="0" w:line="366" w:lineRule="auto"/>
        <w:rPr>
          <w:sz w:val="20"/>
          <w:szCs w:val="20"/>
          <w:color w:val="auto"/>
        </w:rPr>
      </w:pPr>
      <w:r>
        <w:rPr>
          <w:rFonts w:ascii="Arial" w:cs="Arial" w:eastAsia="Arial" w:hAnsi="Arial"/>
          <w:sz w:val="16"/>
          <w:szCs w:val="16"/>
          <w:color w:val="auto"/>
        </w:rPr>
        <w:t xml:space="preserve">conference call via the Investor Relations page of the Company's website at </w:t>
      </w:r>
      <w:r>
        <w:rPr>
          <w:rFonts w:ascii="Arial" w:cs="Arial" w:eastAsia="Arial" w:hAnsi="Arial"/>
          <w:sz w:val="16"/>
          <w:szCs w:val="16"/>
          <w:u w:val="single" w:color="auto"/>
          <w:color w:val="3051F2"/>
        </w:rPr>
        <w:t>http://investor.wgo.net</w:t>
      </w:r>
      <w:r>
        <w:rPr>
          <w:rFonts w:ascii="Arial" w:cs="Arial" w:eastAsia="Arial" w:hAnsi="Arial"/>
          <w:sz w:val="16"/>
          <w:szCs w:val="16"/>
          <w:color w:val="auto"/>
        </w:rPr>
        <w:t>. The event will be archived and available for replay for the next 90 days.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86" w:lineRule="exact"/>
        <w:rPr>
          <w:sz w:val="20"/>
          <w:szCs w:val="20"/>
          <w:color w:val="auto"/>
        </w:rPr>
      </w:pPr>
    </w:p>
    <w:p>
      <w:pPr>
        <w:ind w:right="1960"/>
        <w:spacing w:after="0" w:line="354" w:lineRule="auto"/>
        <w:rPr>
          <w:sz w:val="20"/>
          <w:szCs w:val="20"/>
          <w:color w:val="auto"/>
        </w:rPr>
      </w:pPr>
      <w:r>
        <w:rPr>
          <w:rFonts w:ascii="Arial" w:cs="Arial" w:eastAsia="Arial" w:hAnsi="Arial"/>
          <w:sz w:val="16"/>
          <w:szCs w:val="16"/>
          <w:color w:val="auto"/>
        </w:rPr>
        <w:t xml:space="preserve">Winnebago Industries, Inc. is a leading North American manufacturer of outdoor lifestyle products under the Winnebago, Grand Design, Chris-Craft, and Newmar brands, which are used primarily in leisure travel and outdoor recreation activities. The Company builds quality motorhomes, travel trailers, fifth wheel products and boats.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w:t>
      </w:r>
      <w:r>
        <w:rPr>
          <w:rFonts w:ascii="Arial" w:cs="Arial" w:eastAsia="Arial" w:hAnsi="Arial"/>
          <w:sz w:val="16"/>
          <w:szCs w:val="16"/>
          <w:u w:val="single" w:color="auto"/>
          <w:color w:val="3051F2"/>
        </w:rPr>
        <w:t>http://investor.wgo.net</w:t>
      </w:r>
      <w:r>
        <w:rPr>
          <w:rFonts w:ascii="Arial" w:cs="Arial" w:eastAsia="Arial" w:hAnsi="Arial"/>
          <w:sz w:val="16"/>
          <w:szCs w:val="16"/>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 Looking Statements</w:t>
      </w:r>
    </w:p>
    <w:p>
      <w:pPr>
        <w:spacing w:after="0" w:line="86" w:lineRule="exact"/>
        <w:rPr>
          <w:sz w:val="20"/>
          <w:szCs w:val="20"/>
          <w:color w:val="auto"/>
        </w:rPr>
      </w:pPr>
    </w:p>
    <w:p>
      <w:pPr>
        <w:spacing w:after="0" w:line="353"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ERP, risks related to compliance with debt covenants and leverage ratios,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00"/>
          </w:cols>
          <w:pgMar w:left="320" w:top="951" w:right="37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12"/>
        </w:trPr>
        <w:tc>
          <w:tcPr>
            <w:tcW w:w="45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420"/>
              <w:spacing w:after="0"/>
              <w:rPr>
                <w:sz w:val="20"/>
                <w:szCs w:val="20"/>
                <w:color w:val="auto"/>
              </w:rPr>
            </w:pPr>
            <w:r>
              <w:rPr>
                <w:rFonts w:ascii="Arial" w:cs="Arial" w:eastAsia="Arial" w:hAnsi="Arial"/>
                <w:sz w:val="16"/>
                <w:szCs w:val="16"/>
                <w:b w:val="1"/>
                <w:bCs w:val="1"/>
                <w:color w:val="auto"/>
              </w:rPr>
              <w:t>November 28, 2020</w:t>
            </w: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November 30, 2019</w:t>
            </w:r>
          </w:p>
        </w:tc>
        <w:tc>
          <w:tcPr>
            <w:tcW w:w="760" w:type="dxa"/>
            <w:vAlign w:val="bottom"/>
            <w:tcBorders>
              <w:bottom w:val="single" w:sz="8" w:color="auto"/>
            </w:tcBorders>
          </w:tcPr>
          <w:p>
            <w:pPr>
              <w:spacing w:after="0"/>
              <w:rPr>
                <w:sz w:val="18"/>
                <w:szCs w:val="18"/>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793,131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588,458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656,127</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82.7 %</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509,845</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86.6 %</w:t>
            </w:r>
          </w:p>
        </w:tc>
      </w:tr>
      <w:tr>
        <w:trPr>
          <w:trHeight w:val="213"/>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137,004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78,613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48,399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6.1 %</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51,105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8.7 %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3,614</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51,989</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6.6 %</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54,719</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9.3 %</w:t>
            </w: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85,015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9,941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6,049</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expense (income)</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74,980</w:t>
            </w: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9.5 %</w:t>
            </w: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17,961</w:t>
            </w: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17,557</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3,893</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12"/>
        </w:trPr>
        <w:tc>
          <w:tcPr>
            <w:tcW w:w="4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57,423</w:t>
            </w:r>
          </w:p>
        </w:tc>
        <w:tc>
          <w:tcPr>
            <w:tcW w:w="1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7.2 %</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14,068</w:t>
            </w:r>
          </w:p>
        </w:tc>
        <w:tc>
          <w:tcPr>
            <w:tcW w:w="1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Income per common share:</w:t>
            </w: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13"/>
        </w:trPr>
        <w:tc>
          <w:tcPr>
            <w:tcW w:w="4580" w:type="dxa"/>
            <w:vAlign w:val="bottom"/>
          </w:tcPr>
          <w:p>
            <w:pPr>
              <w:ind w:left="180"/>
              <w:spacing w:after="0"/>
              <w:rPr>
                <w:sz w:val="20"/>
                <w:szCs w:val="20"/>
                <w:color w:val="auto"/>
              </w:rPr>
            </w:pPr>
            <w:r>
              <w:rPr>
                <w:rFonts w:ascii="Arial" w:cs="Arial" w:eastAsia="Arial" w:hAnsi="Arial"/>
                <w:sz w:val="16"/>
                <w:szCs w:val="16"/>
                <w:color w:val="auto"/>
              </w:rPr>
              <w:t>Basic</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33,609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32,067</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0"/>
        </w:trPr>
        <w:tc>
          <w:tcPr>
            <w:tcW w:w="4580" w:type="dxa"/>
            <w:vAlign w:val="bottom"/>
          </w:tcPr>
          <w:p>
            <w:pPr>
              <w:ind w:left="180"/>
              <w:spacing w:after="0"/>
              <w:rPr>
                <w:sz w:val="20"/>
                <w:szCs w:val="20"/>
                <w:color w:val="auto"/>
              </w:rPr>
            </w:pPr>
            <w:r>
              <w:rPr>
                <w:rFonts w:ascii="Arial" w:cs="Arial" w:eastAsia="Arial" w:hAnsi="Arial"/>
                <w:sz w:val="16"/>
                <w:szCs w:val="16"/>
                <w:color w:val="auto"/>
              </w:rPr>
              <w:t>Diluted</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33,839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32,267</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Percentages may not add due to rounding differences.</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80"/>
          </w:cols>
          <w:pgMar w:left="320" w:top="886" w:right="39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2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Arial" w:cs="Arial" w:eastAsia="Arial" w:hAnsi="Arial"/>
                <w:sz w:val="16"/>
                <w:szCs w:val="16"/>
                <w:b w:val="1"/>
                <w:bCs w:val="1"/>
                <w:color w:val="auto"/>
              </w:rPr>
              <w:t>November 28, 2020</w:t>
            </w:r>
          </w:p>
        </w:tc>
        <w:tc>
          <w:tcPr>
            <w:tcW w:w="14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b w:val="1"/>
                <w:bCs w:val="1"/>
                <w:color w:val="auto"/>
              </w:rPr>
              <w:t>August 29, 2020</w:t>
            </w:r>
          </w:p>
        </w:tc>
      </w:tr>
      <w:tr>
        <w:trPr>
          <w:trHeight w:val="212"/>
        </w:trPr>
        <w:tc>
          <w:tcPr>
            <w:tcW w:w="8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272,939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292,575</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Receivables, net</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231,182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220,798</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263,137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182,941</w:t>
            </w:r>
          </w:p>
        </w:tc>
      </w:tr>
      <w:tr>
        <w:trPr>
          <w:trHeight w:val="213"/>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assets</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21,162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17,296</w:t>
            </w:r>
          </w:p>
        </w:tc>
      </w:tr>
      <w:tr>
        <w:trPr>
          <w:trHeight w:val="212"/>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788,420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713,610</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Total property, plant, and equipment, net</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171,210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174,945</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Goodwill</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348,058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348,058</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intangible assets, net</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401,178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404,768</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Investment in life insurance</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27,904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27,838</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assets</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29,463</w:t>
            </w:r>
          </w:p>
        </w:tc>
      </w:tr>
      <w:tr>
        <w:trPr>
          <w:trHeight w:val="213"/>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assets</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15,382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15,018</w:t>
            </w: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1,780,990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1,713,700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132,490</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Income taxes payable</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25,565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8,840</w:t>
            </w:r>
          </w:p>
        </w:tc>
      </w:tr>
      <w:tr>
        <w:trPr>
          <w:trHeight w:val="216"/>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w:t>
            </w: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164,508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159,060</w:t>
            </w:r>
          </w:p>
        </w:tc>
      </w:tr>
      <w:tr>
        <w:trPr>
          <w:trHeight w:val="210"/>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current liabilities</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313,401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300,390</w:t>
            </w:r>
          </w:p>
        </w:tc>
      </w:tr>
      <w:tr>
        <w:trPr>
          <w:trHeight w:val="19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Long-term debt, less current maturities</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516,527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512,630</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15,608</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Unrecognized tax benefits</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6,511</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27,048</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11,130</w:t>
            </w:r>
          </w:p>
        </w:tc>
      </w:tr>
      <w:tr>
        <w:trPr>
          <w:trHeight w:val="216"/>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18,953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12,917</w:t>
            </w:r>
          </w:p>
        </w:tc>
      </w:tr>
      <w:tr>
        <w:trPr>
          <w:trHeight w:val="209"/>
        </w:trPr>
        <w:tc>
          <w:tcPr>
            <w:tcW w:w="8020" w:type="dxa"/>
            <w:vAlign w:val="bottom"/>
          </w:tcPr>
          <w:p>
            <w:pPr>
              <w:ind w:left="220"/>
              <w:spacing w:after="0"/>
              <w:rPr>
                <w:sz w:val="20"/>
                <w:szCs w:val="20"/>
                <w:color w:val="auto"/>
              </w:rPr>
            </w:pPr>
            <w:r>
              <w:rPr>
                <w:rFonts w:ascii="Arial" w:cs="Arial" w:eastAsia="Arial" w:hAnsi="Arial"/>
                <w:sz w:val="16"/>
                <w:szCs w:val="16"/>
                <w:color w:val="auto"/>
              </w:rPr>
              <w:t>Total non-current liabilities</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596,031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585,844</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871,558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827,466</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1,780,990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1,713,700</w:t>
            </w:r>
          </w:p>
        </w:tc>
      </w:tr>
      <w:tr>
        <w:trPr>
          <w:trHeight w:val="20"/>
        </w:trPr>
        <w:tc>
          <w:tcPr>
            <w:tcW w:w="8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00"/>
          </w:cols>
          <w:pgMar w:left="320" w:top="886" w:right="37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tcBorders>
              <w:bottom w:val="single" w:sz="8" w:color="auto"/>
            </w:tcBorders>
          </w:tcPr>
          <w:p>
            <w:pPr>
              <w:spacing w:after="0"/>
              <w:rPr>
                <w:sz w:val="18"/>
                <w:szCs w:val="18"/>
                <w:color w:val="auto"/>
              </w:rPr>
            </w:pPr>
          </w:p>
        </w:tc>
      </w:tr>
      <w:tr>
        <w:trPr>
          <w:trHeight w:val="215"/>
        </w:trPr>
        <w:tc>
          <w:tcPr>
            <w:tcW w:w="800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640" w:type="dxa"/>
            <w:vAlign w:val="bottom"/>
            <w:gridSpan w:val="3"/>
          </w:tcPr>
          <w:p>
            <w:pPr>
              <w:ind w:left="20"/>
              <w:spacing w:after="0"/>
              <w:rPr>
                <w:sz w:val="20"/>
                <w:szCs w:val="20"/>
                <w:color w:val="auto"/>
              </w:rPr>
            </w:pPr>
            <w:r>
              <w:rPr>
                <w:rFonts w:ascii="Arial" w:cs="Arial" w:eastAsia="Arial" w:hAnsi="Arial"/>
                <w:sz w:val="16"/>
                <w:szCs w:val="16"/>
                <w:b w:val="1"/>
                <w:bCs w:val="1"/>
                <w:color w:val="auto"/>
              </w:rPr>
              <w:t>November 28, 2020</w:t>
            </w: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30, 2019</w:t>
            </w:r>
          </w:p>
        </w:tc>
      </w:tr>
      <w:tr>
        <w:trPr>
          <w:trHeight w:val="210"/>
        </w:trPr>
        <w:tc>
          <w:tcPr>
            <w:tcW w:w="8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4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3"/>
        </w:trPr>
        <w:tc>
          <w:tcPr>
            <w:tcW w:w="80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57,423</w:t>
            </w:r>
          </w:p>
        </w:tc>
        <w:tc>
          <w:tcPr>
            <w:tcW w:w="10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14,068</w:t>
            </w:r>
          </w:p>
        </w:tc>
      </w:tr>
      <w:tr>
        <w:trPr>
          <w:trHeight w:val="219"/>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8000" w:type="dxa"/>
            <w:vAlign w:val="bottom"/>
          </w:tcPr>
          <w:p>
            <w:pPr>
              <w:ind w:left="120"/>
              <w:spacing w:after="0"/>
              <w:rPr>
                <w:sz w:val="20"/>
                <w:szCs w:val="20"/>
                <w:color w:val="auto"/>
              </w:rPr>
            </w:pPr>
            <w:r>
              <w:rPr>
                <w:rFonts w:ascii="Arial" w:cs="Arial" w:eastAsia="Arial" w:hAnsi="Arial"/>
                <w:sz w:val="16"/>
                <w:szCs w:val="16"/>
                <w:color w:val="auto"/>
              </w:rPr>
              <w:t>Depreciation</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4,160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3,586</w:t>
            </w: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intangibles</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3,614</w:t>
            </w:r>
          </w:p>
        </w:tc>
      </w:tr>
      <w:tr>
        <w:trPr>
          <w:trHeight w:val="213"/>
        </w:trPr>
        <w:tc>
          <w:tcPr>
            <w:tcW w:w="8000" w:type="dxa"/>
            <w:vAlign w:val="bottom"/>
          </w:tcPr>
          <w:p>
            <w:pPr>
              <w:ind w:left="120"/>
              <w:spacing w:after="0"/>
              <w:rPr>
                <w:sz w:val="20"/>
                <w:szCs w:val="20"/>
                <w:color w:val="auto"/>
              </w:rPr>
            </w:pPr>
            <w:r>
              <w:rPr>
                <w:rFonts w:ascii="Arial" w:cs="Arial" w:eastAsia="Arial" w:hAnsi="Arial"/>
                <w:sz w:val="16"/>
                <w:szCs w:val="16"/>
                <w:color w:val="auto"/>
              </w:rPr>
              <w:t>Non-cash interest expense, net</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3,351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1,023</w:t>
            </w: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debt issuance costs</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w:t>
            </w:r>
          </w:p>
        </w:tc>
      </w:tr>
      <w:tr>
        <w:trPr>
          <w:trHeight w:val="213"/>
        </w:trPr>
        <w:tc>
          <w:tcPr>
            <w:tcW w:w="8000" w:type="dxa"/>
            <w:vAlign w:val="bottom"/>
          </w:tcPr>
          <w:p>
            <w:pPr>
              <w:ind w:left="120"/>
              <w:spacing w:after="0"/>
              <w:rPr>
                <w:sz w:val="20"/>
                <w:szCs w:val="20"/>
                <w:color w:val="auto"/>
              </w:rPr>
            </w:pPr>
            <w:r>
              <w:rPr>
                <w:rFonts w:ascii="Arial" w:cs="Arial" w:eastAsia="Arial" w:hAnsi="Arial"/>
                <w:sz w:val="16"/>
                <w:szCs w:val="16"/>
                <w:color w:val="auto"/>
              </w:rPr>
              <w:t>Last in, first-out expense</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332</w:t>
            </w: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w:t>
            </w:r>
          </w:p>
        </w:tc>
      </w:tr>
      <w:tr>
        <w:trPr>
          <w:trHeight w:val="213"/>
        </w:trPr>
        <w:tc>
          <w:tcPr>
            <w:tcW w:w="8000" w:type="dxa"/>
            <w:vAlign w:val="bottom"/>
          </w:tcPr>
          <w:p>
            <w:pPr>
              <w:ind w:left="120"/>
              <w:spacing w:after="0"/>
              <w:rPr>
                <w:sz w:val="20"/>
                <w:szCs w:val="20"/>
                <w:color w:val="auto"/>
              </w:rPr>
            </w:pPr>
            <w:r>
              <w:rPr>
                <w:rFonts w:ascii="Arial" w:cs="Arial" w:eastAsia="Arial" w:hAnsi="Arial"/>
                <w:sz w:val="16"/>
                <w:szCs w:val="16"/>
                <w:color w:val="auto"/>
              </w:rPr>
              <w:t>Deferred income taxes</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731</w:t>
            </w: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3"/>
        </w:trPr>
        <w:tc>
          <w:tcPr>
            <w:tcW w:w="8000" w:type="dxa"/>
            <w:vAlign w:val="bottom"/>
          </w:tcPr>
          <w:p>
            <w:pPr>
              <w:spacing w:after="0"/>
              <w:rPr>
                <w:sz w:val="20"/>
                <w:szCs w:val="20"/>
                <w:color w:val="auto"/>
              </w:rPr>
            </w:pPr>
            <w:r>
              <w:rPr>
                <w:rFonts w:ascii="Arial" w:cs="Arial" w:eastAsia="Arial" w:hAnsi="Arial"/>
                <w:sz w:val="16"/>
                <w:szCs w:val="16"/>
                <w:color w:val="auto"/>
              </w:rPr>
              <w:t>Change in assets and liabilities:</w:t>
            </w: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Receivables</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27,906</w:t>
            </w:r>
          </w:p>
        </w:tc>
      </w:tr>
      <w:tr>
        <w:trPr>
          <w:trHeight w:val="213"/>
        </w:trPr>
        <w:tc>
          <w:tcPr>
            <w:tcW w:w="800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(80,472)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20,082</w:t>
            </w: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expenses and other assets</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13"/>
        </w:trPr>
        <w:tc>
          <w:tcPr>
            <w:tcW w:w="800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(8,371)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(4,214)</w:t>
            </w: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taxes and unrecognized tax benefits</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3,217</w:t>
            </w:r>
          </w:p>
        </w:tc>
      </w:tr>
      <w:tr>
        <w:trPr>
          <w:trHeight w:val="213"/>
        </w:trPr>
        <w:tc>
          <w:tcPr>
            <w:tcW w:w="80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10,111</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6,364</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provided by operating activities</w:t>
            </w: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(2,670)</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79,033</w:t>
            </w:r>
          </w:p>
        </w:tc>
      </w:tr>
      <w:tr>
        <w:trPr>
          <w:trHeight w:val="239"/>
        </w:trPr>
        <w:tc>
          <w:tcPr>
            <w:tcW w:w="8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3"/>
        </w:trPr>
        <w:tc>
          <w:tcPr>
            <w:tcW w:w="8000" w:type="dxa"/>
            <w:vAlign w:val="bottom"/>
          </w:tcPr>
          <w:p>
            <w:pPr>
              <w:ind w:left="120"/>
              <w:spacing w:after="0"/>
              <w:rPr>
                <w:sz w:val="20"/>
                <w:szCs w:val="20"/>
                <w:color w:val="auto"/>
              </w:rPr>
            </w:pPr>
            <w:r>
              <w:rPr>
                <w:rFonts w:ascii="Arial" w:cs="Arial" w:eastAsia="Arial" w:hAnsi="Arial"/>
                <w:sz w:val="16"/>
                <w:szCs w:val="16"/>
                <w:color w:val="auto"/>
              </w:rPr>
              <w:t>Purchases of property and equipment</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(8,689)</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(6,624)</w:t>
            </w: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 of business, net of cash acquired</w:t>
            </w:r>
          </w:p>
        </w:tc>
        <w:tc>
          <w:tcPr>
            <w:tcW w:w="4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(264,280)</w:t>
            </w:r>
          </w:p>
        </w:tc>
      </w:tr>
      <w:tr>
        <w:trPr>
          <w:trHeight w:val="213"/>
        </w:trPr>
        <w:tc>
          <w:tcPr>
            <w:tcW w:w="8000" w:type="dxa"/>
            <w:vAlign w:val="bottom"/>
          </w:tcPr>
          <w:p>
            <w:pPr>
              <w:ind w:left="120"/>
              <w:spacing w:after="0"/>
              <w:rPr>
                <w:sz w:val="20"/>
                <w:szCs w:val="20"/>
                <w:color w:val="auto"/>
              </w:rPr>
            </w:pPr>
            <w:r>
              <w:rPr>
                <w:rFonts w:ascii="Arial" w:cs="Arial" w:eastAsia="Arial" w:hAnsi="Arial"/>
                <w:sz w:val="16"/>
                <w:szCs w:val="16"/>
                <w:color w:val="auto"/>
              </w:rPr>
              <w:t>Proceeds from sale of property</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7,775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w:t>
            </w:r>
          </w:p>
        </w:tc>
      </w:tr>
      <w:tr>
        <w:trPr>
          <w:trHeight w:val="210"/>
        </w:trPr>
        <w:tc>
          <w:tcPr>
            <w:tcW w:w="8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used in investing activities</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(270,661)</w:t>
            </w:r>
          </w:p>
        </w:tc>
      </w:tr>
      <w:tr>
        <w:trPr>
          <w:trHeight w:val="240"/>
        </w:trPr>
        <w:tc>
          <w:tcPr>
            <w:tcW w:w="8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15"/>
        </w:trPr>
        <w:tc>
          <w:tcPr>
            <w:tcW w:w="80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7"/>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Borrowings on long-term debt</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798,359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903,292</w:t>
            </w:r>
          </w:p>
        </w:tc>
      </w:tr>
      <w:tr>
        <w:trPr>
          <w:trHeight w:val="213"/>
        </w:trPr>
        <w:tc>
          <w:tcPr>
            <w:tcW w:w="8000" w:type="dxa"/>
            <w:vAlign w:val="bottom"/>
          </w:tcPr>
          <w:p>
            <w:pPr>
              <w:ind w:left="120"/>
              <w:spacing w:after="0"/>
              <w:rPr>
                <w:sz w:val="20"/>
                <w:szCs w:val="20"/>
                <w:color w:val="auto"/>
              </w:rPr>
            </w:pPr>
            <w:r>
              <w:rPr>
                <w:rFonts w:ascii="Arial" w:cs="Arial" w:eastAsia="Arial" w:hAnsi="Arial"/>
                <w:sz w:val="16"/>
                <w:szCs w:val="16"/>
                <w:color w:val="auto"/>
              </w:rPr>
              <w:t>Repayments on long-term debt</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(798,359)</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(603,292)</w:t>
            </w: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convertible bond hedge</w:t>
            </w:r>
          </w:p>
        </w:tc>
        <w:tc>
          <w:tcPr>
            <w:tcW w:w="4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(70,800)</w:t>
            </w:r>
          </w:p>
        </w:tc>
      </w:tr>
      <w:tr>
        <w:trPr>
          <w:trHeight w:val="213"/>
        </w:trPr>
        <w:tc>
          <w:tcPr>
            <w:tcW w:w="8000" w:type="dxa"/>
            <w:vAlign w:val="bottom"/>
          </w:tcPr>
          <w:p>
            <w:pPr>
              <w:ind w:left="120"/>
              <w:spacing w:after="0"/>
              <w:rPr>
                <w:sz w:val="20"/>
                <w:szCs w:val="20"/>
                <w:color w:val="auto"/>
              </w:rPr>
            </w:pPr>
            <w:r>
              <w:rPr>
                <w:rFonts w:ascii="Arial" w:cs="Arial" w:eastAsia="Arial" w:hAnsi="Arial"/>
                <w:sz w:val="16"/>
                <w:szCs w:val="16"/>
                <w:color w:val="auto"/>
              </w:rPr>
              <w:t>Proceeds from issuance of warrants</w:t>
            </w:r>
          </w:p>
        </w:tc>
        <w:tc>
          <w:tcPr>
            <w:tcW w:w="4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42,210</w:t>
            </w: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of cash dividends</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(3,469)</w:t>
            </w:r>
          </w:p>
        </w:tc>
      </w:tr>
      <w:tr>
        <w:trPr>
          <w:trHeight w:val="213"/>
        </w:trPr>
        <w:tc>
          <w:tcPr>
            <w:tcW w:w="8000" w:type="dxa"/>
            <w:vAlign w:val="bottom"/>
          </w:tcPr>
          <w:p>
            <w:pPr>
              <w:ind w:left="120"/>
              <w:spacing w:after="0"/>
              <w:rPr>
                <w:sz w:val="20"/>
                <w:szCs w:val="20"/>
                <w:color w:val="auto"/>
              </w:rPr>
            </w:pPr>
            <w:r>
              <w:rPr>
                <w:rFonts w:ascii="Arial" w:cs="Arial" w:eastAsia="Arial" w:hAnsi="Arial"/>
                <w:sz w:val="16"/>
                <w:szCs w:val="16"/>
                <w:color w:val="auto"/>
              </w:rPr>
              <w:t>Payments for repurchases of common stock</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(11,606)</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(1,663)</w:t>
            </w:r>
          </w:p>
        </w:tc>
      </w:tr>
      <w:tr>
        <w:trPr>
          <w:trHeight w:val="219"/>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of debt issuance costs</w:t>
            </w:r>
          </w:p>
        </w:tc>
        <w:tc>
          <w:tcPr>
            <w:tcW w:w="4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(10,707)</w:t>
            </w:r>
          </w:p>
        </w:tc>
      </w:tr>
      <w:tr>
        <w:trPr>
          <w:trHeight w:val="213"/>
        </w:trPr>
        <w:tc>
          <w:tcPr>
            <w:tcW w:w="80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net</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provided by financing activities</w:t>
            </w: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(15,818)</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255,525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154305</wp:posOffset>
            </wp:positionV>
            <wp:extent cx="710628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ectPr>
          <w:pgSz w:w="11900" w:h="16838" w:orient="portrait"/>
          <w:cols w:equalWidth="0" w:num="1">
            <w:col w:w="11180"/>
          </w:cols>
          <w:pgMar w:left="360" w:top="846" w:right="359" w:bottom="1440" w:gutter="0" w:footer="0" w:header="0"/>
        </w:sect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Net (decrease) increase in cash and cash equivalents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7106285"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end of year</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(19,636)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63,897</w:t>
            </w:r>
          </w:p>
        </w:tc>
      </w:tr>
      <w:tr>
        <w:trPr>
          <w:trHeight w:val="219"/>
        </w:trPr>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292,575</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37,431</w:t>
            </w:r>
          </w:p>
        </w:tc>
      </w:tr>
      <w:tr>
        <w:trPr>
          <w:trHeight w:val="210"/>
        </w:trPr>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272,939</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101,328</w:t>
            </w:r>
          </w:p>
        </w:tc>
      </w:tr>
      <w:tr>
        <w:trPr>
          <w:trHeight w:val="23"/>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280" w:space="720"/>
            <w:col w:w="3180"/>
          </w:cols>
          <w:pgMar w:left="360" w:top="84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180"/>
          </w:cols>
          <w:pgMar w:left="360" w:top="846" w:right="35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18"/>
        </w:trPr>
        <w:tc>
          <w:tcPr>
            <w:tcW w:w="6420" w:type="dxa"/>
            <w:vAlign w:val="bottom"/>
          </w:tcPr>
          <w:p>
            <w:pPr>
              <w:spacing w:after="0"/>
              <w:rPr>
                <w:sz w:val="20"/>
                <w:szCs w:val="20"/>
                <w:color w:val="auto"/>
              </w:rPr>
            </w:pPr>
            <w:r>
              <w:rPr>
                <w:rFonts w:ascii="Arial" w:cs="Arial" w:eastAsia="Arial" w:hAnsi="Arial"/>
                <w:sz w:val="16"/>
                <w:szCs w:val="16"/>
                <w:b w:val="1"/>
                <w:bCs w:val="1"/>
                <w:color w:val="auto"/>
              </w:rPr>
              <w:t>Supplement cash flow disclosure:</w:t>
            </w:r>
          </w:p>
        </w:tc>
        <w:tc>
          <w:tcPr>
            <w:tcW w:w="2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6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taxes received, net</w:t>
            </w:r>
          </w:p>
        </w:tc>
        <w:tc>
          <w:tcPr>
            <w:tcW w:w="21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r>
      <w:tr>
        <w:trPr>
          <w:trHeight w:val="213"/>
        </w:trPr>
        <w:tc>
          <w:tcPr>
            <w:tcW w:w="6420" w:type="dxa"/>
            <w:vAlign w:val="bottom"/>
          </w:tcPr>
          <w:p>
            <w:pPr>
              <w:ind w:left="120"/>
              <w:spacing w:after="0"/>
              <w:rPr>
                <w:sz w:val="20"/>
                <w:szCs w:val="20"/>
                <w:color w:val="auto"/>
              </w:rPr>
            </w:pPr>
            <w:r>
              <w:rPr>
                <w:rFonts w:ascii="Arial" w:cs="Arial" w:eastAsia="Arial" w:hAnsi="Arial"/>
                <w:sz w:val="16"/>
                <w:szCs w:val="16"/>
                <w:color w:val="auto"/>
              </w:rPr>
              <w:t>Interest paid</w:t>
            </w:r>
          </w:p>
        </w:tc>
        <w:tc>
          <w:tcPr>
            <w:tcW w:w="21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2,377</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5,193</w:t>
            </w:r>
          </w:p>
        </w:tc>
      </w:tr>
      <w:tr>
        <w:trPr>
          <w:trHeight w:val="260"/>
        </w:trPr>
        <w:tc>
          <w:tcPr>
            <w:tcW w:w="642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15"/>
        </w:trPr>
        <w:tc>
          <w:tcPr>
            <w:tcW w:w="6420" w:type="dxa"/>
            <w:vAlign w:val="bottom"/>
          </w:tcPr>
          <w:p>
            <w:pPr>
              <w:spacing w:after="0"/>
              <w:rPr>
                <w:sz w:val="20"/>
                <w:szCs w:val="20"/>
                <w:color w:val="auto"/>
              </w:rPr>
            </w:pPr>
            <w:r>
              <w:rPr>
                <w:rFonts w:ascii="Arial" w:cs="Arial" w:eastAsia="Arial" w:hAnsi="Arial"/>
                <w:sz w:val="16"/>
                <w:szCs w:val="16"/>
                <w:b w:val="1"/>
                <w:bCs w:val="1"/>
                <w:color w:val="auto"/>
              </w:rPr>
              <w:t>Non-cash transactions:</w:t>
            </w:r>
          </w:p>
        </w:tc>
        <w:tc>
          <w:tcPr>
            <w:tcW w:w="2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7"/>
        </w:trPr>
        <w:tc>
          <w:tcPr>
            <w:tcW w:w="6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Issuance of Winnebago common stock for acquisition of business</w:t>
            </w:r>
          </w:p>
        </w:tc>
        <w:tc>
          <w:tcPr>
            <w:tcW w:w="21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92,572</w:t>
            </w:r>
          </w:p>
        </w:tc>
      </w:tr>
      <w:tr>
        <w:trPr>
          <w:trHeight w:val="210"/>
        </w:trPr>
        <w:tc>
          <w:tcPr>
            <w:tcW w:w="6420" w:type="dxa"/>
            <w:vAlign w:val="bottom"/>
          </w:tcPr>
          <w:p>
            <w:pPr>
              <w:ind w:left="120"/>
              <w:spacing w:after="0"/>
              <w:rPr>
                <w:sz w:val="20"/>
                <w:szCs w:val="20"/>
                <w:color w:val="auto"/>
              </w:rPr>
            </w:pPr>
            <w:r>
              <w:rPr>
                <w:rFonts w:ascii="Arial" w:cs="Arial" w:eastAsia="Arial" w:hAnsi="Arial"/>
                <w:sz w:val="16"/>
                <w:szCs w:val="16"/>
                <w:color w:val="auto"/>
              </w:rPr>
              <w:t>Capital expenditures in accounts payable</w:t>
            </w:r>
          </w:p>
        </w:tc>
        <w:tc>
          <w:tcPr>
            <w:tcW w:w="21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613</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180"/>
          </w:cols>
          <w:pgMar w:left="360" w:top="891" w:right="359" w:bottom="1440" w:gutter="0" w:footer="0" w:header="0"/>
        </w:sectPr>
      </w:pPr>
    </w:p>
    <w:bookmarkStart w:id="10" w:name="page11"/>
    <w:bookmarkEnd w:id="10"/>
    <w:p>
      <w:pPr>
        <w:jc w:val="center"/>
        <w:ind w:right="-11"/>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Supplemental Information by Reportable Segment (Unaudited) - Towable</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unit data)</w:t>
      </w:r>
    </w:p>
    <w:p>
      <w:pPr>
        <w:spacing w:after="0" w:line="275" w:lineRule="exact"/>
        <w:rPr>
          <w:sz w:val="20"/>
          <w:szCs w:val="20"/>
          <w:color w:val="auto"/>
        </w:rPr>
      </w:pPr>
    </w:p>
    <w:tbl>
      <w:tblPr>
        <w:tblLayout w:type="fixed"/>
        <w:tblInd w:w="12" w:type="dxa"/>
        <w:tblCellMar>
          <w:top w:w="0" w:type="dxa"/>
          <w:left w:w="0" w:type="dxa"/>
          <w:bottom w:w="0" w:type="dxa"/>
          <w:right w:w="0" w:type="dxa"/>
        </w:tblCellMar>
      </w:tblPr>
      <w:tr>
        <w:trPr>
          <w:trHeight w:val="218"/>
        </w:trPr>
        <w:tc>
          <w:tcPr>
            <w:tcW w:w="3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3"/>
                <w:szCs w:val="13"/>
                <w:color w:val="auto"/>
              </w:rPr>
            </w:pPr>
          </w:p>
        </w:tc>
        <w:tc>
          <w:tcPr>
            <w:tcW w:w="130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November 28,</w:t>
            </w:r>
          </w:p>
        </w:tc>
        <w:tc>
          <w:tcPr>
            <w:tcW w:w="12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3"/>
                <w:szCs w:val="13"/>
                <w:color w:val="auto"/>
              </w:rPr>
            </w:pPr>
          </w:p>
        </w:tc>
        <w:tc>
          <w:tcPr>
            <w:tcW w:w="130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November 30,</w:t>
            </w:r>
          </w:p>
        </w:tc>
        <w:tc>
          <w:tcPr>
            <w:tcW w:w="12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3"/>
                <w:szCs w:val="13"/>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 Change</w:t>
            </w:r>
          </w:p>
        </w:tc>
        <w:tc>
          <w:tcPr>
            <w:tcW w:w="12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30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454,901</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341,250</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113,651</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33.3 %</w:t>
            </w:r>
          </w:p>
        </w:tc>
        <w:tc>
          <w:tcPr>
            <w:tcW w:w="0" w:type="dxa"/>
            <w:vAlign w:val="bottom"/>
          </w:tcPr>
          <w:p>
            <w:pPr>
              <w:spacing w:after="0"/>
              <w:rPr>
                <w:sz w:val="1"/>
                <w:szCs w:val="1"/>
                <w:color w:val="auto"/>
              </w:rPr>
            </w:pPr>
          </w:p>
        </w:tc>
      </w:tr>
      <w:tr>
        <w:trPr>
          <w:trHeight w:val="210"/>
        </w:trPr>
        <w:tc>
          <w:tcPr>
            <w:tcW w:w="30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63,143</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13.9 %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35,785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10.5 %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27,358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76.5 %</w:t>
            </w:r>
          </w:p>
        </w:tc>
        <w:tc>
          <w:tcPr>
            <w:tcW w:w="0" w:type="dxa"/>
            <w:vAlign w:val="bottom"/>
          </w:tcPr>
          <w:p>
            <w:pPr>
              <w:spacing w:after="0"/>
              <w:rPr>
                <w:sz w:val="1"/>
                <w:szCs w:val="1"/>
                <w:color w:val="auto"/>
              </w:rPr>
            </w:pPr>
          </w:p>
        </w:tc>
      </w:tr>
      <w:tr>
        <w:trPr>
          <w:trHeight w:val="637"/>
        </w:trPr>
        <w:tc>
          <w:tcPr>
            <w:tcW w:w="3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0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13"/>
                <w:szCs w:val="13"/>
                <w:color w:val="auto"/>
              </w:rPr>
            </w:pPr>
          </w:p>
        </w:tc>
        <w:tc>
          <w:tcPr>
            <w:tcW w:w="130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November 28,</w:t>
            </w:r>
          </w:p>
        </w:tc>
        <w:tc>
          <w:tcPr>
            <w:tcW w:w="1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(1)</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November 30,</w:t>
            </w:r>
          </w:p>
        </w:tc>
        <w:tc>
          <w:tcPr>
            <w:tcW w:w="1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(1)</w:t>
            </w:r>
          </w:p>
        </w:tc>
        <w:tc>
          <w:tcPr>
            <w:tcW w:w="120" w:type="dxa"/>
            <w:vAlign w:val="bottom"/>
            <w:vMerge w:val="restart"/>
          </w:tcPr>
          <w:p>
            <w:pPr>
              <w:spacing w:after="0"/>
              <w:rPr>
                <w:sz w:val="13"/>
                <w:szCs w:val="13"/>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Unit Change</w:t>
            </w:r>
          </w:p>
        </w:tc>
        <w:tc>
          <w:tcPr>
            <w:tcW w:w="100" w:type="dxa"/>
            <w:vAlign w:val="bottom"/>
            <w:vMerge w:val="restart"/>
          </w:tcPr>
          <w:p>
            <w:pPr>
              <w:spacing w:after="0"/>
              <w:rPr>
                <w:sz w:val="13"/>
                <w:szCs w:val="13"/>
                <w:color w:val="auto"/>
              </w:rPr>
            </w:pPr>
          </w:p>
        </w:tc>
        <w:tc>
          <w:tcPr>
            <w:tcW w:w="12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64.4 %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59.8 %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44.6 %</w:t>
            </w:r>
          </w:p>
        </w:tc>
        <w:tc>
          <w:tcPr>
            <w:tcW w:w="0" w:type="dxa"/>
            <w:vAlign w:val="bottom"/>
          </w:tcPr>
          <w:p>
            <w:pPr>
              <w:spacing w:after="0"/>
              <w:rPr>
                <w:sz w:val="1"/>
                <w:szCs w:val="1"/>
                <w:color w:val="auto"/>
              </w:rPr>
            </w:pPr>
          </w:p>
        </w:tc>
      </w:tr>
      <w:tr>
        <w:trPr>
          <w:trHeight w:val="213"/>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5,054</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35.6 %</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4,263</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18.6 %</w:t>
            </w:r>
          </w:p>
        </w:tc>
        <w:tc>
          <w:tcPr>
            <w:tcW w:w="0" w:type="dxa"/>
            <w:vAlign w:val="bottom"/>
          </w:tcPr>
          <w:p>
            <w:pPr>
              <w:spacing w:after="0"/>
              <w:rPr>
                <w:sz w:val="1"/>
                <w:szCs w:val="1"/>
                <w:color w:val="auto"/>
              </w:rPr>
            </w:pPr>
          </w:p>
        </w:tc>
      </w:tr>
      <w:tr>
        <w:trPr>
          <w:trHeight w:val="233"/>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towables</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3,615</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30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160" w:type="dxa"/>
            <w:vAlign w:val="bottom"/>
          </w:tcPr>
          <w:p>
            <w:pPr>
              <w:spacing w:after="0"/>
              <w:rPr>
                <w:sz w:val="24"/>
                <w:szCs w:val="24"/>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November 28,</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November 30,</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Change</w:t>
            </w:r>
          </w:p>
        </w:tc>
        <w:tc>
          <w:tcPr>
            <w:tcW w:w="12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30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auto"/>
            </w:tcBorders>
          </w:tcPr>
          <w:p>
            <w:pPr>
              <w:ind w:left="20"/>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29,659</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7,174</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22,485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313.4 %</w:t>
            </w:r>
          </w:p>
        </w:tc>
        <w:tc>
          <w:tcPr>
            <w:tcW w:w="0" w:type="dxa"/>
            <w:vAlign w:val="bottom"/>
          </w:tcPr>
          <w:p>
            <w:pPr>
              <w:spacing w:after="0"/>
              <w:rPr>
                <w:sz w:val="1"/>
                <w:szCs w:val="1"/>
                <w:color w:val="auto"/>
              </w:rPr>
            </w:pPr>
          </w:p>
        </w:tc>
      </w:tr>
      <w:tr>
        <w:trPr>
          <w:trHeight w:val="213"/>
        </w:trPr>
        <w:tc>
          <w:tcPr>
            <w:tcW w:w="3020" w:type="dxa"/>
            <w:vAlign w:val="bottom"/>
          </w:tcPr>
          <w:p>
            <w:pPr>
              <w:ind w:left="380"/>
              <w:spacing w:after="0"/>
              <w:rPr>
                <w:sz w:val="20"/>
                <w:szCs w:val="20"/>
                <w:color w:val="auto"/>
              </w:rPr>
            </w:pPr>
            <w:r>
              <w:rPr>
                <w:rFonts w:ascii="Arial" w:cs="Arial" w:eastAsia="Arial" w:hAnsi="Arial"/>
                <w:sz w:val="16"/>
                <w:szCs w:val="16"/>
                <w:color w:val="auto"/>
              </w:rPr>
              <w:t>Dollars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865,420</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242,853</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622,567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256.4 %</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Dealer Inventory</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20" w:type="dxa"/>
            <w:vAlign w:val="bottom"/>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12,637</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17,843</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(5,206)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332" w:hanging="332"/>
        <w:spacing w:after="0"/>
        <w:tabs>
          <w:tab w:leader="none" w:pos="332" w:val="left"/>
        </w:tabs>
        <w:numPr>
          <w:ilvl w:val="0"/>
          <w:numId w:val="2"/>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52" w:right="440" w:hanging="252"/>
        <w:spacing w:after="0" w:line="258" w:lineRule="auto"/>
        <w:tabs>
          <w:tab w:leader="none" w:pos="345"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which generally have been requested to be shipped within the next six months. Orders in backlog can be cancelled or postponed at the option of the dealer at any time without penalty and, therefore, backlog may not necessarily be an accurate measure of future sales.</w:t>
      </w:r>
    </w:p>
    <w:p>
      <w:pPr>
        <w:spacing w:after="0" w:line="200" w:lineRule="exact"/>
        <w:rPr>
          <w:sz w:val="20"/>
          <w:szCs w:val="20"/>
          <w:color w:val="auto"/>
        </w:rPr>
      </w:pPr>
    </w:p>
    <w:p>
      <w:pPr>
        <w:spacing w:after="0" w:line="355"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12"/>
          </w:cols>
          <w:pgMar w:left="328" w:top="886" w:right="359" w:bottom="1440" w:gutter="0" w:footer="0" w:header="0"/>
        </w:sectPr>
      </w:pPr>
    </w:p>
    <w:bookmarkStart w:id="11" w:name="page12"/>
    <w:bookmarkEnd w:id="11"/>
    <w:p>
      <w:pPr>
        <w:jc w:val="center"/>
        <w:ind w:right="-11"/>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Supplemental Information by Reportable Segment (Unaudited) - Motorhome</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unit data)</w:t>
      </w:r>
    </w:p>
    <w:p>
      <w:pPr>
        <w:spacing w:after="0" w:line="275" w:lineRule="exact"/>
        <w:rPr>
          <w:sz w:val="20"/>
          <w:szCs w:val="20"/>
          <w:color w:val="auto"/>
        </w:rPr>
      </w:pPr>
    </w:p>
    <w:tbl>
      <w:tblPr>
        <w:tblLayout w:type="fixed"/>
        <w:tblInd w:w="12" w:type="dxa"/>
        <w:tblCellMar>
          <w:top w:w="0" w:type="dxa"/>
          <w:left w:w="0" w:type="dxa"/>
          <w:bottom w:w="0" w:type="dxa"/>
          <w:right w:w="0" w:type="dxa"/>
        </w:tblCellMar>
      </w:tblPr>
      <w:tr>
        <w:trPr>
          <w:trHeight w:val="218"/>
        </w:trPr>
        <w:tc>
          <w:tcPr>
            <w:tcW w:w="3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3"/>
                <w:szCs w:val="13"/>
                <w:color w:val="auto"/>
              </w:rPr>
            </w:pPr>
          </w:p>
        </w:tc>
        <w:tc>
          <w:tcPr>
            <w:tcW w:w="130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rPr>
              <w:t>November 28,</w:t>
            </w:r>
          </w:p>
        </w:tc>
        <w:tc>
          <w:tcPr>
            <w:tcW w:w="12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3"/>
                <w:szCs w:val="13"/>
                <w:color w:val="auto"/>
              </w:rPr>
            </w:pPr>
          </w:p>
        </w:tc>
        <w:tc>
          <w:tcPr>
            <w:tcW w:w="130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13"/>
                <w:szCs w:val="13"/>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2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3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322,389</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225,891</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96,498</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42.7 %</w:t>
            </w:r>
          </w:p>
        </w:tc>
        <w:tc>
          <w:tcPr>
            <w:tcW w:w="0" w:type="dxa"/>
            <w:vAlign w:val="bottom"/>
          </w:tcPr>
          <w:p>
            <w:pPr>
              <w:spacing w:after="0"/>
              <w:rPr>
                <w:sz w:val="1"/>
                <w:szCs w:val="1"/>
                <w:color w:val="auto"/>
              </w:rPr>
            </w:pPr>
          </w:p>
        </w:tc>
      </w:tr>
      <w:tr>
        <w:trPr>
          <w:trHeight w:val="210"/>
        </w:trPr>
        <w:tc>
          <w:tcPr>
            <w:tcW w:w="30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30,343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9.4 %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9,331</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21,012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225.2 %</w:t>
            </w:r>
          </w:p>
        </w:tc>
        <w:tc>
          <w:tcPr>
            <w:tcW w:w="0" w:type="dxa"/>
            <w:vAlign w:val="bottom"/>
          </w:tcPr>
          <w:p>
            <w:pPr>
              <w:spacing w:after="0"/>
              <w:rPr>
                <w:sz w:val="1"/>
                <w:szCs w:val="1"/>
                <w:color w:val="auto"/>
              </w:rPr>
            </w:pPr>
          </w:p>
        </w:tc>
      </w:tr>
      <w:tr>
        <w:trPr>
          <w:trHeight w:val="638"/>
        </w:trPr>
        <w:tc>
          <w:tcPr>
            <w:tcW w:w="3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0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30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rPr>
              <w:t>November 28,</w:t>
            </w: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(1)</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(1)</w:t>
            </w:r>
          </w:p>
        </w:tc>
        <w:tc>
          <w:tcPr>
            <w:tcW w:w="100" w:type="dxa"/>
            <w:vAlign w:val="bottom"/>
            <w:vMerge w:val="restart"/>
          </w:tcPr>
          <w:p>
            <w:pPr>
              <w:spacing w:after="0"/>
              <w:rPr>
                <w:sz w:val="13"/>
                <w:szCs w:val="13"/>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Unit Change</w:t>
            </w:r>
          </w:p>
        </w:tc>
        <w:tc>
          <w:tcPr>
            <w:tcW w:w="100" w:type="dxa"/>
            <w:vAlign w:val="bottom"/>
            <w:vMerge w:val="restart"/>
          </w:tcPr>
          <w:p>
            <w:pPr>
              <w:spacing w:after="0"/>
              <w:rPr>
                <w:sz w:val="13"/>
                <w:szCs w:val="13"/>
                <w:color w:val="auto"/>
              </w:rPr>
            </w:pPr>
          </w:p>
        </w:tc>
        <w:tc>
          <w:tcPr>
            <w:tcW w:w="12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25.7 %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49.9 %</w:t>
            </w: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Class B</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1,098</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47.1 %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809</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43.0 %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35.7 %</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2"/>
        </w:trPr>
        <w:tc>
          <w:tcPr>
            <w:tcW w:w="302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2,330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1,882</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23.8 %</w:t>
            </w: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30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140" w:type="dxa"/>
            <w:vAlign w:val="bottom"/>
          </w:tcPr>
          <w:p>
            <w:pPr>
              <w:spacing w:after="0"/>
              <w:rPr>
                <w:sz w:val="24"/>
                <w:szCs w:val="24"/>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November 28,</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Change</w:t>
            </w:r>
          </w:p>
        </w:tc>
        <w:tc>
          <w:tcPr>
            <w:tcW w:w="12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3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13,217</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2,631</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10,586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402.4 %</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Dollars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1,709,154</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384,201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1,324,953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344.9 %</w:t>
            </w:r>
          </w:p>
        </w:tc>
        <w:tc>
          <w:tcPr>
            <w:tcW w:w="0" w:type="dxa"/>
            <w:vAlign w:val="bottom"/>
          </w:tcPr>
          <w:p>
            <w:pPr>
              <w:spacing w:after="0"/>
              <w:rPr>
                <w:sz w:val="1"/>
                <w:szCs w:val="1"/>
                <w:color w:val="auto"/>
              </w:rPr>
            </w:pPr>
          </w:p>
        </w:tc>
      </w:tr>
      <w:tr>
        <w:trPr>
          <w:trHeight w:val="215"/>
        </w:trPr>
        <w:tc>
          <w:tcPr>
            <w:tcW w:w="302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2,123</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32" w:hanging="332"/>
        <w:spacing w:after="0"/>
        <w:tabs>
          <w:tab w:leader="none" w:pos="332" w:val="left"/>
        </w:tabs>
        <w:numPr>
          <w:ilvl w:val="0"/>
          <w:numId w:val="3"/>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12" w:hanging="212"/>
        <w:spacing w:after="0"/>
        <w:tabs>
          <w:tab w:leader="none" w:pos="212" w:val="left"/>
        </w:tabs>
        <w:numPr>
          <w:ilvl w:val="0"/>
          <w:numId w:val="3"/>
        </w:numPr>
        <w:rPr>
          <w:rFonts w:ascii="Arial" w:cs="Arial" w:eastAsia="Arial" w:hAnsi="Arial"/>
          <w:sz w:val="14"/>
          <w:szCs w:val="14"/>
          <w:color w:val="auto"/>
        </w:rPr>
      </w:pPr>
      <w:r>
        <w:rPr>
          <w:rFonts w:ascii="Arial" w:cs="Arial" w:eastAsia="Arial" w:hAnsi="Arial"/>
          <w:sz w:val="14"/>
          <w:szCs w:val="14"/>
          <w:color w:val="auto"/>
        </w:rPr>
        <w:t>November 30, 2019 three months ended data includes approximately one month of Newmar results from the time of acquisition (11/08/19).</w:t>
      </w:r>
    </w:p>
    <w:p>
      <w:pPr>
        <w:spacing w:after="0" w:line="1" w:lineRule="exact"/>
        <w:rPr>
          <w:rFonts w:ascii="Arial" w:cs="Arial" w:eastAsia="Arial" w:hAnsi="Arial"/>
          <w:sz w:val="14"/>
          <w:szCs w:val="14"/>
          <w:color w:val="auto"/>
        </w:rPr>
      </w:pPr>
    </w:p>
    <w:p>
      <w:pPr>
        <w:ind w:left="252" w:right="440" w:hanging="252"/>
        <w:spacing w:after="0" w:line="258" w:lineRule="auto"/>
        <w:tabs>
          <w:tab w:leader="none" w:pos="345"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which generally have been requested to be shipped within the next six months. Orders in backlog can be cancelled or postponed at the option of the dealer at any time without penalty and,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12"/>
          </w:cols>
          <w:pgMar w:left="328" w:top="886"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Reconciliation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68"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00" w:type="dxa"/>
            <w:vAlign w:val="bottom"/>
          </w:tcPr>
          <w:p>
            <w:pPr>
              <w:spacing w:after="0"/>
              <w:rPr>
                <w:sz w:val="20"/>
                <w:szCs w:val="20"/>
                <w:color w:val="auto"/>
              </w:rPr>
            </w:pPr>
            <w:r>
              <w:rPr>
                <w:rFonts w:ascii="Arial" w:cs="Arial" w:eastAsia="Arial" w:hAnsi="Arial"/>
                <w:sz w:val="16"/>
                <w:szCs w:val="16"/>
                <w:color w:val="auto"/>
              </w:rPr>
              <w:t>The following table reconciles Diluted income per share to Adjusted diluted income per share:</w:t>
            </w: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38"/>
        </w:trPr>
        <w:tc>
          <w:tcPr>
            <w:tcW w:w="7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4"/>
          </w:tcPr>
          <w:p>
            <w:pPr>
              <w:jc w:val="right"/>
              <w:ind w:right="1079"/>
              <w:spacing w:after="0"/>
              <w:rPr>
                <w:sz w:val="20"/>
                <w:szCs w:val="20"/>
                <w:color w:val="auto"/>
              </w:rPr>
            </w:pPr>
            <w:r>
              <w:rPr>
                <w:rFonts w:ascii="Arial" w:cs="Arial" w:eastAsia="Arial" w:hAnsi="Arial"/>
                <w:sz w:val="16"/>
                <w:szCs w:val="16"/>
                <w:b w:val="1"/>
                <w:bCs w:val="1"/>
                <w:color w:val="auto"/>
              </w:rPr>
              <w:t>Three Months Ended</w:t>
            </w:r>
          </w:p>
        </w:tc>
      </w:tr>
      <w:tr>
        <w:trPr>
          <w:trHeight w:val="215"/>
        </w:trPr>
        <w:tc>
          <w:tcPr>
            <w:tcW w:w="730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(in thousands)</w:t>
            </w:r>
            <w:r>
              <w:rPr>
                <w:rFonts w:ascii="Arial" w:cs="Arial" w:eastAsia="Arial" w:hAnsi="Arial"/>
                <w:sz w:val="21"/>
                <w:szCs w:val="21"/>
                <w:b w:val="1"/>
                <w:bCs w:val="1"/>
                <w:color w:val="auto"/>
                <w:vertAlign w:val="superscript"/>
              </w:rPr>
              <w:t>(1)</w:t>
            </w: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28, 2020</w:t>
            </w:r>
          </w:p>
        </w:tc>
        <w:tc>
          <w:tcPr>
            <w:tcW w:w="160" w:type="dxa"/>
            <w:vAlign w:val="bottom"/>
          </w:tcPr>
          <w:p>
            <w:pPr>
              <w:spacing w:after="0"/>
              <w:rPr>
                <w:sz w:val="18"/>
                <w:szCs w:val="18"/>
                <w:color w:val="auto"/>
              </w:rPr>
            </w:pPr>
          </w:p>
        </w:tc>
        <w:tc>
          <w:tcPr>
            <w:tcW w:w="176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30, 2019</w:t>
            </w:r>
          </w:p>
        </w:tc>
      </w:tr>
      <w:tr>
        <w:trPr>
          <w:trHeight w:val="209"/>
        </w:trPr>
        <w:tc>
          <w:tcPr>
            <w:tcW w:w="7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income per share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0.44</w:t>
            </w:r>
          </w:p>
        </w:tc>
      </w:tr>
      <w:tr>
        <w:trPr>
          <w:trHeight w:val="216"/>
        </w:trPr>
        <w:tc>
          <w:tcPr>
            <w:tcW w:w="7300" w:type="dxa"/>
            <w:vAlign w:val="bottom"/>
          </w:tcPr>
          <w:p>
            <w:pPr>
              <w:ind w:left="20"/>
              <w:spacing w:after="0" w:line="216" w:lineRule="exact"/>
              <w:rPr>
                <w:sz w:val="20"/>
                <w:szCs w:val="20"/>
                <w:color w:val="auto"/>
              </w:rPr>
            </w:pPr>
            <w:r>
              <w:rPr>
                <w:rFonts w:ascii="Arial" w:cs="Arial" w:eastAsia="Arial" w:hAnsi="Arial"/>
                <w:sz w:val="16"/>
                <w:szCs w:val="16"/>
                <w:color w:val="auto"/>
              </w:rPr>
              <w:t>Pretax acquisition-related costs</w:t>
            </w:r>
            <w:r>
              <w:rPr>
                <w:rFonts w:ascii="Arial" w:cs="Arial" w:eastAsia="Arial" w:hAnsi="Arial"/>
                <w:sz w:val="21"/>
                <w:szCs w:val="21"/>
                <w:color w:val="auto"/>
                <w:vertAlign w:val="superscript"/>
              </w:rPr>
              <w:t>(2)</w:t>
            </w:r>
          </w:p>
        </w:tc>
        <w:tc>
          <w:tcPr>
            <w:tcW w:w="16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0.31</w:t>
            </w: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acquisition-related fair-value inventory step-up</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16"/>
        </w:trPr>
        <w:tc>
          <w:tcPr>
            <w:tcW w:w="7300" w:type="dxa"/>
            <w:vAlign w:val="bottom"/>
          </w:tcPr>
          <w:p>
            <w:pPr>
              <w:ind w:left="20"/>
              <w:spacing w:after="0" w:line="216" w:lineRule="exact"/>
              <w:rPr>
                <w:sz w:val="20"/>
                <w:szCs w:val="20"/>
                <w:color w:val="auto"/>
              </w:rPr>
            </w:pPr>
            <w:r>
              <w:rPr>
                <w:rFonts w:ascii="Arial" w:cs="Arial" w:eastAsia="Arial" w:hAnsi="Arial"/>
                <w:sz w:val="16"/>
                <w:szCs w:val="16"/>
                <w:color w:val="auto"/>
              </w:rPr>
              <w:t>Pretax non-cash interest expense</w:t>
            </w:r>
            <w:r>
              <w:rPr>
                <w:rFonts w:ascii="Arial" w:cs="Arial" w:eastAsia="Arial" w:hAnsi="Arial"/>
                <w:sz w:val="21"/>
                <w:szCs w:val="21"/>
                <w:color w:val="auto"/>
                <w:vertAlign w:val="superscript"/>
              </w:rPr>
              <w:t>(3)</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property and equipment</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300" w:type="dxa"/>
            <w:vAlign w:val="bottom"/>
          </w:tcPr>
          <w:p>
            <w:pPr>
              <w:ind w:left="20"/>
              <w:spacing w:after="0" w:line="216" w:lineRule="exact"/>
              <w:rPr>
                <w:sz w:val="20"/>
                <w:szCs w:val="20"/>
                <w:color w:val="auto"/>
              </w:rPr>
            </w:pPr>
            <w:r>
              <w:rPr>
                <w:rFonts w:ascii="Arial" w:cs="Arial" w:eastAsia="Arial" w:hAnsi="Arial"/>
                <w:sz w:val="16"/>
                <w:szCs w:val="16"/>
                <w:color w:val="auto"/>
              </w:rPr>
              <w:t>Tax impact of adjustments</w:t>
            </w:r>
            <w:r>
              <w:rPr>
                <w:rFonts w:ascii="Arial" w:cs="Arial" w:eastAsia="Arial" w:hAnsi="Arial"/>
                <w:sz w:val="21"/>
                <w:szCs w:val="21"/>
                <w:color w:val="auto"/>
                <w:vertAlign w:val="superscript"/>
              </w:rPr>
              <w:t>(4)</w:t>
            </w:r>
          </w:p>
        </w:tc>
        <w:tc>
          <w:tcPr>
            <w:tcW w:w="16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(0.08)</w:t>
            </w:r>
          </w:p>
        </w:tc>
      </w:tr>
      <w:tr>
        <w:trPr>
          <w:trHeight w:val="234"/>
        </w:trPr>
        <w:tc>
          <w:tcPr>
            <w:tcW w:w="7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diluted income per share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0.73</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Per share numbers may not foot due to rounding</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transaction-closing costs.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Non-cash interest expense associated with the Convertible Notes issued related to our acquisition of Newmar.</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Income tax charge calculated using the statutory tax rate for the U.S. of 21.0% for both periods presented.</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00" w:type="dxa"/>
            <w:vAlign w:val="bottom"/>
          </w:tcPr>
          <w:p>
            <w:pPr>
              <w:spacing w:after="0"/>
              <w:rPr>
                <w:sz w:val="20"/>
                <w:szCs w:val="20"/>
                <w:color w:val="auto"/>
              </w:rPr>
            </w:pPr>
            <w:r>
              <w:rPr>
                <w:rFonts w:ascii="Arial" w:cs="Arial" w:eastAsia="Arial" w:hAnsi="Arial"/>
                <w:sz w:val="16"/>
                <w:szCs w:val="16"/>
                <w:color w:val="auto"/>
              </w:rPr>
              <w:t>The following table reconciles net income to consolidated EBITDA and Adjusted EBITDA.</w:t>
            </w: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38"/>
        </w:trPr>
        <w:tc>
          <w:tcPr>
            <w:tcW w:w="7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4"/>
          </w:tcPr>
          <w:p>
            <w:pPr>
              <w:jc w:val="right"/>
              <w:ind w:right="1079"/>
              <w:spacing w:after="0"/>
              <w:rPr>
                <w:sz w:val="20"/>
                <w:szCs w:val="20"/>
                <w:color w:val="auto"/>
              </w:rPr>
            </w:pPr>
            <w:r>
              <w:rPr>
                <w:rFonts w:ascii="Arial" w:cs="Arial" w:eastAsia="Arial" w:hAnsi="Arial"/>
                <w:sz w:val="16"/>
                <w:szCs w:val="16"/>
                <w:b w:val="1"/>
                <w:bCs w:val="1"/>
                <w:color w:val="auto"/>
              </w:rPr>
              <w:t>Three Months Ended</w:t>
            </w:r>
          </w:p>
        </w:tc>
      </w:tr>
      <w:tr>
        <w:trPr>
          <w:trHeight w:val="215"/>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28, 2020</w:t>
            </w:r>
          </w:p>
        </w:tc>
        <w:tc>
          <w:tcPr>
            <w:tcW w:w="160" w:type="dxa"/>
            <w:vAlign w:val="bottom"/>
          </w:tcPr>
          <w:p>
            <w:pPr>
              <w:spacing w:after="0"/>
              <w:rPr>
                <w:sz w:val="18"/>
                <w:szCs w:val="18"/>
                <w:color w:val="auto"/>
              </w:rPr>
            </w:pPr>
          </w:p>
        </w:tc>
        <w:tc>
          <w:tcPr>
            <w:tcW w:w="176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30, 2019</w:t>
            </w:r>
          </w:p>
        </w:tc>
      </w:tr>
      <w:tr>
        <w:trPr>
          <w:trHeight w:val="210"/>
        </w:trPr>
        <w:tc>
          <w:tcPr>
            <w:tcW w:w="7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57,423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14,068</w:t>
            </w: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9,941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6,049</w:t>
            </w:r>
          </w:p>
        </w:tc>
      </w:tr>
      <w:tr>
        <w:trPr>
          <w:trHeight w:val="219"/>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3,893</w:t>
            </w: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4,160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3,586</w:t>
            </w: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3,614</w:t>
            </w:r>
          </w:p>
        </w:tc>
      </w:tr>
      <w:tr>
        <w:trPr>
          <w:trHeight w:val="210"/>
        </w:trPr>
        <w:tc>
          <w:tcPr>
            <w:tcW w:w="7300" w:type="dxa"/>
            <w:vAlign w:val="bottom"/>
          </w:tcPr>
          <w:p>
            <w:pPr>
              <w:ind w:left="140"/>
              <w:spacing w:after="0"/>
              <w:rPr>
                <w:sz w:val="20"/>
                <w:szCs w:val="20"/>
                <w:color w:val="auto"/>
              </w:rPr>
            </w:pPr>
            <w:r>
              <w:rPr>
                <w:rFonts w:ascii="Arial" w:cs="Arial" w:eastAsia="Arial" w:hAnsi="Arial"/>
                <w:sz w:val="16"/>
                <w:szCs w:val="16"/>
                <w:color w:val="auto"/>
              </w:rPr>
              <w:t>EBITDA</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92,671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31,210</w:t>
            </w:r>
          </w:p>
        </w:tc>
      </w:tr>
      <w:tr>
        <w:trPr>
          <w:trHeight w:val="219"/>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fair-value inventory step-up</w:t>
            </w: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w:t>
            </w: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color w:val="auto"/>
              </w:rPr>
              <w:t>Acquisition-related costs</w:t>
            </w:r>
          </w:p>
        </w:tc>
        <w:tc>
          <w:tcPr>
            <w:tcW w:w="16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9,950</w:t>
            </w:r>
          </w:p>
        </w:tc>
      </w:tr>
      <w:tr>
        <w:trPr>
          <w:trHeight w:val="219"/>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color w:val="auto"/>
              </w:rPr>
              <w:t>Gain on sale of property and equipment</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(3,565)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13"/>
        </w:trPr>
        <w:tc>
          <w:tcPr>
            <w:tcW w:w="7300" w:type="dxa"/>
            <w:vAlign w:val="bottom"/>
          </w:tcPr>
          <w:p>
            <w:pPr>
              <w:ind w:left="140"/>
              <w:spacing w:after="0"/>
              <w:rPr>
                <w:sz w:val="20"/>
                <w:szCs w:val="20"/>
                <w:color w:val="auto"/>
              </w:rPr>
            </w:pPr>
            <w:r>
              <w:rPr>
                <w:rFonts w:ascii="Arial" w:cs="Arial" w:eastAsia="Arial" w:hAnsi="Arial"/>
                <w:sz w:val="16"/>
                <w:szCs w:val="16"/>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89,293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42,048</w:t>
            </w:r>
          </w:p>
        </w:tc>
      </w:tr>
      <w:tr>
        <w:trPr>
          <w:trHeight w:val="20"/>
        </w:trPr>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We have provided non-GAAP performance measures of Adjusted diluted income per share, EBITDA, and Adjusted EBITDA as comparable measures to illustrate the effect of non-recurring transactions occurring during the reported periods and improve comparability of our results from period to period. Adjusted diluted income per share is defined as income per share adjusted for items that impact the comparability of our results from period to period.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period to period. We believe Adjusted diluted income per share and Adjusted EBITDA provide meaningful supplemental information about our operating performance because these measures exclude amounts that we do not consider part of our core operating results when assessing our performance. Examples of items excluded from</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886" w:right="339" w:bottom="1440" w:gutter="0" w:footer="0" w:header="0"/>
        </w:sectPr>
      </w:pPr>
    </w:p>
    <w:bookmarkStart w:id="13" w:name="page14"/>
    <w:bookmarkEnd w:id="13"/>
    <w:p>
      <w:pPr>
        <w:ind w:right="160"/>
        <w:spacing w:after="0" w:line="288" w:lineRule="auto"/>
        <w:rPr>
          <w:sz w:val="20"/>
          <w:szCs w:val="20"/>
          <w:color w:val="auto"/>
        </w:rPr>
      </w:pPr>
      <w:r>
        <w:rPr>
          <w:rFonts w:ascii="Arial" w:cs="Arial" w:eastAsia="Arial" w:hAnsi="Arial"/>
          <w:sz w:val="16"/>
          <w:szCs w:val="16"/>
          <w:color w:val="auto"/>
        </w:rPr>
        <w:t>Adjusted income per share include acquisition-related costs, acquisition-related fair-value inventory step-up, non-cash interest expense, and the tax impact of the adjustments. Examples of items excluded from Adjusted EBITDA include acquisition-related fair-value inventory step-up, acquisition-related costs, restructuring expenses, gain or loss on the sale of property and equipment, and non-operating income.</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our company; (d) to evaluate potential acquisitions; and (e) to ensure compliance with restricted activities under the terms of our ABL credit facility and outstanding notes. We believe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sectPr>
      <w:pgSz w:w="11900" w:h="16838" w:orient="portrait"/>
      <w:cols w:equalWidth="0" w:num="1">
        <w:col w:w="11240"/>
      </w:cols>
      <w:pgMar w:left="320" w:top="9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2020-12-18T06:19:46Z</dcterms:created>
  <dcterms:modified xsi:type="dcterms:W3CDTF">2020-12-18T06:19:46Z</dcterms:modified>
</cp:coreProperties>
</file>