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tbl>
      <w:tblPr>
        <w:tblW w:w="10205" w:type="dxa"/>
        <w:jc w:val="center"/>
        <w:tblInd w:w="0" w:type="dxa"/>
        <w:tblLayout w:type="fixed"/>
        <w:tblCellMar>
          <w:top w:w="28" w:type="dxa"/>
          <w:left w:w="28" w:type="dxa"/>
          <w:bottom w:w="28" w:type="dxa"/>
          <w:right w:w="28" w:type="dxa"/>
        </w:tblCellMar>
      </w:tblPr>
      <w:tblGrid>
        <w:gridCol w:w="191"/>
        <w:gridCol w:w="167"/>
        <w:gridCol w:w="167"/>
        <w:gridCol w:w="3099"/>
        <w:gridCol w:w="3099"/>
        <w:gridCol w:w="3107"/>
        <w:gridCol w:w="109"/>
        <w:gridCol w:w="109"/>
        <w:gridCol w:w="157"/>
      </w:tblGrid>
      <w:tr>
        <w:trPr/>
        <w:tc>
          <w:tcPr>
            <w:tcW w:w="1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 One)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180"/>
              <w:jc w:val="left"/>
              <w:rPr>
                <w:color w:val="000000"/>
              </w:rPr>
            </w:pPr>
            <w:r>
              <w:rPr>
                <w:color w:val="000000"/>
              </w:rPr>
              <w:t>☒</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 the quarterly period ended November 29, 2025 </w:t>
      </w:r>
    </w:p>
    <w:tbl>
      <w:tblPr>
        <w:tblW w:w="10010" w:type="dxa"/>
        <w:jc w:val="left"/>
        <w:tblInd w:w="0" w:type="dxa"/>
        <w:tblLayout w:type="fixed"/>
        <w:tblCellMar>
          <w:top w:w="28" w:type="dxa"/>
          <w:left w:w="28" w:type="dxa"/>
          <w:bottom w:w="28" w:type="dxa"/>
          <w:right w:w="28" w:type="dxa"/>
        </w:tblCellMar>
      </w:tblPr>
      <w:tblGrid>
        <w:gridCol w:w="124"/>
        <w:gridCol w:w="109"/>
        <w:gridCol w:w="109"/>
        <w:gridCol w:w="1548"/>
        <w:gridCol w:w="1548"/>
        <w:gridCol w:w="1548"/>
        <w:gridCol w:w="1548"/>
        <w:gridCol w:w="1548"/>
        <w:gridCol w:w="1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transition period from _________________ to _________________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Commission File Number: 001-06403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3800475"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00475" cy="1095375"/>
                    </a:xfrm>
                    <a:prstGeom prst="rect">
                      <a:avLst/>
                    </a:prstGeom>
                  </pic:spPr>
                </pic:pic>
              </a:graphicData>
            </a:graphic>
          </wp:inline>
        </w:drawing>
      </w:r>
      <w:bookmarkStart w:id="0" w:name="i-1"/>
      <w:bookmarkEnd w:id="0"/>
    </w:p>
    <w:tbl>
      <w:tblPr>
        <w:tblW w:w="5654" w:type="dxa"/>
        <w:jc w:val="center"/>
        <w:tblInd w:w="0" w:type="dxa"/>
        <w:tblLayout w:type="fixed"/>
        <w:tblCellMar>
          <w:top w:w="28" w:type="dxa"/>
          <w:left w:w="28" w:type="dxa"/>
          <w:bottom w:w="28" w:type="dxa"/>
          <w:right w:w="28" w:type="dxa"/>
        </w:tblCellMar>
      </w:tblPr>
      <w:tblGrid>
        <w:gridCol w:w="411"/>
        <w:gridCol w:w="363"/>
        <w:gridCol w:w="363"/>
        <w:gridCol w:w="363"/>
        <w:gridCol w:w="363"/>
        <w:gridCol w:w="363"/>
        <w:gridCol w:w="363"/>
        <w:gridCol w:w="363"/>
        <w:gridCol w:w="363"/>
        <w:gridCol w:w="363"/>
        <w:gridCol w:w="363"/>
        <w:gridCol w:w="363"/>
        <w:gridCol w:w="363"/>
        <w:gridCol w:w="363"/>
        <w:gridCol w:w="524"/>
      </w:tblGrid>
      <w:tr>
        <w:trPr/>
        <w:tc>
          <w:tcPr>
            <w:tcW w:w="41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5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36"/>
              </w:rPr>
            </w:pPr>
            <w:r>
              <w:rPr>
                <w:rFonts w:ascii="Arial;sans-serif" w:hAnsi="Arial;sans-serif"/>
                <w:b/>
                <w:color w:val="000000"/>
                <w:sz w:val="36"/>
              </w:rPr>
              <w:t>WINNEBAGO INDUSTRIES, INC.</w:t>
            </w:r>
          </w:p>
        </w:tc>
      </w:tr>
      <w:tr>
        <w:trPr/>
        <w:tc>
          <w:tcPr>
            <w:tcW w:w="5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bl>
    <w:tbl>
      <w:tblPr>
        <w:tblW w:w="8559" w:type="dxa"/>
        <w:jc w:val="center"/>
        <w:tblInd w:w="0" w:type="dxa"/>
        <w:tblLayout w:type="fixed"/>
        <w:tblCellMar>
          <w:top w:w="28" w:type="dxa"/>
          <w:left w:w="28" w:type="dxa"/>
          <w:bottom w:w="28" w:type="dxa"/>
          <w:right w:w="28" w:type="dxa"/>
        </w:tblCellMar>
      </w:tblPr>
      <w:tblGrid>
        <w:gridCol w:w="642"/>
        <w:gridCol w:w="564"/>
        <w:gridCol w:w="564"/>
        <w:gridCol w:w="530"/>
        <w:gridCol w:w="530"/>
        <w:gridCol w:w="530"/>
        <w:gridCol w:w="530"/>
        <w:gridCol w:w="530"/>
        <w:gridCol w:w="546"/>
        <w:gridCol w:w="109"/>
        <w:gridCol w:w="109"/>
        <w:gridCol w:w="109"/>
        <w:gridCol w:w="109"/>
        <w:gridCol w:w="109"/>
        <w:gridCol w:w="109"/>
        <w:gridCol w:w="456"/>
        <w:gridCol w:w="456"/>
        <w:gridCol w:w="456"/>
        <w:gridCol w:w="456"/>
        <w:gridCol w:w="456"/>
        <w:gridCol w:w="659"/>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49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42-0802678</w:t>
            </w:r>
          </w:p>
        </w:tc>
      </w:tr>
      <w:tr>
        <w:trPr/>
        <w:tc>
          <w:tcPr>
            <w:tcW w:w="4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9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13200 Pioneer Trail</w:t>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Eden Prairie</w:t>
            </w:r>
          </w:p>
        </w:tc>
        <w:tc>
          <w:tcPr>
            <w:tcW w:w="16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55347</w:t>
            </w:r>
          </w:p>
        </w:tc>
      </w:tr>
      <w:tr>
        <w:trPr/>
        <w:tc>
          <w:tcPr>
            <w:tcW w:w="4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952-829-8600</w:t>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$0.50 par value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WGO</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Large Accelerated Filer </w:t>
      </w:r>
      <w:r>
        <w:rPr>
          <w:color w:val="000000"/>
        </w:rPr>
        <w:t>☒    </w:t>
      </w:r>
      <w:r>
        <w:rPr>
          <w:rFonts w:ascii="Arial;sans-serif" w:hAnsi="Arial;sans-serif"/>
          <w:b w:val="false"/>
          <w:color w:val="000000"/>
          <w:sz w:val="18"/>
        </w:rPr>
        <w:t xml:space="preserve">Accelerated Filer ☐    Non-accelerated Filer ☐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 xml:space="preserve">Smaller Reporting Company ☐        Emerging Growth Company ☐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December 12, 2025, there were 28,220,626 shares of common stock, par value $0.50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Winnebago Industries,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Quarterly Report on Form 10-Q</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For the Quarterly Period Ended November 29, 2025</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Table of Contents</w:t>
      </w:r>
    </w:p>
    <w:tbl>
      <w:tblPr>
        <w:tblW w:w="8501" w:type="dxa"/>
        <w:jc w:val="left"/>
        <w:tblInd w:w="0" w:type="dxa"/>
        <w:tblLayout w:type="fixed"/>
        <w:tblCellMar>
          <w:top w:w="28" w:type="dxa"/>
          <w:left w:w="28" w:type="dxa"/>
          <w:bottom w:w="28" w:type="dxa"/>
          <w:right w:w="28" w:type="dxa"/>
        </w:tblCellMar>
      </w:tblPr>
      <w:tblGrid>
        <w:gridCol w:w="288"/>
        <w:gridCol w:w="252"/>
        <w:gridCol w:w="255"/>
        <w:gridCol w:w="2443"/>
        <w:gridCol w:w="2443"/>
        <w:gridCol w:w="2448"/>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0">
              <w:r>
                <w:rPr>
                  <w:rStyle w:val="InternetLink"/>
                  <w:rFonts w:ascii="Arial;sans-serif" w:hAnsi="Arial;sans-serif"/>
                  <w:b/>
                  <w:color w:val="0000FF"/>
                  <w:sz w:val="18"/>
                  <w:u w:val="single"/>
                </w:rPr>
                <w:t>PART I.</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0">
              <w:r>
                <w:rPr>
                  <w:rStyle w:val="InternetLink"/>
                  <w:rFonts w:ascii="Arial;sans-serif" w:hAnsi="Arial;sans-serif"/>
                  <w:b/>
                  <w:color w:val="0000FF"/>
                  <w:sz w:val="18"/>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0">
              <w:r>
                <w:rPr>
                  <w:rStyle w:val="InternetLink"/>
                  <w:rFonts w:ascii="Arial;sans-serif" w:hAnsi="Arial;sans-serif"/>
                  <w:b w:val="false"/>
                  <w:color w:val="0000FF"/>
                  <w:sz w:val="18"/>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3">
              <w:r>
                <w:rPr>
                  <w:rStyle w:val="InternetLink"/>
                  <w:rFonts w:ascii="Arial;sans-serif" w:hAnsi="Arial;sans-serif"/>
                  <w:b w:val="false"/>
                  <w:color w:val="0000FF"/>
                  <w:sz w:val="18"/>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3">
              <w:r>
                <w:rPr>
                  <w:rStyle w:val="InternetLink"/>
                  <w:rFonts w:ascii="Arial;sans-serif" w:hAnsi="Arial;sans-serif"/>
                  <w:b w:val="false"/>
                  <w:color w:val="0000FF"/>
                  <w:sz w:val="18"/>
                  <w:u w:val="single"/>
                </w:rPr>
                <w:t>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3">
              <w:r>
                <w:rPr>
                  <w:rStyle w:val="InternetLink"/>
                  <w:rFonts w:ascii="Arial;sans-serif" w:hAnsi="Arial;sans-serif"/>
                  <w:b w:val="false"/>
                  <w:color w:val="0000FF"/>
                  <w:sz w:val="18"/>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6">
              <w:r>
                <w:rPr>
                  <w:rStyle w:val="InternetLink"/>
                  <w:rFonts w:ascii="Arial;sans-serif" w:hAnsi="Arial;sans-serif"/>
                  <w:b w:val="false"/>
                  <w:color w:val="0000FF"/>
                  <w:sz w:val="18"/>
                  <w:u w:val="single"/>
                </w:rPr>
                <w:t>Consolidated Statements of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6">
              <w:r>
                <w:rPr>
                  <w:rStyle w:val="InternetLink"/>
                  <w:rFonts w:ascii="Arial;sans-serif" w:hAnsi="Arial;sans-serif"/>
                  <w:b w:val="false"/>
                  <w:color w:val="0000FF"/>
                  <w:sz w:val="18"/>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9">
              <w:r>
                <w:rPr>
                  <w:rStyle w:val="InternetLink"/>
                  <w:rFonts w:ascii="Arial;sans-serif" w:hAnsi="Arial;sans-serif"/>
                  <w:b w:val="false"/>
                  <w:color w:val="0000FF"/>
                  <w:sz w:val="18"/>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9">
              <w:r>
                <w:rPr>
                  <w:rStyle w:val="InternetLink"/>
                  <w:rFonts w:ascii="Arial;sans-serif" w:hAnsi="Arial;sans-serif"/>
                  <w:b w:val="false"/>
                  <w:color w:val="0000FF"/>
                  <w:sz w:val="18"/>
                  <w:u w:val="single"/>
                </w:rPr>
                <w:t>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22">
              <w:r>
                <w:rPr>
                  <w:rStyle w:val="InternetLink"/>
                  <w:rFonts w:ascii="Arial;sans-serif" w:hAnsi="Arial;sans-serif"/>
                  <w:b w:val="false"/>
                  <w:color w:val="0000FF"/>
                  <w:sz w:val="18"/>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22">
              <w:r>
                <w:rPr>
                  <w:rStyle w:val="InternetLink"/>
                  <w:rFonts w:ascii="Arial;sans-serif" w:hAnsi="Arial;sans-serif"/>
                  <w:b w:val="false"/>
                  <w:color w:val="0000FF"/>
                  <w:sz w:val="18"/>
                  <w:u w:val="single"/>
                </w:rPr>
                <w:t>5</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25">
              <w:r>
                <w:rPr>
                  <w:rStyle w:val="InternetLink"/>
                  <w:rFonts w:ascii="Arial;sans-serif" w:hAnsi="Arial;sans-serif"/>
                  <w:b w:val="false"/>
                  <w:color w:val="0000FF"/>
                  <w:sz w:val="18"/>
                  <w:u w:val="single"/>
                </w:rPr>
                <w:t>Consolidated Statements of Changes in Shareholders'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25">
              <w:r>
                <w:rPr>
                  <w:rStyle w:val="InternetLink"/>
                  <w:rFonts w:ascii="Arial;sans-serif" w:hAnsi="Arial;sans-serif"/>
                  <w:b w:val="false"/>
                  <w:color w:val="0000FF"/>
                  <w:sz w:val="18"/>
                  <w:u w:val="single"/>
                </w:rPr>
                <w:t>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28">
              <w:r>
                <w:rPr>
                  <w:rStyle w:val="InternetLink"/>
                  <w:rFonts w:ascii="Arial;sans-serif" w:hAnsi="Arial;sans-serif"/>
                  <w:b w:val="false"/>
                  <w:color w:val="0000FF"/>
                  <w:sz w:val="18"/>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28">
              <w:r>
                <w:rPr>
                  <w:rStyle w:val="InternetLink"/>
                  <w:rFonts w:ascii="Arial;sans-serif" w:hAnsi="Arial;sans-serif"/>
                  <w:b w:val="false"/>
                  <w:color w:val="0000FF"/>
                  <w:sz w:val="18"/>
                  <w:u w:val="single"/>
                </w:rPr>
                <w:t>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76">
              <w:r>
                <w:rPr>
                  <w:rStyle w:val="InternetLink"/>
                  <w:rFonts w:ascii="Arial;sans-serif" w:hAnsi="Arial;sans-serif"/>
                  <w:b w:val="false"/>
                  <w:color w:val="0000FF"/>
                  <w:sz w:val="18"/>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76">
              <w:r>
                <w:rPr>
                  <w:rStyle w:val="InternetLink"/>
                  <w:rFonts w:ascii="Arial;sans-serif" w:hAnsi="Arial;sans-serif"/>
                  <w:b w:val="false"/>
                  <w:color w:val="0000FF"/>
                  <w:sz w:val="18"/>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76">
              <w:r>
                <w:rPr>
                  <w:rStyle w:val="InternetLink"/>
                  <w:rFonts w:ascii="Arial;sans-serif" w:hAnsi="Arial;sans-serif"/>
                  <w:b w:val="false"/>
                  <w:color w:val="0000FF"/>
                  <w:sz w:val="18"/>
                  <w:u w:val="single"/>
                </w:rPr>
                <w:t>19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00">
              <w:r>
                <w:rPr>
                  <w:rStyle w:val="InternetLink"/>
                  <w:rFonts w:ascii="Arial;sans-serif" w:hAnsi="Arial;sans-serif"/>
                  <w:b w:val="false"/>
                  <w:color w:val="0000FF"/>
                  <w:sz w:val="18"/>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00">
              <w:r>
                <w:rPr>
                  <w:rStyle w:val="InternetLink"/>
                  <w:rFonts w:ascii="Arial;sans-serif" w:hAnsi="Arial;sans-serif"/>
                  <w:b w:val="false"/>
                  <w:color w:val="0000FF"/>
                  <w:sz w:val="18"/>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00">
              <w:r>
                <w:rPr>
                  <w:rStyle w:val="InternetLink"/>
                  <w:rFonts w:ascii="Arial;sans-serif" w:hAnsi="Arial;sans-serif"/>
                  <w:b w:val="false"/>
                  <w:color w:val="0000FF"/>
                  <w:sz w:val="18"/>
                  <w:u w:val="single"/>
                </w:rPr>
                <w:t>25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03">
              <w:r>
                <w:rPr>
                  <w:rStyle w:val="InternetLink"/>
                  <w:rFonts w:ascii="Arial;sans-serif" w:hAnsi="Arial;sans-serif"/>
                  <w:b w:val="false"/>
                  <w:color w:val="0000FF"/>
                  <w:sz w:val="18"/>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03">
              <w:r>
                <w:rPr>
                  <w:rStyle w:val="InternetLink"/>
                  <w:rFonts w:ascii="Arial;sans-serif" w:hAnsi="Arial;sans-serif"/>
                  <w:b w:val="false"/>
                  <w:color w:val="0000FF"/>
                  <w:sz w:val="18"/>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03">
              <w:r>
                <w:rPr>
                  <w:rStyle w:val="InternetLink"/>
                  <w:rFonts w:ascii="Arial;sans-serif" w:hAnsi="Arial;sans-serif"/>
                  <w:b w:val="false"/>
                  <w:color w:val="0000FF"/>
                  <w:sz w:val="18"/>
                  <w:u w:val="single"/>
                </w:rPr>
                <w:t>25</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06">
              <w:r>
                <w:rPr>
                  <w:rStyle w:val="InternetLink"/>
                  <w:rFonts w:ascii="Arial;sans-serif" w:hAnsi="Arial;sans-serif"/>
                  <w:b/>
                  <w:color w:val="0000FF"/>
                  <w:sz w:val="18"/>
                  <w:u w:val="single"/>
                </w:rPr>
                <w:t>PART II.</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06">
              <w:r>
                <w:rPr>
                  <w:rStyle w:val="InternetLink"/>
                  <w:rFonts w:ascii="Arial;sans-serif" w:hAnsi="Arial;sans-serif"/>
                  <w:b/>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06">
              <w:r>
                <w:rPr>
                  <w:rStyle w:val="InternetLink"/>
                  <w:rFonts w:ascii="Arial;sans-serif" w:hAnsi="Arial;sans-serif"/>
                  <w:b w:val="false"/>
                  <w:color w:val="0000FF"/>
                  <w:sz w:val="18"/>
                  <w:u w:val="single"/>
                </w:rPr>
                <w:t>27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09">
              <w:r>
                <w:rPr>
                  <w:rStyle w:val="InternetLink"/>
                  <w:rFonts w:ascii="Arial;sans-serif" w:hAnsi="Arial;sans-serif"/>
                  <w:b w:val="false"/>
                  <w:color w:val="0000FF"/>
                  <w:sz w:val="18"/>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09">
              <w:r>
                <w:rPr>
                  <w:rStyle w:val="InternetLink"/>
                  <w:rFonts w:ascii="Arial;sans-serif" w:hAnsi="Arial;sans-serif"/>
                  <w:b w:val="false"/>
                  <w:color w:val="0000FF"/>
                  <w:sz w:val="18"/>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09">
              <w:r>
                <w:rPr>
                  <w:rStyle w:val="InternetLink"/>
                  <w:rFonts w:ascii="Arial;sans-serif" w:hAnsi="Arial;sans-serif"/>
                  <w:b w:val="false"/>
                  <w:color w:val="0000FF"/>
                  <w:sz w:val="18"/>
                  <w:u w:val="single"/>
                </w:rPr>
                <w:t>27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12">
              <w:r>
                <w:rPr>
                  <w:rStyle w:val="InternetLink"/>
                  <w:rFonts w:ascii="Arial;sans-serif" w:hAnsi="Arial;sans-serif"/>
                  <w:b w:val="false"/>
                  <w:color w:val="0000FF"/>
                  <w:sz w:val="18"/>
                  <w:u w:val="single"/>
                </w:rPr>
                <w:t>Item 1A.</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12">
              <w:r>
                <w:rPr>
                  <w:rStyle w:val="InternetLink"/>
                  <w:rFonts w:ascii="Arial;sans-serif" w:hAnsi="Arial;sans-serif"/>
                  <w:b w:val="false"/>
                  <w:color w:val="0000FF"/>
                  <w:sz w:val="18"/>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12">
              <w:r>
                <w:rPr>
                  <w:rStyle w:val="InternetLink"/>
                  <w:rFonts w:ascii="Arial;sans-serif" w:hAnsi="Arial;sans-serif"/>
                  <w:b w:val="false"/>
                  <w:color w:val="0000FF"/>
                  <w:sz w:val="18"/>
                  <w:u w:val="single"/>
                </w:rPr>
                <w:t>27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15">
              <w:r>
                <w:rPr>
                  <w:rStyle w:val="InternetLink"/>
                  <w:rFonts w:ascii="Arial;sans-serif" w:hAnsi="Arial;sans-serif"/>
                  <w:b w:val="false"/>
                  <w:color w:val="0000FF"/>
                  <w:sz w:val="18"/>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15">
              <w:r>
                <w:rPr>
                  <w:rStyle w:val="InternetLink"/>
                  <w:rFonts w:ascii="Arial;sans-serif" w:hAnsi="Arial;sans-serif"/>
                  <w:b w:val="false"/>
                  <w:color w:val="0000FF"/>
                  <w:sz w:val="18"/>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15">
              <w:r>
                <w:rPr>
                  <w:rStyle w:val="InternetLink"/>
                  <w:rFonts w:ascii="Arial;sans-serif" w:hAnsi="Arial;sans-serif"/>
                  <w:b w:val="false"/>
                  <w:color w:val="0000FF"/>
                  <w:sz w:val="18"/>
                  <w:u w:val="single"/>
                </w:rPr>
                <w:t>27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18">
              <w:r>
                <w:rPr>
                  <w:rStyle w:val="InternetLink"/>
                  <w:rFonts w:ascii="Arial;sans-serif" w:hAnsi="Arial;sans-serif"/>
                  <w:b w:val="false"/>
                  <w:color w:val="0000FF"/>
                  <w:sz w:val="18"/>
                  <w:u w:val="single"/>
                </w:rPr>
                <w:t>Item 5.</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18">
              <w:r>
                <w:rPr>
                  <w:rStyle w:val="InternetLink"/>
                  <w:rFonts w:ascii="Arial;sans-serif" w:hAnsi="Arial;sans-serif"/>
                  <w:b w:val="false"/>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18">
              <w:r>
                <w:rPr>
                  <w:rStyle w:val="InternetLink"/>
                  <w:rFonts w:ascii="Arial;sans-serif" w:hAnsi="Arial;sans-serif"/>
                  <w:b w:val="false"/>
                  <w:color w:val="0000FF"/>
                  <w:sz w:val="18"/>
                  <w:u w:val="single"/>
                </w:rPr>
                <w:t>27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21">
              <w:r>
                <w:rPr>
                  <w:rStyle w:val="InternetLink"/>
                  <w:rFonts w:ascii="Arial;sans-serif" w:hAnsi="Arial;sans-serif"/>
                  <w:b w:val="false"/>
                  <w:color w:val="0000FF"/>
                  <w:sz w:val="18"/>
                  <w:u w:val="single"/>
                </w:rPr>
                <w:t>Item 6.</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21">
              <w:r>
                <w:rPr>
                  <w:rStyle w:val="InternetLink"/>
                  <w:rFonts w:ascii="Arial;sans-serif" w:hAnsi="Arial;sans-serif"/>
                  <w:b w:val="false"/>
                  <w:color w:val="0000FF"/>
                  <w:sz w:val="18"/>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21">
              <w:r>
                <w:rPr>
                  <w:rStyle w:val="InternetLink"/>
                  <w:rFonts w:ascii="Arial;sans-serif" w:hAnsi="Arial;sans-serif"/>
                  <w:b w:val="false"/>
                  <w:color w:val="0000FF"/>
                  <w:sz w:val="18"/>
                  <w:u w:val="single"/>
                </w:rPr>
                <w:t>28</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b46714725c045d4982775c59a88646f_124">
              <w:r>
                <w:rPr>
                  <w:rStyle w:val="InternetLink"/>
                  <w:rFonts w:ascii="Arial;sans-serif" w:hAnsi="Arial;sans-serif"/>
                  <w:b/>
                  <w:color w:val="0000FF"/>
                  <w:sz w:val="18"/>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6714725c045d4982775c59a88646f_124">
              <w:r>
                <w:rPr>
                  <w:rStyle w:val="InternetLink"/>
                  <w:rFonts w:ascii="Arial;sans-serif" w:hAnsi="Arial;sans-serif"/>
                  <w:b w:val="false"/>
                  <w:color w:val="0000FF"/>
                  <w:sz w:val="18"/>
                  <w:u w:val="single"/>
                </w:rPr>
                <w:t>29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Income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tbl>
      <w:tblPr>
        <w:tblW w:w="8365" w:type="dxa"/>
        <w:jc w:val="left"/>
        <w:tblInd w:w="0" w:type="dxa"/>
        <w:tblLayout w:type="fixed"/>
        <w:tblCellMar>
          <w:top w:w="28" w:type="dxa"/>
          <w:left w:w="28" w:type="dxa"/>
          <w:bottom w:w="28" w:type="dxa"/>
          <w:right w:w="28" w:type="dxa"/>
        </w:tblCellMar>
      </w:tblPr>
      <w:tblGrid>
        <w:gridCol w:w="1455"/>
        <w:gridCol w:w="1280"/>
        <w:gridCol w:w="1284"/>
        <w:gridCol w:w="397"/>
        <w:gridCol w:w="1165"/>
        <w:gridCol w:w="207"/>
        <w:gridCol w:w="109"/>
        <w:gridCol w:w="109"/>
        <w:gridCol w:w="109"/>
        <w:gridCol w:w="397"/>
        <w:gridCol w:w="1165"/>
        <w:gridCol w:w="207"/>
        <w:gridCol w:w="109"/>
        <w:gridCol w:w="109"/>
        <w:gridCol w:w="109"/>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income</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per common share:</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68"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Balance Sheets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96"/>
        <w:gridCol w:w="2192"/>
        <w:gridCol w:w="2199"/>
        <w:gridCol w:w="306"/>
        <w:gridCol w:w="1106"/>
        <w:gridCol w:w="170"/>
        <w:gridCol w:w="109"/>
        <w:gridCol w:w="109"/>
        <w:gridCol w:w="109"/>
        <w:gridCol w:w="260"/>
        <w:gridCol w:w="940"/>
        <w:gridCol w:w="209"/>
      </w:tblGrid>
      <w:tr>
        <w:trPr/>
        <w:tc>
          <w:tcPr>
            <w:tcW w:w="2496"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6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November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30, 2025</w:t>
            </w:r>
          </w:p>
        </w:tc>
      </w:tr>
      <w:tr>
        <w:trPr/>
        <w:tc>
          <w:tcPr>
            <w:tcW w:w="6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Receivables, less allowance for credit losses ($0.5 and $0.5, respectively)</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 net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life insurance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assets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2,127.2</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2,154.4</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8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warranties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Self-insurance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Promotional</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and dividends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15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 liabilities,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Unrecognized tax benefits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893.6</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929.7</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Contingent liabilities and commitments (Note 9)</w:t>
            </w:r>
          </w:p>
        </w:tc>
        <w:tc>
          <w:tcPr>
            <w:tcW w:w="1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par value $0.01: 10.0 shares authorized; zero shares issued and outstanding</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par value $0.50: 120.0 shares authorized; 51.8 shares issued</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at cost: 23.7 and 23.8 shares, respectively</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shareholders' equity</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1,233.6</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1,224.7</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shareholders' equity</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2,127.2</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2,154.4</w:t>
            </w: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Cash Flows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449"/>
        <w:gridCol w:w="2129"/>
        <w:gridCol w:w="2149"/>
        <w:gridCol w:w="352"/>
        <w:gridCol w:w="1002"/>
        <w:gridCol w:w="198"/>
        <w:gridCol w:w="109"/>
        <w:gridCol w:w="109"/>
        <w:gridCol w:w="109"/>
        <w:gridCol w:w="344"/>
        <w:gridCol w:w="979"/>
        <w:gridCol w:w="276"/>
      </w:tblGrid>
      <w:tr>
        <w:trPr/>
        <w:tc>
          <w:tcPr>
            <w:tcW w:w="2449"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6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November 30, 2024</w:t>
            </w:r>
          </w:p>
        </w:tc>
      </w:tr>
      <w:tr>
        <w:trPr/>
        <w:tc>
          <w:tcPr>
            <w:tcW w:w="6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net cash provided by (used in) operating activities</w:t>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Last in, first-out ("LIFO") expense</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operating assets and liabilities, net of assets and liabilities acquired</w:t>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 net</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and unrecognized tax benefits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cash dividends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repurchases of common stock</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financing activities</w:t>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(12.2)</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(43.7)</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and cash equivalents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181.7 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262.5 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Disclosures</w:t>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received, net</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investing and financing activities</w:t>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in accounts payable</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lease assets in exchange for lease liabilities:</w:t>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Changes in Shareholders' Equity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865"/>
        <w:gridCol w:w="422"/>
        <w:gridCol w:w="424"/>
        <w:gridCol w:w="245"/>
        <w:gridCol w:w="245"/>
        <w:gridCol w:w="246"/>
        <w:gridCol w:w="204"/>
        <w:gridCol w:w="486"/>
        <w:gridCol w:w="113"/>
        <w:gridCol w:w="250"/>
        <w:gridCol w:w="712"/>
        <w:gridCol w:w="141"/>
        <w:gridCol w:w="211"/>
        <w:gridCol w:w="747"/>
        <w:gridCol w:w="117"/>
        <w:gridCol w:w="492"/>
        <w:gridCol w:w="982"/>
        <w:gridCol w:w="275"/>
        <w:gridCol w:w="248"/>
        <w:gridCol w:w="248"/>
        <w:gridCol w:w="246"/>
        <w:gridCol w:w="196"/>
        <w:gridCol w:w="581"/>
        <w:gridCol w:w="109"/>
        <w:gridCol w:w="261"/>
        <w:gridCol w:w="922"/>
        <w:gridCol w:w="217"/>
      </w:tblGrid>
      <w:tr>
        <w:trPr/>
        <w:tc>
          <w:tcPr>
            <w:tcW w:w="86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58" w:type="dxa"/>
            <w:gridSpan w:val="21"/>
            <w:tcBorders/>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2286" w:type="dxa"/>
            <w:gridSpan w:val="6"/>
            <w:tcBorders/>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852" w:type="dxa"/>
            <w:gridSpan w:val="15"/>
            <w:tcBorders/>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58" w:type="dxa"/>
            <w:gridSpan w:val="21"/>
            <w:tcBorders/>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2286" w:type="dxa"/>
            <w:gridSpan w:val="6"/>
            <w:tcBorders/>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852" w:type="dxa"/>
            <w:gridSpan w:val="15"/>
            <w:tcBorders/>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November 29, 2025</w:t>
            </w:r>
          </w:p>
        </w:tc>
      </w:tr>
      <w:tr>
        <w:trPr/>
        <w:tc>
          <w:tcPr>
            <w:tcW w:w="17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5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4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1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4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August 30, 2025</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1,224.7 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November 29, 2025</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1,233.6 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24"/>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November 30, 2024</w:t>
            </w:r>
          </w:p>
        </w:tc>
      </w:tr>
      <w:tr>
        <w:trPr/>
        <w:tc>
          <w:tcPr>
            <w:tcW w:w="17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5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4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1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4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August 31, 2024</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November 30, 2024</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1,240.2 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(All amounts are in millions, except share and per share data, unless otherwise designated)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Note 1.    Basis of Presentation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consolidated financial statements include the accounts of Winnebago Industries, Inc. and its wholly-owned subsidiaries. Intercompany account balances and transactions have been eliminated in consolidation.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use of the terms "Winnebago Industries," "Winnebago," "we," "our," and "us" in this Quarterly Report on Form 10-Q, unless the context otherwise requires, refers to Winnebago Industries, Inc. and its wholly owned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consolidated financial statements included in this Quarterly Report on Form 10-Q should be read in conjunction with the audited consolidated financial statements and notes thereto included in our Annual Report on Form 10-K for the fiscal year ended August 30, 2025 filed with the SEC. Interim results of operations are not necessarily indicative of the results to be expected for the full fiscal year ending August 29, 2026.</w:t>
      </w:r>
    </w:p>
    <w:p>
      <w:pPr>
        <w:pStyle w:val="TextBody"/>
        <w:bidi w:val="0"/>
        <w:spacing w:before="0" w:after="0"/>
        <w:jc w:val="left"/>
        <w:rPr/>
      </w:pPr>
      <w:r>
        <w:rPr/>
      </w:r>
    </w:p>
    <w:p>
      <w:pPr>
        <w:pStyle w:val="TextBody"/>
        <w:bidi w:val="0"/>
        <w:spacing w:lineRule="auto" w:line="268" w:before="0" w:after="120"/>
        <w:jc w:val="both"/>
        <w:rPr>
          <w:rFonts w:ascii="Arial;sans-serif" w:hAnsi="Arial;sans-serif"/>
          <w:b/>
          <w:color w:val="000000"/>
          <w:sz w:val="18"/>
        </w:rPr>
      </w:pPr>
      <w:r>
        <w:rPr>
          <w:rFonts w:ascii="Arial;sans-serif" w:hAnsi="Arial;sans-serif"/>
          <w:b/>
          <w:color w:val="000000"/>
          <w:sz w:val="18"/>
        </w:rPr>
        <w:t>Comprehensive Income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Comprehensive income represents the change in shareholders’ equity from transactions and other events and circumstances from sources other than shareholders. As of November 29, 2025 and November 30, 2024, the difference between comprehensive income and net income was not material. </w:t>
      </w:r>
    </w:p>
    <w:p>
      <w:pPr>
        <w:pStyle w:val="TextBody"/>
        <w:bidi w:val="0"/>
        <w:spacing w:before="0" w:after="0"/>
        <w:jc w:val="both"/>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Subsequent Events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preparing the accompanying unaudited consolidated financial statements, we have evaluated subsequent events for potential recognition and disclosure through the date of this filing, noting no material subsequent events.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Recently Issued Accounting Pronouncements</w:t>
      </w:r>
    </w:p>
    <w:p>
      <w:pPr>
        <w:pStyle w:val="TextBody"/>
        <w:bidi w:val="0"/>
        <w:spacing w:lineRule="auto" w:line="288" w:before="0" w:after="0"/>
        <w:jc w:val="left"/>
        <w:rPr/>
      </w:pPr>
      <w:r>
        <w:rPr>
          <w:rFonts w:ascii="Arial;sans-serif" w:hAnsi="Arial;sans-serif"/>
          <w:b w:val="false"/>
          <w:color w:val="000000"/>
          <w:sz w:val="18"/>
        </w:rPr>
        <w:t xml:space="preserve">In September 2025, the Financial Accounting Standards Board (“FASB”) issued Accounting Standards Update (“ASU”) 2025-06, </w:t>
      </w:r>
      <w:r>
        <w:rPr>
          <w:rFonts w:ascii="Arial;sans-serif" w:hAnsi="Arial;sans-serif"/>
          <w:b w:val="false"/>
          <w:i/>
          <w:color w:val="000000"/>
          <w:sz w:val="18"/>
        </w:rPr>
        <w:t>Intangibles—Goodwill and Other—Internal-Use Software (Subtopic 350-40): Targeted Improvements to the Accounting for Internal-Use Software</w:t>
      </w:r>
      <w:r>
        <w:rPr>
          <w:rFonts w:ascii="Arial;sans-serif" w:hAnsi="Arial;sans-serif"/>
          <w:b w:val="false"/>
          <w:color w:val="000000"/>
          <w:sz w:val="18"/>
        </w:rPr>
        <w:t>, which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The new guidance is effective for annual reporting periods beginning after December 15, 2027, and interim periods within those annual periods. We are currently evaluating the impact of the standard on our consolidated financial statements and related disclosures. We will adopt the standard in our Quarterly Report on Form 10-Q in the first quarter of our fiscal year beginning August 27, 2028 and filings thereafter.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November 2024, the FASB issued ASU 2024-04, </w:t>
      </w:r>
      <w:r>
        <w:rPr>
          <w:rFonts w:ascii="Arial;sans-serif" w:hAnsi="Arial;sans-serif"/>
          <w:b w:val="false"/>
          <w:i/>
          <w:color w:val="000000"/>
          <w:sz w:val="18"/>
        </w:rPr>
        <w:t>Debt—Debt with Conversion and Other Options (Subtopic 470-20): Induced Conversions of Convertible Debt Instruments</w:t>
      </w:r>
      <w:r>
        <w:rPr>
          <w:rFonts w:ascii="Arial;sans-serif" w:hAnsi="Arial;sans-serif"/>
          <w:b w:val="false"/>
          <w:color w:val="000000"/>
          <w:sz w:val="18"/>
        </w:rPr>
        <w:t>,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We are currently evaluating the impact of the standard on our consolidated financial statements and related disclosures. We will adopt the standard in our Quarterly Report on Form 10-Q in the first quarter of our fiscal year beginning August 30, 2026 and filings thereafter.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November 2024, the FASB issued ASU 2024-03, </w:t>
      </w:r>
      <w:r>
        <w:rPr>
          <w:rFonts w:ascii="Arial;sans-serif" w:hAnsi="Arial;sans-serif"/>
          <w:b w:val="false"/>
          <w:i/>
          <w:color w:val="000000"/>
          <w:sz w:val="18"/>
        </w:rPr>
        <w:t>Income Statement—Reporting Comprehensive Income—Expense Disaggregation Disclosures (Subtopic 220-40): Disaggregation Of Income Statement Expenses</w:t>
      </w:r>
      <w:r>
        <w:rPr>
          <w:rFonts w:ascii="Arial;sans-serif" w:hAnsi="Arial;sans-serif"/>
          <w:b w:val="false"/>
          <w:color w:val="000000"/>
          <w:sz w:val="18"/>
        </w:rPr>
        <w:t>, which requires disclosure of additional disaggregated information about significant expenses within relevant income statement captions, such as purchases of inventory, employee compensation, depreciation, amortization and depletion. The new guidance is effective for annual reporting periods beginning after December 15, 2026, and interim periods within fiscal years beginning after December 15, 2027. We are currently evaluating the impact of the standard on our consolidated financial statements and related disclosures. We will adopt the standard in our Annual Report on Form 10-K for our fiscal year ending August 26, 2028 and filings thereafter.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 xml:space="preserve">In December 2023, the FASB issued ASU 2023-09, </w:t>
      </w:r>
      <w:r>
        <w:rPr>
          <w:rFonts w:ascii="Arial;sans-serif" w:hAnsi="Arial;sans-serif"/>
          <w:b w:val="false"/>
          <w:i/>
          <w:color w:val="000000"/>
          <w:sz w:val="18"/>
        </w:rPr>
        <w:t>Income Taxes (Topic 740): Improvements to Income Tax Disclosures</w:t>
      </w:r>
      <w:r>
        <w:rPr>
          <w:rFonts w:ascii="Arial;sans-serif" w:hAnsi="Arial;sans-serif"/>
          <w:b w:val="false"/>
          <w:color w:val="000000"/>
          <w:sz w:val="18"/>
        </w:rPr>
        <w:t>,</w:t>
      </w:r>
      <w:r>
        <w:rPr>
          <w:color w:val="000000"/>
        </w:rPr>
        <w:t xml:space="preserve"> </w:t>
      </w:r>
      <w:r>
        <w:rPr>
          <w:rFonts w:ascii="Arial;sans-serif" w:hAnsi="Arial;sans-serif"/>
          <w:b w:val="false"/>
          <w:color w:val="000000"/>
          <w:sz w:val="18"/>
          <w:shd w:fill="FFFFFF" w:val="clear"/>
        </w:rPr>
        <w:t>which requires expanded disclosures primarily related to the effective tax rate reconciliation and income taxes paid. The new guidance is effective for annual reporting periods beginning after December 15, 2024, with early adoption permit</w:t>
      </w:r>
      <w:r>
        <w:rPr>
          <w:rFonts w:ascii="Arial;sans-serif" w:hAnsi="Arial;sans-serif"/>
          <w:b w:val="false"/>
          <w:color w:val="000000"/>
          <w:sz w:val="18"/>
        </w:rPr>
        <w:t>ted. We are currently evaluating the impact of the standard on our consolidated financial statements and related disclosures. We will adopt the standard in our Annual Report on Form 10-K for our fiscal year ending August 29, 2026 and annual filings thereafter.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Note 2.    Business Segments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nine operating segments: 1) Grand Design towables, 2) Winnebago towables, 3) Winnebago motorhomes, 4) Newmar motorhomes, 5) Grand Design motorhomes, 6) Chris-Craft marine, 7) Barletta marine, 8) Winnebago specialty vehicles, and 9) Lithionics. Financial performance is evaluated based on each operating segment's operating income, as defined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Our three</w:t>
      </w:r>
      <w:r>
        <w:rPr>
          <w:color w:val="000000"/>
        </w:rPr>
        <w:t xml:space="preserve"> </w:t>
      </w:r>
      <w:r>
        <w:rPr>
          <w:rFonts w:ascii="Arial;sans-serif" w:hAnsi="Arial;sans-serif"/>
          <w:b w:val="false"/>
          <w:color w:val="000000"/>
          <w:sz w:val="18"/>
        </w:rPr>
        <w:t>reportable segments are: Towable RV (an aggregation of the Grand Design towables and the Winnebago towables operating segments), Motorhome RV (an aggregation of the Winnebago motorhomes, Newmar motorhomes, and Grand Design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motorized chassis, along with other related manufactured products and services. Marine is comprised of products that include boats, along with other related manufactured products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Corporate / All Other category includes the Winnebago specialty vehicles and Lithionics operating segments as well as certain corporate administration expenses, such as corporate leadership and administration costs. None of these operating segments have ever met any of the quantitative thresholds for determining reportable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Chief Executive Officer, who serves as the Chief Operating Decision Maker ("CODM"), regularly reviews consolidated financial results in their entirety and operating segment financial information through operating income and has ultimate responsibility for enterprise decisions. Our CODM is responsible for allocating resources and assessing the performance of the consolidated enterprise and operating segments by reviewing budget to actual comparisons within the financial package regularly provided to him. Each operating segment is allocated resources, and segment management is responsible for operating decisions and assessing performance within their respective operating segment. Capital is allocated to each operating segment by the CODM based on factors such as business size, operating segment performance (measured by operating income), strategic initiatives of both the operating segment and the enterprise, and the total available capital of the consolidated enterprise. The accounting policies of all reportable segments are the same as those described in Note 1 in the Notes to Consolidated Financial Statements included in Item 8 of Part II of our Annual Report on Form 10-K for the fiscal year ended August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monitor and evaluate the operating performance of our reportable segments based on operating income. Operating income is defined as net revenues less cost of goods sold (“COGS”) and selling, general, and administrative expenses (“SG&amp;A”).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Identifiable assets of the reportable segments exclude general corporate assets, which principally consist of cash and cash equivalents and certain deferred tax balances. The general corporate assets are included in the Corporate / All Other category.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sales and significant expense categories included in operating income by reportable segment as well as a reconciliation to consolidated income before income taxes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30"/>
        <w:gridCol w:w="640"/>
        <w:gridCol w:w="520"/>
        <w:gridCol w:w="221"/>
        <w:gridCol w:w="627"/>
        <w:gridCol w:w="123"/>
        <w:gridCol w:w="115"/>
        <w:gridCol w:w="115"/>
        <w:gridCol w:w="115"/>
        <w:gridCol w:w="265"/>
        <w:gridCol w:w="753"/>
        <w:gridCol w:w="148"/>
        <w:gridCol w:w="115"/>
        <w:gridCol w:w="115"/>
        <w:gridCol w:w="115"/>
        <w:gridCol w:w="207"/>
        <w:gridCol w:w="492"/>
        <w:gridCol w:w="115"/>
        <w:gridCol w:w="115"/>
        <w:gridCol w:w="115"/>
        <w:gridCol w:w="115"/>
        <w:gridCol w:w="236"/>
        <w:gridCol w:w="672"/>
        <w:gridCol w:w="131"/>
        <w:gridCol w:w="115"/>
        <w:gridCol w:w="115"/>
        <w:gridCol w:w="115"/>
        <w:gridCol w:w="299"/>
        <w:gridCol w:w="738"/>
        <w:gridCol w:w="168"/>
        <w:gridCol w:w="115"/>
        <w:gridCol w:w="115"/>
        <w:gridCol w:w="115"/>
        <w:gridCol w:w="277"/>
        <w:gridCol w:w="788"/>
        <w:gridCol w:w="230"/>
      </w:tblGrid>
      <w:tr>
        <w:trPr/>
        <w:tc>
          <w:tcPr>
            <w:tcW w:w="8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November 29, 2025</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revenues</w:t>
            </w:r>
            <w:r>
              <w:rPr>
                <w:rFonts w:ascii="Arial;sans-serif" w:hAnsi="Arial;sans-serif"/>
                <w:b w:val="false"/>
                <w:color w:val="000000"/>
                <w:sz w:val="10"/>
              </w:rPr>
              <w:t>(1)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general, and administrative expenses</w:t>
            </w:r>
            <w:r>
              <w:rPr>
                <w:rFonts w:ascii="Arial;sans-serif" w:hAnsi="Arial;sans-serif"/>
                <w:b w:val="false"/>
                <w:color w:val="000000"/>
                <w:sz w:val="10"/>
              </w:rPr>
              <w:t>(2)</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Reconciliation to income before income taxes: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Non-operating income</w:t>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See Note 10 in the Notes to Consolidated Financial Statements for more information on segment revenues. </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(2) </w:t>
            </w:r>
            <w:r>
              <w:rPr>
                <w:rFonts w:ascii="Arial;sans-serif" w:hAnsi="Arial;sans-serif"/>
                <w:b w:val="false"/>
                <w:color w:val="000000"/>
                <w:sz w:val="16"/>
              </w:rPr>
              <w:t>Includes compensation for non-production employees, selling and marketing expenses, depreciation and amortization on non-production assets, professional services, and other miscellaneous expenses.</w:t>
            </w:r>
          </w:p>
        </w:tc>
      </w:tr>
      <w:tr>
        <w:trPr/>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November 30, 2024</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revenues</w:t>
            </w:r>
            <w:r>
              <w:rPr>
                <w:rFonts w:ascii="Arial;sans-serif" w:hAnsi="Arial;sans-serif"/>
                <w:b w:val="false"/>
                <w:color w:val="000000"/>
                <w:sz w:val="10"/>
              </w:rPr>
              <w:t>(1)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general, and administrative expenses</w:t>
            </w:r>
            <w:r>
              <w:rPr>
                <w:rFonts w:ascii="Arial;sans-serif" w:hAnsi="Arial;sans-serif"/>
                <w:b w:val="false"/>
                <w:color w:val="000000"/>
                <w:sz w:val="10"/>
              </w:rPr>
              <w:t>(2)</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Reconciliation to income before income taxes: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See Note 10 in the Notes to Consolidated Financial Statements for more information on segment revenues. </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(2) </w:t>
            </w:r>
            <w:r>
              <w:rPr>
                <w:rFonts w:ascii="Arial;sans-serif" w:hAnsi="Arial;sans-serif"/>
                <w:b w:val="false"/>
                <w:color w:val="000000"/>
                <w:sz w:val="16"/>
              </w:rPr>
              <w:t>Includes compensation for non-production employees, selling and marketing expenses, depreciation and amortization on non-production assets, professional services, and other miscellaneous expenses.</w:t>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7244" w:type="dxa"/>
            <w:gridSpan w:val="30"/>
            <w:tcBorders/>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8215" w:type="dxa"/>
            <w:gridSpan w:val="33"/>
            <w:tcBorders/>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8215" w:type="dxa"/>
            <w:gridSpan w:val="33"/>
            <w:tcBorders/>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7244" w:type="dxa"/>
            <w:gridSpan w:val="30"/>
            <w:tcBorders/>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8215" w:type="dxa"/>
            <w:gridSpan w:val="33"/>
            <w:tcBorders/>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8215"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financial information by reportable segment and corporate/all other is as follows:</w:t>
      </w:r>
    </w:p>
    <w:tbl>
      <w:tblPr>
        <w:tblW w:w="10205" w:type="dxa"/>
        <w:jc w:val="left"/>
        <w:tblInd w:w="0" w:type="dxa"/>
        <w:tblLayout w:type="fixed"/>
        <w:tblCellMar>
          <w:top w:w="28" w:type="dxa"/>
          <w:left w:w="28" w:type="dxa"/>
          <w:bottom w:w="28" w:type="dxa"/>
          <w:right w:w="28" w:type="dxa"/>
        </w:tblCellMar>
      </w:tblPr>
      <w:tblGrid>
        <w:gridCol w:w="646"/>
        <w:gridCol w:w="566"/>
        <w:gridCol w:w="573"/>
        <w:gridCol w:w="221"/>
        <w:gridCol w:w="628"/>
        <w:gridCol w:w="123"/>
        <w:gridCol w:w="109"/>
        <w:gridCol w:w="109"/>
        <w:gridCol w:w="109"/>
        <w:gridCol w:w="268"/>
        <w:gridCol w:w="762"/>
        <w:gridCol w:w="150"/>
        <w:gridCol w:w="109"/>
        <w:gridCol w:w="109"/>
        <w:gridCol w:w="109"/>
        <w:gridCol w:w="196"/>
        <w:gridCol w:w="556"/>
        <w:gridCol w:w="109"/>
        <w:gridCol w:w="109"/>
        <w:gridCol w:w="109"/>
        <w:gridCol w:w="109"/>
        <w:gridCol w:w="226"/>
        <w:gridCol w:w="799"/>
        <w:gridCol w:w="126"/>
        <w:gridCol w:w="109"/>
        <w:gridCol w:w="109"/>
        <w:gridCol w:w="109"/>
        <w:gridCol w:w="318"/>
        <w:gridCol w:w="902"/>
        <w:gridCol w:w="178"/>
        <w:gridCol w:w="109"/>
        <w:gridCol w:w="109"/>
        <w:gridCol w:w="109"/>
        <w:gridCol w:w="228"/>
        <w:gridCol w:w="807"/>
        <w:gridCol w:w="188"/>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7448" w:type="dxa"/>
            <w:gridSpan w:val="30"/>
            <w:tcBorders/>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7448" w:type="dxa"/>
            <w:gridSpan w:val="30"/>
            <w:tcBorders/>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November 29, 2025</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November 30, 2024</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2,298.0 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Note 3.    Investments and Fair Value Measurements</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1</w:t>
      </w:r>
      <w:r>
        <w:rPr>
          <w:color w:val="000000"/>
        </w:rPr>
        <w:t xml:space="preserve"> — </w:t>
      </w:r>
      <w:r>
        <w:rPr>
          <w:rFonts w:ascii="Arial;sans-serif" w:hAnsi="Arial;sans-serif"/>
          <w:b w:val="false"/>
          <w:color w:val="000000"/>
          <w:sz w:val="18"/>
        </w:rPr>
        <w:t>Unadjusted quoted prices which are available in active markets for identical assets or liabilities accessible at the measurement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pPr>
      <w:r>
        <w:rPr>
          <w:rFonts w:ascii="Arial;sans-serif" w:hAnsi="Arial;sans-serif"/>
          <w:b w:val="false"/>
          <w:i/>
          <w:color w:val="000000"/>
          <w:sz w:val="18"/>
        </w:rPr>
        <w:t>Level 2</w:t>
      </w:r>
      <w:r>
        <w:rPr>
          <w:color w:val="000000"/>
        </w:rPr>
        <w:t xml:space="preserve"> — </w:t>
      </w:r>
      <w:r>
        <w:rPr>
          <w:rFonts w:ascii="Arial;sans-serif" w:hAnsi="Arial;sans-serif"/>
          <w:b w:val="false"/>
          <w:color w:val="000000"/>
          <w:sz w:val="18"/>
          <w:shd w:fill="FFFFFF" w:val="clear"/>
        </w:rPr>
        <w:t>Inputs other than quoted prices included in Level 1 inputs that are observable for the asset or liability, either directly or indirectly, for substantially the full term of the asset or liability.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3</w:t>
      </w:r>
      <w:r>
        <w:rPr>
          <w:color w:val="000000"/>
        </w:rPr>
        <w:t xml:space="preserve"> — </w:t>
      </w:r>
      <w:r>
        <w:rPr>
          <w:rFonts w:ascii="Arial;sans-serif" w:hAnsi="Arial;sans-serif"/>
          <w:b w:val="false"/>
          <w:color w:val="000000"/>
          <w:sz w:val="18"/>
          <w:shd w:fill="FFFFFF" w:val="clear"/>
        </w:rPr>
        <w:t>Unobservable inputs for the asset or liability used to measure fair value to the extent that observable inputs are not available, thereby allowing for situations in which there is little, if any, market activity for the asset or liability at the measurement date.</w:t>
      </w:r>
    </w:p>
    <w:p>
      <w:pPr>
        <w:pStyle w:val="TextBody"/>
        <w:bidi w:val="0"/>
        <w:spacing w:before="0" w:after="0"/>
        <w:ind w:left="0" w:right="0" w:firstLine="72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Assets and Liabilities that are Measured at Fair Value on a Recurring Basis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Financial assets and liabilities measured at fair value on a recurring basis are as follows:</w:t>
      </w:r>
    </w:p>
    <w:tbl>
      <w:tblPr>
        <w:tblW w:w="8319" w:type="dxa"/>
        <w:jc w:val="left"/>
        <w:tblInd w:w="0" w:type="dxa"/>
        <w:tblLayout w:type="fixed"/>
        <w:tblCellMar>
          <w:top w:w="28" w:type="dxa"/>
          <w:left w:w="28" w:type="dxa"/>
          <w:bottom w:w="28" w:type="dxa"/>
          <w:right w:w="28" w:type="dxa"/>
        </w:tblCellMar>
      </w:tblPr>
      <w:tblGrid>
        <w:gridCol w:w="1211"/>
        <w:gridCol w:w="1059"/>
        <w:gridCol w:w="1075"/>
        <w:gridCol w:w="515"/>
        <w:gridCol w:w="990"/>
        <w:gridCol w:w="265"/>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that fund deferred compensation</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equity funds</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equity funds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8034" w:type="dxa"/>
        <w:jc w:val="center"/>
        <w:tblInd w:w="0" w:type="dxa"/>
        <w:tblLayout w:type="fixed"/>
        <w:tblCellMar>
          <w:top w:w="28" w:type="dxa"/>
          <w:left w:w="28" w:type="dxa"/>
          <w:bottom w:w="28" w:type="dxa"/>
          <w:right w:w="28" w:type="dxa"/>
        </w:tblCellMar>
      </w:tblPr>
      <w:tblGrid>
        <w:gridCol w:w="1211"/>
        <w:gridCol w:w="1059"/>
        <w:gridCol w:w="1075"/>
        <w:gridCol w:w="432"/>
        <w:gridCol w:w="831"/>
        <w:gridCol w:w="222"/>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that fund deferred compensation</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equity funds</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equity funds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Assets that Fund Deferred Compensation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assets that fund deferred compensation are marketable equity securities measured at fair value using quoted market prices and primarily consist of equity-based mutual funds. These securities, used to fund the Executive Deferred Compensation Plan, are classified as Level 1 as they are traded in an active market for which closing stock prices are readily available. Refer to Note 11 in the Notes to Consolidated Financial Statements included in Item 8 of Part II of our Annual Report on Form 10-K for the fiscal year ended August 30, 2025 for additional information regarding these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proportion of the assets that will fund the deferred compensation payments within a year are included in prepaid expenses and other current assets on the Consolidated Balance Sheets. The remaining assets are classified as non-current and are included in other long-term assets on the Consolidated Balance Sheets.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Assets and Liabilities Measured at Fair Value on a Nonrecurring Basis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non-financial assets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three months ended November 29, 2025 or November 30, 2024.</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Assets and Liabilities Not Measured at Fair Value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debt obligations are recorded at amortized cost but measured at fair value for disclosure purposes. The fair value of our debt was determined using current quoted prices in active markets for our publicly traded debt obligations, which is classified as Level 1 in the fair value hierarchy. See Note 8 in the Notes to Consolidated Financial Statements included in Item 1 of Part I of this Quarterly Report on Form 10-Q for the fair value of our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Note 4.    Inventories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Inventories consist of the following: </w:t>
      </w:r>
    </w:p>
    <w:tbl>
      <w:tblPr>
        <w:tblW w:w="8186" w:type="dxa"/>
        <w:jc w:val="left"/>
        <w:tblInd w:w="0" w:type="dxa"/>
        <w:tblLayout w:type="fixed"/>
        <w:tblCellMar>
          <w:top w:w="28" w:type="dxa"/>
          <w:left w:w="28" w:type="dxa"/>
          <w:bottom w:w="28" w:type="dxa"/>
          <w:right w:w="28" w:type="dxa"/>
        </w:tblCellMar>
      </w:tblPr>
      <w:tblGrid>
        <w:gridCol w:w="1767"/>
        <w:gridCol w:w="1478"/>
        <w:gridCol w:w="1315"/>
        <w:gridCol w:w="397"/>
        <w:gridCol w:w="1165"/>
        <w:gridCol w:w="207"/>
        <w:gridCol w:w="109"/>
        <w:gridCol w:w="109"/>
        <w:gridCol w:w="109"/>
        <w:gridCol w:w="329"/>
        <w:gridCol w:w="961"/>
        <w:gridCol w:w="240"/>
      </w:tblGrid>
      <w:tr>
        <w:trPr/>
        <w:tc>
          <w:tcPr>
            <w:tcW w:w="176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4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Work-in-process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Excess of First-in, first-out ("FIFO") over LIFO cost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415.1 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396.4 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Inventory valuation methods consist of the following:</w:t>
      </w:r>
    </w:p>
    <w:tbl>
      <w:tblPr>
        <w:tblW w:w="4616" w:type="dxa"/>
        <w:jc w:val="left"/>
        <w:tblInd w:w="0" w:type="dxa"/>
        <w:tblLayout w:type="fixed"/>
        <w:tblCellMar>
          <w:top w:w="28" w:type="dxa"/>
          <w:left w:w="28" w:type="dxa"/>
          <w:bottom w:w="28" w:type="dxa"/>
          <w:right w:w="28" w:type="dxa"/>
        </w:tblCellMar>
      </w:tblPr>
      <w:tblGrid>
        <w:gridCol w:w="359"/>
        <w:gridCol w:w="314"/>
        <w:gridCol w:w="317"/>
        <w:gridCol w:w="397"/>
        <w:gridCol w:w="1165"/>
        <w:gridCol w:w="207"/>
        <w:gridCol w:w="109"/>
        <w:gridCol w:w="109"/>
        <w:gridCol w:w="109"/>
        <w:gridCol w:w="329"/>
        <w:gridCol w:w="961"/>
        <w:gridCol w:w="240"/>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LIFO basis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FIFO basis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above value of inventories, before reduction for the LIFO reserve, approximates replacement cost at the respective dates.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Arial;sans-serif" w:hAnsi="Arial;sans-serif"/>
          <w:b/>
          <w:color w:val="000000"/>
          <w:sz w:val="18"/>
        </w:rPr>
      </w:pPr>
      <w:r>
        <w:rPr>
          <w:rFonts w:ascii="Arial;sans-serif" w:hAnsi="Arial;sans-serif"/>
          <w:b/>
          <w:color w:val="000000"/>
          <w:sz w:val="18"/>
        </w:rPr>
        <w:t>Note 5.    Property, Plant, and Equipment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Property, plant, and equipment is stated at cost, net of accumulated depreciation, and consists of the following:</w:t>
      </w:r>
    </w:p>
    <w:tbl>
      <w:tblPr>
        <w:tblW w:w="6791" w:type="dxa"/>
        <w:jc w:val="center"/>
        <w:tblInd w:w="0" w:type="dxa"/>
        <w:tblLayout w:type="fixed"/>
        <w:tblCellMar>
          <w:top w:w="28" w:type="dxa"/>
          <w:left w:w="28" w:type="dxa"/>
          <w:bottom w:w="28" w:type="dxa"/>
          <w:right w:w="28" w:type="dxa"/>
        </w:tblCellMar>
      </w:tblPr>
      <w:tblGrid>
        <w:gridCol w:w="1146"/>
        <w:gridCol w:w="1002"/>
        <w:gridCol w:w="1017"/>
        <w:gridCol w:w="397"/>
        <w:gridCol w:w="1165"/>
        <w:gridCol w:w="207"/>
        <w:gridCol w:w="109"/>
        <w:gridCol w:w="109"/>
        <w:gridCol w:w="109"/>
        <w:gridCol w:w="329"/>
        <w:gridCol w:w="961"/>
        <w:gridCol w:w="240"/>
      </w:tblGrid>
      <w:tr>
        <w:trPr/>
        <w:tc>
          <w:tcPr>
            <w:tcW w:w="114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building improvements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gross</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Depreciation expense was $9.8 million and $9.7 million for the three months ended November 29, 2025 and November 30, 2024,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6.    Goodwill and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carrying amount of goodwill by reportable segment is as follows:</w:t>
      </w:r>
    </w:p>
    <w:tbl>
      <w:tblPr>
        <w:tblW w:w="10205" w:type="dxa"/>
        <w:jc w:val="left"/>
        <w:tblInd w:w="0" w:type="dxa"/>
        <w:tblLayout w:type="fixed"/>
        <w:tblCellMar>
          <w:top w:w="28" w:type="dxa"/>
          <w:left w:w="28" w:type="dxa"/>
          <w:bottom w:w="28" w:type="dxa"/>
          <w:right w:w="28" w:type="dxa"/>
        </w:tblCellMar>
      </w:tblPr>
      <w:tblGrid>
        <w:gridCol w:w="1231"/>
        <w:gridCol w:w="1076"/>
        <w:gridCol w:w="1092"/>
        <w:gridCol w:w="211"/>
        <w:gridCol w:w="616"/>
        <w:gridCol w:w="109"/>
        <w:gridCol w:w="109"/>
        <w:gridCol w:w="109"/>
        <w:gridCol w:w="109"/>
        <w:gridCol w:w="280"/>
        <w:gridCol w:w="681"/>
        <w:gridCol w:w="146"/>
        <w:gridCol w:w="109"/>
        <w:gridCol w:w="109"/>
        <w:gridCol w:w="109"/>
        <w:gridCol w:w="211"/>
        <w:gridCol w:w="616"/>
        <w:gridCol w:w="109"/>
        <w:gridCol w:w="109"/>
        <w:gridCol w:w="109"/>
        <w:gridCol w:w="109"/>
        <w:gridCol w:w="388"/>
        <w:gridCol w:w="944"/>
        <w:gridCol w:w="202"/>
        <w:gridCol w:w="109"/>
        <w:gridCol w:w="109"/>
        <w:gridCol w:w="109"/>
        <w:gridCol w:w="211"/>
        <w:gridCol w:w="616"/>
        <w:gridCol w:w="158"/>
      </w:tblGrid>
      <w:tr>
        <w:trPr/>
        <w:tc>
          <w:tcPr>
            <w:tcW w:w="123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Towable </w:t>
              <w:b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Motorhome </w:t>
              <w:b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Balances at November 29, 2025 and August 30, 2025</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sans-serif" w:hAnsi="Arial;sans-serif"/>
          <w:b w:val="false"/>
          <w:color w:val="000000"/>
          <w:sz w:val="10"/>
        </w:rPr>
        <w:t xml:space="preserve">(1) </w:t>
      </w:r>
      <w:r>
        <w:rPr>
          <w:rFonts w:ascii="Arial;sans-serif" w:hAnsi="Arial;sans-serif"/>
          <w:b w:val="false"/>
          <w:color w:val="000000"/>
          <w:sz w:val="16"/>
        </w:rPr>
        <w:t>There was no activity in the three months ended November 29,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consist of the following:</w:t>
      </w:r>
    </w:p>
    <w:tbl>
      <w:tblPr>
        <w:tblW w:w="10205" w:type="dxa"/>
        <w:jc w:val="left"/>
        <w:tblInd w:w="0" w:type="dxa"/>
        <w:tblLayout w:type="fixed"/>
        <w:tblCellMar>
          <w:top w:w="28" w:type="dxa"/>
          <w:left w:w="28" w:type="dxa"/>
          <w:bottom w:w="28" w:type="dxa"/>
          <w:right w:w="28" w:type="dxa"/>
        </w:tblCellMar>
      </w:tblPr>
      <w:tblGrid>
        <w:gridCol w:w="1197"/>
        <w:gridCol w:w="1049"/>
        <w:gridCol w:w="1061"/>
        <w:gridCol w:w="478"/>
        <w:gridCol w:w="1398"/>
        <w:gridCol w:w="246"/>
        <w:gridCol w:w="109"/>
        <w:gridCol w:w="109"/>
        <w:gridCol w:w="109"/>
        <w:gridCol w:w="531"/>
        <w:gridCol w:w="1556"/>
        <w:gridCol w:w="276"/>
        <w:gridCol w:w="109"/>
        <w:gridCol w:w="109"/>
        <w:gridCol w:w="109"/>
        <w:gridCol w:w="376"/>
        <w:gridCol w:w="1102"/>
        <w:gridCol w:w="281"/>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3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trade names</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Finite-lived trade name</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networks/customer relationships</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Non-compete agreements</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3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trade names</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Finite-lived trade name</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networks/customer relationships</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Non-compete agreements</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The weig</w:t>
      </w:r>
      <w:r>
        <w:rPr>
          <w:rFonts w:ascii="Arial;sans-serif" w:hAnsi="Arial;sans-serif"/>
          <w:b w:val="false"/>
          <w:color w:val="000000"/>
          <w:sz w:val="18"/>
        </w:rPr>
        <w:t>hted average remaining amortization period for finite-lived intangible assets as of November 29, 2025 was approximately five years.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Estimated future amortization expense related to finite-lived intangible assets is as follows: </w:t>
      </w:r>
    </w:p>
    <w:tbl>
      <w:tblPr>
        <w:tblW w:w="4440" w:type="dxa"/>
        <w:jc w:val="left"/>
        <w:tblInd w:w="0" w:type="dxa"/>
        <w:tblLayout w:type="fixed"/>
        <w:tblCellMar>
          <w:top w:w="28" w:type="dxa"/>
          <w:left w:w="28" w:type="dxa"/>
          <w:bottom w:w="28" w:type="dxa"/>
          <w:right w:w="28" w:type="dxa"/>
        </w:tblCellMar>
      </w:tblPr>
      <w:tblGrid>
        <w:gridCol w:w="1156"/>
        <w:gridCol w:w="1012"/>
        <w:gridCol w:w="1026"/>
        <w:gridCol w:w="300"/>
        <w:gridCol w:w="726"/>
        <w:gridCol w:w="220"/>
      </w:tblGrid>
      <w:tr>
        <w:trPr/>
        <w:tc>
          <w:tcPr>
            <w:tcW w:w="115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Amortization</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Remainder of Fiscal 2026</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2029</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2030</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2031</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amortization expense remaining</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7.    Product Warranties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Changes in the product warranty liability are as follows: </w:t>
      </w:r>
    </w:p>
    <w:tbl>
      <w:tblPr>
        <w:tblW w:w="7140" w:type="dxa"/>
        <w:jc w:val="left"/>
        <w:tblInd w:w="0" w:type="dxa"/>
        <w:tblLayout w:type="fixed"/>
        <w:tblCellMar>
          <w:top w:w="28" w:type="dxa"/>
          <w:left w:w="28" w:type="dxa"/>
          <w:bottom w:w="28" w:type="dxa"/>
          <w:right w:w="28" w:type="dxa"/>
        </w:tblCellMar>
      </w:tblPr>
      <w:tblGrid>
        <w:gridCol w:w="949"/>
        <w:gridCol w:w="832"/>
        <w:gridCol w:w="843"/>
        <w:gridCol w:w="109"/>
        <w:gridCol w:w="109"/>
        <w:gridCol w:w="193"/>
        <w:gridCol w:w="193"/>
        <w:gridCol w:w="449"/>
        <w:gridCol w:w="1089"/>
        <w:gridCol w:w="232"/>
        <w:gridCol w:w="109"/>
        <w:gridCol w:w="109"/>
        <w:gridCol w:w="109"/>
        <w:gridCol w:w="437"/>
        <w:gridCol w:w="1059"/>
        <w:gridCol w:w="319"/>
      </w:tblGrid>
      <w:tr>
        <w:trPr/>
        <w:tc>
          <w:tcPr>
            <w:tcW w:w="94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2142" w:type="dxa"/>
            <w:gridSpan w:val="6"/>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r>
      <w:tr>
        <w:trPr/>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Claims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8.     Debt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summarizes our outstanding debt:</w:t>
      </w:r>
    </w:p>
    <w:tbl>
      <w:tblPr>
        <w:tblW w:w="6700" w:type="dxa"/>
        <w:jc w:val="left"/>
        <w:tblInd w:w="0" w:type="dxa"/>
        <w:tblLayout w:type="fixed"/>
        <w:tblCellMar>
          <w:top w:w="28" w:type="dxa"/>
          <w:left w:w="28" w:type="dxa"/>
          <w:bottom w:w="28" w:type="dxa"/>
          <w:right w:w="28" w:type="dxa"/>
        </w:tblCellMar>
      </w:tblPr>
      <w:tblGrid>
        <w:gridCol w:w="1115"/>
        <w:gridCol w:w="975"/>
        <w:gridCol w:w="984"/>
        <w:gridCol w:w="397"/>
        <w:gridCol w:w="1165"/>
        <w:gridCol w:w="207"/>
        <w:gridCol w:w="109"/>
        <w:gridCol w:w="109"/>
        <w:gridCol w:w="109"/>
        <w:gridCol w:w="329"/>
        <w:gridCol w:w="961"/>
        <w:gridCol w:w="240"/>
      </w:tblGrid>
      <w:tr>
        <w:trPr/>
        <w:tc>
          <w:tcPr>
            <w:tcW w:w="111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Credit Facility</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Convertible Notes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 net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Credit Agreements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July 15, 2022, we amended and restated our asset-backed revolving credit agreement ("ABL Credit Facility") to, among other things, increase the commitments available from $192.5 million to $350.0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Credit Facility borrowings is at a floating rate based upon our election, either term SOFR or REVSOFR30 (as defined in the ABL Credit Facility agreement), plus, in each case, a credit spread adjustment of 0.10%, as well as an applicable spread between 1.25% and 1.75%, depending on the usage of the facility during the most recent quarter. Based on current usage, we would pay an applicable spread of 1.25%. In connection with the amendment, we capitalized $1.2 million of issuance costs that are being amortized over the five-year term of the ABL Credit Facility.</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Senior Secured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February 3, 2025, we commenced a tender offer to purchase for cash up to $75.0 million aggregate principal amount of the Senior Secured Notes (the "Tender Offer"). On February 18, 2025, we amended the Tender Offer by increasing the maximum aggregate principal amount of Notes to $100.0 million. On February 20, 2025, $100.0 million aggregate principal amount of the Senior Secured Notes were validly tendered and accepted. In connection with the Senior Secured Notes Tender Offer, we recorded a loss on note repurchase of $2.0 million in the accompanying Consolidated Statements of Income during the quarter. In addition, accrued interest of $0.6 million was paid in connection with the Tender Offer.</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2030 Convertible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23, 2024, we issued $350.0 million in aggregate principal amount of 3.25% unsecured convertible senior notes due 2030 (the “2030 Convertible Notes”). The net proceeds from the issuance of the 2030 Convertible Notes, after deducting the initial purchasers' transaction fees and offering expenses payable by us, were approximately $339.8 million. The 2030 Convertible Notes bear interest at the annual rate of 3.25%, payable on January 15 and July 15 of each year, beginning on July 15, 2024, and will mature on January 15, 2030, unless earlier repurchased, redeemed, or converted in accordance with their terms prior to such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2030 Convertible Notes may be converted at any time on or after July 15, 2029, until the close of business on the second scheduled trading day immediately preceding their maturity date. Upon conversion, we will settle the principal amount of the 2030 Convertible Notes in cash, and any conversion premium in excess of the principal amount in cash, or a combination of cash and shares of common stock, at our election.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initial conversion rate of the 2030 Convertible Notes was 11.3724 shares of common stock per $1,000 principal amount of 2030 Convertible Notes, which is equal to an initial conversion price of approximately $87.93 per share. The conversion rate is subject to adjustment upon the occurrence of events specified in the Indenture to the 2030 Convertible Notes but will not be adjusted for accrued and unpaid interest on any 2030 Convertible Note being converted. In addition, upon the occurrence of a make-whole fundamental change (as defined in the Indenture to the 2030 Convertible Notes) during the make-whole fundamental change conversion period (as defined in the Indenture to the 2030 Convertible Notes), we will, in certain circumstances, increase the conversion rate by the number of additional shares described in the Indenture to the 2030 Convertible Notes for a holder that elects to convert such holder’s 2030 Convertible Notes in connection with such make-whole fundamental change. As of November 29, 2025, there have been no changes to the initial conversion 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Prior to the close of business on the business day immediately preceding July 15, 2029, the 2030 Convertible Notes will be convertible only under the following circumstances:</w:t>
      </w:r>
    </w:p>
    <w:p>
      <w:pPr>
        <w:pStyle w:val="TextBody"/>
        <w:bidi w:val="0"/>
        <w:spacing w:before="0" w:after="0"/>
        <w:jc w:val="left"/>
        <w:rPr/>
      </w:pPr>
      <w:r>
        <w:rPr/>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1.during any calendar quarter commencing after the calendar quarter ended on March 31, 2024 (and only during such calendar quarter), if the last reported sale price (as defined in the Indenture to the 2030 Convertible Notes) per share of the common stock is more than 130% of the applicable conversion price (as defined in the Indenture to the 2030 Convertible Notes) on each applicable trading day for at least 20 trading days (whether or not consecutive) during a period of 30 consecutive trading days ending on, and including, the last trading day of the immediately preceding calendar quarter;</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2.during the five consecutive business day period immediately after any five consecutive trading day period (the "measurement period to the 2030 Convertible Notes") in which the trading price (as defined in the 2030 Convertible Notes) per $1,000 principal amount of 2030 Convertible Notes for each trading day of the measurement period to the 2030 Convertible Notes was less than 98% of the product of the last reported sale price per share of the common stock and the conversion rate for the 2030 Convertible Notes on each such trading day; </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3.upon the occurrence of certain specified corporate events set forth in the Indenture to the 2030 Convertible Notes; or</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4.if we call such 2030 Convertible Notes for redemption (as described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2030 Convertible Notes will be redeemable, in whole or in part (subject to certain limitations), for cash at our option at any time, and from time to time, on or after January 15, 2028 and on or before the 40th scheduled trading day immediately before the maturity date, but only if the last reported sale price per share of our common stock exceeds 130% of the conversion price for a specified period of time (as set forth in the Indenture to the 2030 Convertible Notes). The redemption price will be equal to the principal amount of the 2030 Convertible Notes to be redeemed, plus accrued and unpaid interest, if any, to, but excluding, the redemption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18, 2024 and January 19, 2024, in connection with the offering of the 2030 Convertible Notes, we entered into privately negotiated convertible note hedge transactions (collectively, the “2030 Hedge Transactions”) that cover, subject to customary anti-dilution adjustments, the number of shares of our common stock that initially underlie the 2030 Convertible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January 18, 2024 and January 19, 2024, we also entered into privately negotiated warrant transactions (collectively, the “2030 Warrant Transactions” and, together with the 2030 Hedge Transactions, the “2030 Call Spread Transactions”), whereby we sold warrants at a higher strike price relating to the same number of shares of our common stock that initially underlie the 2030 Convertible Notes, subject to customary anti-dilution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2030 Hedge Transactions and the 2030 Warrant Transactions are separate transactions, and in each case, are not part of the terms of the 2030 Convertible Notes and will not affect any holder’s rights under the 2030 Convertible Notes. Holders of the 2030 Convertible Notes will not have any rights with respect to the 2030 Call Spread Transactions.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Accounting Treatment of the 2030 Convertible Notes and Related 2030 Hedge Transactions and 2030 Warrant Transactions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2030 Convertible Notes are accounted for as a single liability measured at amortized cost. Interest expense, representing the amortization of the $10.2 million of debt issuance costs as well as the contractual interest expense are amortized using an effective interest rate of 3.8% over the term of the 2030 Convertible Notes. We recorded $3.2 million of interest expense during the three months ended November 29, 2025 and November 30,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net after-tax cost incurred in connection with the 2030 Call Spread Transactions was $20.6 million. These transactions are classified as equity and are not remeasured each reporting period.</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Fair Value and Future Maturities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fair value of outstanding debt obligations, gross is as follows: </w:t>
      </w:r>
    </w:p>
    <w:tbl>
      <w:tblPr>
        <w:tblW w:w="5681" w:type="dxa"/>
        <w:jc w:val="left"/>
        <w:tblInd w:w="0" w:type="dxa"/>
        <w:tblLayout w:type="fixed"/>
        <w:tblCellMar>
          <w:top w:w="28" w:type="dxa"/>
          <w:left w:w="28" w:type="dxa"/>
          <w:bottom w:w="28" w:type="dxa"/>
          <w:right w:w="28" w:type="dxa"/>
        </w:tblCellMar>
      </w:tblPr>
      <w:tblGrid>
        <w:gridCol w:w="745"/>
        <w:gridCol w:w="652"/>
        <w:gridCol w:w="658"/>
        <w:gridCol w:w="397"/>
        <w:gridCol w:w="1165"/>
        <w:gridCol w:w="207"/>
        <w:gridCol w:w="109"/>
        <w:gridCol w:w="109"/>
        <w:gridCol w:w="109"/>
        <w:gridCol w:w="329"/>
        <w:gridCol w:w="961"/>
        <w:gridCol w:w="240"/>
      </w:tblGrid>
      <w:tr>
        <w:trPr/>
        <w:tc>
          <w:tcPr>
            <w:tcW w:w="74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Credit Facility</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Convertible Notes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513.4 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Aggregate contractual maturities of debt in future fiscal years are as follows:</w:t>
      </w:r>
    </w:p>
    <w:tbl>
      <w:tblPr>
        <w:tblW w:w="3200" w:type="dxa"/>
        <w:jc w:val="left"/>
        <w:tblInd w:w="0" w:type="dxa"/>
        <w:tblLayout w:type="fixed"/>
        <w:tblCellMar>
          <w:top w:w="28" w:type="dxa"/>
          <w:left w:w="28" w:type="dxa"/>
          <w:bottom w:w="28" w:type="dxa"/>
          <w:right w:w="28" w:type="dxa"/>
        </w:tblCellMar>
      </w:tblPr>
      <w:tblGrid>
        <w:gridCol w:w="803"/>
        <w:gridCol w:w="703"/>
        <w:gridCol w:w="713"/>
        <w:gridCol w:w="211"/>
        <w:gridCol w:w="61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Remainder of Fiscal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were in compliance with all of our financial debt covenants as of November 29,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Refer to Note 9 in the Notes to Consolidated Financial Statements included in Item 8 of Part II of our Annual Report on Form 10-K for the fiscal year ended August 30, 2025 for additional information regarding our debt.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9.     Contingent Liabilities and Commitments </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Repurchase Commitments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$1,682.4 million and $1,640.0 million at November 29, 2025 and August 30,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$1.9 million and $1.6 million at November 29, 2025 and August 30, 2025,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was no material activity related to repurchase agreements during the three months ended November 29, 2025 and November 30, 2024.</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Litigation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10. Revenue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p>
      <w:pPr>
        <w:pStyle w:val="TextBody"/>
        <w:bidi w:val="0"/>
        <w:spacing w:before="0" w:after="0"/>
        <w:jc w:val="left"/>
        <w:rPr/>
      </w:pPr>
      <w:r>
        <w:rPr/>
      </w:r>
    </w:p>
    <w:tbl>
      <w:tblPr>
        <w:tblW w:w="6909" w:type="dxa"/>
        <w:jc w:val="left"/>
        <w:tblInd w:w="0" w:type="dxa"/>
        <w:tblLayout w:type="fixed"/>
        <w:tblCellMar>
          <w:top w:w="28" w:type="dxa"/>
          <w:left w:w="28" w:type="dxa"/>
          <w:bottom w:w="28" w:type="dxa"/>
          <w:right w:w="28" w:type="dxa"/>
        </w:tblCellMar>
      </w:tblPr>
      <w:tblGrid>
        <w:gridCol w:w="878"/>
        <w:gridCol w:w="770"/>
        <w:gridCol w:w="782"/>
        <w:gridCol w:w="109"/>
        <w:gridCol w:w="109"/>
        <w:gridCol w:w="175"/>
        <w:gridCol w:w="175"/>
        <w:gridCol w:w="399"/>
        <w:gridCol w:w="1166"/>
        <w:gridCol w:w="205"/>
        <w:gridCol w:w="109"/>
        <w:gridCol w:w="109"/>
        <w:gridCol w:w="109"/>
        <w:gridCol w:w="390"/>
        <w:gridCol w:w="1138"/>
        <w:gridCol w:w="286"/>
      </w:tblGrid>
      <w:tr>
        <w:trPr/>
        <w:tc>
          <w:tcPr>
            <w:tcW w:w="87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2141" w:type="dxa"/>
            <w:gridSpan w:val="6"/>
            <w:tcBorders/>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Towable RV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Class C and Other</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 All Other</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625.6 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Relates to parts, accessories, and services.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Relates to units, parts, accessories, and services associated with Winnebago specialty vehicles. In addition, this activity also includes Lithionics battery sales, including the related systems and accessories, that are sold directly to external customers.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do not have material contract assets or liabilities. Allowances for uncollectible receivables are established based on historical collection trends, write-off history, consideration of current conditions and expectations for future economic conditions.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Concentration of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 single dealer organization accounted for more than 10.0% of net revenue for the three months ended November 29, 2025 or November 30,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11. Income Taxes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effective tax rate was 34.8% and 21.9% for the three months ended November 29, 2025 and November 30, 2024, respectively. The change in our effective tax rate for the three months ended November 29, 2025 compared to the three months ended November 30, 2024 was driven primarily by an excess tax detriment from stock-based compensation in the current year and the change from a pre-tax loss in the prior year to a pre-tax income in the current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November 29, 2025, $8.0 million of U.S. federal income taxes receivable was included in prepaid expenses and other current assets on the Consolidated Balance Sheets. Comparatively, as of August 30, 2025, $7.3 million of U.S. federal income taxes receivable was included in prepaid expenses and other current assets on the Consolidated Balance Sheets.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file a U.S. Federal tax return, as well as returns in various international and state jurisdictions. As of November 29, 2025, our U.S. Federal returns from Fiscal 2022 to present are subject to review by the Internal Revenue Service. With limited exceptions, U.S. state returns from Fiscal 2021 to present continue to be subject to review by state taxing jurisdictions. We believe we have adequately reserved for our exposure to potential additional payments for uncertain tax positions in our liability for unrecognized tax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Recent Tax Legislation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July 4, 2025, the One Big Beautiful Bill Act (“OBBBA”) was signed into law, which included various provisions, such as the permanent extension of certain expiring provisions of the Tax Cuts and Jobs Act and restoration of favorable tax treatment for certain business provisions. The legislation has multiple effective dates, with certain provisions that became effective in Fiscal 2025 and others implemented through Fiscal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Fiscal 2026, the OBBBA could have a more significant impact, particularly related to the reinstatement of 100% bonus depreciation, expensing of previously capitalized and unamortized U.S. research and development costs, and changes to interest deductibility. We will continue to assess the implications of the OBBBA. During the three months ended November 29, 2025, none of the relevant provisions of the OBBBA had a significant impact on our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12. Earnings Per Share </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Basic and diluted earnings per share are calculated as follows: </w:t>
      </w:r>
    </w:p>
    <w:tbl>
      <w:tblPr>
        <w:tblW w:w="10205" w:type="dxa"/>
        <w:jc w:val="left"/>
        <w:tblInd w:w="0" w:type="dxa"/>
        <w:tblLayout w:type="fixed"/>
        <w:tblCellMar>
          <w:top w:w="28" w:type="dxa"/>
          <w:left w:w="28" w:type="dxa"/>
          <w:bottom w:w="28" w:type="dxa"/>
          <w:right w:w="28" w:type="dxa"/>
        </w:tblCellMar>
      </w:tblPr>
      <w:tblGrid>
        <w:gridCol w:w="2369"/>
        <w:gridCol w:w="1924"/>
        <w:gridCol w:w="1929"/>
        <w:gridCol w:w="109"/>
        <w:gridCol w:w="109"/>
        <w:gridCol w:w="166"/>
        <w:gridCol w:w="166"/>
        <w:gridCol w:w="425"/>
        <w:gridCol w:w="910"/>
        <w:gridCol w:w="193"/>
        <w:gridCol w:w="109"/>
        <w:gridCol w:w="109"/>
        <w:gridCol w:w="109"/>
        <w:gridCol w:w="371"/>
        <w:gridCol w:w="928"/>
        <w:gridCol w:w="279"/>
      </w:tblGrid>
      <w:tr>
        <w:trPr/>
        <w:tc>
          <w:tcPr>
            <w:tcW w:w="236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905" w:type="dxa"/>
            <w:gridSpan w:val="6"/>
            <w:tcBorders/>
          </w:tcPr>
          <w:p>
            <w:pPr>
              <w:pStyle w:val="TableContents"/>
              <w:bidi w:val="0"/>
              <w:spacing w:before="0" w:after="283"/>
              <w:jc w:val="left"/>
              <w:rPr>
                <w:sz w:val="4"/>
                <w:szCs w:val="4"/>
              </w:rPr>
            </w:pPr>
            <w:r>
              <w:rPr>
                <w:sz w:val="4"/>
                <w:szCs w:val="4"/>
              </w:rPr>
            </w:r>
          </w:p>
        </w:tc>
      </w:tr>
      <w:tr>
        <w:trPr/>
        <w:tc>
          <w:tcPr>
            <w:tcW w:w="6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r>
      <w:tr>
        <w:trPr/>
        <w:tc>
          <w:tcPr>
            <w:tcW w:w="6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Basic earnings per common share</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6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6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impact of stock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assuming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Anti-dilutive securities excluded from weighted average common shares outstanding, assuming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Diluted earnings (loss) per common share</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Earnings per share amounts are calculated based on unrounded numbers and therefore may not recalculate using the rounded numbers provided.</w:t>
      </w:r>
    </w:p>
    <w:p>
      <w:pPr>
        <w:pStyle w:val="TextBody"/>
        <w:bidi w:val="0"/>
        <w:spacing w:before="60" w:after="283"/>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dilutive effect of stock compensation awards, if any, was determined using the treasury stock method while the dilutive impact of the 2030 Convertible Notes was determined using the if-converted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 Under the if-converted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method, the 2030 Convertible Notes are assumed to be converted into common stock at the beginning of the reporting period. However, since we are required to settle the principal amount in cash and any conversion premium in excess of the principal amount in cash, shares of common stock, or a combination of cash and shares of common stock, at our election, the 2030 Convertible Notes only have an impact on diluted earnings per share when the average share price of our common stock exceeds the conversion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2. Management's Discussion and Analysis of Financial Condition and Results of Operations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terms "Winnebago," "we," "us," and "our," unless the context otherwise requires, refer to Winnebago Industries, Inc. and its wholly-owned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MD&amp;A should be read in conjunction with the Consolidated Financial Statements and related Notes included in Item 1 of Part I of this Quarterly Report on Form 10-Q and our Annual Report on Form 10-K for the fiscal year ended August 30, 2025 (including the information presented therein under Risk Factors), as well as our reports on Forms 10-Q and 8-K and other publicly available information. All amounts herein are unaudited. All amounts are in millions, except share and per share data, unless otherwise noted.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Overview</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Winnebago Industries, Inc. is a leading North American manufacturer of outdoor lifestyle products under the Winnebago, Grand Design, Chris-Craft, Newmar and Barletta brands, which are used primarily in leisure travel and outdoor recreation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Known Trends and Uncertainties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business continues to be challenged by macroeconomic conditions impacting retail consumers and our dealers, such as inflation, elevated interest rates, and lower consumer confidence. These factors have contributed to lower consumer spending and reduced short-term demand for large discretionary products such as RVs and marine products. In response, our dealers continue to exercise caution when managing stocking levels. While market pressures have been observed across our portfolio, they have been most acute in our Winnebago motorhome business. As part of our transformation of this business, we have recently taken significant steps to lower field inventory, improve working capital, align our production schedule to market demand, and accelerate stronger product value for our consumers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expect that as consumer demand stabilizes, dealers will return to more stable ordering patterns across our portfolio of businesses. We continue to produce and ship in accordance with dealer demand as evidenced and requested by dealer orders. In addition, we are closely monitoring the potential impact of new or additional U.S. tariffs and retaliatory measures from other countries, which may affect material costs or supply.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Despite the current economic uncertainty, we believe in the long-term health of consumer demand for RV and marine products.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Results of Operations - Three Months Ended November 29, 2025 Compared to Three Months Ended November 30, 2024</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Consolidated Performance Summary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changes in key items included in the Consolidated Statements of Income for the three months ended November 29, 2025 compared to the three months ended November 30, 2024:</w:t>
      </w:r>
    </w:p>
    <w:tbl>
      <w:tblPr>
        <w:tblW w:w="10205" w:type="dxa"/>
        <w:jc w:val="left"/>
        <w:tblInd w:w="0" w:type="dxa"/>
        <w:tblLayout w:type="fixed"/>
        <w:tblCellMar>
          <w:top w:w="28" w:type="dxa"/>
          <w:left w:w="28" w:type="dxa"/>
          <w:bottom w:w="28" w:type="dxa"/>
          <w:right w:w="28" w:type="dxa"/>
        </w:tblCellMar>
      </w:tblPr>
      <w:tblGrid>
        <w:gridCol w:w="947"/>
        <w:gridCol w:w="378"/>
        <w:gridCol w:w="380"/>
        <w:gridCol w:w="253"/>
        <w:gridCol w:w="741"/>
        <w:gridCol w:w="132"/>
        <w:gridCol w:w="109"/>
        <w:gridCol w:w="109"/>
        <w:gridCol w:w="109"/>
        <w:gridCol w:w="343"/>
        <w:gridCol w:w="284"/>
        <w:gridCol w:w="613"/>
        <w:gridCol w:w="109"/>
        <w:gridCol w:w="109"/>
        <w:gridCol w:w="109"/>
        <w:gridCol w:w="253"/>
        <w:gridCol w:w="741"/>
        <w:gridCol w:w="132"/>
        <w:gridCol w:w="109"/>
        <w:gridCol w:w="109"/>
        <w:gridCol w:w="109"/>
        <w:gridCol w:w="343"/>
        <w:gridCol w:w="284"/>
        <w:gridCol w:w="613"/>
        <w:gridCol w:w="109"/>
        <w:gridCol w:w="109"/>
        <w:gridCol w:w="109"/>
        <w:gridCol w:w="248"/>
        <w:gridCol w:w="600"/>
        <w:gridCol w:w="129"/>
        <w:gridCol w:w="109"/>
        <w:gridCol w:w="109"/>
        <w:gridCol w:w="109"/>
        <w:gridCol w:w="255"/>
        <w:gridCol w:w="256"/>
        <w:gridCol w:w="645"/>
      </w:tblGrid>
      <w:tr>
        <w:trPr/>
        <w:tc>
          <w:tcPr>
            <w:tcW w:w="94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 except per share data)</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87.3 </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income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(loss) per share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Amounts are calculated based on unrounded numbers and therefore may not recalculate using the rounded numbers provided. In addition, percentages may not add in total due to rounding.</w:t>
      </w:r>
    </w:p>
    <w:p>
      <w:pPr>
        <w:pStyle w:val="TextBody"/>
        <w:bidi w:val="0"/>
        <w:spacing w:lineRule="auto" w:line="288" w:before="60" w:after="283"/>
        <w:ind w:left="0" w:right="0" w:hanging="270"/>
        <w:jc w:val="left"/>
        <w:rPr/>
      </w:pPr>
      <w:r>
        <w:rPr>
          <w:rFonts w:ascii="Arial;sans-serif" w:hAnsi="Arial;sans-serif"/>
          <w:b w:val="false"/>
          <w:color w:val="000000"/>
          <w:sz w:val="12"/>
        </w:rPr>
        <w:t>NM:    </w:t>
      </w:r>
      <w:r>
        <w:rPr>
          <w:rFonts w:ascii="Arial;sans-serif" w:hAnsi="Arial;sans-serif"/>
          <w:b w:val="false"/>
          <w:color w:val="000000"/>
          <w:sz w:val="16"/>
        </w:rPr>
        <w:t>Not meaningful.</w:t>
      </w:r>
    </w:p>
    <w:p>
      <w:pPr>
        <w:pStyle w:val="TextBody"/>
        <w:bidi w:val="0"/>
        <w:spacing w:before="0" w:after="0"/>
        <w:ind w:left="0" w:right="0" w:hanging="270"/>
        <w:jc w:val="left"/>
        <w:rPr/>
      </w:pPr>
      <w:r>
        <w:rPr/>
      </w:r>
    </w:p>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Net revenues increased primarily due to higher unit volume and targeted price increases.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 as a percentage of revenue increased primarily due to volume leverage, partially offset by higher warranty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expenses decreased primarily due to cost reduction initiatives, partially offset by costs to support the growth of the Grand Design motorhome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change in our effective tax rate is primarily attributable to an excess tax detriment from stock-based compensation in the current year and the change from a pre-tax loss in the prior year to a pre-tax income in the current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Reportable Segment Performance Summary</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Towable RV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Towable RV segment for the three months ended November 29, 2025 compared to the three months ended November 30, 2024:</w:t>
      </w:r>
    </w:p>
    <w:tbl>
      <w:tblPr>
        <w:tblW w:w="10205" w:type="dxa"/>
        <w:jc w:val="left"/>
        <w:tblInd w:w="0" w:type="dxa"/>
        <w:tblLayout w:type="fixed"/>
        <w:tblCellMar>
          <w:top w:w="28" w:type="dxa"/>
          <w:left w:w="28" w:type="dxa"/>
          <w:bottom w:w="28" w:type="dxa"/>
          <w:right w:w="28" w:type="dxa"/>
        </w:tblCellMar>
      </w:tblPr>
      <w:tblGrid>
        <w:gridCol w:w="644"/>
        <w:gridCol w:w="379"/>
        <w:gridCol w:w="381"/>
        <w:gridCol w:w="247"/>
        <w:gridCol w:w="848"/>
        <w:gridCol w:w="128"/>
        <w:gridCol w:w="109"/>
        <w:gridCol w:w="109"/>
        <w:gridCol w:w="109"/>
        <w:gridCol w:w="343"/>
        <w:gridCol w:w="290"/>
        <w:gridCol w:w="640"/>
        <w:gridCol w:w="109"/>
        <w:gridCol w:w="109"/>
        <w:gridCol w:w="109"/>
        <w:gridCol w:w="247"/>
        <w:gridCol w:w="848"/>
        <w:gridCol w:w="128"/>
        <w:gridCol w:w="109"/>
        <w:gridCol w:w="109"/>
        <w:gridCol w:w="109"/>
        <w:gridCol w:w="343"/>
        <w:gridCol w:w="290"/>
        <w:gridCol w:w="640"/>
        <w:gridCol w:w="109"/>
        <w:gridCol w:w="109"/>
        <w:gridCol w:w="109"/>
        <w:gridCol w:w="226"/>
        <w:gridCol w:w="664"/>
        <w:gridCol w:w="118"/>
        <w:gridCol w:w="109"/>
        <w:gridCol w:w="109"/>
        <w:gridCol w:w="109"/>
        <w:gridCol w:w="255"/>
        <w:gridCol w:w="256"/>
        <w:gridCol w:w="655"/>
      </w:tblGrid>
      <w:tr>
        <w:trPr/>
        <w:tc>
          <w:tcPr>
            <w:tcW w:w="64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Selling Price ("ASP")</w:t>
            </w:r>
            <w:r>
              <w:rPr>
                <w:rFonts w:ascii="Arial;sans-serif" w:hAnsi="Arial;sans-serif"/>
                <w:b w:val="false"/>
                <w:color w:val="000000"/>
                <w:sz w:val="12"/>
              </w:rPr>
              <w:t>(2)</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(4)</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lineRule="auto" w:line="288" w:before="0" w:after="0"/>
        <w:ind w:left="0" w:right="0" w:hanging="270"/>
        <w:jc w:val="left"/>
        <w:rPr/>
      </w:pPr>
      <w:r>
        <w:rPr>
          <w:rFonts w:ascii="Arial;sans-serif" w:hAnsi="Arial;sans-serif"/>
          <w:b w:val="false"/>
          <w:color w:val="000000"/>
          <w:sz w:val="12"/>
        </w:rPr>
        <w:t>(4)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increased primarily due to higher unit volume and targeted price increases, partially offset by a shift in product mix toward lower price point models.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income margin increased primarily due to volume leverage, partially offset by higher warranty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Motorhome RV</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Motorhome RV segment for the three months ended November 29, 2025 compared to the three months ended November 30, 2024:</w:t>
      </w:r>
    </w:p>
    <w:tbl>
      <w:tblPr>
        <w:tblW w:w="10205" w:type="dxa"/>
        <w:jc w:val="left"/>
        <w:tblInd w:w="0" w:type="dxa"/>
        <w:tblLayout w:type="fixed"/>
        <w:tblCellMar>
          <w:top w:w="28" w:type="dxa"/>
          <w:left w:w="28" w:type="dxa"/>
          <w:bottom w:w="28" w:type="dxa"/>
          <w:right w:w="28" w:type="dxa"/>
        </w:tblCellMar>
      </w:tblPr>
      <w:tblGrid>
        <w:gridCol w:w="667"/>
        <w:gridCol w:w="326"/>
        <w:gridCol w:w="328"/>
        <w:gridCol w:w="231"/>
        <w:gridCol w:w="905"/>
        <w:gridCol w:w="119"/>
        <w:gridCol w:w="109"/>
        <w:gridCol w:w="109"/>
        <w:gridCol w:w="109"/>
        <w:gridCol w:w="343"/>
        <w:gridCol w:w="285"/>
        <w:gridCol w:w="618"/>
        <w:gridCol w:w="109"/>
        <w:gridCol w:w="109"/>
        <w:gridCol w:w="109"/>
        <w:gridCol w:w="231"/>
        <w:gridCol w:w="905"/>
        <w:gridCol w:w="119"/>
        <w:gridCol w:w="109"/>
        <w:gridCol w:w="109"/>
        <w:gridCol w:w="109"/>
        <w:gridCol w:w="343"/>
        <w:gridCol w:w="285"/>
        <w:gridCol w:w="618"/>
        <w:gridCol w:w="109"/>
        <w:gridCol w:w="109"/>
        <w:gridCol w:w="109"/>
        <w:gridCol w:w="215"/>
        <w:gridCol w:w="735"/>
        <w:gridCol w:w="110"/>
        <w:gridCol w:w="109"/>
        <w:gridCol w:w="109"/>
        <w:gridCol w:w="109"/>
        <w:gridCol w:w="267"/>
        <w:gridCol w:w="269"/>
        <w:gridCol w:w="651"/>
      </w:tblGrid>
      <w:tr>
        <w:trPr/>
        <w:tc>
          <w:tcPr>
            <w:tcW w:w="66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(2)</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(4)</w:t>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lineRule="auto" w:line="288" w:before="0" w:after="0"/>
        <w:ind w:left="0" w:right="0" w:hanging="270"/>
        <w:jc w:val="left"/>
        <w:rPr/>
      </w:pPr>
      <w:r>
        <w:rPr>
          <w:rFonts w:ascii="Arial;sans-serif" w:hAnsi="Arial;sans-serif"/>
          <w:b w:val="false"/>
          <w:color w:val="000000"/>
          <w:sz w:val="12"/>
        </w:rPr>
        <w:t>(4)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lineRule="auto" w:line="288" w:before="60" w:after="283"/>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increased primarily due to favorable product mix and targeted price increases, partially offset by lower unit volume.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income margin increased primarily due to targeted price increases, lower discounts and allowances, and lower warranty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Marine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Marine segment for the three months ended November 29, 2025 compared to the three months ended November 30, 2024:</w:t>
      </w:r>
    </w:p>
    <w:tbl>
      <w:tblPr>
        <w:tblW w:w="10205" w:type="dxa"/>
        <w:jc w:val="left"/>
        <w:tblInd w:w="0" w:type="dxa"/>
        <w:tblLayout w:type="fixed"/>
        <w:tblCellMar>
          <w:top w:w="28" w:type="dxa"/>
          <w:left w:w="28" w:type="dxa"/>
          <w:bottom w:w="28" w:type="dxa"/>
          <w:right w:w="28" w:type="dxa"/>
        </w:tblCellMar>
      </w:tblPr>
      <w:tblGrid>
        <w:gridCol w:w="665"/>
        <w:gridCol w:w="416"/>
        <w:gridCol w:w="418"/>
        <w:gridCol w:w="259"/>
        <w:gridCol w:w="886"/>
        <w:gridCol w:w="133"/>
        <w:gridCol w:w="109"/>
        <w:gridCol w:w="109"/>
        <w:gridCol w:w="109"/>
        <w:gridCol w:w="264"/>
        <w:gridCol w:w="264"/>
        <w:gridCol w:w="662"/>
        <w:gridCol w:w="109"/>
        <w:gridCol w:w="109"/>
        <w:gridCol w:w="109"/>
        <w:gridCol w:w="259"/>
        <w:gridCol w:w="886"/>
        <w:gridCol w:w="133"/>
        <w:gridCol w:w="109"/>
        <w:gridCol w:w="109"/>
        <w:gridCol w:w="109"/>
        <w:gridCol w:w="264"/>
        <w:gridCol w:w="264"/>
        <w:gridCol w:w="662"/>
        <w:gridCol w:w="109"/>
        <w:gridCol w:w="109"/>
        <w:gridCol w:w="109"/>
        <w:gridCol w:w="230"/>
        <w:gridCol w:w="674"/>
        <w:gridCol w:w="120"/>
        <w:gridCol w:w="109"/>
        <w:gridCol w:w="109"/>
        <w:gridCol w:w="109"/>
        <w:gridCol w:w="224"/>
        <w:gridCol w:w="224"/>
        <w:gridCol w:w="663"/>
      </w:tblGrid>
      <w:tr>
        <w:trPr/>
        <w:tc>
          <w:tcPr>
            <w:tcW w:w="66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(2)</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Boats</w:t>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(3,4)</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Due to the nature of the Marine industry, this amount includes a higher proportion of retail sold units than our other segments.</w:t>
      </w:r>
    </w:p>
    <w:p>
      <w:pPr>
        <w:pStyle w:val="TextBody"/>
        <w:bidi w:val="0"/>
        <w:spacing w:lineRule="auto" w:line="288" w:before="0" w:after="0"/>
        <w:ind w:left="0" w:right="0" w:hanging="270"/>
        <w:jc w:val="left"/>
        <w:rPr/>
      </w:pPr>
      <w:r>
        <w:rPr>
          <w:rFonts w:ascii="Arial;sans-serif" w:hAnsi="Arial;sans-serif"/>
          <w:b w:val="false"/>
          <w:color w:val="000000"/>
          <w:sz w:val="12"/>
        </w:rPr>
        <w:t>(4)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lineRule="auto" w:line="288" w:before="60" w:after="283"/>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increased primarily due to targeted price increases, partially offset by lower unit volume.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income margin decreased primarily due to volume deleverage.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Analysis of Financial Condition, Liquidity, and Capital Resources</w:t>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Cash Flows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table summarizes our cash flows from operations:</w:t>
      </w:r>
    </w:p>
    <w:tbl>
      <w:tblPr>
        <w:tblW w:w="8410" w:type="dxa"/>
        <w:jc w:val="left"/>
        <w:tblInd w:w="0" w:type="dxa"/>
        <w:tblLayout w:type="fixed"/>
        <w:tblCellMar>
          <w:top w:w="28" w:type="dxa"/>
          <w:left w:w="28" w:type="dxa"/>
          <w:bottom w:w="28" w:type="dxa"/>
          <w:right w:w="28" w:type="dxa"/>
        </w:tblCellMar>
      </w:tblPr>
      <w:tblGrid>
        <w:gridCol w:w="1630"/>
        <w:gridCol w:w="1427"/>
        <w:gridCol w:w="1442"/>
        <w:gridCol w:w="448"/>
        <w:gridCol w:w="1087"/>
        <w:gridCol w:w="234"/>
        <w:gridCol w:w="109"/>
        <w:gridCol w:w="109"/>
        <w:gridCol w:w="109"/>
        <w:gridCol w:w="428"/>
        <w:gridCol w:w="1071"/>
        <w:gridCol w:w="316"/>
      </w:tblGrid>
      <w:tr>
        <w:trPr/>
        <w:tc>
          <w:tcPr>
            <w:tcW w:w="163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November 30, 2024</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provided by (used in):</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three months ended November 29, 2025, net cash provided by operating activities was $25.4 million compared to net cash used in operating activities of $16.7 million during the same period last year. The change in operating cash flow is primarily driven by favorable changes in net working capital and higher profitability adjusted for non-cash items.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in investing activities decreased primarily due to lower capital expenditures compared to the prior year partially offset by proceeds from asset sales in the prior year.</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in financing activities decreased primarily due to higher share repurchases in the prior year compared to minimal share repurchase activity in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Debt and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maintain a $350.0 million asset-based revolving credit facility ("ABL Credit Facility") with a maturity date of July 15, 2027, subject to certain factors which may accelerate the maturity date. As of November 29, 2025, we had no borrowings against the ABL Credit Facility.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November 29, 2025, we had $181.7 million in cash and cash equivalents and $350.0 million in unused ABL Credit Facility. Our cash and cash equivalent balances consist of high quality, short-term money market instruments.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January 23, 2024, we issued $350.0 million in aggregate principal amount of 3.25% unsecured convertible senior notes due 2030 (the "2030 Convertible Notes").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July 8, 2020, we closed our private offering (the “Senior Secured Notes Offering”) of $300.0 million aggregate principal amount of 6.25% Senior Secured Notes due 2028 (the “Senior Secured Notes”). On February 3, 2025, we executed a tender offer to purchase for cash up to $75.0 million aggregate principal amount of the Senior Secured Notes (the "Tender Offer"). On February 18, 2025, we amended the Tender Offer by increasing the maximum aggregate principal amount of Notes to $100.0 million. On February 20, 2025, $100.0 million aggregate principal amount of the Senior Secured Notes were validly tendered and accepted.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November 29, 2025, we have no debt maturing in the next twelve months that is classified as current on our Consolidated Balance Sheets.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2030 Convertible Notes, the Senior Secured Notes, and the ABL Credit Facility, and will continue to monitor counterparty risk on an on-going basis.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Working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Working capital at November 29, 2025 and August 30, 2025 was $488.1 million and $465.1 million, respectively. We currently expect cash on hand, funds generated from operations, and the borrowing available under our ABL Credit Facility to be sufficient to cover both short-term and long-term operating requirements.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 xml:space="preserve">Share Repurchases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17, 2022, our Board of Directors authorized a new share repurchase program in the amount of $350.0 million with no time restriction on the authorization, which took effect immediately and replaced the prior program. In the three months ended November 29, 2025, no shares were repurchased under this authorization. Approximately 55,000 shares at a cost of $1.7 million were repurchased to satisfy tax obligations on employee equity awards vested. We continually evaluate if share repurchases reflect a prudent use of our capital and, subject to compliance with our ABL Credit Facility and Senior Secured Notes, we may purchase shares in the future. As of November 29, 2025, we have $180.0 million remaining on our Board approved repurchase authorization.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December 17, 2025, our Board of Directors approved a quarterly cash dividend of $0.35 per share payable on January 28, 2026, to common stockholders of record at the close of business on January 14, 2026.</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Contractual Obligations and Commercial Commitments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have been no material changes in our contractual obligations since the end of Fiscal 2025. See our Annual Report on Form 10-K for the fiscal year ended August 30, 2025 for additional information regarding our contractual obligations and commercial commitments.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Critical Accounting Estimates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describe our critical accounting policies in Note 1 in the Notes to Consolidated Financial Statements included in Item 8 of Part II of our Annual Report on Form 10-K for the fiscal year ended August 30, 2025. We discuss our critical accounting estimates in Item 7 of Part II of our Annual Report on Form 10-K for the fiscal year ended August 30, 2025. There have been no material changes to our critical accounting policies or critical accounting estimates since the end of Fiscal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Recently Issued Accounting Pronouncements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 summary of new applicable accounting pronouncements, see Note 1 in the Notes to Consolidated Financial Statements included in Item 1 of Part I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Safe Harbor Statement Under the Private Securities Litigation Reform Act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30, 2025,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General economic uncertainty in key markets and a worsening of domestic and global economic conditions or low levels of economic growth.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Availability of financing for RV and marine dealers and retail purchasers.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Competition and new product introductions by competitors.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innovate and commercialize new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manage our inventory to meet demand.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cyclicality and seasonality of our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independent dealers.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dealer consolidation or the loss of a significant dealer.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Significant increase in repurchase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retain relationships with our suppliers and obtain components.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Business or production disruptions.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Inadequate management of dealer inventory levels.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Increased material and component costs, including availability and price of fuel and other raw materials.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integrate mergers and acquisitions.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attract and retain qualified personnel and changes in market compensation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Exposure to warranty claims and product recalls.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protect our information technology systems from data security, cyberattacks, and network disruption risks and the ability to successfully upgrade and evolve our information technology systems.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retain brand reputation and related exposure to product liability claims.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Governmental regulation, including for climate change.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Increased attention to environmental, social, and governance ("ESG") matters, and our ability to meet our commitments.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Impairment of goodwill and trade names.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Risks related to our 2030 Convertible Notes and Senior Secured Notes, including our ability to satisfy our obligations under these notes.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recommendations or a withdrawal of coverage by third party securities analysts.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caution that the foregoing list of important factors is not complete. Any forward-looking statements speak only as of the date they are made, and we assume no obligation to update any forward-looking statement that we may make.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3. Quantitative and Qualitative Disclosures About Market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assets we maintain to fund deferred compensation have market risk, but we maintain a corresponding liability for these assets. The market risk is therefore borne by the participants in the deferred compensation program.</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Interest rate risk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ABL Credit Facility, which is our only floating rate debt instrument, remains undrawn as of November 29,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4. Controls and Procedures</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Evaluation of Disclosure Controls and Procedures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"Evaluation Date"). Based on this evaluation, the Chief Executive Officer and Chief Financial Officer concluded that our disclosure controls and procedures were effective as of the Evaluation Date.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Changes in Internal Control Over Financial Reporting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were no changes in our internal control over financial reporting that occurred during the first quarter of Fiscal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 Legal Proceedings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 description of our legal proceedings, see Note 9 in the Notes to Consolidated Financial Statements included in Item 1 of Part I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1A. Risk Factors</w:t>
      </w:r>
    </w:p>
    <w:p>
      <w:pPr>
        <w:pStyle w:val="TextBody"/>
        <w:bidi w:val="0"/>
        <w:spacing w:lineRule="auto" w:line="288" w:before="0" w:after="0"/>
        <w:jc w:val="left"/>
        <w:rPr/>
      </w:pPr>
      <w:r>
        <w:rPr>
          <w:rFonts w:ascii="Arial;sans-serif" w:hAnsi="Arial;sans-serif"/>
          <w:b w:val="false"/>
          <w:color w:val="000000"/>
          <w:sz w:val="18"/>
        </w:rPr>
        <w:t xml:space="preserve">There have been no material changes from the risk factors previously disclosed in Part I, Item 1A, </w:t>
      </w:r>
      <w:r>
        <w:rPr>
          <w:rFonts w:ascii="Arial;sans-serif" w:hAnsi="Arial;sans-serif"/>
          <w:b w:val="false"/>
          <w:i/>
          <w:color w:val="000000"/>
          <w:sz w:val="18"/>
        </w:rPr>
        <w:t>Risk Factors</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of our Annual Report on Form 10-K for the fiscal year ended August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2. Unregistered Sales of Equity Securities and Use of Proceeds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 Stock Repurchases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Purchases of our common stock during each fiscal month of the first quarter of Fiscal 2026 are as follows:</w:t>
      </w:r>
    </w:p>
    <w:tbl>
      <w:tblPr>
        <w:tblW w:w="10205" w:type="dxa"/>
        <w:jc w:val="left"/>
        <w:tblInd w:w="0" w:type="dxa"/>
        <w:tblLayout w:type="fixed"/>
        <w:tblCellMar>
          <w:top w:w="28" w:type="dxa"/>
          <w:left w:w="28" w:type="dxa"/>
          <w:bottom w:w="28" w:type="dxa"/>
          <w:right w:w="28" w:type="dxa"/>
        </w:tblCellMar>
      </w:tblPr>
      <w:tblGrid>
        <w:gridCol w:w="318"/>
        <w:gridCol w:w="278"/>
        <w:gridCol w:w="280"/>
        <w:gridCol w:w="524"/>
        <w:gridCol w:w="523"/>
        <w:gridCol w:w="524"/>
        <w:gridCol w:w="109"/>
        <w:gridCol w:w="109"/>
        <w:gridCol w:w="109"/>
        <w:gridCol w:w="294"/>
        <w:gridCol w:w="859"/>
        <w:gridCol w:w="151"/>
        <w:gridCol w:w="109"/>
        <w:gridCol w:w="109"/>
        <w:gridCol w:w="109"/>
        <w:gridCol w:w="831"/>
        <w:gridCol w:w="831"/>
        <w:gridCol w:w="833"/>
        <w:gridCol w:w="109"/>
        <w:gridCol w:w="109"/>
        <w:gridCol w:w="109"/>
        <w:gridCol w:w="638"/>
        <w:gridCol w:w="1864"/>
        <w:gridCol w:w="476"/>
      </w:tblGrid>
      <w:tr>
        <w:trPr/>
        <w:tc>
          <w:tcPr>
            <w:tcW w:w="31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Period </w:t>
            </w:r>
          </w:p>
        </w:tc>
        <w:tc>
          <w:tcPr>
            <w:tcW w:w="1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Approximate Dollar Value of Shares That May Yet Be Purchased Under the Plans or Programs</w:t>
            </w:r>
            <w:r>
              <w:rPr>
                <w:rFonts w:ascii="Arial;sans-serif" w:hAnsi="Arial;sans-serif"/>
                <w:b/>
                <w:color w:val="000000"/>
                <w:sz w:val="12"/>
              </w:rPr>
              <w:t xml:space="preserve">(3) </w:t>
            </w:r>
            <w:r>
              <w:rPr>
                <w:rFonts w:ascii="Arial;sans-serif" w:hAnsi="Arial;sans-serif"/>
                <w:b w:val="false"/>
                <w:color w:val="000000"/>
                <w:sz w:val="16"/>
              </w:rPr>
              <w:t>(in millions)</w:t>
            </w:r>
          </w:p>
        </w:tc>
      </w:tr>
      <w:tr>
        <w:trPr/>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8/31/25 - 10/4/25</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10/5/25 - 11/1/25</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55,215 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11/2/25 - 11/29/25</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55,262 </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    </w:t>
      </w:r>
      <w:r>
        <w:rPr>
          <w:rFonts w:ascii="Arial;sans-serif" w:hAnsi="Arial;sans-serif"/>
          <w:b w:val="false"/>
          <w:color w:val="000000"/>
          <w:sz w:val="16"/>
        </w:rPr>
        <w:t>Number of shares in the table are shown in whole numbers.</w:t>
      </w:r>
    </w:p>
    <w:p>
      <w:pPr>
        <w:pStyle w:val="TextBody"/>
        <w:bidi w:val="0"/>
        <w:spacing w:lineRule="auto" w:line="288" w:before="0" w:after="0"/>
        <w:ind w:left="0" w:right="0" w:hanging="270"/>
        <w:jc w:val="left"/>
        <w:rPr/>
      </w:pPr>
      <w:r>
        <w:rPr>
          <w:rFonts w:ascii="Arial;sans-serif" w:hAnsi="Arial;sans-serif"/>
          <w:b w:val="false"/>
          <w:color w:val="000000"/>
          <w:sz w:val="12"/>
        </w:rPr>
        <w:t>(2)    </w:t>
      </w:r>
      <w:r>
        <w:rPr>
          <w:rFonts w:ascii="Arial;sans-serif" w:hAnsi="Arial;sans-serif"/>
          <w:b w:val="false"/>
          <w:color w:val="000000"/>
          <w:sz w:val="16"/>
        </w:rPr>
        <w:t>Shares not purchased as part of a publicly announced program were repurchased from employees who vested in Company shares and elected to pay their payroll tax via the value of shares delivered as opposed to cash.</w:t>
      </w:r>
      <w:r>
        <w:rPr>
          <w:color w:val="000000"/>
        </w:rPr>
        <w:t xml:space="preserve"> </w:t>
      </w:r>
    </w:p>
    <w:p>
      <w:pPr>
        <w:pStyle w:val="TextBody"/>
        <w:bidi w:val="0"/>
        <w:spacing w:lineRule="auto" w:line="288" w:before="0" w:after="0"/>
        <w:ind w:left="0" w:right="0" w:hanging="270"/>
        <w:jc w:val="left"/>
        <w:rPr/>
      </w:pPr>
      <w:r>
        <w:rPr>
          <w:rFonts w:ascii="Arial;sans-serif" w:hAnsi="Arial;sans-serif"/>
          <w:b w:val="false"/>
          <w:color w:val="000000"/>
          <w:sz w:val="12"/>
        </w:rPr>
        <w:t>(3)    </w:t>
      </w:r>
      <w:r>
        <w:rPr>
          <w:rFonts w:ascii="Arial;sans-serif" w:hAnsi="Arial;sans-serif"/>
          <w:b w:val="false"/>
          <w:color w:val="000000"/>
          <w:sz w:val="16"/>
        </w:rPr>
        <w:t>Pursuant to a $350.0 million share repurchase program authorized by our Board of Directors on August 17, 2022. There is no time restriction on the authorization.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Senior Secured Notes, as defined in Note 8 in the Notes to Consolidated Financial Statements included in Item 1 of Part I of this Quarterly Report on Form 10-Q, contain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5. Other Information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During the quarter ended November 29, 2025, no director or officer of the Company adopted, modified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282"/>
        <w:gridCol w:w="214"/>
        <w:gridCol w:w="192"/>
        <w:gridCol w:w="2867"/>
        <w:gridCol w:w="2754"/>
        <w:gridCol w:w="3896"/>
      </w:tblGrid>
      <w:tr>
        <w:trPr/>
        <w:tc>
          <w:tcPr>
            <w:tcW w:w="28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r>
      <w:tr>
        <w:trPr/>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080"/>
              <w:jc w:val="center"/>
              <w:rPr/>
            </w:pPr>
            <w:hyperlink r:id="rId3">
              <w:r>
                <w:rPr>
                  <w:rStyle w:val="InternetLink"/>
                  <w:rFonts w:ascii="Arial;sans-serif" w:hAnsi="Arial;sans-serif"/>
                  <w:b w:val="false"/>
                  <w:color w:val="0000FF"/>
                  <w:sz w:val="18"/>
                  <w:u w:val="single"/>
                </w:rPr>
                <w:t>3.1</w:t>
              </w:r>
            </w:hyperlink>
          </w:p>
        </w:tc>
        <w:tc>
          <w:tcPr>
            <w:tcW w:w="9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 xml:space="preserve">Articles of Incorporation of Winnebago Industries, Inc., effective January 1, 2022 (incorporated by reference from Exhibit 3.1 to the Registrant’s Current Report on Form 8-K dated January 1, 2022). </w:t>
              </w:r>
            </w:hyperlink>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r:id="rId5">
              <w:r>
                <w:rPr>
                  <w:rStyle w:val="InternetLink"/>
                  <w:rFonts w:ascii="Arial;sans-serif" w:hAnsi="Arial;sans-serif"/>
                  <w:b w:val="false"/>
                  <w:color w:val="0000FF"/>
                  <w:sz w:val="18"/>
                  <w:u w:val="single"/>
                </w:rPr>
                <w:t>3.2</w:t>
              </w:r>
            </w:hyperlink>
          </w:p>
        </w:tc>
        <w:tc>
          <w:tcPr>
            <w:tcW w:w="9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Bylaws of Winnebago Industries, Inc., effective August 15, 2023 (incorporated by reference from Exhibit 3.2 to the Registrant’s Current Report on Form 8-K dated August 17, 2023).</w:t>
              </w:r>
            </w:hyperlink>
          </w:p>
        </w:tc>
      </w:tr>
      <w:tr>
        <w:trPr/>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080"/>
              <w:jc w:val="center"/>
              <w:rPr/>
            </w:pP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1</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0.1</w:t>
            </w:r>
            <w:r>
              <w:rPr>
                <w:rStyle w:val="InternetLink"/>
                <w:sz w:val="18"/>
                <w:u w:val="single"/>
                <w:b w:val="false"/>
                <w:rFonts w:ascii="Arial;sans-serif" w:hAnsi="Arial;sans-serif"/>
                <w:color w:val="000080"/>
              </w:rPr>
              <w:fldChar w:fldCharType="end"/>
            </w:r>
          </w:p>
        </w:tc>
        <w:tc>
          <w:tcPr>
            <w:tcW w:w="9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xml:space="preserve">Winnebago Industries, Inc. Amended and Restated 2019 Omnibus Incentive Plan (incorporated by reference from Appendix A to the Registrant's Proxy Statement on Definitive 14A filed on November </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4</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202</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5</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"tAPPA"</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w:t>
            </w:r>
            <w:r>
              <w:rPr>
                <w:rStyle w:val="InternetLink"/>
                <w:sz w:val="18"/>
                <w:u w:val="single"/>
                <w:b w:val="false"/>
                <w:rFonts w:ascii="Arial;sans-serif" w:hAnsi="Arial;sans-serif"/>
                <w:color w:val="000080"/>
              </w:rPr>
              <w:fldChar w:fldCharType="end"/>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080"/>
              <w:jc w:val="center"/>
              <w:rPr/>
            </w:pP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1</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0.2</w:t>
            </w:r>
            <w:r>
              <w:rPr>
                <w:rStyle w:val="InternetLink"/>
                <w:sz w:val="18"/>
                <w:u w:val="single"/>
                <w:b w:val="false"/>
                <w:rFonts w:ascii="Arial;sans-serif" w:hAnsi="Arial;sans-serif"/>
                <w:color w:val="000080"/>
              </w:rPr>
              <w:fldChar w:fldCharType="end"/>
            </w:r>
          </w:p>
        </w:tc>
        <w:tc>
          <w:tcPr>
            <w:tcW w:w="9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xml:space="preserve">Winnebago Industries, Inc. Employee Stock Purchase Plan as Amended on May 17, 2023 (incorporated by reference from Appendix B to the Registrant's Proxy Statement on Definitive 14A filed on November </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4</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 202</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5</w:t>
            </w:r>
            <w:r>
              <w:rPr>
                <w:rStyle w:val="InternetLink"/>
                <w:sz w:val="18"/>
                <w:u w:val="single"/>
                <w:b w:val="false"/>
                <w:rFonts w:ascii="Arial;sans-serif" w:hAnsi="Arial;sans-serif"/>
                <w:color w:val="000080"/>
              </w:rPr>
              <w:fldChar w:fldCharType="end"/>
            </w:r>
            <w:r>
              <w:fldChar w:fldCharType="begin"/>
            </w:r>
            <w:r>
              <w:rPr>
                <w:rStyle w:val="InternetLink"/>
                <w:sz w:val="18"/>
                <w:u w:val="single"/>
                <w:b w:val="false"/>
                <w:rFonts w:ascii="Arial;sans-serif" w:hAnsi="Arial;sans-serif"/>
                <w:color w:val="000080"/>
              </w:rPr>
              <w:instrText xml:space="preserve"> HYPERLINK "https://www.sec.gov/ix?doc=/Archives/edgar/data/107687/000114036123051281/ny20008674x1_def14a.htm" \l "tAPPB"</w:instrText>
            </w:r>
            <w:r>
              <w:rPr>
                <w:rStyle w:val="InternetLink"/>
                <w:sz w:val="18"/>
                <w:u w:val="single"/>
                <w:b w:val="false"/>
                <w:rFonts w:ascii="Arial;sans-serif" w:hAnsi="Arial;sans-serif"/>
                <w:color w:val="000080"/>
              </w:rPr>
              <w:fldChar w:fldCharType="separate"/>
            </w:r>
            <w:r>
              <w:rPr>
                <w:rStyle w:val="InternetLink"/>
                <w:rFonts w:ascii="Arial;sans-serif" w:hAnsi="Arial;sans-serif"/>
                <w:b w:val="false"/>
                <w:color w:val="000080"/>
                <w:sz w:val="18"/>
                <w:u w:val="single"/>
              </w:rPr>
              <w:t>).*</w:t>
            </w:r>
            <w:r>
              <w:rPr>
                <w:rStyle w:val="InternetLink"/>
                <w:sz w:val="18"/>
                <w:u w:val="single"/>
                <w:b w:val="false"/>
                <w:rFonts w:ascii="Arial;sans-serif" w:hAnsi="Arial;sans-serif"/>
                <w:color w:val="000080"/>
              </w:rPr>
              <w:fldChar w:fldCharType="end"/>
            </w:r>
          </w:p>
        </w:tc>
      </w:tr>
      <w:tr>
        <w:trPr/>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w:anchor="a2026q1exh311.htm">
              <w:r>
                <w:rPr>
                  <w:rStyle w:val="InternetLink"/>
                  <w:rFonts w:ascii="Arial;sans-serif" w:hAnsi="Arial;sans-serif"/>
                  <w:b w:val="false"/>
                  <w:color w:val="0000FF"/>
                  <w:sz w:val="18"/>
                  <w:u w:val="single"/>
                </w:rPr>
                <w:t>31.1</w:t>
              </w:r>
            </w:hyperlink>
          </w:p>
        </w:tc>
        <w:tc>
          <w:tcPr>
            <w:tcW w:w="9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q1exh311.htm">
              <w:r>
                <w:rPr>
                  <w:rStyle w:val="InternetLink"/>
                  <w:rFonts w:ascii="Arial;sans-serif" w:hAnsi="Arial;sans-serif"/>
                  <w:b w:val="false"/>
                  <w:color w:val="0000FF"/>
                  <w:sz w:val="18"/>
                  <w:u w:val="single"/>
                </w:rPr>
                <w:t>Certification by the Chief Executive Officer pursuant to Section 302 of the Sarbanes-Oxley Act of 2002 (filed herewith)</w:t>
              </w:r>
            </w:hyperlink>
            <w:r>
              <w:rPr>
                <w:rFonts w:ascii="Arial;sans-serif" w:hAnsi="Arial;sans-serif"/>
                <w:b w:val="false"/>
                <w:color w:val="000000"/>
                <w:sz w:val="18"/>
              </w:rPr>
              <w:t>.</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w:anchor="a2026q1exh312.htm">
              <w:r>
                <w:rPr>
                  <w:rStyle w:val="InternetLink"/>
                  <w:rFonts w:ascii="Arial;sans-serif" w:hAnsi="Arial;sans-serif"/>
                  <w:b w:val="false"/>
                  <w:color w:val="0000FF"/>
                  <w:sz w:val="18"/>
                  <w:u w:val="single"/>
                </w:rPr>
                <w:t>31.2</w:t>
              </w:r>
            </w:hyperlink>
          </w:p>
        </w:tc>
        <w:tc>
          <w:tcPr>
            <w:tcW w:w="9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q1exh312.htm">
              <w:r>
                <w:rPr>
                  <w:rStyle w:val="InternetLink"/>
                  <w:rFonts w:ascii="Arial;sans-serif" w:hAnsi="Arial;sans-serif"/>
                  <w:b w:val="false"/>
                  <w:color w:val="0000FF"/>
                  <w:sz w:val="18"/>
                  <w:u w:val="single"/>
                </w:rPr>
                <w:t>Certification by the Chief Financial Officer pursuant to Section 302 of the Sarbanes-Oxley Act of 2002 (filed herewith).</w:t>
              </w:r>
            </w:hyperlink>
          </w:p>
        </w:tc>
      </w:tr>
      <w:tr>
        <w:trPr/>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w:anchor="a2026q1exh321.htm">
              <w:r>
                <w:rPr>
                  <w:rStyle w:val="InternetLink"/>
                  <w:rFonts w:ascii="Arial;sans-serif" w:hAnsi="Arial;sans-serif"/>
                  <w:b w:val="false"/>
                  <w:color w:val="0000FF"/>
                  <w:sz w:val="18"/>
                  <w:u w:val="single"/>
                </w:rPr>
                <w:t>32.1</w:t>
              </w:r>
            </w:hyperlink>
          </w:p>
        </w:tc>
        <w:tc>
          <w:tcPr>
            <w:tcW w:w="9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q1exh321.htm">
              <w:r>
                <w:rPr>
                  <w:rStyle w:val="InternetLink"/>
                  <w:rFonts w:ascii="Arial;sans-serif" w:hAnsi="Arial;sans-serif"/>
                  <w:b w:val="false"/>
                  <w:color w:val="0000FF"/>
                  <w:sz w:val="18"/>
                  <w:u w:val="single"/>
                </w:rPr>
                <w:t>Certification by the Chief Executive Officer pursuant to 18 U.S.C. Section 1350, as adopted pursuant to Section 906 of the Sarbanes-Oxley Act of 2002 (furnished herewith).</w:t>
              </w:r>
            </w:hyperlink>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080"/>
              <w:jc w:val="center"/>
              <w:rPr/>
            </w:pPr>
            <w:hyperlink w:anchor="a2026q1exh322.htm">
              <w:r>
                <w:rPr>
                  <w:rStyle w:val="InternetLink"/>
                  <w:rFonts w:ascii="Arial;sans-serif" w:hAnsi="Arial;sans-serif"/>
                  <w:b w:val="false"/>
                  <w:color w:val="0000FF"/>
                  <w:sz w:val="18"/>
                  <w:u w:val="single"/>
                </w:rPr>
                <w:t>32.2</w:t>
              </w:r>
            </w:hyperlink>
          </w:p>
        </w:tc>
        <w:tc>
          <w:tcPr>
            <w:tcW w:w="9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080"/>
              <w:jc w:val="left"/>
              <w:rPr/>
            </w:pPr>
            <w:hyperlink w:anchor="a2026q1exh322.htm">
              <w:r>
                <w:rPr>
                  <w:rStyle w:val="InternetLink"/>
                  <w:rFonts w:ascii="Arial;sans-serif" w:hAnsi="Arial;sans-serif"/>
                  <w:b w:val="false"/>
                  <w:color w:val="0000FF"/>
                  <w:sz w:val="18"/>
                  <w:u w:val="single"/>
                </w:rPr>
                <w:t>Certification by the Chief Financial Officer pursuant to 18 U.S.C. Section 1350, as adopted pursuant to Section 906 of the Sarbanes-Oxley Act of 2002 (furnished herewith).</w:t>
              </w:r>
            </w:hyperlink>
          </w:p>
        </w:tc>
      </w:tr>
      <w:tr>
        <w:trPr/>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9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 (furnished herewith).</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9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Extension Schema Document (furnished herewith).</w:t>
            </w:r>
          </w:p>
        </w:tc>
      </w:tr>
      <w:tr>
        <w:trPr/>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9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Calculation Linkbase Document (furnished herewith).</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9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 (furnished herewith).</w:t>
            </w:r>
          </w:p>
        </w:tc>
      </w:tr>
      <w:tr>
        <w:trPr/>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9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Label Linkbase Document (furnished herewith).</w:t>
            </w:r>
          </w:p>
        </w:tc>
      </w:tr>
      <w:tr>
        <w:trPr/>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101.PRE</w:t>
            </w:r>
          </w:p>
        </w:tc>
        <w:tc>
          <w:tcPr>
            <w:tcW w:w="9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Presentation Linkbase Document (furnished herewith).</w:t>
            </w:r>
          </w:p>
        </w:tc>
      </w:tr>
      <w:tr>
        <w:trPr/>
        <w:tc>
          <w:tcPr>
            <w:tcW w:w="68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rFonts w:ascii="Arial;sans-serif" w:hAnsi="Arial;sans-serif"/>
                <w:b w:val="false"/>
                <w:color w:val="000000"/>
                <w:sz w:val="18"/>
              </w:rPr>
            </w:pPr>
            <w:r>
              <w:rPr>
                <w:rFonts w:ascii="Arial;sans-serif" w:hAnsi="Arial;sans-serif"/>
                <w:b w:val="false"/>
                <w:color w:val="000000"/>
                <w:sz w:val="18"/>
              </w:rPr>
              <w:t>104</w:t>
            </w:r>
          </w:p>
        </w:tc>
        <w:tc>
          <w:tcPr>
            <w:tcW w:w="9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in Inline XBRL and contained in Exhibit 101) (furnished herewith).</w:t>
            </w:r>
          </w:p>
        </w:tc>
      </w:tr>
    </w:tbl>
    <w:p>
      <w:pPr>
        <w:pStyle w:val="TextBody"/>
        <w:bidi w:val="0"/>
        <w:spacing w:lineRule="auto" w:line="288" w:before="0" w:after="180"/>
        <w:ind w:left="0" w:right="0" w:hanging="180"/>
        <w:jc w:val="left"/>
        <w:rPr>
          <w:rFonts w:ascii="Arial;sans-serif" w:hAnsi="Arial;sans-serif"/>
          <w:b w:val="false"/>
          <w:color w:val="000000"/>
          <w:sz w:val="18"/>
        </w:rPr>
      </w:pPr>
      <w:r>
        <w:rPr>
          <w:rFonts w:ascii="Arial;sans-serif" w:hAnsi="Arial;sans-serif"/>
          <w:b w:val="false"/>
          <w:color w:val="000000"/>
          <w:sz w:val="18"/>
        </w:rPr>
        <w:t>* Management contract or compensation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7b46714725c045d4982775c59a88646f_7">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8128" w:type="dxa"/>
        <w:jc w:val="left"/>
        <w:tblInd w:w="0" w:type="dxa"/>
        <w:tblLayout w:type="fixed"/>
        <w:tblCellMar>
          <w:top w:w="28" w:type="dxa"/>
          <w:left w:w="28" w:type="dxa"/>
          <w:bottom w:w="28" w:type="dxa"/>
          <w:right w:w="28" w:type="dxa"/>
        </w:tblCellMar>
      </w:tblPr>
      <w:tblGrid>
        <w:gridCol w:w="201"/>
        <w:gridCol w:w="176"/>
        <w:gridCol w:w="178"/>
        <w:gridCol w:w="574"/>
        <w:gridCol w:w="574"/>
        <w:gridCol w:w="576"/>
        <w:gridCol w:w="466"/>
        <w:gridCol w:w="466"/>
        <w:gridCol w:w="466"/>
        <w:gridCol w:w="1351"/>
        <w:gridCol w:w="1351"/>
        <w:gridCol w:w="1377"/>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INDUSTRIES,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19, 2025</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Michael J. Happe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19, 2025</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CERTIFICATION BY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302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Michael J. Happe, Chief Executive Officer of Winnebago Industries,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Winnebago Industries,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471" w:type="dxa"/>
        <w:jc w:val="left"/>
        <w:tblInd w:w="0" w:type="dxa"/>
        <w:tblLayout w:type="fixed"/>
        <w:tblCellMar>
          <w:top w:w="28" w:type="dxa"/>
          <w:left w:w="28" w:type="dxa"/>
          <w:bottom w:w="28" w:type="dxa"/>
          <w:right w:w="28" w:type="dxa"/>
        </w:tblCellMar>
      </w:tblPr>
      <w:tblGrid>
        <w:gridCol w:w="201"/>
        <w:gridCol w:w="176"/>
        <w:gridCol w:w="178"/>
        <w:gridCol w:w="574"/>
        <w:gridCol w:w="574"/>
        <w:gridCol w:w="576"/>
        <w:gridCol w:w="109"/>
        <w:gridCol w:w="109"/>
        <w:gridCol w:w="109"/>
        <w:gridCol w:w="836"/>
        <w:gridCol w:w="836"/>
        <w:gridCol w:w="119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BY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302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Bryan L. Hughes, Chief Financial Officer of Winnebago Industries,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Winnebago Industries,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730" w:type="dxa"/>
        <w:jc w:val="center"/>
        <w:tblInd w:w="0" w:type="dxa"/>
        <w:tblLayout w:type="fixed"/>
        <w:tblCellMar>
          <w:top w:w="28" w:type="dxa"/>
          <w:left w:w="28" w:type="dxa"/>
          <w:bottom w:w="28" w:type="dxa"/>
          <w:right w:w="28" w:type="dxa"/>
        </w:tblCellMar>
      </w:tblPr>
      <w:tblGrid>
        <w:gridCol w:w="201"/>
        <w:gridCol w:w="176"/>
        <w:gridCol w:w="178"/>
        <w:gridCol w:w="574"/>
        <w:gridCol w:w="574"/>
        <w:gridCol w:w="576"/>
        <w:gridCol w:w="109"/>
        <w:gridCol w:w="109"/>
        <w:gridCol w:w="109"/>
        <w:gridCol w:w="725"/>
        <w:gridCol w:w="725"/>
        <w:gridCol w:w="267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CERTIFICATION BY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18 U.S.C. Section 1350, as adopted pursuant to Section 906 of the Sarbanes-Oxley Act of 2002, I, Michael J. Happe, Chief Executive Officer of Winnebago Industries, Inc. (the "Company"), hereby certify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Quarterly Report on Form 10-Q for the fiscal quarter ended November 29, 2025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information contained in this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470" w:type="dxa"/>
        <w:jc w:val="left"/>
        <w:tblInd w:w="0" w:type="dxa"/>
        <w:tblLayout w:type="fixed"/>
        <w:tblCellMar>
          <w:top w:w="28" w:type="dxa"/>
          <w:left w:w="28" w:type="dxa"/>
          <w:bottom w:w="28" w:type="dxa"/>
          <w:right w:w="28" w:type="dxa"/>
        </w:tblCellMar>
      </w:tblPr>
      <w:tblGrid>
        <w:gridCol w:w="201"/>
        <w:gridCol w:w="176"/>
        <w:gridCol w:w="178"/>
        <w:gridCol w:w="574"/>
        <w:gridCol w:w="574"/>
        <w:gridCol w:w="576"/>
        <w:gridCol w:w="109"/>
        <w:gridCol w:w="109"/>
        <w:gridCol w:w="109"/>
        <w:gridCol w:w="587"/>
        <w:gridCol w:w="587"/>
        <w:gridCol w:w="169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CERTIFICATION BY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18 U.S.C. Section 1350, as adopted pursuant to Section 906 of the Sarbanes-Oxley Act of 2002, I, Bryan L. Hughes, Chief Financial Officer of Winnebago Industries, Inc. (the "Company"), hereby certify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Quarterly Report on Form 10-Q for the fiscal quarter ended November 29, 2025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information contained in this Report fairly presents, in all material respects, the financial condition and results of operations of the Company.</w:t>
      </w:r>
    </w:p>
    <w:p>
      <w:pPr>
        <w:pStyle w:val="TextBody"/>
        <w:bidi w:val="0"/>
        <w:spacing w:before="0" w:after="0"/>
        <w:jc w:val="left"/>
        <w:rPr/>
      </w:pPr>
      <w:r>
        <w:rPr/>
      </w:r>
    </w:p>
    <w:tbl>
      <w:tblPr>
        <w:tblW w:w="6730" w:type="dxa"/>
        <w:jc w:val="center"/>
        <w:tblInd w:w="0" w:type="dxa"/>
        <w:tblLayout w:type="fixed"/>
        <w:tblCellMar>
          <w:top w:w="28" w:type="dxa"/>
          <w:left w:w="28" w:type="dxa"/>
          <w:bottom w:w="28" w:type="dxa"/>
          <w:right w:w="28" w:type="dxa"/>
        </w:tblCellMar>
      </w:tblPr>
      <w:tblGrid>
        <w:gridCol w:w="201"/>
        <w:gridCol w:w="176"/>
        <w:gridCol w:w="178"/>
        <w:gridCol w:w="574"/>
        <w:gridCol w:w="574"/>
        <w:gridCol w:w="576"/>
        <w:gridCol w:w="109"/>
        <w:gridCol w:w="109"/>
        <w:gridCol w:w="109"/>
        <w:gridCol w:w="722"/>
        <w:gridCol w:w="722"/>
        <w:gridCol w:w="268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270"/>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7687/000010768722000004/wgo-mnarticlesreincorporat.htm" TargetMode="External"/><Relationship Id="rId4" Type="http://schemas.openxmlformats.org/officeDocument/2006/relationships/hyperlink" Target="https://www.sec.gov/Archives/edgar/data/107687/000010768722000004/wgo-mnarticlesreincorporat.htm" TargetMode="External"/><Relationship Id="rId5" Type="http://schemas.openxmlformats.org/officeDocument/2006/relationships/hyperlink" Target="https://www.sec.gov/Archives/edgar/data/107687/000010768723000018/wgo-bylawsxaugust152023xfi.htm" TargetMode="External"/><Relationship Id="rId6" Type="http://schemas.openxmlformats.org/officeDocument/2006/relationships/hyperlink" Target="https://www.sec.gov/Archives/edgar/data/107687/000010768723000018/wgo-bylawsxaugust152023xfi.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13180</Words>
  <Characters>72476</Characters>
  <CharactersWithSpaces>84520</CharactersWithSpaces>
  <Paragraphs>2046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