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311785</wp:posOffset>
            </wp:positionH>
            <wp:positionV relativeFrom="page">
              <wp:posOffset>637540</wp:posOffset>
            </wp:positionV>
            <wp:extent cx="6946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265" cy="8890"/>
                    </a:xfrm>
                    <a:prstGeom prst="rect">
                      <a:avLst/>
                    </a:prstGeom>
                    <a:noFill/>
                  </pic:spPr>
                </pic:pic>
              </a:graphicData>
            </a:graphic>
          </wp:anchor>
        </w:drawing>
        <w:drawing>
          <wp:anchor simplePos="0" relativeHeight="251657728" behindDoc="1" locked="0" layoutInCell="0" allowOverlap="1">
            <wp:simplePos x="0" y="0"/>
            <wp:positionH relativeFrom="page">
              <wp:posOffset>311785</wp:posOffset>
            </wp:positionH>
            <wp:positionV relativeFrom="page">
              <wp:posOffset>534670</wp:posOffset>
            </wp:positionV>
            <wp:extent cx="69462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265" cy="2603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233680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133350</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December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1275080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151765</wp:posOffset>
            </wp:positionV>
            <wp:extent cx="2272665" cy="900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2665" cy="9004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5" w:lineRule="exact"/>
        <w:rPr>
          <w:sz w:val="24"/>
          <w:szCs w:val="24"/>
          <w:color w:val="auto"/>
        </w:rPr>
      </w:pPr>
    </w:p>
    <w:tbl>
      <w:tblPr>
        <w:tblLayout w:type="fixed"/>
        <w:tblInd w:w="1100" w:type="dxa"/>
        <w:tblCellMar>
          <w:top w:w="0" w:type="dxa"/>
          <w:left w:w="0" w:type="dxa"/>
          <w:bottom w:w="0" w:type="dxa"/>
          <w:right w:w="0" w:type="dxa"/>
        </w:tblCellMar>
      </w:tblPr>
      <w:tr>
        <w:trPr>
          <w:trHeight w:val="232"/>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256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001-06403</w:t>
            </w:r>
          </w:p>
        </w:tc>
        <w:tc>
          <w:tcPr>
            <w:tcW w:w="8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42-0802678</w:t>
            </w:r>
          </w:p>
        </w:tc>
      </w:tr>
      <w:tr>
        <w:trPr>
          <w:trHeight w:val="195"/>
        </w:trPr>
        <w:tc>
          <w:tcPr>
            <w:tcW w:w="332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40" w:type="dxa"/>
            <w:vAlign w:val="bottom"/>
            <w:gridSpan w:val="2"/>
          </w:tcPr>
          <w:p>
            <w:pPr>
              <w:jc w:val="center"/>
              <w:ind w:right="8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spacing w:after="0"/>
              <w:rPr>
                <w:sz w:val="20"/>
                <w:szCs w:val="20"/>
                <w:color w:val="auto"/>
              </w:rPr>
            </w:pPr>
            <w:r>
              <w:rPr>
                <w:rFonts w:ascii="Arial" w:cs="Arial" w:eastAsia="Arial" w:hAnsi="Arial"/>
                <w:sz w:val="16"/>
                <w:szCs w:val="16"/>
                <w:color w:val="auto"/>
              </w:rPr>
              <w:t>(IRS Employer</w:t>
            </w:r>
          </w:p>
        </w:tc>
      </w:tr>
      <w:tr>
        <w:trPr>
          <w:trHeight w:val="219"/>
        </w:trPr>
        <w:tc>
          <w:tcPr>
            <w:tcW w:w="332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Identification No.)</w:t>
            </w:r>
          </w:p>
        </w:tc>
      </w:tr>
      <w:tr>
        <w:trPr>
          <w:trHeight w:val="498"/>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P.O. Box 152, Forest City, Iowa</w:t>
            </w:r>
          </w:p>
        </w:tc>
        <w:tc>
          <w:tcPr>
            <w:tcW w:w="2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b w:val="1"/>
                <w:bCs w:val="1"/>
                <w:color w:val="auto"/>
              </w:rPr>
              <w:t>50436</w:t>
            </w:r>
          </w:p>
        </w:tc>
      </w:tr>
      <w:tr>
        <w:trPr>
          <w:trHeight w:val="225"/>
        </w:trPr>
        <w:tc>
          <w:tcPr>
            <w:tcW w:w="332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6"/>
                <w:szCs w:val="16"/>
                <w:color w:val="auto"/>
              </w:rPr>
              <w:t>(Zip Code)</w:t>
            </w:r>
          </w:p>
        </w:tc>
      </w:tr>
      <w:tr>
        <w:trPr>
          <w:trHeight w:val="481"/>
        </w:trPr>
        <w:tc>
          <w:tcPr>
            <w:tcW w:w="5960" w:type="dxa"/>
            <w:vAlign w:val="bottom"/>
            <w:gridSpan w:val="3"/>
          </w:tcPr>
          <w:p>
            <w:pPr>
              <w:ind w:left="220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bl>
    <w:p>
      <w:pPr>
        <w:spacing w:after="0" w:line="151"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3"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3"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3"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159385</wp:posOffset>
            </wp:positionH>
            <wp:positionV relativeFrom="paragraph">
              <wp:posOffset>306070</wp:posOffset>
            </wp:positionV>
            <wp:extent cx="69462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6265" cy="2603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220345</wp:posOffset>
            </wp:positionV>
            <wp:extent cx="69462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265" cy="8890"/>
                    </a:xfrm>
                    <a:prstGeom prst="rect">
                      <a:avLst/>
                    </a:prstGeom>
                    <a:noFill/>
                  </pic:spPr>
                </pic:pic>
              </a:graphicData>
            </a:graphic>
          </wp:anchor>
        </w:drawing>
      </w:r>
    </w:p>
    <w:p>
      <w:pPr>
        <w:sectPr>
          <w:pgSz w:w="11900" w:h="16838" w:orient="portrait"/>
          <w:cols w:equalWidth="0" w:num="1">
            <w:col w:w="11420"/>
          </w:cols>
          <w:pgMar w:left="240" w:top="1280"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5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Winnebago Industries, ("the Company") held its annual meeting of shareholders (the “Annual Meeting”) on December 17, 2013. At the Annual Meeting, the Company's shareholders were asked to vote on four proposals: (1) the election of three Class II directors, (2) the advisory approval of executive compensation, (3) the approval of the 2014 Omnibus Equity, Performance Award, and Incentive Compensation Plan, and (4) the ratification of the appointment of Deloitte &amp; Touche LLP as the Company's independent registered public accountants for the fiscal year ending August 30, 2014. The results of the shareholder vote are set forth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259" w:lineRule="exact"/>
        <w:rPr>
          <w:sz w:val="20"/>
          <w:szCs w:val="20"/>
          <w:color w:val="auto"/>
        </w:rPr>
      </w:pPr>
    </w:p>
    <w:p>
      <w:pPr>
        <w:ind w:right="260"/>
        <w:spacing w:after="0" w:line="269" w:lineRule="auto"/>
        <w:rPr>
          <w:sz w:val="20"/>
          <w:szCs w:val="20"/>
          <w:color w:val="auto"/>
        </w:rPr>
      </w:pPr>
      <w:r>
        <w:rPr>
          <w:rFonts w:ascii="Arial" w:cs="Arial" w:eastAsia="Arial" w:hAnsi="Arial"/>
          <w:sz w:val="16"/>
          <w:szCs w:val="16"/>
          <w:color w:val="auto"/>
        </w:rPr>
        <w:t>Company shareholders elected three nominees, Robert M. Chiusano, Jerry N. Currie, and Lawrence A. Erickson, as Class II directors to hold office until the annual meeting of shareholders to be held following the Company's 2016 fiscal year and until their respective successor is duly elected and qualified. Information as to the vote on each director standing for election is provided below:</w:t>
      </w:r>
    </w:p>
    <w:p>
      <w:pPr>
        <w:spacing w:after="0" w:line="136" w:lineRule="exact"/>
        <w:rPr>
          <w:sz w:val="20"/>
          <w:szCs w:val="20"/>
          <w:color w:val="auto"/>
        </w:rPr>
      </w:pPr>
    </w:p>
    <w:tbl>
      <w:tblPr>
        <w:tblLayout w:type="fixed"/>
        <w:tblInd w:w="1500" w:type="dxa"/>
        <w:tblCellMar>
          <w:top w:w="0" w:type="dxa"/>
          <w:left w:w="0" w:type="dxa"/>
          <w:bottom w:w="0" w:type="dxa"/>
          <w:right w:w="0" w:type="dxa"/>
        </w:tblCellMar>
      </w:tblPr>
      <w:tr>
        <w:trPr>
          <w:trHeight w:val="232"/>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36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Votes Withheld</w:t>
            </w:r>
          </w:p>
        </w:tc>
        <w:tc>
          <w:tcPr>
            <w:tcW w:w="36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Robert M. Chiusano</w:t>
            </w:r>
          </w:p>
        </w:tc>
        <w:tc>
          <w:tcPr>
            <w:tcW w:w="1800" w:type="dxa"/>
            <w:vAlign w:val="bottom"/>
          </w:tcPr>
          <w:p>
            <w:pPr>
              <w:jc w:val="center"/>
              <w:spacing w:after="0"/>
              <w:rPr>
                <w:sz w:val="20"/>
                <w:szCs w:val="20"/>
                <w:color w:val="auto"/>
              </w:rPr>
            </w:pPr>
            <w:r>
              <w:rPr>
                <w:rFonts w:ascii="Arial" w:cs="Arial" w:eastAsia="Arial" w:hAnsi="Arial"/>
                <w:sz w:val="16"/>
                <w:szCs w:val="16"/>
                <w:color w:val="auto"/>
              </w:rPr>
              <w:t>20,797,343</w:t>
            </w:r>
          </w:p>
        </w:tc>
        <w:tc>
          <w:tcPr>
            <w:tcW w:w="3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128,667</w:t>
            </w:r>
          </w:p>
        </w:tc>
        <w:tc>
          <w:tcPr>
            <w:tcW w:w="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3,785,068</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Jerry N. Currie</w:t>
            </w:r>
          </w:p>
        </w:tc>
        <w:tc>
          <w:tcPr>
            <w:tcW w:w="1800" w:type="dxa"/>
            <w:vAlign w:val="bottom"/>
          </w:tcPr>
          <w:p>
            <w:pPr>
              <w:jc w:val="center"/>
              <w:spacing w:after="0"/>
              <w:rPr>
                <w:sz w:val="20"/>
                <w:szCs w:val="20"/>
                <w:color w:val="auto"/>
              </w:rPr>
            </w:pPr>
            <w:r>
              <w:rPr>
                <w:rFonts w:ascii="Arial" w:cs="Arial" w:eastAsia="Arial" w:hAnsi="Arial"/>
                <w:sz w:val="16"/>
                <w:szCs w:val="16"/>
                <w:color w:val="auto"/>
              </w:rPr>
              <w:t>20,789,534</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136,476</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3,785,068</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Lawrence A. Erickson</w:t>
            </w:r>
          </w:p>
        </w:tc>
        <w:tc>
          <w:tcPr>
            <w:tcW w:w="1800" w:type="dxa"/>
            <w:vAlign w:val="bottom"/>
          </w:tcPr>
          <w:p>
            <w:pPr>
              <w:jc w:val="center"/>
              <w:spacing w:after="0"/>
              <w:rPr>
                <w:sz w:val="20"/>
                <w:szCs w:val="20"/>
                <w:color w:val="auto"/>
              </w:rPr>
            </w:pPr>
            <w:r>
              <w:rPr>
                <w:rFonts w:ascii="Arial" w:cs="Arial" w:eastAsia="Arial" w:hAnsi="Arial"/>
                <w:sz w:val="16"/>
                <w:szCs w:val="16"/>
                <w:color w:val="auto"/>
              </w:rPr>
              <w:t>20,803,421</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122,589</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3,785,068</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Advisory Approval Vote on Executive Compensation (the “Say on Pay” Vote).</w:t>
      </w:r>
    </w:p>
    <w:p>
      <w:pPr>
        <w:spacing w:after="0" w:line="259" w:lineRule="exact"/>
        <w:rPr>
          <w:sz w:val="20"/>
          <w:szCs w:val="20"/>
          <w:color w:val="auto"/>
        </w:rPr>
      </w:pPr>
    </w:p>
    <w:p>
      <w:pPr>
        <w:jc w:val="both"/>
        <w:ind w:right="180"/>
        <w:spacing w:after="0" w:line="269"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09" w:lineRule="exact"/>
        <w:rPr>
          <w:sz w:val="20"/>
          <w:szCs w:val="20"/>
          <w:color w:val="auto"/>
        </w:rPr>
      </w:pPr>
    </w:p>
    <w:tbl>
      <w:tblPr>
        <w:tblLayout w:type="fixed"/>
        <w:tblInd w:w="1460" w:type="dxa"/>
        <w:tblCellMar>
          <w:top w:w="0" w:type="dxa"/>
          <w:left w:w="0" w:type="dxa"/>
          <w:bottom w:w="0" w:type="dxa"/>
          <w:right w:w="0" w:type="dxa"/>
        </w:tblCellMar>
      </w:tblPr>
      <w:tr>
        <w:trPr>
          <w:trHeight w:val="232"/>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20,276,986</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386,254</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color w:val="auto"/>
              </w:rPr>
              <w:t>262,770</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3,785,068</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Approval of the 2014 Omnibus Equity, Performance Award, and Incentive Compensation Plan.</w:t>
      </w:r>
    </w:p>
    <w:p>
      <w:pPr>
        <w:spacing w:after="0" w:line="2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Company shareholders approved the 2014 Omnibus Equity, Performance Award, and Incentive Compensation Plan as disclosed in the definitive and additional proxy statement relating to the Annual Meeting, as set forth below:</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232"/>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17,737,427</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3,147,788</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40,795</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3,785,068</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Ratification of the Appointment of Independent Registered Public Accountants for the Fiscal Year Ending August 30, 2014.</w:t>
      </w:r>
    </w:p>
    <w:p>
      <w:pPr>
        <w:spacing w:after="0" w:line="259"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30, 2014, as set forth below:</w:t>
      </w:r>
    </w:p>
    <w:p>
      <w:pPr>
        <w:spacing w:after="0" w:line="92" w:lineRule="exact"/>
        <w:rPr>
          <w:sz w:val="20"/>
          <w:szCs w:val="20"/>
          <w:color w:val="auto"/>
        </w:rPr>
      </w:pPr>
    </w:p>
    <w:tbl>
      <w:tblPr>
        <w:tblLayout w:type="fixed"/>
        <w:tblInd w:w="1460" w:type="dxa"/>
        <w:tblCellMar>
          <w:top w:w="0" w:type="dxa"/>
          <w:left w:w="0" w:type="dxa"/>
          <w:bottom w:w="0" w:type="dxa"/>
          <w:right w:w="0" w:type="dxa"/>
        </w:tblCellMar>
      </w:tblPr>
      <w:tr>
        <w:trPr>
          <w:trHeight w:val="232"/>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8"/>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24,478,798</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204,467</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27,813</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6"/>
          <w:szCs w:val="16"/>
          <w:b w:val="1"/>
          <w:bCs w:val="1"/>
          <w:color w:val="auto"/>
        </w:rPr>
        <w:t>IGNATURE</w:t>
      </w:r>
    </w:p>
    <w:p>
      <w:pPr>
        <w:spacing w:after="0" w:line="20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83"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W</w:t>
      </w:r>
      <w:r>
        <w:rPr>
          <w:rFonts w:ascii="Arial" w:cs="Arial" w:eastAsia="Arial" w:hAnsi="Arial"/>
          <w:sz w:val="16"/>
          <w:szCs w:val="16"/>
          <w:color w:val="auto"/>
        </w:rPr>
        <w:t>INNEBAGO INDUSTRIES, INC.</w:t>
      </w:r>
    </w:p>
    <w:p>
      <w:pPr>
        <w:spacing w:after="0" w:line="349" w:lineRule="exact"/>
        <w:rPr>
          <w:sz w:val="20"/>
          <w:szCs w:val="20"/>
          <w:color w:val="auto"/>
        </w:rPr>
      </w:pPr>
    </w:p>
    <w:p>
      <w:pPr>
        <w:ind w:left="40"/>
        <w:spacing w:after="0"/>
        <w:tabs>
          <w:tab w:leader="none" w:pos="700" w:val="left"/>
          <w:tab w:leader="none" w:pos="5060" w:val="left"/>
          <w:tab w:leader="none" w:pos="57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18, 2013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0"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6"/>
          <w:szCs w:val="16"/>
          <w:color w:val="auto"/>
        </w:rPr>
        <w:t>Name:</w:t>
        <w:tab/>
        <w:t>Randy J. Potts</w:t>
      </w:r>
    </w:p>
    <w:p>
      <w:pPr>
        <w:spacing w:after="0" w:line="86" w:lineRule="exact"/>
        <w:rPr>
          <w:sz w:val="20"/>
          <w:szCs w:val="20"/>
          <w:color w:val="auto"/>
        </w:rPr>
      </w:pPr>
    </w:p>
    <w:p>
      <w:pPr>
        <w:ind w:left="5080"/>
        <w:spacing w:after="0"/>
        <w:tabs>
          <w:tab w:leader="none" w:pos="57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of the Board, Chief Executive Officer and President</w:t>
      </w:r>
    </w:p>
    <w:sectPr>
      <w:pgSz w:w="11900" w:h="16838" w:orient="portrait"/>
      <w:cols w:equalWidth="0" w:num="1">
        <w:col w:w="11400"/>
      </w:cols>
      <w:pgMar w:left="240" w:top="5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2019-12-05T17:09:29Z</dcterms:created>
  <dcterms:modified xsi:type="dcterms:W3CDTF">2019-12-05T17:09:29Z</dcterms:modified>
</cp:coreProperties>
</file>