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4"/>
          <w:szCs w:val="24"/>
          <w:color w:val="auto"/>
        </w:rPr>
      </w:pPr>
    </w:p>
    <w:p>
      <w:pPr>
        <w:ind w:left="420" w:right="1879" w:hanging="420"/>
        <w:spacing w:after="0" w:line="235" w:lineRule="auto"/>
        <w:rPr>
          <w:sz w:val="20"/>
          <w:szCs w:val="20"/>
          <w:color w:val="auto"/>
        </w:rPr>
      </w:pPr>
      <w:r>
        <w:rPr>
          <w:rFonts w:ascii="Courier New" w:cs="Courier New" w:eastAsia="Courier New" w:hAnsi="Courier New"/>
          <w:sz w:val="18"/>
          <w:szCs w:val="18"/>
          <w:color w:val="auto"/>
        </w:rPr>
        <w:t>_X_ QUARTERLY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November 30,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244" w:right="1440" w:bottom="0" w:gutter="0" w:footer="0" w:header="0"/>
          <w:type w:val="continuous"/>
        </w:sectPr>
      </w:pPr>
    </w:p>
    <w:p>
      <w:pPr>
        <w:spacing w:after="0" w:line="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4"/>
          <w:szCs w:val="24"/>
          <w:color w:val="auto"/>
        </w:rPr>
      </w:pPr>
    </w:p>
    <w:p>
      <w:pPr>
        <w:ind w:left="740" w:right="2419"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 to 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060"/>
              <w:spacing w:after="0"/>
              <w:rPr>
                <w:sz w:val="20"/>
                <w:szCs w:val="20"/>
                <w:color w:val="auto"/>
              </w:rPr>
            </w:pPr>
            <w:r>
              <w:rPr>
                <w:rFonts w:ascii="Courier New" w:cs="Courier New" w:eastAsia="Courier New" w:hAnsi="Courier New"/>
                <w:sz w:val="18"/>
                <w:szCs w:val="18"/>
                <w:color w:val="auto"/>
              </w:rPr>
              <w:t>IOWA</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960" w:type="dxa"/>
            <w:vAlign w:val="bottom"/>
          </w:tcPr>
          <w:p>
            <w:pPr>
              <w:ind w:left="1800"/>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(641) 585-3535</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18,780,709 shares of $.50 par value common stock outstanding on January 14,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000" w:type="dxa"/>
            <w:vAlign w:val="bottom"/>
          </w:tcPr>
          <w:p>
            <w:pPr>
              <w:ind w:left="1100"/>
              <w:spacing w:after="0"/>
              <w:rPr>
                <w:sz w:val="20"/>
                <w:szCs w:val="20"/>
                <w:color w:val="auto"/>
              </w:rPr>
            </w:pPr>
            <w:r>
              <w:rPr>
                <w:rFonts w:ascii="Courier New" w:cs="Courier New" w:eastAsia="Courier New" w:hAnsi="Courier New"/>
                <w:sz w:val="18"/>
                <w:szCs w:val="18"/>
                <w:color w:val="auto"/>
              </w:rPr>
              <w:t>WINNEBAGO INDUSTRIES, INC. AND SUBSIDIARIES</w:t>
            </w:r>
          </w:p>
        </w:tc>
        <w:tc>
          <w:tcPr>
            <w:tcW w:w="154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6000" w:type="dxa"/>
            <w:vAlign w:val="bottom"/>
          </w:tcPr>
          <w:p>
            <w:pPr>
              <w:ind w:left="1840"/>
              <w:spacing w:after="0"/>
              <w:rPr>
                <w:sz w:val="20"/>
                <w:szCs w:val="20"/>
                <w:color w:val="auto"/>
              </w:rPr>
            </w:pPr>
            <w:r>
              <w:rPr>
                <w:rFonts w:ascii="Courier New" w:cs="Courier New" w:eastAsia="Courier New" w:hAnsi="Courier New"/>
                <w:sz w:val="18"/>
                <w:szCs w:val="18"/>
                <w:color w:val="auto"/>
              </w:rPr>
              <w:t>INDEX TO REPORT ON FORM 10-Q</w:t>
            </w:r>
          </w:p>
        </w:tc>
        <w:tc>
          <w:tcPr>
            <w:tcW w:w="154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Page Number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rPr>
              <w:t>Item I.   Unaudited Consolidated Balance Sheets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 &amp; 2</w:t>
            </w:r>
          </w:p>
        </w:tc>
      </w:tr>
      <w:tr>
        <w:trPr>
          <w:trHeight w:val="405"/>
        </w:trPr>
        <w:tc>
          <w:tcPr>
            <w:tcW w:w="9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Unaudited Consolidated Statements of Income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9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Unaudited Condensed Consolidated Statements of Cash</w:t>
            </w:r>
          </w:p>
        </w:tc>
        <w:tc>
          <w:tcPr>
            <w:tcW w:w="15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Flows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9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Unaudited Notes to Condensed Consolidated Financial</w:t>
            </w:r>
          </w:p>
        </w:tc>
        <w:tc>
          <w:tcPr>
            <w:tcW w:w="15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Statements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5 - 8</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15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9 - 11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Quantities and Qualitative Disclosures About Market</w:t>
            </w:r>
          </w:p>
        </w:tc>
        <w:tc>
          <w:tcPr>
            <w:tcW w:w="15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Risk</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Controls and Procedures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Courier New" w:cs="Courier New" w:eastAsia="Courier New" w:hAnsi="Courier New"/>
                <w:sz w:val="18"/>
                <w:szCs w:val="18"/>
                <w:color w:val="auto"/>
              </w:rPr>
              <w:t>Independent Accountants' Report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PART II.</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13 - 16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Exhibits and Reports on Form 8-K</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NOVEMBER 30,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31,</w:t>
            </w:r>
          </w:p>
        </w:tc>
      </w:tr>
      <w:tr>
        <w:trPr>
          <w:trHeight w:val="203"/>
        </w:trPr>
        <w:tc>
          <w:tcPr>
            <w:tcW w:w="58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2002</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$ 66,084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$ 42,225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($192 and $120, respectively)</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22,426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28,616</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($109 and $96, respectively)</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43,038</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37,880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104,859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7,633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6,907</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248,601</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233,596</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52,426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47,953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89,185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86,744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5,612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5,641</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148,246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141,310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93,970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92,383</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54,276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48,927</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23,586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23,602</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23,024</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22,438</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9,765</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8,514</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$359,252</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$337,077</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NOVEMBER 30,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31,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2002</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$ 37,408</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$ 44,230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5,967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8,749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8,151</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14,156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18,673</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6,137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4,499</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4,476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4,471</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90,336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88,601</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70,367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68,661</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25,888,000 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12,944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12,944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25,941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25,740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301,127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284,856</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340,012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323,540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141,463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143,725</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198,549</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179,815</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$359,252</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$337,077</w:t>
            </w:r>
          </w:p>
        </w:tc>
      </w:tr>
      <w:tr>
        <w:trPr>
          <w:trHeight w:val="203"/>
        </w:trPr>
        <w:tc>
          <w:tcPr>
            <w:tcW w:w="5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779"/>
        <w:spacing w:after="0" w:line="292"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INCOME ================================================================================</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THIRTEEN WEEKS</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FOURTEEN WEEKS</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w:t>
            </w:r>
          </w:p>
        </w:tc>
        <w:tc>
          <w:tcPr>
            <w:tcW w:w="78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NOVEMBER 30,</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1,</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2002</w:t>
            </w:r>
          </w:p>
        </w:tc>
        <w:tc>
          <w:tcPr>
            <w:tcW w:w="78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16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$234,089</w:t>
            </w:r>
          </w:p>
        </w:tc>
        <w:tc>
          <w:tcPr>
            <w:tcW w:w="18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$177,802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w w:val="95"/>
              </w:rPr>
              <w:t>198,275</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153,570</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35,814</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24,232</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4,687</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4,817</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5,137</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4,104</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9,824</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8,921</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2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25,990</w:t>
            </w:r>
          </w:p>
        </w:tc>
        <w:tc>
          <w:tcPr>
            <w:tcW w:w="7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15,311</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62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181</w:t>
            </w:r>
          </w:p>
        </w:tc>
        <w:tc>
          <w:tcPr>
            <w:tcW w:w="7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892</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Pre-tax income</w:t>
            </w:r>
          </w:p>
        </w:tc>
        <w:tc>
          <w:tcPr>
            <w:tcW w:w="62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26,171</w:t>
            </w:r>
          </w:p>
        </w:tc>
        <w:tc>
          <w:tcPr>
            <w:tcW w:w="7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16,203</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62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9,893</w:t>
            </w:r>
          </w:p>
        </w:tc>
        <w:tc>
          <w:tcPr>
            <w:tcW w:w="7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5,493</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$ 16,278</w:t>
            </w:r>
          </w:p>
        </w:tc>
        <w:tc>
          <w:tcPr>
            <w:tcW w:w="18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$ 10,710</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per share-basic (Note 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.87</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per share-diluted (Note 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.85</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shares of common stock</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18,719</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20,674</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62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19,107</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21,103</w:t>
            </w:r>
          </w:p>
        </w:tc>
      </w:tr>
      <w:tr>
        <w:trPr>
          <w:trHeight w:val="203"/>
        </w:trPr>
        <w:tc>
          <w:tcPr>
            <w:tcW w:w="4440" w:type="dxa"/>
            <w:vAlign w:val="bottom"/>
          </w:tcPr>
          <w:p>
            <w:pPr>
              <w:spacing w:after="0"/>
              <w:rPr>
                <w:sz w:val="17"/>
                <w:szCs w:val="17"/>
                <w:color w:val="auto"/>
              </w:rPr>
            </w:pP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Notes to Condensed Consolidated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5" w:name="page6"/>
    <w:bookmarkEnd w:id="5"/>
    <w:p>
      <w:pPr>
        <w:jc w:val="center"/>
        <w:ind w:right="20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2000"/>
        <w:spacing w:after="0" w:line="238" w:lineRule="auto"/>
        <w:rPr>
          <w:sz w:val="20"/>
          <w:szCs w:val="20"/>
          <w:color w:val="auto"/>
        </w:rPr>
      </w:pPr>
      <w:r>
        <w:rPr>
          <w:rFonts w:ascii="Courier New" w:cs="Courier New" w:eastAsia="Courier New" w:hAnsi="Courier New"/>
          <w:sz w:val="18"/>
          <w:szCs w:val="18"/>
          <w:color w:val="auto"/>
        </w:rPr>
        <w:t>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7"/>
              </w:rPr>
              <w:t>THIRTEEN</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FOURTEEN</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WEEKS ENDED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NOVEMBER 30,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1,</w:t>
            </w:r>
          </w:p>
        </w:tc>
      </w:tr>
      <w:tr>
        <w:trPr>
          <w:trHeight w:val="203"/>
        </w:trPr>
        <w:tc>
          <w:tcPr>
            <w:tcW w:w="7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rPr>
              <w:t>2002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16,278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10,710</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1,961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benefit of stock options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1,679</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receivable and other assets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5,955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8,884</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8,795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accounts payable and accrued</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(13,757)</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10,595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3,756</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1,568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1,825</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35,480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13,428</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(7,359)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(1,671)</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(27,296)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(16,958)</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22,125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21,730</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Net cash (used) provided by investing activities</w:t>
            </w:r>
          </w:p>
        </w:tc>
        <w:tc>
          <w:tcPr>
            <w:tcW w:w="58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(13,527)</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2,158</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(4,078)</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1,906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1,706</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financing activities and</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1,906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(2,372)</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23,859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13,214</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58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42,225</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102,280</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66,084</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$ 115,494</w:t>
            </w:r>
          </w:p>
        </w:tc>
      </w:tr>
      <w:tr>
        <w:trPr>
          <w:trHeight w:val="203"/>
        </w:trPr>
        <w:tc>
          <w:tcPr>
            <w:tcW w:w="712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540"/>
          </w:cols>
          <w:pgMar w:left="240" w:top="919" w:right="1119" w:bottom="1440" w:gutter="0" w:footer="0" w:header="0"/>
        </w:sectPr>
      </w:pPr>
    </w:p>
    <w:bookmarkStart w:id="6" w:name="page7"/>
    <w:bookmarkEnd w:id="6"/>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November 30, 2002, the consolidated results of operations and the consolidated cash flows for the 13 weeks ended November 30, 2002 and the 14 weeks ended December 1, 2001. The statement of income for the 13 weeks ended November 30, 2002, is not necessarily indicative of the results to be expected for the full year. The balance sheet data as of August 31, 2002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31, 2002.</w:t>
      </w:r>
    </w:p>
    <w:p>
      <w:pPr>
        <w:spacing w:after="0" w:line="388" w:lineRule="exact"/>
        <w:rPr>
          <w:sz w:val="20"/>
          <w:szCs w:val="20"/>
          <w:color w:val="auto"/>
        </w:rPr>
      </w:pPr>
    </w:p>
    <w:p>
      <w:pPr>
        <w:ind w:left="540" w:right="2519"/>
        <w:spacing w:after="0" w:line="236" w:lineRule="auto"/>
        <w:rPr>
          <w:sz w:val="20"/>
          <w:szCs w:val="20"/>
          <w:color w:val="auto"/>
        </w:rPr>
      </w:pPr>
      <w:r>
        <w:rPr>
          <w:rFonts w:ascii="Courier New" w:cs="Courier New" w:eastAsia="Courier New" w:hAnsi="Courier New"/>
          <w:sz w:val="18"/>
          <w:szCs w:val="18"/>
          <w:color w:val="auto"/>
        </w:rPr>
        <w:t>Certain prior year balances have been reclassified to conform to the current year presentation. These reclassifications had no impact on previously reported net income.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NEW ACCOUNTING PRONOUNCEMENTS</w:t>
      </w:r>
    </w:p>
    <w:p>
      <w:pPr>
        <w:spacing w:after="0" w:line="207" w:lineRule="exact"/>
        <w:rPr>
          <w:sz w:val="20"/>
          <w:szCs w:val="20"/>
          <w:color w:val="auto"/>
        </w:rPr>
      </w:pPr>
    </w:p>
    <w:p>
      <w:pPr>
        <w:ind w:left="540" w:right="1879"/>
        <w:spacing w:after="0" w:line="268" w:lineRule="auto"/>
        <w:rPr>
          <w:sz w:val="20"/>
          <w:szCs w:val="20"/>
          <w:color w:val="auto"/>
        </w:rPr>
      </w:pPr>
      <w:r>
        <w:rPr>
          <w:rFonts w:ascii="Courier New" w:cs="Courier New" w:eastAsia="Courier New" w:hAnsi="Courier New"/>
          <w:sz w:val="16"/>
          <w:szCs w:val="16"/>
          <w:color w:val="auto"/>
        </w:rPr>
        <w:t>The Company adopted Emerging Issues Task Force (EITF) Issue No. 01-9, Accounting for Consideration Given by a Vendor to a Customer or a Reseller of the Vendor's Products, at the beginning of the third quarter of fiscal 2002. This guidance was effective for periods beginning after December 5,</w:t>
      </w:r>
    </w:p>
    <w:p>
      <w:pPr>
        <w:spacing w:after="0" w:line="1" w:lineRule="exact"/>
        <w:rPr>
          <w:sz w:val="20"/>
          <w:szCs w:val="20"/>
          <w:color w:val="auto"/>
        </w:rPr>
      </w:pPr>
    </w:p>
    <w:p>
      <w:pPr>
        <w:ind w:left="540" w:right="1999"/>
        <w:spacing w:after="0" w:line="273" w:lineRule="auto"/>
        <w:rPr>
          <w:sz w:val="20"/>
          <w:szCs w:val="20"/>
          <w:color w:val="auto"/>
        </w:rPr>
      </w:pPr>
      <w:r>
        <w:rPr>
          <w:rFonts w:ascii="Courier New" w:cs="Courier New" w:eastAsia="Courier New" w:hAnsi="Courier New"/>
          <w:sz w:val="16"/>
          <w:szCs w:val="16"/>
          <w:color w:val="auto"/>
        </w:rPr>
        <w:t>2001. EITF No. 01-9 requires that certain payments to customers for cooperative advertising and certain sales incentive offers that were historically classified in selling expense be shown as a reduction in net revenues. The adoption of this new accounting policy had no impact on previously reported operating income, net income, or earnings per share.</w:t>
      </w:r>
    </w:p>
    <w:p>
      <w:pPr>
        <w:spacing w:after="0" w:line="185"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July 2002, the FASB issued SFAS No. 146, Accounting for Costs Associated with Exit or Disposal Activities. This standard reviews the accounting for certain exit costs and disposal activities currently set forth in EITF Issue No. 94-3, Liability Recognition for Certain Employee Termination Benefits and Other Costs to Exit an Activity (including Certain Costs Incurred in a Restructuring). The principal change of the new statement is that it now requires that a liability for a cost associated with an exit or disposal activity be recognized when the liability is incurred versus the date of commitment to an exit plan. This statement is effective for exit and disposal activities initiated after December 31, 2002. The Company does not believe adoption of this standard will significantly affect the Company's financial condition or operating results.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INVENTORIES</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8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November 30,</w:t>
            </w:r>
          </w:p>
        </w:tc>
        <w:tc>
          <w:tcPr>
            <w:tcW w:w="14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2002</w:t>
            </w:r>
          </w:p>
        </w:tc>
        <w:tc>
          <w:tcPr>
            <w:tcW w:w="4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10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42,198</w:t>
            </w: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48,037</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4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30,242</w:t>
            </w:r>
          </w:p>
        </w:tc>
        <w:tc>
          <w:tcPr>
            <w:tcW w:w="4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26,995</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4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56,359</w:t>
            </w:r>
          </w:p>
        </w:tc>
        <w:tc>
          <w:tcPr>
            <w:tcW w:w="4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62,194</w:t>
            </w:r>
          </w:p>
        </w:tc>
      </w:tr>
      <w:tr>
        <w:trPr>
          <w:trHeight w:val="203"/>
        </w:trPr>
        <w:tc>
          <w:tcPr>
            <w:tcW w:w="310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128,799</w:t>
            </w:r>
          </w:p>
        </w:tc>
        <w:tc>
          <w:tcPr>
            <w:tcW w:w="4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137,226</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4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(23,940)</w:t>
            </w: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(23,572)</w:t>
            </w:r>
          </w:p>
        </w:tc>
      </w:tr>
      <w:tr>
        <w:trPr>
          <w:trHeight w:val="203"/>
        </w:trPr>
        <w:tc>
          <w:tcPr>
            <w:tcW w:w="310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104,859</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310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73"/>
              </w:rPr>
              <w:t>5</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91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 4: CONTINGENT LIABILITIES AND COMMITMENTS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customary practice for companies in the recreation vehicle industry</w:t>
      </w:r>
    </w:p>
    <w:p>
      <w:pPr>
        <w:ind w:left="540"/>
        <w:spacing w:after="0" w:line="238" w:lineRule="auto"/>
        <w:rPr>
          <w:sz w:val="20"/>
          <w:szCs w:val="20"/>
          <w:color w:val="auto"/>
        </w:rPr>
      </w:pPr>
      <w:r>
        <w:rPr>
          <w:rFonts w:ascii="Courier New" w:cs="Courier New" w:eastAsia="Courier New" w:hAnsi="Courier New"/>
          <w:sz w:val="18"/>
          <w:szCs w:val="18"/>
          <w:color w:val="auto"/>
        </w:rPr>
        <w:t>to enter into repurchase agreements with lending institutions which have</w:t>
      </w:r>
    </w:p>
    <w:p>
      <w:pPr>
        <w:ind w:left="540"/>
        <w:spacing w:after="0"/>
        <w:rPr>
          <w:sz w:val="20"/>
          <w:szCs w:val="20"/>
          <w:color w:val="auto"/>
        </w:rPr>
      </w:pPr>
      <w:r>
        <w:rPr>
          <w:rFonts w:ascii="Courier New" w:cs="Courier New" w:eastAsia="Courier New" w:hAnsi="Courier New"/>
          <w:sz w:val="18"/>
          <w:szCs w:val="18"/>
          <w:color w:val="auto"/>
        </w:rPr>
        <w:t>provided wholesale floor plan financing to dealers. The Company's</w:t>
      </w:r>
    </w:p>
    <w:p>
      <w:pPr>
        <w:ind w:left="540"/>
        <w:spacing w:after="0" w:line="237" w:lineRule="auto"/>
        <w:rPr>
          <w:sz w:val="20"/>
          <w:szCs w:val="20"/>
          <w:color w:val="auto"/>
        </w:rPr>
      </w:pPr>
      <w:r>
        <w:rPr>
          <w:rFonts w:ascii="Courier New" w:cs="Courier New" w:eastAsia="Courier New" w:hAnsi="Courier New"/>
          <w:sz w:val="18"/>
          <w:szCs w:val="18"/>
          <w:color w:val="auto"/>
        </w:rPr>
        <w:t>agreements provide for the repurchase of its products from the financing</w:t>
      </w:r>
    </w:p>
    <w:p>
      <w:pPr>
        <w:ind w:left="540"/>
        <w:spacing w:after="0" w:line="238" w:lineRule="auto"/>
        <w:rPr>
          <w:sz w:val="20"/>
          <w:szCs w:val="20"/>
          <w:color w:val="auto"/>
        </w:rPr>
      </w:pPr>
      <w:r>
        <w:rPr>
          <w:rFonts w:ascii="Courier New" w:cs="Courier New" w:eastAsia="Courier New" w:hAnsi="Courier New"/>
          <w:sz w:val="18"/>
          <w:szCs w:val="18"/>
          <w:color w:val="auto"/>
        </w:rPr>
        <w:t>institution in the event of repossession upon a dealer's default. The</w:t>
      </w:r>
    </w:p>
    <w:p>
      <w:pPr>
        <w:ind w:left="540"/>
        <w:spacing w:after="0"/>
        <w:rPr>
          <w:sz w:val="20"/>
          <w:szCs w:val="20"/>
          <w:color w:val="auto"/>
        </w:rPr>
      </w:pPr>
      <w:r>
        <w:rPr>
          <w:rFonts w:ascii="Courier New" w:cs="Courier New" w:eastAsia="Courier New" w:hAnsi="Courier New"/>
          <w:sz w:val="18"/>
          <w:szCs w:val="18"/>
          <w:color w:val="auto"/>
        </w:rPr>
        <w:t>Company was contingently liable for approximately $303,973,000 and</w:t>
      </w:r>
    </w:p>
    <w:p>
      <w:pPr>
        <w:ind w:left="540"/>
        <w:spacing w:after="0" w:line="237" w:lineRule="auto"/>
        <w:rPr>
          <w:sz w:val="20"/>
          <w:szCs w:val="20"/>
          <w:color w:val="auto"/>
        </w:rPr>
      </w:pPr>
      <w:r>
        <w:rPr>
          <w:rFonts w:ascii="Courier New" w:cs="Courier New" w:eastAsia="Courier New" w:hAnsi="Courier New"/>
          <w:sz w:val="18"/>
          <w:szCs w:val="18"/>
          <w:color w:val="auto"/>
        </w:rPr>
        <w:t>$245,828,000 under repurchase agreements with lending institutions as of</w:t>
      </w:r>
    </w:p>
    <w:p>
      <w:pPr>
        <w:ind w:left="540"/>
        <w:spacing w:after="0"/>
        <w:rPr>
          <w:sz w:val="20"/>
          <w:szCs w:val="20"/>
          <w:color w:val="auto"/>
        </w:rPr>
      </w:pPr>
      <w:r>
        <w:rPr>
          <w:rFonts w:ascii="Courier New" w:cs="Courier New" w:eastAsia="Courier New" w:hAnsi="Courier New"/>
          <w:sz w:val="18"/>
          <w:szCs w:val="18"/>
          <w:color w:val="auto"/>
        </w:rPr>
        <w:t>November 30, 2002 and August 31, 2002, respectively. Included in these</w:t>
      </w:r>
    </w:p>
    <w:p>
      <w:pPr>
        <w:ind w:left="540"/>
        <w:spacing w:after="0" w:line="237" w:lineRule="auto"/>
        <w:rPr>
          <w:sz w:val="20"/>
          <w:szCs w:val="20"/>
          <w:color w:val="auto"/>
        </w:rPr>
      </w:pPr>
      <w:r>
        <w:rPr>
          <w:rFonts w:ascii="Courier New" w:cs="Courier New" w:eastAsia="Courier New" w:hAnsi="Courier New"/>
          <w:sz w:val="18"/>
          <w:szCs w:val="18"/>
          <w:color w:val="auto"/>
        </w:rPr>
        <w:t>contingent liabilities as of November 30, 2002 and August 31, 2002 are</w:t>
      </w:r>
    </w:p>
    <w:p>
      <w:pPr>
        <w:ind w:left="540"/>
        <w:spacing w:after="0"/>
        <w:rPr>
          <w:sz w:val="20"/>
          <w:szCs w:val="20"/>
          <w:color w:val="auto"/>
        </w:rPr>
      </w:pPr>
      <w:r>
        <w:rPr>
          <w:rFonts w:ascii="Courier New" w:cs="Courier New" w:eastAsia="Courier New" w:hAnsi="Courier New"/>
          <w:sz w:val="18"/>
          <w:szCs w:val="18"/>
          <w:color w:val="auto"/>
        </w:rPr>
        <w:t>approximately $615,000 and $1,049,000, respectively, of certain dealer</w:t>
      </w:r>
    </w:p>
    <w:p>
      <w:pPr>
        <w:ind w:left="540"/>
        <w:spacing w:after="0" w:line="237" w:lineRule="auto"/>
        <w:rPr>
          <w:sz w:val="20"/>
          <w:szCs w:val="20"/>
          <w:color w:val="auto"/>
        </w:rPr>
      </w:pPr>
      <w:r>
        <w:rPr>
          <w:rFonts w:ascii="Courier New" w:cs="Courier New" w:eastAsia="Courier New" w:hAnsi="Courier New"/>
          <w:sz w:val="18"/>
          <w:szCs w:val="18"/>
          <w:color w:val="auto"/>
        </w:rPr>
        <w:t>receivables subject to recourse agreements with Bank of America Specialty</w:t>
      </w:r>
    </w:p>
    <w:p>
      <w:pPr>
        <w:ind w:left="540"/>
        <w:spacing w:after="0" w:line="238" w:lineRule="auto"/>
        <w:rPr>
          <w:sz w:val="20"/>
          <w:szCs w:val="20"/>
          <w:color w:val="auto"/>
        </w:rPr>
      </w:pPr>
      <w:r>
        <w:rPr>
          <w:rFonts w:ascii="Courier New" w:cs="Courier New" w:eastAsia="Courier New" w:hAnsi="Courier New"/>
          <w:sz w:val="18"/>
          <w:szCs w:val="18"/>
          <w:color w:val="auto"/>
        </w:rPr>
        <w:t>Group. Also included in these contingent liabilities are approximately</w:t>
      </w:r>
    </w:p>
    <w:p>
      <w:pPr>
        <w:ind w:left="540"/>
        <w:spacing w:after="0"/>
        <w:rPr>
          <w:sz w:val="20"/>
          <w:szCs w:val="20"/>
          <w:color w:val="auto"/>
        </w:rPr>
      </w:pPr>
      <w:r>
        <w:rPr>
          <w:rFonts w:ascii="Courier New" w:cs="Courier New" w:eastAsia="Courier New" w:hAnsi="Courier New"/>
          <w:sz w:val="18"/>
          <w:szCs w:val="18"/>
          <w:color w:val="auto"/>
        </w:rPr>
        <w:t>$1,608,000 and $1,698,000 under a repurchase agreement with Transamerica</w:t>
      </w:r>
    </w:p>
    <w:p>
      <w:pPr>
        <w:ind w:left="540"/>
        <w:spacing w:after="0" w:line="237" w:lineRule="auto"/>
        <w:rPr>
          <w:sz w:val="20"/>
          <w:szCs w:val="20"/>
          <w:color w:val="auto"/>
        </w:rPr>
      </w:pPr>
      <w:r>
        <w:rPr>
          <w:rFonts w:ascii="Courier New" w:cs="Courier New" w:eastAsia="Courier New" w:hAnsi="Courier New"/>
          <w:sz w:val="18"/>
          <w:szCs w:val="18"/>
          <w:color w:val="auto"/>
        </w:rPr>
        <w:t>Commercial Finance Corporation, Canada as of November 30, 2002 and August</w:t>
      </w:r>
    </w:p>
    <w:p>
      <w:pPr>
        <w:ind w:left="540"/>
        <w:spacing w:after="0"/>
        <w:rPr>
          <w:sz w:val="20"/>
          <w:szCs w:val="20"/>
          <w:color w:val="auto"/>
        </w:rPr>
      </w:pPr>
      <w:r>
        <w:rPr>
          <w:rFonts w:ascii="Courier New" w:cs="Courier New" w:eastAsia="Courier New" w:hAnsi="Courier New"/>
          <w:sz w:val="18"/>
          <w:szCs w:val="18"/>
          <w:color w:val="auto"/>
        </w:rPr>
        <w:t>31, 2002,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SUPPLEMENTAL CASH FLOW DISCLOSURE</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For the periods indicated, the Company paid cash for the following (dollars in thousands):</w:t>
      </w:r>
    </w:p>
    <w:p>
      <w:pPr>
        <w:spacing w:after="0" w:line="203"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Thirteen Weeks</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Fourteen Weeks</w:t>
            </w:r>
          </w:p>
        </w:tc>
      </w:tr>
      <w:tr>
        <w:trPr>
          <w:trHeight w:val="203"/>
        </w:trPr>
        <w:tc>
          <w:tcPr>
            <w:tcW w:w="1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1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November</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1,</w:t>
            </w:r>
          </w:p>
        </w:tc>
      </w:tr>
      <w:tr>
        <w:trPr>
          <w:trHeight w:val="203"/>
        </w:trPr>
        <w:tc>
          <w:tcPr>
            <w:tcW w:w="1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640" w:type="dxa"/>
            <w:vAlign w:val="bottom"/>
          </w:tcPr>
          <w:p>
            <w:pPr>
              <w:spacing w:after="0"/>
              <w:rPr>
                <w:sz w:val="17"/>
                <w:szCs w:val="17"/>
                <w:color w:val="auto"/>
              </w:rPr>
            </w:pPr>
          </w:p>
        </w:tc>
        <w:tc>
          <w:tcPr>
            <w:tcW w:w="1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spacing w:after="0"/>
              <w:rPr>
                <w:sz w:val="17"/>
                <w:szCs w:val="17"/>
                <w:color w:val="auto"/>
              </w:rPr>
            </w:pP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During the first quarters of fiscal 2003 and 2002, the Company did not pay any interest expense or any income taxes.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DIVIDEND DECLARED</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On October 9, 2002 the Board of Directors declared a cash dividend of $.10 per common share payable January 6, 2003 to shareholders of record on December 6,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REPURCHASE OF OUTSTANDING STOCK</w:t>
      </w:r>
    </w:p>
    <w:p>
      <w:pPr>
        <w:spacing w:after="0" w:line="207" w:lineRule="exact"/>
        <w:rPr>
          <w:sz w:val="20"/>
          <w:szCs w:val="20"/>
          <w:color w:val="auto"/>
        </w:rPr>
      </w:pPr>
    </w:p>
    <w:p>
      <w:pPr>
        <w:ind w:left="540" w:right="2199"/>
        <w:spacing w:after="0" w:line="273" w:lineRule="auto"/>
        <w:rPr>
          <w:sz w:val="20"/>
          <w:szCs w:val="20"/>
          <w:color w:val="auto"/>
        </w:rPr>
      </w:pPr>
      <w:r>
        <w:rPr>
          <w:rFonts w:ascii="Courier New" w:cs="Courier New" w:eastAsia="Courier New" w:hAnsi="Courier New"/>
          <w:sz w:val="16"/>
          <w:szCs w:val="16"/>
          <w:color w:val="auto"/>
        </w:rPr>
        <w:t>On June 19, 2002, the Board of Directors authorized the repurchase of outstanding shares of the Company's common stock, depending on market conditions, for an aggregate purchase price of up to $15,000,000. As of November 30, 2002, 119,900 shares had been repurchased for an aggregate consideration of approximately $4,294,000 under this authorization.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NOTE 8: INCOME PER SHARE</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following table reflects the calculation of basic and diluted earnings per share for the 13 and 14 weeks ended November 30, 2002 and December 1, 2001:</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900" w:type="dxa"/>
            <w:vAlign w:val="bottom"/>
            <w:gridSpan w:val="2"/>
          </w:tcPr>
          <w:p>
            <w:pPr>
              <w:jc w:val="center"/>
              <w:ind w:left="112"/>
              <w:spacing w:after="0"/>
              <w:rPr>
                <w:sz w:val="20"/>
                <w:szCs w:val="20"/>
                <w:color w:val="auto"/>
              </w:rPr>
            </w:pPr>
            <w:r>
              <w:rPr>
                <w:rFonts w:ascii="Courier New" w:cs="Courier New" w:eastAsia="Courier New" w:hAnsi="Courier New"/>
                <w:sz w:val="18"/>
                <w:szCs w:val="18"/>
                <w:color w:val="auto"/>
                <w:w w:val="96"/>
              </w:rPr>
              <w:t>Thirteen Weeks</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Fourteen Weeks</w:t>
            </w:r>
          </w:p>
        </w:tc>
      </w:tr>
      <w:tr>
        <w:trPr>
          <w:trHeight w:val="203"/>
        </w:trPr>
        <w:tc>
          <w:tcPr>
            <w:tcW w:w="4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Ended</w:t>
            </w:r>
          </w:p>
        </w:tc>
        <w:tc>
          <w:tcPr>
            <w:tcW w:w="4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November 30,</w:t>
            </w:r>
          </w:p>
        </w:tc>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1,</w:t>
            </w:r>
          </w:p>
        </w:tc>
      </w:tr>
      <w:tr>
        <w:trPr>
          <w:trHeight w:val="203"/>
        </w:trPr>
        <w:tc>
          <w:tcPr>
            <w:tcW w:w="4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2002</w:t>
            </w:r>
          </w:p>
        </w:tc>
        <w:tc>
          <w:tcPr>
            <w:tcW w:w="4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16,278</w:t>
            </w:r>
          </w:p>
        </w:tc>
        <w:tc>
          <w:tcPr>
            <w:tcW w:w="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10,710</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18,719</w:t>
            </w:r>
          </w:p>
        </w:tc>
        <w:tc>
          <w:tcPr>
            <w:tcW w:w="4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20,674</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c>
          <w:tcPr>
            <w:tcW w:w="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16,278</w:t>
            </w:r>
          </w:p>
        </w:tc>
        <w:tc>
          <w:tcPr>
            <w:tcW w:w="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10,710</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18,719</w:t>
            </w:r>
          </w:p>
        </w:tc>
        <w:tc>
          <w:tcPr>
            <w:tcW w:w="4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20,674</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388</w:t>
            </w:r>
          </w:p>
        </w:tc>
        <w:tc>
          <w:tcPr>
            <w:tcW w:w="4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429</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19,107</w:t>
            </w:r>
          </w:p>
        </w:tc>
        <w:tc>
          <w:tcPr>
            <w:tcW w:w="4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21,103</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4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For the 13 weeks ended November 30, 2002 and the 14 weeks ended December 1, 2001, all options were included in the computation of diluted earnings per share because no options' exercise price was greater than the average market price of the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BUSINESS SEGMENT INFORMATION</w:t>
      </w:r>
    </w:p>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 segment's measure of profit or loss when evaluating a segment's financial performance. Operating income for recreational vehicles and other manufactured products is before interest expense, interest income, and income taxes. Operating income for dealer financing includes interest income and interest expense, but is before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includes interest income and administrative and miscellaneous costs. Inter-segment sales and expenses are not significant.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9" w:name="page10"/>
    <w:bookmarkEnd w:id="9"/>
    <w:p>
      <w:pPr>
        <w:ind w:right="2420"/>
        <w:spacing w:after="0" w:line="235" w:lineRule="auto"/>
        <w:rPr>
          <w:sz w:val="20"/>
          <w:szCs w:val="20"/>
          <w:color w:val="auto"/>
        </w:rPr>
      </w:pPr>
      <w:r>
        <w:rPr>
          <w:rFonts w:ascii="Courier New" w:cs="Courier New" w:eastAsia="Courier New" w:hAnsi="Courier New"/>
          <w:sz w:val="18"/>
          <w:szCs w:val="18"/>
          <w:color w:val="auto"/>
        </w:rPr>
        <w:t>For the 13 weeks ended November 30, 2002 and the 14 weeks ended December 1, 2001, the Company's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RECREATION VEHICLES &amp;</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OTHER MANUFACTURED</w:t>
            </w:r>
          </w:p>
        </w:tc>
        <w:tc>
          <w:tcPr>
            <w:tcW w:w="2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DEALER</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GENERAL</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23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PRODUCTS</w:t>
            </w:r>
          </w:p>
        </w:tc>
        <w:tc>
          <w:tcPr>
            <w:tcW w:w="13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FINANCING</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3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6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13 Weeks Ended November 30, 2002</w:t>
            </w: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$ 233,347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742</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234,089</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25,433</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25,990</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215,666</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43,311</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100,275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359,252</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14 Weeks Ended December 1, 2001</w:t>
            </w: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$ 176,857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945</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177,802</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14,674</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384</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15,311</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2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170,266</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35,838</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147,427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353,531</w:t>
            </w:r>
          </w:p>
        </w:tc>
      </w:tr>
    </w:tbl>
    <w:p>
      <w:pPr>
        <w:spacing w:after="0" w:line="200" w:lineRule="exact"/>
        <w:rPr>
          <w:sz w:val="20"/>
          <w:szCs w:val="20"/>
          <w:color w:val="auto"/>
        </w:rPr>
      </w:pPr>
    </w:p>
    <w:p>
      <w:pPr>
        <w:spacing w:after="0" w:line="209" w:lineRule="exact"/>
        <w:rPr>
          <w:sz w:val="20"/>
          <w:szCs w:val="20"/>
          <w:color w:val="auto"/>
        </w:rPr>
      </w:pPr>
    </w:p>
    <w:p>
      <w:pPr>
        <w:ind w:right="2520"/>
        <w:spacing w:after="0" w:line="235" w:lineRule="auto"/>
        <w:rPr>
          <w:sz w:val="20"/>
          <w:szCs w:val="20"/>
          <w:color w:val="auto"/>
        </w:rPr>
      </w:pPr>
      <w:r>
        <w:rPr>
          <w:rFonts w:ascii="Courier New" w:cs="Courier New" w:eastAsia="Courier New" w:hAnsi="Courier New"/>
          <w:sz w:val="18"/>
          <w:szCs w:val="18"/>
          <w:color w:val="auto"/>
        </w:rPr>
        <w:t>Certain prior year information has been reclassified to conform to current year presentation.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320"/>
          </w:cols>
          <w:pgMar w:left="780" w:top="925" w:right="799" w:bottom="1440" w:gutter="0" w:footer="0" w:header="0"/>
        </w:sectPr>
      </w:pPr>
    </w:p>
    <w:bookmarkStart w:id="10" w:name="page11"/>
    <w:bookmarkEnd w:id="10"/>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of the matters discussed in this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 competitors, collections of dealer financing receivables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preparing the consolidated financial statements, we follow accounting principles generally accepted in the United States of America, which in many cases requires us to make assumptions, estimates and judgments that affect the amounts reported. There are some policies that are especially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offers to its customers a variety of warranties on its products ranging from 1 to 10 years in length. Estimated costs related to product warranty are accrued at the time of sale and included in cost of sales. Estimated costs are based upon past warranty claims and unit sales history and adjusted as required to reflect actual costs incurred, as information becomes available.</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has reserves for other loss exposures such as product liability, litigation and accounts receivable. The Company also has loss exposure on loan guarantees and repurchase agreements (see Note 4 of Unaudited Notes to Condensed Consolidated Financial Statements).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Thirteen Weeks Ended November 30, 2002 Compared to Fourteen Weeks Ended December 1, 2001</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revenues for recreation vehicle and other manufactured products for the 13 weeks ended November 30, 2002 were $233,347,000, an increase of $56,490,000, or 31.9 percent from the 14-week period ended December 1, 2001. Motor home unit sales (Class A and C) were 2,925 units, an increase of 608 units, or 26.2 percent, during the first quarter of fiscal 2003 compared to the first quarter of fiscal 2002. The percentage increase in net revenues for the first quarter of fiscal 2003 was greater than the percentage increase in motor home unit sales for that period as a result of the Company's sales of more units, as a percentage of the total unit sales, with the higher-priced slideout feature during the first quarter of fiscal 2003. The Company believes the increases and growth were the result of the excellent acceptance of the Company's new 2003 motor homes and the continued low interest rate environment.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Net revenues for dealer financing of Winnebago Acceptance Corporation (WAC) were $742,000 for the 13 weeks ended November 30, 2002; a decrease of $203,000 or</w:t>
      </w:r>
    </w:p>
    <w:p>
      <w:pPr>
        <w:ind w:right="1879"/>
        <w:spacing w:after="0" w:line="237" w:lineRule="auto"/>
        <w:rPr>
          <w:sz w:val="20"/>
          <w:szCs w:val="20"/>
          <w:color w:val="auto"/>
        </w:rPr>
      </w:pPr>
      <w:r>
        <w:rPr>
          <w:rFonts w:ascii="Courier New" w:cs="Courier New" w:eastAsia="Courier New" w:hAnsi="Courier New"/>
          <w:sz w:val="18"/>
          <w:szCs w:val="18"/>
          <w:color w:val="auto"/>
        </w:rPr>
        <w:t>21.5 percent from the 14-week period ended December 1, 2001. Decreased revenues for dealer financing reflect a significant decrease in interest rates partially offset by higher average outstanding dealer receivable balances when comparing the two periods.</w:t>
      </w:r>
    </w:p>
    <w:p>
      <w:pPr>
        <w:sectPr>
          <w:pgSz w:w="11900" w:h="16838" w:orient="portrait"/>
          <w:cols w:equalWidth="0" w:num="1">
            <w:col w:w="10219"/>
          </w:cols>
          <w:pgMar w:left="240" w:top="925" w:right="1440" w:bottom="0"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547"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15.3 percent for the 13 weeks ended November 30, 2002 compared to 13.6 percent for the 14 weeks ended December 1, 2001. The Company's higher margins were due primarily to increased volume of motor home production and deliveries to dealers.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expenses were $4,687,000 or 2.0 percent of net revenues during the first quarter of fiscal 2003 compared to $4,817,000 or 2.7 percent of net revenues during the first quarter of fiscal 2002. The decrease in dollars was caused primarily by reductions in advertising expenses during the first quarter of fiscal 2003. The increased sales volume caused the reduction in percentage during the first quarter of fiscal 2003.</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$5,137,000 or 2.2 percent of net revenues during the 13 weeks ended November 30, 2002 compared to $4,104,000 or 2.3 percent of net revenues during the 14 weeks ended December 1, 2001. The increase in dollars when comparing the two quarters was primarily due to increases in employee incentive programs during the first quarter of fiscal 2003. The slight decrease in percentage was caused by the increased sales volume during the first quarter of fiscal 2003.</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$181,000 for the first quarter of fiscal 2003 compared to net financial income of $892,000 for the comparable quarter of fiscal 2002. The decrease in interest income when comparing the two periods was due primarily to lower cash balances available for investing and, to a lesser degree, lower interest rates during the period ended November 30, 2002 than during the period ended December 1, 2001.</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increased to 37.8 percent during the first quarter of fiscal 2003 from 33.9 percent during the first quarter of fiscal 2002. The increase in the effective tax rate was caused primarily by losses in the Winnebago Health Care Management Company which are likely not deductible for tax purposes due to a change in the Company's tax planning, increased state taxes and a reduction of tax-free financial income during the first quarter of fiscal 2003.</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quarter of fiscal 2003, the Company had net income of $16,278,000, or $.85 per diluted share compared to the first quarter of fiscal 2002's net income of $10,710,000, or $.51 per diluted share. Net income and earnings per diluted share increased by 52.0 percent and 66.7 percent, respectively, when comparing the first quarter of fiscal 2003 to the first quarter of fiscal 2002. The differences in percentages when comparing net income to net earnings per share were primarily due to a lower number of outstanding shares of the Company's common stock during the 13 weeks ended November 30, 2002 due to the Company's repurchase of shares during fiscal 2002. (See Note 8 of the Unaudited Notes to Condensed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generally meets its working capital, capital equipment and cash requirements with funds generated from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November 30, 2002, working capital was $158,265,000, an increase of</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$13,270,000 from the amount at August 31, 2002. The Company's principal uses of cash during the 13 weeks ended November 30, 2002 were $7,359,000 for the purchase of property and equipment. The Company's sources and uses of cash during the 13 weeks ended November 30, 2002 are set forth in the unaudited consolidated condensed statement of cash flows for that period.</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Principal known demands at November 30, 2002 on the Company's liquid assets for the remainder of fiscal 2003 include capital expenditures of approximately $18,000,000 and the payments of cash dividends.</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OUTLOOK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Long-term demographics are favorable to the Company, as the target market of U.S. consumers age 50 and older is anticipated to nearly double within the next 30 years. Studies completed also found the age of people interested in purchasing recreation vehicles is expanding to include younger buyers as well as older buyers. Order backlog for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0" w:gutter="0" w:footer="0" w:header="0"/>
        </w:sectPr>
      </w:pPr>
    </w:p>
    <w:bookmarkStart w:id="13" w:name="page14"/>
    <w:bookmarkEnd w:id="13"/>
    <w:p>
      <w:pPr>
        <w:ind w:right="1779"/>
        <w:spacing w:after="0" w:line="271" w:lineRule="auto"/>
        <w:rPr>
          <w:sz w:val="20"/>
          <w:szCs w:val="20"/>
          <w:color w:val="auto"/>
        </w:rPr>
      </w:pPr>
      <w:r>
        <w:rPr>
          <w:rFonts w:ascii="Courier New" w:cs="Courier New" w:eastAsia="Courier New" w:hAnsi="Courier New"/>
          <w:sz w:val="16"/>
          <w:szCs w:val="16"/>
          <w:color w:val="auto"/>
        </w:rPr>
        <w:t>Company's Class A and Class C motor homes was 1,950 orders at November 30, 2002, an increase of 23.5 percent over sales order backlog of 1,579 at the end of the first quarter last year, but down from the 3,248 backlog reported on August 31, 2002.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November 30, 2002, the Company has an investment portfolio of fixed income securities, which are classified as cash and cash equivalents of $66,084,000, of which $63,400,000 are fixed income investments that are subject TO interest rate risk.</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of November 30, 2002, the Company had dealer-financing receivables in the amount of $43,038,000. Interest rates charged on these receivables vary based on the prime 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Within the 90-day period prior to the filing of this report, an evaluation was carried out under the supervision and with the participation of the Company's management, including our Chief Executive Officer and Chief Financial Officer, of the effectiveness of our disclosure controls and procedures (as defined in Rule 13a-14(c) and 15d-14(c) under the Securities Exchange Act of 1934). Based on their evaluation, our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these controls, including any corretive actions with regard to significant deficiencies and material weaknesses.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INDEPENDENT ACCOUNTANTS'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Forest City, Iowa</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reviewed the accompanying condensed consolidated balance sheet of Winnebago Industries, Inc. and subsidiaries (the Company) as of November 30, 2002, and the related condensed consolidated statements of income and cash flows for the 13-week and 14-week periods ended November 30, 2002 and December 1, 2001, respectively. These financial statements are the responsibility of the Company's management.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consolidated balance sheet of the Company as of August 31, 2002, and the related consolidated statements of income, stockholders' equity, and cash flows for the year then ended (not presented herein); and in our report dated October 4, 2002, we expressed an unqualified opinion on those consolidated financial statements. In our opinion, the information set forth in the accompanying condensed consolidated balance sheet as of August 31, 2002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December 16, 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There have been no further material developments regarding the purported class action suit titled Sanft, et al vs. Winnebago Industries, Inc. from that contained in our 2002 Annual Report on Form 10-K.</w:t>
      </w:r>
    </w:p>
    <w:p>
      <w:pPr>
        <w:spacing w:after="0" w:line="17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  906 certification.</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6" w:name="page17"/>
    <w:bookmarkEnd w:id="1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44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Date</w:t>
        <w:tab/>
        <w:t>January 14, 2003 ----------------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Bruce D. Hertzke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Chairman of the Board, Chief Executive Officer,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and President</w:t>
      </w:r>
    </w:p>
    <w:p>
      <w:pPr>
        <w:ind w:left="10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2660" w:space="720"/>
            <w:col w:w="683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left="540" w:right="44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Date</w:t>
        <w:tab/>
        <w:t>January 14, 2003 ----------------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Edwin F. Barker</w:t>
      </w:r>
    </w:p>
    <w:p>
      <w:pPr>
        <w:ind w:left="100"/>
        <w:spacing w:after="0" w:line="238" w:lineRule="auto"/>
        <w:rPr>
          <w:sz w:val="20"/>
          <w:szCs w:val="20"/>
          <w:color w:val="auto"/>
        </w:rPr>
      </w:pPr>
      <w:r>
        <w:rPr>
          <w:rFonts w:ascii="Courier New" w:cs="Courier New" w:eastAsia="Courier New" w:hAnsi="Courier New"/>
          <w:sz w:val="18"/>
          <w:szCs w:val="18"/>
          <w:color w:val="auto"/>
        </w:rPr>
        <w:t>Vice President - Chief Financial Officer</w:t>
      </w:r>
    </w:p>
    <w:p>
      <w:pPr>
        <w:ind w:left="10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2">
            <w:col w:w="2660" w:space="720"/>
            <w:col w:w="683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919" w:right="1440" w:bottom="1440" w:gutter="0" w:footer="0" w:header="0"/>
          <w:type w:val="continuous"/>
        </w:sectPr>
      </w:pPr>
    </w:p>
    <w:bookmarkStart w:id="17" w:name="page18"/>
    <w:bookmarkEnd w:id="17"/>
    <w:p>
      <w:pPr>
        <w:ind w:left="2120"/>
        <w:spacing w:after="0"/>
        <w:rPr>
          <w:sz w:val="20"/>
          <w:szCs w:val="20"/>
          <w:color w:val="auto"/>
        </w:rPr>
      </w:pPr>
      <w:r>
        <w:rPr>
          <w:rFonts w:ascii="Courier New" w:cs="Courier New" w:eastAsia="Courier New" w:hAnsi="Courier New"/>
          <w:sz w:val="18"/>
          <w:szCs w:val="18"/>
          <w:color w:val="auto"/>
        </w:rPr>
        <w:t>CERTIFICATION BY CHIEF EXECUTIVE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0" w:lineRule="exact"/>
        <w:rPr>
          <w:sz w:val="20"/>
          <w:szCs w:val="20"/>
          <w:color w:val="auto"/>
        </w:rPr>
      </w:pPr>
    </w:p>
    <w:p>
      <w:pPr>
        <w:spacing w:after="0" w:line="21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 Bruce D. Hertzke, Chief Executive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2120" w:right="1779" w:hanging="532"/>
        <w:spacing w:after="0" w:line="236" w:lineRule="auto"/>
        <w:tabs>
          <w:tab w:leader="none" w:pos="212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involved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14,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By: /s/ Bruce D. Hertzke</w:t>
      </w:r>
    </w:p>
    <w:p>
      <w:pPr>
        <w:spacing w:after="0" w:line="3"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Bruce D. Hertzke</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362" w:gutter="0" w:footer="0" w:header="0"/>
        </w:sectPr>
      </w:pPr>
    </w:p>
    <w:bookmarkStart w:id="18" w:name="page19"/>
    <w:bookmarkEnd w:id="18"/>
    <w:p>
      <w:pPr>
        <w:ind w:left="2120"/>
        <w:spacing w:after="0"/>
        <w:rPr>
          <w:sz w:val="20"/>
          <w:szCs w:val="20"/>
          <w:color w:val="auto"/>
        </w:rPr>
      </w:pPr>
      <w:r>
        <w:rPr>
          <w:rFonts w:ascii="Courier New" w:cs="Courier New" w:eastAsia="Courier New" w:hAnsi="Courier New"/>
          <w:sz w:val="18"/>
          <w:szCs w:val="18"/>
          <w:color w:val="auto"/>
        </w:rPr>
        <w:t>CERTIFICATION BY CHIEF FINANCIAL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 Edwin F. Barker, Chief Financial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2120" w:right="1779" w:hanging="532"/>
        <w:spacing w:after="0" w:line="236" w:lineRule="auto"/>
        <w:tabs>
          <w:tab w:leader="none" w:pos="2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involved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14,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By: /s/ Edwin F. Barker</w:t>
      </w:r>
    </w:p>
    <w:p>
      <w:pPr>
        <w:spacing w:after="0" w:line="3"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362" w:gutter="0" w:footer="0" w:header="0"/>
        </w:sectPr>
      </w:pPr>
    </w:p>
    <w:bookmarkStart w:id="19" w:name="page20"/>
    <w:bookmarkEnd w:id="19"/>
    <w:p>
      <w:pPr>
        <w:ind w:left="370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WRITTEN STATEMENT BY THE CHIEF EXECUTIVE OFFICER AND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7" w:lineRule="exact"/>
        <w:rPr>
          <w:sz w:val="20"/>
          <w:szCs w:val="20"/>
          <w:color w:val="auto"/>
        </w:rPr>
      </w:pPr>
    </w:p>
    <w:p>
      <w:pPr>
        <w:ind w:left="540" w:right="25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D. Hertzke, Chief Executive Officer and President and Edwin F. Barker, Chief Financial Officer, each certify that: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("periodic report") of Winnebago Industries, Inc. (the "issuer"), for the quarter ended November 30, 2002, as filed with the Securities and Exchange Commission on the date of this certificate, which this statement accompanies, fully complies with the requirements of Section 13(a) or 15(d) of the Securities Exchange Act of 1934, and</w:t>
      </w:r>
    </w:p>
    <w:p>
      <w:pPr>
        <w:spacing w:after="0" w:line="209"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that periodic report fairly represents, in all material respects, the financial condition and results of operations of the issuer.</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provided pursuant to the requirements of Section 906 of the Sarbanes - Oxley Act of 2002, codified as Section 1350 of Chapter 63 of Title 18 U.S.C.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14,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By: /s/ Bruce D. Hertzke</w:t>
      </w:r>
    </w:p>
    <w:p>
      <w:pPr>
        <w:spacing w:after="0" w:line="3"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Bruce D. Hertzke</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Edwin F. Barker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
    <w:nsid w:val="2AE894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2019-12-13T08:30:39Z</dcterms:created>
  <dcterms:modified xsi:type="dcterms:W3CDTF">2019-12-13T08:30:39Z</dcterms:modified>
</cp:coreProperties>
</file>