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6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660"/>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3"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180"/>
        <w:spacing w:after="0"/>
        <w:tabs>
          <w:tab w:leader="none" w:pos="68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QUARTERLY REPORT PURSUANT TO SECTION 13 OR 15(d) OF THE SECURITIES</w:t>
      </w:r>
    </w:p>
    <w:p>
      <w:pPr>
        <w:spacing w:after="0" w:line="3"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EXCHANGE ACT OF 1934</w:t>
      </w:r>
    </w:p>
    <w:p>
      <w:pPr>
        <w:sectPr>
          <w:pgSz w:w="11900" w:h="16838" w:orient="portrait"/>
          <w:cols w:equalWidth="0" w:num="1">
            <w:col w:w="10680"/>
          </w:cols>
          <w:pgMar w:left="220" w:top="561" w:right="999" w:bottom="110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February 26, 2000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2640" w:space="80"/>
            <w:col w:w="7960"/>
          </w:cols>
          <w:pgMar w:left="220" w:top="561" w:right="999" w:bottom="1100" w:gutter="0" w:footer="0" w:header="0"/>
          <w:type w:val="continuous"/>
        </w:sectPr>
      </w:pPr>
    </w:p>
    <w:p>
      <w:pPr>
        <w:spacing w:after="0" w:line="140"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237" w:lineRule="auto"/>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680"/>
          </w:cols>
          <w:pgMar w:left="220" w:top="561" w:right="999" w:bottom="110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ind w:right="4120" w:hanging="174"/>
        <w:spacing w:after="0" w:line="234"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67" w:lineRule="exact"/>
        <w:rPr>
          <w:sz w:val="24"/>
          <w:szCs w:val="24"/>
          <w:color w:val="auto"/>
        </w:rPr>
      </w:pPr>
    </w:p>
    <w:p>
      <w:pPr>
        <w:sectPr>
          <w:pgSz w:w="11900" w:h="16838" w:orient="portrait"/>
          <w:cols w:equalWidth="0" w:num="2">
            <w:col w:w="540" w:space="340"/>
            <w:col w:w="9800"/>
          </w:cols>
          <w:pgMar w:left="220" w:top="561" w:right="999" w:bottom="110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For the transition period from _____________________ to _____________________</w:t>
      </w:r>
    </w:p>
    <w:p>
      <w:pPr>
        <w:spacing w:after="0" w:line="166" w:lineRule="exact"/>
        <w:rPr>
          <w:sz w:val="24"/>
          <w:szCs w:val="24"/>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1-6403</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jc w:val="center"/>
        <w:ind w:right="3660"/>
        <w:spacing w:after="0"/>
        <w:rPr>
          <w:sz w:val="20"/>
          <w:szCs w:val="20"/>
          <w:color w:val="auto"/>
        </w:rPr>
      </w:pPr>
      <w:r>
        <w:rPr>
          <w:rFonts w:ascii="Courier New" w:cs="Courier New" w:eastAsia="Courier New" w:hAnsi="Courier New"/>
          <w:sz w:val="15"/>
          <w:szCs w:val="15"/>
          <w:color w:val="auto"/>
        </w:rPr>
        <w:t>WINNEBAGO INDUSTRIES, INC.</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IOWA</w:t>
            </w:r>
          </w:p>
        </w:tc>
        <w:tc>
          <w:tcPr>
            <w:tcW w:w="2280" w:type="dxa"/>
            <w:vAlign w:val="bottom"/>
          </w:tcPr>
          <w:p>
            <w:pPr>
              <w:ind w:left="1060"/>
              <w:spacing w:after="0"/>
              <w:rPr>
                <w:sz w:val="20"/>
                <w:szCs w:val="20"/>
                <w:color w:val="auto"/>
              </w:rPr>
            </w:pPr>
            <w:r>
              <w:rPr>
                <w:rFonts w:ascii="Courier New" w:cs="Courier New" w:eastAsia="Courier New" w:hAnsi="Courier New"/>
                <w:sz w:val="15"/>
                <w:szCs w:val="15"/>
                <w:color w:val="auto"/>
              </w:rPr>
              <w:t>42-0803978</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 jurisdiction of</w:t>
            </w:r>
          </w:p>
        </w:tc>
        <w:tc>
          <w:tcPr>
            <w:tcW w:w="2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4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5"/>
              </w:rPr>
              <w:t>Identification No.)</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P. O. Box</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152, Forest City, Iowa</w:t>
            </w:r>
          </w:p>
        </w:tc>
        <w:tc>
          <w:tcPr>
            <w:tcW w:w="2280" w:type="dxa"/>
            <w:vAlign w:val="bottom"/>
          </w:tcPr>
          <w:p>
            <w:pPr>
              <w:ind w:left="1060"/>
              <w:spacing w:after="0"/>
              <w:rPr>
                <w:sz w:val="20"/>
                <w:szCs w:val="20"/>
                <w:color w:val="auto"/>
              </w:rPr>
            </w:pPr>
            <w:r>
              <w:rPr>
                <w:rFonts w:ascii="Courier New" w:cs="Courier New" w:eastAsia="Courier New" w:hAnsi="Courier New"/>
                <w:sz w:val="15"/>
                <w:szCs w:val="15"/>
                <w:color w:val="auto"/>
              </w:rPr>
              <w:t>50436</w:t>
            </w:r>
          </w:p>
        </w:tc>
      </w:tr>
      <w:tr>
        <w:trPr>
          <w:trHeight w:val="168"/>
        </w:trPr>
        <w:tc>
          <w:tcPr>
            <w:tcW w:w="4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2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(Zip Code)</w:t>
            </w:r>
          </w:p>
        </w:tc>
      </w:tr>
    </w:tbl>
    <w:p>
      <w:pPr>
        <w:spacing w:after="0" w:line="166"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(515) 582-3535</w:t>
      </w:r>
    </w:p>
    <w:p>
      <w:pPr>
        <w:spacing w:after="0" w:line="173" w:lineRule="exact"/>
        <w:rPr>
          <w:sz w:val="24"/>
          <w:szCs w:val="24"/>
          <w:color w:val="auto"/>
        </w:rPr>
      </w:pPr>
    </w:p>
    <w:p>
      <w:pPr>
        <w:ind w:right="3680"/>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___.</w:t>
      </w:r>
    </w:p>
    <w:p>
      <w:pPr>
        <w:spacing w:after="0" w:line="174" w:lineRule="exact"/>
        <w:rPr>
          <w:sz w:val="24"/>
          <w:szCs w:val="24"/>
          <w:color w:val="auto"/>
        </w:rPr>
      </w:pPr>
    </w:p>
    <w:p>
      <w:pPr>
        <w:ind w:right="3680"/>
        <w:spacing w:after="0" w:line="234" w:lineRule="auto"/>
        <w:rPr>
          <w:sz w:val="20"/>
          <w:szCs w:val="20"/>
          <w:color w:val="auto"/>
        </w:rPr>
      </w:pPr>
      <w:r>
        <w:rPr>
          <w:rFonts w:ascii="Courier New" w:cs="Courier New" w:eastAsia="Courier New" w:hAnsi="Courier New"/>
          <w:sz w:val="15"/>
          <w:szCs w:val="15"/>
          <w:color w:val="auto"/>
        </w:rPr>
        <w:t>There were 21,560,992 shares of $.50 par value common stock outstanding on April 6, 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WINNEBAGO INDUSTRIES, INC. AND SUBSIDIARIES</w:t>
      </w:r>
    </w:p>
    <w:p>
      <w:pPr>
        <w:spacing w:after="0" w:line="166" w:lineRule="exact"/>
        <w:rPr>
          <w:sz w:val="24"/>
          <w:szCs w:val="24"/>
          <w:color w:val="auto"/>
        </w:rPr>
      </w:pPr>
    </w:p>
    <w:tbl>
      <w:tblPr>
        <w:tblLayout w:type="fixed"/>
        <w:tblInd w:w="10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7560" w:type="dxa"/>
            <w:vAlign w:val="bottom"/>
          </w:tcPr>
          <w:p>
            <w:pPr>
              <w:ind w:left="1180"/>
              <w:spacing w:after="0"/>
              <w:rPr>
                <w:sz w:val="20"/>
                <w:szCs w:val="20"/>
                <w:color w:val="auto"/>
              </w:rPr>
            </w:pPr>
            <w:r>
              <w:rPr>
                <w:rFonts w:ascii="Courier New" w:cs="Courier New" w:eastAsia="Courier New" w:hAnsi="Courier New"/>
                <w:sz w:val="15"/>
                <w:szCs w:val="15"/>
                <w:color w:val="auto"/>
              </w:rPr>
              <w:t>INDEX TO REPORT ON FORM 10-Q</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841"/>
        </w:trPr>
        <w:tc>
          <w:tcPr>
            <w:tcW w:w="10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Number</w:t>
            </w:r>
          </w:p>
        </w:tc>
      </w:tr>
      <w:tr>
        <w:trPr>
          <w:trHeight w:val="168"/>
        </w:trPr>
        <w:tc>
          <w:tcPr>
            <w:tcW w:w="100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 I.</w:t>
            </w:r>
          </w:p>
        </w:tc>
        <w:tc>
          <w:tcPr>
            <w:tcW w:w="7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FINANCIAL INFORMATION:</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505"/>
        </w:trPr>
        <w:tc>
          <w:tcPr>
            <w:tcW w:w="100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Consolidated Balance Sheets (Interim period information unaudited)</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&amp; 2</w:t>
            </w:r>
          </w:p>
        </w:tc>
      </w:tr>
      <w:tr>
        <w:trPr>
          <w:trHeight w:val="336"/>
        </w:trPr>
        <w:tc>
          <w:tcPr>
            <w:tcW w:w="100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Unaudited Consolidated Statements of Income</w:t>
            </w:r>
          </w:p>
        </w:tc>
        <w:tc>
          <w:tcPr>
            <w:tcW w:w="146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r>
      <w:tr>
        <w:trPr>
          <w:trHeight w:val="336"/>
        </w:trPr>
        <w:tc>
          <w:tcPr>
            <w:tcW w:w="100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Unaudited Consolidated Statements of Cash Flows</w:t>
            </w:r>
          </w:p>
        </w:tc>
        <w:tc>
          <w:tcPr>
            <w:tcW w:w="146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r>
      <w:tr>
        <w:trPr>
          <w:trHeight w:val="336"/>
        </w:trPr>
        <w:tc>
          <w:tcPr>
            <w:tcW w:w="100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Unaudited Condensed Notes to Consolidated Financial Statements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&amp; 6</w:t>
            </w:r>
          </w:p>
        </w:tc>
      </w:tr>
      <w:tr>
        <w:trPr>
          <w:trHeight w:val="336"/>
        </w:trPr>
        <w:tc>
          <w:tcPr>
            <w:tcW w:w="100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- 9</w:t>
            </w:r>
          </w:p>
        </w:tc>
      </w:tr>
      <w:tr>
        <w:trPr>
          <w:trHeight w:val="168"/>
        </w:trPr>
        <w:tc>
          <w:tcPr>
            <w:tcW w:w="1000" w:type="dxa"/>
            <w:vAlign w:val="bottom"/>
          </w:tcPr>
          <w:p>
            <w:pPr>
              <w:spacing w:after="0"/>
              <w:rPr>
                <w:sz w:val="14"/>
                <w:szCs w:val="14"/>
                <w:color w:val="auto"/>
              </w:rPr>
            </w:pPr>
          </w:p>
        </w:tc>
        <w:tc>
          <w:tcPr>
            <w:tcW w:w="75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of Operations</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10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7560" w:type="dxa"/>
            <w:vAlign w:val="bottom"/>
          </w:tcPr>
          <w:p>
            <w:pPr>
              <w:ind w:left="300"/>
              <w:spacing w:after="0"/>
              <w:rPr>
                <w:sz w:val="20"/>
                <w:szCs w:val="20"/>
                <w:color w:val="auto"/>
              </w:rPr>
            </w:pPr>
            <w:r>
              <w:rPr>
                <w:rFonts w:ascii="Courier New" w:cs="Courier New" w:eastAsia="Courier New" w:hAnsi="Courier New"/>
                <w:sz w:val="15"/>
                <w:szCs w:val="15"/>
                <w:color w:val="auto"/>
              </w:rPr>
              <w:t>OTHER INFORMATION</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- 12</w:t>
            </w:r>
          </w:p>
        </w:tc>
      </w:tr>
    </w:tbl>
    <w:p>
      <w:pPr>
        <w:sectPr>
          <w:pgSz w:w="11900" w:h="16838" w:orient="portrait"/>
          <w:cols w:equalWidth="0" w:num="1">
            <w:col w:w="10680"/>
          </w:cols>
          <w:pgMar w:left="220" w:top="561" w:right="999" w:bottom="110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237" w:lineRule="auto"/>
        <w:rPr>
          <w:sz w:val="20"/>
          <w:szCs w:val="20"/>
          <w:color w:val="auto"/>
        </w:rPr>
      </w:pPr>
      <w:r>
        <w:rPr>
          <w:rFonts w:ascii="Courier New" w:cs="Courier New" w:eastAsia="Courier New" w:hAnsi="Courier New"/>
          <w:sz w:val="15"/>
          <w:szCs w:val="15"/>
          <w:color w:val="auto"/>
        </w:rPr>
        <w:t>Item 1.</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220" w:type="dxa"/>
            <w:vAlign w:val="bottom"/>
          </w:tcPr>
          <w:p>
            <w:pPr>
              <w:spacing w:after="0"/>
              <w:rPr>
                <w:sz w:val="14"/>
                <w:szCs w:val="14"/>
                <w:color w:val="auto"/>
              </w:rPr>
            </w:pPr>
          </w:p>
        </w:tc>
        <w:tc>
          <w:tcPr>
            <w:tcW w:w="1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FEBRUARY 26,</w:t>
            </w:r>
          </w:p>
        </w:tc>
        <w:tc>
          <w:tcPr>
            <w:tcW w:w="38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AUGUST 28,</w:t>
            </w:r>
          </w:p>
        </w:tc>
      </w:tr>
      <w:tr>
        <w:trPr>
          <w:trHeight w:val="168"/>
        </w:trPr>
        <w:tc>
          <w:tcPr>
            <w:tcW w:w="522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20" w:type="dxa"/>
            <w:vAlign w:val="bottom"/>
          </w:tcPr>
          <w:p>
            <w:pPr>
              <w:spacing w:after="0"/>
              <w:rPr>
                <w:sz w:val="14"/>
                <w:szCs w:val="14"/>
                <w:color w:val="auto"/>
              </w:rPr>
            </w:pP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(Unaudited)</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43,498</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48,160</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less allowance for doubtful</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($1,033 and $960, respectively)</w:t>
            </w: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32,562</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33,342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Dealer financing receivables, less allowance</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doubtful accounts ($105 and $73, respectively)</w:t>
            </w: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31,204</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24,573</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82,509</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87,031</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17,586</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3,593</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6,982</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6,982</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214,341</w:t>
            </w:r>
          </w:p>
        </w:tc>
        <w:tc>
          <w:tcPr>
            <w:tcW w:w="3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203,681</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1,137</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43,362</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41,136</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78,242</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73,839</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5,317</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5,345</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128,058</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121,470</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85,859</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83,099</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rPr>
              <w:t>Total property and equipment, net</w:t>
            </w:r>
          </w:p>
        </w:tc>
        <w:tc>
          <w:tcPr>
            <w:tcW w:w="220" w:type="dxa"/>
            <w:vAlign w:val="bottom"/>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42,199</w:t>
            </w:r>
          </w:p>
        </w:tc>
        <w:tc>
          <w:tcPr>
            <w:tcW w:w="3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38,371</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LONG-TERM NOTES RECEIVABLE, less allowances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($294 and $262, respectively)</w:t>
            </w:r>
          </w:p>
        </w:tc>
        <w:tc>
          <w:tcPr>
            <w:tcW w:w="2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713</w:t>
            </w:r>
          </w:p>
        </w:tc>
        <w:tc>
          <w:tcPr>
            <w:tcW w:w="3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220" w:type="dxa"/>
            <w:vAlign w:val="bottom"/>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20,355</w:t>
            </w:r>
          </w:p>
        </w:tc>
        <w:tc>
          <w:tcPr>
            <w:tcW w:w="3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19,749</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DEFERRED INCOME TAXES, NET</w:t>
            </w:r>
          </w:p>
        </w:tc>
        <w:tc>
          <w:tcPr>
            <w:tcW w:w="220" w:type="dxa"/>
            <w:vAlign w:val="bottom"/>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18,654</w:t>
            </w:r>
          </w:p>
        </w:tc>
        <w:tc>
          <w:tcPr>
            <w:tcW w:w="3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18,654</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6,629</w:t>
            </w:r>
          </w:p>
        </w:tc>
        <w:tc>
          <w:tcPr>
            <w:tcW w:w="38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4,647</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302,891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285,889</w:t>
            </w:r>
          </w:p>
        </w:tc>
      </w:tr>
      <w:tr>
        <w:trPr>
          <w:trHeight w:val="168"/>
        </w:trPr>
        <w:tc>
          <w:tcPr>
            <w:tcW w:w="5220" w:type="dxa"/>
            <w:vAlign w:val="bottom"/>
          </w:tcPr>
          <w:p>
            <w:pPr>
              <w:spacing w:after="0"/>
              <w:rPr>
                <w:sz w:val="14"/>
                <w:szCs w:val="14"/>
                <w:color w:val="auto"/>
              </w:rPr>
            </w:pP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2" w:name="page3"/>
    <w:bookmarkEnd w:id="2"/>
    <w:p>
      <w:pPr>
        <w:jc w:val="center"/>
        <w:ind w:right="3139"/>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17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FEBRUARY 26,</w:t>
            </w:r>
          </w:p>
        </w:tc>
        <w:tc>
          <w:tcPr>
            <w:tcW w:w="1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AUGUST 28,</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340" w:type="dxa"/>
            <w:vAlign w:val="bottom"/>
          </w:tcPr>
          <w:p>
            <w:pPr>
              <w:spacing w:after="0"/>
              <w:rPr>
                <w:sz w:val="14"/>
                <w:szCs w:val="14"/>
                <w:color w:val="auto"/>
              </w:rPr>
            </w:pPr>
          </w:p>
        </w:tc>
        <w:tc>
          <w:tcPr>
            <w:tcW w:w="14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(Unaudited)</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trade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26,582</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38,604</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payable</w:t>
            </w: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22,809</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Insurance</w:t>
            </w: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5,310</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3,962</w:t>
            </w:r>
          </w:p>
        </w:tc>
      </w:tr>
      <w:tr>
        <w:trPr>
          <w:trHeight w:val="168"/>
        </w:trPr>
        <w:tc>
          <w:tcPr>
            <w:tcW w:w="5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Product warranties</w:t>
            </w: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7,794</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6,407</w:t>
            </w:r>
          </w:p>
        </w:tc>
      </w:tr>
      <w:tr>
        <w:trPr>
          <w:trHeight w:val="168"/>
        </w:trPr>
        <w:tc>
          <w:tcPr>
            <w:tcW w:w="5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Accrued compensation</w:t>
            </w: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11,710</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13,204</w:t>
            </w:r>
          </w:p>
        </w:tc>
      </w:tr>
      <w:tr>
        <w:trPr>
          <w:trHeight w:val="168"/>
        </w:trPr>
        <w:tc>
          <w:tcPr>
            <w:tcW w:w="5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Promotional</w:t>
            </w: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5,284</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2,629</w:t>
            </w:r>
          </w:p>
        </w:tc>
      </w:tr>
      <w:tr>
        <w:trPr>
          <w:trHeight w:val="168"/>
        </w:trPr>
        <w:tc>
          <w:tcPr>
            <w:tcW w:w="5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5,637</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4,954</w:t>
            </w:r>
          </w:p>
        </w:tc>
      </w:tr>
      <w:tr>
        <w:trPr>
          <w:trHeight w:val="168"/>
        </w:trPr>
        <w:tc>
          <w:tcPr>
            <w:tcW w:w="526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85,126</w:t>
            </w:r>
          </w:p>
        </w:tc>
        <w:tc>
          <w:tcPr>
            <w:tcW w:w="40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79,961</w:t>
            </w:r>
          </w:p>
        </w:tc>
      </w:tr>
      <w:tr>
        <w:trPr>
          <w:trHeight w:val="168"/>
        </w:trPr>
        <w:tc>
          <w:tcPr>
            <w:tcW w:w="526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POSTRETIREMENT HEALTH CARE AND DEFERRED</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COMPENSATION BENEFITS</w:t>
            </w: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59,792</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56,544</w:t>
            </w:r>
          </w:p>
        </w:tc>
      </w:tr>
      <w:tr>
        <w:trPr>
          <w:trHeight w:val="168"/>
        </w:trPr>
        <w:tc>
          <w:tcPr>
            <w:tcW w:w="526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stock, common, par value $.50; authorized</w:t>
            </w: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60,000,000 shares:  issued 25,876,000 and 25,874,000</w:t>
            </w: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respectively</w:t>
            </w: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12,938</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12,937</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21,980</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21,907</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Reinvested earnings</w:t>
            </w: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173,524</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151,482</w:t>
            </w:r>
          </w:p>
        </w:tc>
      </w:tr>
      <w:tr>
        <w:trPr>
          <w:trHeight w:val="168"/>
        </w:trPr>
        <w:tc>
          <w:tcPr>
            <w:tcW w:w="526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208,442</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186,326</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3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50,469</w:t>
            </w:r>
          </w:p>
        </w:tc>
        <w:tc>
          <w:tcPr>
            <w:tcW w:w="4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36,942</w:t>
            </w:r>
          </w:p>
        </w:tc>
      </w:tr>
      <w:tr>
        <w:trPr>
          <w:trHeight w:val="168"/>
        </w:trPr>
        <w:tc>
          <w:tcPr>
            <w:tcW w:w="526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340" w:type="dxa"/>
            <w:vAlign w:val="bottom"/>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157,973</w:t>
            </w:r>
          </w:p>
        </w:tc>
        <w:tc>
          <w:tcPr>
            <w:tcW w:w="40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149,384</w:t>
            </w:r>
          </w:p>
        </w:tc>
      </w:tr>
      <w:tr>
        <w:trPr>
          <w:trHeight w:val="168"/>
        </w:trPr>
        <w:tc>
          <w:tcPr>
            <w:tcW w:w="526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302,891</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285,889</w:t>
            </w:r>
          </w:p>
        </w:tc>
      </w:tr>
      <w:tr>
        <w:trPr>
          <w:trHeight w:val="168"/>
        </w:trPr>
        <w:tc>
          <w:tcPr>
            <w:tcW w:w="5260" w:type="dxa"/>
            <w:vAlign w:val="bottom"/>
          </w:tcPr>
          <w:p>
            <w:pPr>
              <w:spacing w:after="0"/>
              <w:rPr>
                <w:sz w:val="14"/>
                <w:szCs w:val="14"/>
                <w:color w:val="auto"/>
              </w:rPr>
            </w:pPr>
          </w:p>
        </w:tc>
        <w:tc>
          <w:tcPr>
            <w:tcW w:w="17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85" w:right="1440" w:bottom="1440" w:gutter="0" w:footer="0" w:header="0"/>
        </w:sectPr>
      </w:pPr>
    </w:p>
    <w:bookmarkStart w:id="3" w:name="page4"/>
    <w:bookmarkEnd w:id="3"/>
    <w:p>
      <w:pPr>
        <w:ind w:left="1680"/>
        <w:spacing w:after="0"/>
        <w:rPr>
          <w:sz w:val="20"/>
          <w:szCs w:val="20"/>
          <w:color w:val="auto"/>
        </w:rPr>
      </w:pPr>
      <w:r>
        <w:rPr>
          <w:rFonts w:ascii="Courier New" w:cs="Courier New" w:eastAsia="Courier New" w:hAnsi="Courier New"/>
          <w:sz w:val="15"/>
          <w:szCs w:val="15"/>
          <w:color w:val="auto"/>
        </w:rPr>
        <w:t>WINNEBAGO INDUSTRIES, INC. AND SUBSIDIARIES</w:t>
      </w:r>
    </w:p>
    <w:p>
      <w:pPr>
        <w:ind w:left="1680"/>
        <w:spacing w:after="0" w:line="237" w:lineRule="auto"/>
        <w:rPr>
          <w:sz w:val="20"/>
          <w:szCs w:val="20"/>
          <w:color w:val="auto"/>
        </w:rPr>
      </w:pPr>
      <w:r>
        <w:rPr>
          <w:rFonts w:ascii="Courier New" w:cs="Courier New" w:eastAsia="Courier New" w:hAnsi="Courier New"/>
          <w:sz w:val="15"/>
          <w:szCs w:val="15"/>
          <w:color w:val="auto"/>
        </w:rPr>
        <w:t>UNAUDITED CONSOLIDATED STATEMENTS OF INCOME</w:t>
      </w:r>
    </w:p>
    <w:tbl>
      <w:tblPr>
        <w:tblLayout w:type="fixed"/>
        <w:tblInd w:w="0" w:type="dxa"/>
        <w:tblCellMar>
          <w:top w:w="0" w:type="dxa"/>
          <w:left w:w="0" w:type="dxa"/>
          <w:bottom w:w="0" w:type="dxa"/>
          <w:right w:w="0" w:type="dxa"/>
        </w:tblCellMar>
      </w:tblPr>
      <w:tr>
        <w:trPr>
          <w:trHeight w:val="169"/>
        </w:trPr>
        <w:tc>
          <w:tcPr>
            <w:tcW w:w="7000" w:type="dxa"/>
            <w:vAlign w:val="bottom"/>
            <w:gridSpan w:val="3"/>
          </w:tcPr>
          <w:p>
            <w:pPr>
              <w:spacing w:after="0" w:line="169"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1"/>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8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THIRTEEN WEEKS ENDED</w:t>
            </w:r>
          </w:p>
        </w:tc>
        <w:tc>
          <w:tcPr>
            <w:tcW w:w="580" w:type="dxa"/>
            <w:vAlign w:val="bottom"/>
          </w:tcPr>
          <w:p>
            <w:pPr>
              <w:spacing w:after="0"/>
              <w:rPr>
                <w:sz w:val="14"/>
                <w:szCs w:val="14"/>
                <w:color w:val="auto"/>
              </w:rPr>
            </w:pPr>
          </w:p>
        </w:tc>
        <w:tc>
          <w:tcPr>
            <w:tcW w:w="2560" w:type="dxa"/>
            <w:vAlign w:val="bottom"/>
            <w:gridSpan w:val="3"/>
          </w:tcPr>
          <w:p>
            <w:pPr>
              <w:jc w:val="right"/>
              <w:ind w:right="167"/>
              <w:spacing w:after="0" w:line="168" w:lineRule="exact"/>
              <w:rPr>
                <w:sz w:val="20"/>
                <w:szCs w:val="20"/>
                <w:color w:val="auto"/>
              </w:rPr>
            </w:pPr>
            <w:r>
              <w:rPr>
                <w:rFonts w:ascii="Courier New" w:cs="Courier New" w:eastAsia="Courier New" w:hAnsi="Courier New"/>
                <w:sz w:val="15"/>
                <w:szCs w:val="15"/>
                <w:color w:val="auto"/>
              </w:rPr>
              <w:t>TWENTY-SIX WEEKS ENDED</w:t>
            </w:r>
          </w:p>
        </w:tc>
      </w:tr>
      <w:tr>
        <w:trPr>
          <w:trHeight w:val="168"/>
        </w:trPr>
        <w:tc>
          <w:tcPr>
            <w:tcW w:w="490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4"/>
              </w:rPr>
              <w:t>--------------------------------</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February 26,</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February 27,</w:t>
            </w:r>
          </w:p>
        </w:tc>
        <w:tc>
          <w:tcPr>
            <w:tcW w:w="17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February 26,</w:t>
            </w:r>
          </w:p>
        </w:tc>
        <w:tc>
          <w:tcPr>
            <w:tcW w:w="13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4"/>
              </w:rPr>
              <w:t>February 27,</w:t>
            </w:r>
          </w:p>
        </w:tc>
      </w:tr>
      <w:tr>
        <w:trPr>
          <w:trHeight w:val="168"/>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88"/>
              </w:rPr>
              <w:t>2000</w:t>
            </w:r>
          </w:p>
        </w:tc>
        <w:tc>
          <w:tcPr>
            <w:tcW w:w="220" w:type="dxa"/>
            <w:vAlign w:val="bottom"/>
          </w:tcPr>
          <w:p>
            <w:pPr>
              <w:spacing w:after="0"/>
              <w:rPr>
                <w:sz w:val="14"/>
                <w:szCs w:val="14"/>
                <w:color w:val="auto"/>
              </w:rPr>
            </w:pPr>
          </w:p>
        </w:tc>
        <w:tc>
          <w:tcPr>
            <w:tcW w:w="1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14"/>
                <w:szCs w:val="14"/>
                <w:color w:val="auto"/>
              </w:rPr>
            </w:pPr>
          </w:p>
        </w:tc>
        <w:tc>
          <w:tcPr>
            <w:tcW w:w="1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187,144</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154,132</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369,695</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311,796</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156,352</w:t>
            </w:r>
          </w:p>
        </w:tc>
        <w:tc>
          <w:tcPr>
            <w:tcW w:w="2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129,763</w:t>
            </w:r>
          </w:p>
        </w:tc>
        <w:tc>
          <w:tcPr>
            <w:tcW w:w="5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308,030</w:t>
            </w:r>
          </w:p>
        </w:tc>
        <w:tc>
          <w:tcPr>
            <w:tcW w:w="5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262,551</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Gross profit</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30,792</w:t>
            </w:r>
          </w:p>
        </w:tc>
        <w:tc>
          <w:tcPr>
            <w:tcW w:w="2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24,369</w:t>
            </w:r>
          </w:p>
        </w:tc>
        <w:tc>
          <w:tcPr>
            <w:tcW w:w="5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61,665</w:t>
            </w:r>
          </w:p>
        </w:tc>
        <w:tc>
          <w:tcPr>
            <w:tcW w:w="5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49,245</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 and delivery</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5,641</w:t>
            </w:r>
          </w:p>
        </w:tc>
        <w:tc>
          <w:tcPr>
            <w:tcW w:w="2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5,494</w:t>
            </w:r>
          </w:p>
        </w:tc>
        <w:tc>
          <w:tcPr>
            <w:tcW w:w="5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11,901</w:t>
            </w:r>
          </w:p>
        </w:tc>
        <w:tc>
          <w:tcPr>
            <w:tcW w:w="5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10,596</w:t>
            </w: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8,148</w:t>
            </w:r>
          </w:p>
        </w:tc>
        <w:tc>
          <w:tcPr>
            <w:tcW w:w="2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4,289</w:t>
            </w:r>
          </w:p>
        </w:tc>
        <w:tc>
          <w:tcPr>
            <w:tcW w:w="5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14,701</w:t>
            </w:r>
          </w:p>
        </w:tc>
        <w:tc>
          <w:tcPr>
            <w:tcW w:w="5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9,983</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13,789</w:t>
            </w:r>
          </w:p>
        </w:tc>
        <w:tc>
          <w:tcPr>
            <w:tcW w:w="2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9,783</w:t>
            </w:r>
          </w:p>
        </w:tc>
        <w:tc>
          <w:tcPr>
            <w:tcW w:w="5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26,602</w:t>
            </w:r>
          </w:p>
        </w:tc>
        <w:tc>
          <w:tcPr>
            <w:tcW w:w="5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20,579</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620" w:type="dxa"/>
            <w:vAlign w:val="bottom"/>
          </w:tcPr>
          <w:p>
            <w:pPr>
              <w:spacing w:after="0"/>
              <w:rPr>
                <w:sz w:val="24"/>
                <w:szCs w:val="2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17,003</w:t>
            </w:r>
          </w:p>
        </w:tc>
        <w:tc>
          <w:tcPr>
            <w:tcW w:w="220" w:type="dxa"/>
            <w:vAlign w:val="bottom"/>
          </w:tcPr>
          <w:p>
            <w:pPr>
              <w:spacing w:after="0"/>
              <w:rPr>
                <w:sz w:val="24"/>
                <w:szCs w:val="2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14,586</w:t>
            </w:r>
          </w:p>
        </w:tc>
        <w:tc>
          <w:tcPr>
            <w:tcW w:w="580" w:type="dxa"/>
            <w:vAlign w:val="bottom"/>
          </w:tcPr>
          <w:p>
            <w:pPr>
              <w:spacing w:after="0"/>
              <w:rPr>
                <w:sz w:val="24"/>
                <w:szCs w:val="2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35,063</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28,666</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Financial income</w:t>
            </w:r>
          </w:p>
        </w:tc>
        <w:tc>
          <w:tcPr>
            <w:tcW w:w="620" w:type="dxa"/>
            <w:vAlign w:val="bottom"/>
          </w:tcPr>
          <w:p>
            <w:pPr>
              <w:spacing w:after="0"/>
              <w:rPr>
                <w:sz w:val="24"/>
                <w:szCs w:val="2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905</w:t>
            </w:r>
          </w:p>
        </w:tc>
        <w:tc>
          <w:tcPr>
            <w:tcW w:w="220" w:type="dxa"/>
            <w:vAlign w:val="bottom"/>
          </w:tcPr>
          <w:p>
            <w:pPr>
              <w:spacing w:after="0"/>
              <w:rPr>
                <w:sz w:val="24"/>
                <w:szCs w:val="2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565</w:t>
            </w:r>
          </w:p>
        </w:tc>
        <w:tc>
          <w:tcPr>
            <w:tcW w:w="580" w:type="dxa"/>
            <w:vAlign w:val="bottom"/>
          </w:tcPr>
          <w:p>
            <w:pPr>
              <w:spacing w:after="0"/>
              <w:rPr>
                <w:sz w:val="24"/>
                <w:szCs w:val="2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1,558</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1,146</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620" w:type="dxa"/>
            <w:vAlign w:val="bottom"/>
          </w:tcPr>
          <w:p>
            <w:pPr>
              <w:spacing w:after="0"/>
              <w:rPr>
                <w:sz w:val="24"/>
                <w:szCs w:val="2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17,908</w:t>
            </w:r>
          </w:p>
        </w:tc>
        <w:tc>
          <w:tcPr>
            <w:tcW w:w="220" w:type="dxa"/>
            <w:vAlign w:val="bottom"/>
          </w:tcPr>
          <w:p>
            <w:pPr>
              <w:spacing w:after="0"/>
              <w:rPr>
                <w:sz w:val="24"/>
                <w:szCs w:val="2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15,151</w:t>
            </w:r>
          </w:p>
        </w:tc>
        <w:tc>
          <w:tcPr>
            <w:tcW w:w="580" w:type="dxa"/>
            <w:vAlign w:val="bottom"/>
          </w:tcPr>
          <w:p>
            <w:pPr>
              <w:spacing w:after="0"/>
              <w:rPr>
                <w:sz w:val="24"/>
                <w:szCs w:val="2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36,621</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29,812</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Provision for taxes</w:t>
            </w:r>
          </w:p>
        </w:tc>
        <w:tc>
          <w:tcPr>
            <w:tcW w:w="620" w:type="dxa"/>
            <w:vAlign w:val="bottom"/>
          </w:tcPr>
          <w:p>
            <w:pPr>
              <w:spacing w:after="0"/>
              <w:rPr>
                <w:sz w:val="24"/>
                <w:szCs w:val="24"/>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6,057</w:t>
            </w:r>
          </w:p>
        </w:tc>
        <w:tc>
          <w:tcPr>
            <w:tcW w:w="220" w:type="dxa"/>
            <w:vAlign w:val="bottom"/>
          </w:tcPr>
          <w:p>
            <w:pPr>
              <w:spacing w:after="0"/>
              <w:rPr>
                <w:sz w:val="24"/>
                <w:szCs w:val="2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5,197</w:t>
            </w:r>
          </w:p>
        </w:tc>
        <w:tc>
          <w:tcPr>
            <w:tcW w:w="580" w:type="dxa"/>
            <w:vAlign w:val="bottom"/>
          </w:tcPr>
          <w:p>
            <w:pPr>
              <w:spacing w:after="0"/>
              <w:rPr>
                <w:sz w:val="24"/>
                <w:szCs w:val="24"/>
                <w:color w:val="auto"/>
              </w:rPr>
            </w:pP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12,389</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10,209</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11,851</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9,954</w:t>
            </w:r>
          </w:p>
        </w:tc>
        <w:tc>
          <w:tcPr>
            <w:tcW w:w="5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24,232</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19,603</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Earnings per common share (Note 7):</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.54</w:t>
            </w:r>
          </w:p>
        </w:tc>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w:t>
            </w:r>
          </w:p>
        </w:tc>
        <w:tc>
          <w:tcPr>
            <w:tcW w:w="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1.10</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w:t>
            </w:r>
          </w:p>
        </w:tc>
        <w:tc>
          <w:tcPr>
            <w:tcW w:w="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.54</w:t>
            </w:r>
          </w:p>
        </w:tc>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w:t>
            </w:r>
          </w:p>
        </w:tc>
        <w:tc>
          <w:tcPr>
            <w:tcW w:w="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1.08</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(Note 7):</w:t>
            </w: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21,765</w:t>
            </w:r>
          </w:p>
        </w:tc>
        <w:tc>
          <w:tcPr>
            <w:tcW w:w="2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22,145</w:t>
            </w:r>
          </w:p>
        </w:tc>
        <w:tc>
          <w:tcPr>
            <w:tcW w:w="5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21,946</w:t>
            </w:r>
          </w:p>
        </w:tc>
        <w:tc>
          <w:tcPr>
            <w:tcW w:w="5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22,184</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22,134</w:t>
            </w:r>
          </w:p>
        </w:tc>
        <w:tc>
          <w:tcPr>
            <w:tcW w:w="22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22,317</w:t>
            </w:r>
          </w:p>
        </w:tc>
        <w:tc>
          <w:tcPr>
            <w:tcW w:w="58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22,339</w:t>
            </w:r>
          </w:p>
        </w:tc>
        <w:tc>
          <w:tcPr>
            <w:tcW w:w="5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22,387</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40"/>
          </w:cols>
          <w:pgMar w:left="220" w:top="785" w:right="139"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440" w:type="dxa"/>
            <w:vAlign w:val="bottom"/>
          </w:tcPr>
          <w:p>
            <w:pPr>
              <w:spacing w:after="0"/>
              <w:rPr>
                <w:sz w:val="14"/>
                <w:szCs w:val="14"/>
                <w:color w:val="auto"/>
              </w:rPr>
            </w:pPr>
          </w:p>
        </w:tc>
        <w:tc>
          <w:tcPr>
            <w:tcW w:w="288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TWENTY-SIX WEEKS ENDED</w:t>
            </w:r>
          </w:p>
        </w:tc>
      </w:tr>
      <w:tr>
        <w:trPr>
          <w:trHeight w:val="168"/>
        </w:trPr>
        <w:tc>
          <w:tcPr>
            <w:tcW w:w="6040" w:type="dxa"/>
            <w:vAlign w:val="bottom"/>
          </w:tcPr>
          <w:p>
            <w:pPr>
              <w:spacing w:after="0"/>
              <w:rPr>
                <w:sz w:val="14"/>
                <w:szCs w:val="14"/>
                <w:color w:val="auto"/>
              </w:rPr>
            </w:pPr>
          </w:p>
        </w:tc>
        <w:tc>
          <w:tcPr>
            <w:tcW w:w="33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February 26,</w:t>
            </w:r>
          </w:p>
        </w:tc>
        <w:tc>
          <w:tcPr>
            <w:tcW w:w="14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February 27,</w:t>
            </w:r>
          </w:p>
        </w:tc>
      </w:tr>
      <w:tr>
        <w:trPr>
          <w:trHeight w:val="168"/>
        </w:trPr>
        <w:tc>
          <w:tcPr>
            <w:tcW w:w="6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w:t>
            </w:r>
          </w:p>
        </w:tc>
        <w:tc>
          <w:tcPr>
            <w:tcW w:w="56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04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24,232</w:t>
            </w:r>
          </w:p>
        </w:tc>
        <w:tc>
          <w:tcPr>
            <w:tcW w:w="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19,603</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3,144</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2,754</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receivable and other assets</w:t>
            </w:r>
          </w:p>
        </w:tc>
        <w:tc>
          <w:tcPr>
            <w:tcW w:w="4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(13,381)</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(19,045)</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inventories</w:t>
            </w:r>
          </w:p>
        </w:tc>
        <w:tc>
          <w:tcPr>
            <w:tcW w:w="4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4,522</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(4,423)</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accounts payable and accrued expenses</w:t>
            </w:r>
          </w:p>
        </w:tc>
        <w:tc>
          <w:tcPr>
            <w:tcW w:w="4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(7,443)</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2,068</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income taxes payable</w:t>
            </w:r>
          </w:p>
        </w:tc>
        <w:tc>
          <w:tcPr>
            <w:tcW w:w="4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12,608</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9,071</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postretirement benefits</w:t>
            </w:r>
          </w:p>
        </w:tc>
        <w:tc>
          <w:tcPr>
            <w:tcW w:w="4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2,966</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2,592</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 -</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604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4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26,825</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12,678</w:t>
            </w:r>
          </w:p>
        </w:tc>
      </w:tr>
      <w:tr>
        <w:trPr>
          <w:trHeight w:val="168"/>
        </w:trPr>
        <w:tc>
          <w:tcPr>
            <w:tcW w:w="604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used by investing activities: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property and equipment</w:t>
            </w:r>
          </w:p>
        </w:tc>
        <w:tc>
          <w:tcPr>
            <w:tcW w:w="4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(7,147)</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(6,216)</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dealer receivables</w:t>
            </w:r>
          </w:p>
        </w:tc>
        <w:tc>
          <w:tcPr>
            <w:tcW w:w="4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(53,635)</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(50,104)</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Collections of dealer receivables</w:t>
            </w:r>
          </w:p>
        </w:tc>
        <w:tc>
          <w:tcPr>
            <w:tcW w:w="4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46,978</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33,292</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(2,040)</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2,560</w:t>
            </w:r>
          </w:p>
        </w:tc>
      </w:tr>
      <w:tr>
        <w:trPr>
          <w:trHeight w:val="168"/>
        </w:trPr>
        <w:tc>
          <w:tcPr>
            <w:tcW w:w="604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by investing activities</w:t>
            </w:r>
          </w:p>
        </w:tc>
        <w:tc>
          <w:tcPr>
            <w:tcW w:w="4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(15,844)</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(20,468)</w:t>
            </w:r>
          </w:p>
        </w:tc>
      </w:tr>
      <w:tr>
        <w:trPr>
          <w:trHeight w:val="168"/>
        </w:trPr>
        <w:tc>
          <w:tcPr>
            <w:tcW w:w="604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used by financing activities and capital transactions: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for purchase of common stock</w:t>
            </w:r>
          </w:p>
        </w:tc>
        <w:tc>
          <w:tcPr>
            <w:tcW w:w="4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(14,490)</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(8,975)</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 of cash dividends</w:t>
            </w:r>
          </w:p>
        </w:tc>
        <w:tc>
          <w:tcPr>
            <w:tcW w:w="4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(2,189)</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(2,221)</w:t>
            </w:r>
          </w:p>
        </w:tc>
      </w:tr>
      <w:tr>
        <w:trPr>
          <w:trHeight w:val="168"/>
        </w:trPr>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1,036</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816</w:t>
            </w:r>
          </w:p>
        </w:tc>
      </w:tr>
      <w:tr>
        <w:trPr>
          <w:trHeight w:val="168"/>
        </w:trPr>
        <w:tc>
          <w:tcPr>
            <w:tcW w:w="604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by financing activities and</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transactions</w:t>
            </w:r>
          </w:p>
        </w:tc>
        <w:tc>
          <w:tcPr>
            <w:tcW w:w="4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(15,643)</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(10,380)</w:t>
            </w:r>
          </w:p>
        </w:tc>
      </w:tr>
      <w:tr>
        <w:trPr>
          <w:trHeight w:val="168"/>
        </w:trPr>
        <w:tc>
          <w:tcPr>
            <w:tcW w:w="604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 cash and cash equivalents</w:t>
            </w:r>
          </w:p>
        </w:tc>
        <w:tc>
          <w:tcPr>
            <w:tcW w:w="4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(4,662)</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(18,170)</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440" w:type="dxa"/>
            <w:vAlign w:val="bottom"/>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48,160</w:t>
            </w:r>
          </w:p>
        </w:tc>
        <w:tc>
          <w:tcPr>
            <w:tcW w:w="5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53,859</w:t>
            </w:r>
          </w:p>
        </w:tc>
      </w:tr>
      <w:tr>
        <w:trPr>
          <w:trHeight w:val="168"/>
        </w:trPr>
        <w:tc>
          <w:tcPr>
            <w:tcW w:w="604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43,498</w:t>
            </w:r>
          </w:p>
        </w:tc>
        <w:tc>
          <w:tcPr>
            <w:tcW w:w="5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35,689</w:t>
            </w:r>
          </w:p>
        </w:tc>
      </w:tr>
      <w:tr>
        <w:trPr>
          <w:trHeight w:val="168"/>
        </w:trPr>
        <w:tc>
          <w:tcPr>
            <w:tcW w:w="604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Unaudited Condensed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85" w:right="1440"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WINNEBAGO INDUSTRIES, INC.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UNAUDITED CONDENSED NOTES TO CONSOLIDATED FINANCIAL STATEMENTS</w:t>
      </w:r>
    </w:p>
    <w:p>
      <w:pPr>
        <w:spacing w:after="0" w:line="173" w:lineRule="exact"/>
        <w:rPr>
          <w:sz w:val="20"/>
          <w:szCs w:val="20"/>
          <w:color w:val="auto"/>
        </w:rPr>
      </w:pPr>
    </w:p>
    <w:p>
      <w:pPr>
        <w:ind w:left="620" w:right="3239" w:hanging="610"/>
        <w:spacing w:after="0" w:line="255" w:lineRule="auto"/>
        <w:tabs>
          <w:tab w:leader="none" w:pos="6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opinion of management, the accompanying unaudited consolidated condensed financial statements contain all adjustments, consisting of normal recurring accruals, necessary to present fairly the consolidated financial position as of February 26, 2000, the consolidated results of operations for the 26 and 13 weeks ended February 26, 2000 and February 27, 1999, and the consolidated cash flows for the 26 weeks ended February 26, 2000 and February 27, 1999. The results of operations for the 26 weeks ended February 26, 2000, are not necessarily indicative of the results to be expected for the full year. The balance sheet data as of August 28, 1999 was derived from audited financial statements, but does not include all disclosures contained in the Company's Annual Report to Shareholders for the year ended August 28, 1999. The interim consolidated financial statements should be read in conjunction with the audited financial statements and notes thereto appearing in the Company's Annual Report to Shareholders for the year ended August 28, 1999.</w:t>
      </w:r>
    </w:p>
    <w:p>
      <w:pPr>
        <w:spacing w:after="0" w:line="163" w:lineRule="exact"/>
        <w:rPr>
          <w:rFonts w:ascii="Courier New" w:cs="Courier New" w:eastAsia="Courier New" w:hAnsi="Courier New"/>
          <w:sz w:val="14"/>
          <w:szCs w:val="14"/>
          <w:color w:val="auto"/>
        </w:rPr>
      </w:pPr>
    </w:p>
    <w:p>
      <w:pPr>
        <w:ind w:left="620" w:right="3319" w:hanging="610"/>
        <w:spacing w:after="0" w:line="235"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valued at the lower of cost or market, with cost being determined under the last-in, first-out (LIFO) method and market defined as net realizable value.</w:t>
      </w:r>
    </w:p>
    <w:p>
      <w:pPr>
        <w:spacing w:after="0" w:line="167"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composed of the following (dollars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9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February 26,</w:t>
            </w:r>
          </w:p>
        </w:tc>
        <w:tc>
          <w:tcPr>
            <w:tcW w:w="20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August 28,</w:t>
            </w:r>
          </w:p>
        </w:tc>
      </w:tr>
      <w:tr>
        <w:trPr>
          <w:trHeight w:val="168"/>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88"/>
              </w:rPr>
              <w:t>2000</w:t>
            </w:r>
          </w:p>
        </w:tc>
        <w:tc>
          <w:tcPr>
            <w:tcW w:w="920" w:type="dxa"/>
            <w:vAlign w:val="bottom"/>
          </w:tcPr>
          <w:p>
            <w:pPr>
              <w:spacing w:after="0"/>
              <w:rPr>
                <w:sz w:val="14"/>
                <w:szCs w:val="14"/>
                <w:color w:val="auto"/>
              </w:rPr>
            </w:pPr>
          </w:p>
        </w:tc>
        <w:tc>
          <w:tcPr>
            <w:tcW w:w="10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9"/>
              </w:rPr>
              <w:t>1999</w:t>
            </w:r>
          </w:p>
        </w:tc>
      </w:tr>
      <w:tr>
        <w:trPr>
          <w:trHeight w:val="168"/>
        </w:trPr>
        <w:tc>
          <w:tcPr>
            <w:tcW w:w="2740" w:type="dxa"/>
            <w:vAlign w:val="bottom"/>
          </w:tcPr>
          <w:p>
            <w:pPr>
              <w:spacing w:after="0"/>
              <w:rPr>
                <w:sz w:val="14"/>
                <w:szCs w:val="14"/>
                <w:color w:val="auto"/>
              </w:rPr>
            </w:pPr>
          </w:p>
        </w:tc>
        <w:tc>
          <w:tcPr>
            <w:tcW w:w="1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30,486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25,622</w:t>
            </w: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8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23,731</w:t>
            </w:r>
          </w:p>
        </w:tc>
        <w:tc>
          <w:tcPr>
            <w:tcW w:w="9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24,822</w:t>
            </w: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8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47,546</w:t>
            </w:r>
          </w:p>
        </w:tc>
        <w:tc>
          <w:tcPr>
            <w:tcW w:w="9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55,076</w:t>
            </w:r>
          </w:p>
        </w:tc>
      </w:tr>
      <w:tr>
        <w:trPr>
          <w:trHeight w:val="168"/>
        </w:trPr>
        <w:tc>
          <w:tcPr>
            <w:tcW w:w="274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101,763</w:t>
            </w:r>
          </w:p>
        </w:tc>
        <w:tc>
          <w:tcPr>
            <w:tcW w:w="9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105,520</w:t>
            </w: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LIFO</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reserve.......................</w:t>
            </w:r>
          </w:p>
        </w:tc>
        <w:tc>
          <w:tcPr>
            <w:tcW w:w="8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(19,254)</w:t>
            </w:r>
          </w:p>
        </w:tc>
        <w:tc>
          <w:tcPr>
            <w:tcW w:w="9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(18,489)</w:t>
            </w:r>
          </w:p>
        </w:tc>
      </w:tr>
      <w:tr>
        <w:trPr>
          <w:trHeight w:val="168"/>
        </w:trPr>
        <w:tc>
          <w:tcPr>
            <w:tcW w:w="274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82,509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87,031</w:t>
            </w:r>
          </w:p>
        </w:tc>
      </w:tr>
      <w:tr>
        <w:trPr>
          <w:trHeight w:val="168"/>
        </w:trPr>
        <w:tc>
          <w:tcPr>
            <w:tcW w:w="274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620" w:right="3239" w:hanging="610"/>
        <w:spacing w:after="0" w:line="255" w:lineRule="auto"/>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March 1992, the Company has had a financing and security agreement with Bank of America Specialty Group (formerly NationsBank Specialty Lending Unit).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and continues during successive one-year periods unless either party provides at least 90-days' notice prior to the end of the one-year period to the other party that they wish to terminate the line of credit. The agreement also contains certain restrictive covenants including maintenance of minimum net worth, working capital and current ratio. As of February 26, 2000, the Company was in compliance with these financial covenants. There were no outstanding borrowings under the line of credit at February 26, 2000 or August 28, 1999.</w:t>
      </w:r>
    </w:p>
    <w:p>
      <w:pPr>
        <w:spacing w:after="0" w:line="163" w:lineRule="exact"/>
        <w:rPr>
          <w:rFonts w:ascii="Courier New" w:cs="Courier New" w:eastAsia="Courier New" w:hAnsi="Courier New"/>
          <w:sz w:val="14"/>
          <w:szCs w:val="14"/>
          <w:color w:val="auto"/>
        </w:rPr>
      </w:pPr>
    </w:p>
    <w:p>
      <w:pPr>
        <w:ind w:left="620" w:right="3239" w:hanging="610"/>
        <w:spacing w:after="0" w:line="255" w:lineRule="auto"/>
        <w:tabs>
          <w:tab w:leader="none" w:pos="6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$224,421,000 and $168,552,000 under repurchase agreements with lending institutions as of February 26, 2000 and August 28, 1999, respectively. Included in these contingent liabilities as of February 26, 2000 and August 28, 1999 are approximately $11,353,000 and $7,480,000, respectively, of certain dealer receivables subject to recourse agreements with Bank of America Specialty Group (formerly NationsBank Specialty Lending Unit) and Conseco Finance Servicing Group (formerly Green Tree Financial).</w:t>
      </w:r>
    </w:p>
    <w:p>
      <w:pPr>
        <w:spacing w:after="0" w:line="164" w:lineRule="exact"/>
        <w:rPr>
          <w:rFonts w:ascii="Courier New" w:cs="Courier New" w:eastAsia="Courier New" w:hAnsi="Courier New"/>
          <w:sz w:val="14"/>
          <w:szCs w:val="14"/>
          <w:color w:val="auto"/>
        </w:rPr>
      </w:pPr>
    </w:p>
    <w:p>
      <w:pPr>
        <w:ind w:left="620" w:right="3839" w:hanging="610"/>
        <w:spacing w:after="0" w:line="234"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periods indicated, the Company paid cash for the following (dollars in thousands):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416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TWENTY-SIX WEEKS ENDED</w:t>
            </w:r>
          </w:p>
        </w:tc>
      </w:tr>
      <w:tr>
        <w:trPr>
          <w:trHeight w:val="168"/>
        </w:trPr>
        <w:tc>
          <w:tcPr>
            <w:tcW w:w="1360" w:type="dxa"/>
            <w:vAlign w:val="bottom"/>
          </w:tcPr>
          <w:p>
            <w:pPr>
              <w:spacing w:after="0"/>
              <w:rPr>
                <w:sz w:val="14"/>
                <w:szCs w:val="14"/>
                <w:color w:val="auto"/>
              </w:rPr>
            </w:pPr>
          </w:p>
        </w:tc>
        <w:tc>
          <w:tcPr>
            <w:tcW w:w="4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22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February 26,</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February 27,</w:t>
            </w:r>
          </w:p>
        </w:tc>
      </w:tr>
      <w:tr>
        <w:trPr>
          <w:trHeight w:val="168"/>
        </w:trPr>
        <w:tc>
          <w:tcPr>
            <w:tcW w:w="1360" w:type="dxa"/>
            <w:vAlign w:val="bottom"/>
          </w:tcPr>
          <w:p>
            <w:pPr>
              <w:spacing w:after="0"/>
              <w:rPr>
                <w:sz w:val="14"/>
                <w:szCs w:val="14"/>
                <w:color w:val="auto"/>
              </w:rPr>
            </w:pPr>
          </w:p>
        </w:tc>
        <w:tc>
          <w:tcPr>
            <w:tcW w:w="228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360" w:type="dxa"/>
            <w:vAlign w:val="bottom"/>
          </w:tcPr>
          <w:p>
            <w:pPr>
              <w:spacing w:after="0"/>
              <w:rPr>
                <w:sz w:val="14"/>
                <w:szCs w:val="14"/>
                <w:color w:val="auto"/>
              </w:rPr>
            </w:pPr>
          </w:p>
        </w:tc>
        <w:tc>
          <w:tcPr>
            <w:tcW w:w="2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2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129</w:t>
            </w:r>
          </w:p>
        </w:tc>
        <w:tc>
          <w:tcPr>
            <w:tcW w:w="1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91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13,205</w:t>
            </w:r>
          </w:p>
        </w:tc>
        <w:tc>
          <w:tcPr>
            <w:tcW w:w="1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11,670</w:t>
            </w:r>
          </w:p>
        </w:tc>
      </w:tr>
      <w:tr>
        <w:trPr>
          <w:trHeight w:val="505"/>
        </w:trPr>
        <w:tc>
          <w:tcPr>
            <w:tcW w:w="1360" w:type="dxa"/>
            <w:vAlign w:val="bottom"/>
          </w:tcPr>
          <w:p>
            <w:pPr>
              <w:spacing w:after="0"/>
              <w:rPr>
                <w:sz w:val="24"/>
                <w:szCs w:val="24"/>
                <w:color w:val="auto"/>
              </w:rPr>
            </w:pPr>
          </w:p>
        </w:tc>
        <w:tc>
          <w:tcPr>
            <w:tcW w:w="2280" w:type="dxa"/>
            <w:vAlign w:val="bottom"/>
          </w:tcPr>
          <w:p>
            <w:pPr>
              <w:ind w:left="920"/>
              <w:spacing w:after="0"/>
              <w:rPr>
                <w:sz w:val="20"/>
                <w:szCs w:val="20"/>
                <w:color w:val="auto"/>
              </w:rPr>
            </w:pPr>
            <w:r>
              <w:rPr>
                <w:rFonts w:ascii="Courier New" w:cs="Courier New" w:eastAsia="Courier New" w:hAnsi="Courier New"/>
                <w:sz w:val="15"/>
                <w:szCs w:val="15"/>
                <w:color w:val="auto"/>
              </w:rPr>
              <w:t>5</w:t>
            </w:r>
          </w:p>
        </w:tc>
        <w:tc>
          <w:tcPr>
            <w:tcW w:w="1880" w:type="dxa"/>
            <w:vAlign w:val="bottom"/>
          </w:tcPr>
          <w:p>
            <w:pPr>
              <w:spacing w:after="0"/>
              <w:rPr>
                <w:sz w:val="24"/>
                <w:szCs w:val="24"/>
                <w:color w:val="auto"/>
              </w:rPr>
            </w:pPr>
          </w:p>
        </w:tc>
      </w:tr>
    </w:tbl>
    <w:p>
      <w:pPr>
        <w:sectPr>
          <w:pgSz w:w="11900" w:h="16838" w:orient="portrait"/>
          <w:cols w:equalWidth="0" w:num="1">
            <w:col w:w="10239"/>
          </w:cols>
          <w:pgMar w:left="220" w:top="1122" w:right="1440" w:bottom="517" w:gutter="0" w:footer="0" w:header="0"/>
        </w:sectPr>
      </w:pPr>
    </w:p>
    <w:bookmarkStart w:id="6" w:name="page7"/>
    <w:bookmarkEnd w:id="6"/>
    <w:p>
      <w:pPr>
        <w:ind w:left="610" w:right="4380" w:hanging="610"/>
        <w:spacing w:after="0" w:line="255" w:lineRule="auto"/>
        <w:tabs>
          <w:tab w:leader="none" w:pos="61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9, 2000, the Company completed the repurchase of outstanding shares of its common stock authorized by the Board of Directors on June 17, 1999. Under this repurchase program, 820,675 shares were repurchased for an aggregate consideration of approximately $15,000,000. On March 15, 2000, the Board of Directors authorized the repurchase of outstanding shares of the Company's common stock for an aggregate purchase price of up to $15,000,000. Between December 30, 1997 and March 9, 2000, the Company repurchased 4,494,098 shares of its outstanding common stock.</w:t>
      </w:r>
    </w:p>
    <w:p>
      <w:pPr>
        <w:spacing w:after="0" w:line="165" w:lineRule="exact"/>
        <w:rPr>
          <w:rFonts w:ascii="Courier New" w:cs="Courier New" w:eastAsia="Courier New" w:hAnsi="Courier New"/>
          <w:sz w:val="14"/>
          <w:szCs w:val="14"/>
          <w:color w:val="auto"/>
        </w:rPr>
      </w:pPr>
    </w:p>
    <w:p>
      <w:pPr>
        <w:ind w:left="610" w:right="4640" w:hanging="610"/>
        <w:spacing w:after="0" w:line="235" w:lineRule="auto"/>
        <w:tabs>
          <w:tab w:leader="none" w:pos="6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reflects the calculation of basic and diluted earnings per share for the 13 and 26 weeks ended February 26, 2000 and February 27, 1999:</w:t>
      </w:r>
    </w:p>
    <w:p>
      <w:pPr>
        <w:spacing w:after="0" w:line="200" w:lineRule="exact"/>
        <w:rPr>
          <w:sz w:val="20"/>
          <w:szCs w:val="20"/>
          <w:color w:val="auto"/>
        </w:rPr>
      </w:pPr>
    </w:p>
    <w:p>
      <w:pPr>
        <w:spacing w:after="0" w:line="304"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THIRTEEN WEEKS ENDED</w:t>
            </w:r>
          </w:p>
        </w:tc>
        <w:tc>
          <w:tcPr>
            <w:tcW w:w="780" w:type="dxa"/>
            <w:vAlign w:val="bottom"/>
          </w:tcPr>
          <w:p>
            <w:pPr>
              <w:spacing w:after="0"/>
              <w:rPr>
                <w:sz w:val="14"/>
                <w:szCs w:val="14"/>
                <w:color w:val="auto"/>
              </w:rPr>
            </w:pPr>
          </w:p>
        </w:tc>
        <w:tc>
          <w:tcPr>
            <w:tcW w:w="2800" w:type="dxa"/>
            <w:vAlign w:val="bottom"/>
            <w:gridSpan w:val="3"/>
          </w:tcPr>
          <w:p>
            <w:pPr>
              <w:ind w:left="800"/>
              <w:spacing w:after="0"/>
              <w:rPr>
                <w:sz w:val="20"/>
                <w:szCs w:val="20"/>
                <w:color w:val="auto"/>
              </w:rPr>
            </w:pPr>
            <w:r>
              <w:rPr>
                <w:rFonts w:ascii="Courier New" w:cs="Courier New" w:eastAsia="Courier New" w:hAnsi="Courier New"/>
                <w:sz w:val="15"/>
                <w:szCs w:val="15"/>
                <w:color w:val="auto"/>
                <w:w w:val="99"/>
              </w:rPr>
              <w:t>TWENTY-SIX WEEKS ENDED</w:t>
            </w:r>
          </w:p>
        </w:tc>
        <w:tc>
          <w:tcPr>
            <w:tcW w:w="62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820" w:type="dxa"/>
            <w:vAlign w:val="bottom"/>
            <w:gridSpan w:val="2"/>
          </w:tcPr>
          <w:p>
            <w:pPr>
              <w:ind w:left="220"/>
              <w:spacing w:after="0"/>
              <w:rPr>
                <w:sz w:val="20"/>
                <w:szCs w:val="20"/>
                <w:color w:val="auto"/>
              </w:rPr>
            </w:pPr>
            <w:r>
              <w:rPr>
                <w:rFonts w:ascii="Courier New" w:cs="Courier New" w:eastAsia="Courier New" w:hAnsi="Courier New"/>
                <w:sz w:val="9"/>
                <w:szCs w:val="9"/>
                <w:color w:val="auto"/>
                <w:w w:val="76"/>
              </w:rPr>
              <w:t>--------------------------------------</w:t>
            </w: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spacing w:after="0"/>
              <w:rPr>
                <w:sz w:val="14"/>
                <w:szCs w:val="14"/>
                <w:color w:val="auto"/>
              </w:rPr>
            </w:pPr>
          </w:p>
        </w:tc>
        <w:tc>
          <w:tcPr>
            <w:tcW w:w="182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FEBRUARY 26,</w:t>
            </w:r>
          </w:p>
        </w:tc>
        <w:tc>
          <w:tcPr>
            <w:tcW w:w="18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FEBRUARY 27,</w:t>
            </w:r>
          </w:p>
        </w:tc>
        <w:tc>
          <w:tcPr>
            <w:tcW w:w="18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FEBRUARY 26,</w:t>
            </w:r>
          </w:p>
        </w:tc>
        <w:tc>
          <w:tcPr>
            <w:tcW w:w="15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FEBRUARY 27,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8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w w:val="88"/>
              </w:rPr>
              <w:t>1999</w:t>
            </w:r>
          </w:p>
        </w:tc>
        <w:tc>
          <w:tcPr>
            <w:tcW w:w="780" w:type="dxa"/>
            <w:vAlign w:val="bottom"/>
          </w:tcPr>
          <w:p>
            <w:pPr>
              <w:spacing w:after="0"/>
              <w:rPr>
                <w:sz w:val="14"/>
                <w:szCs w:val="14"/>
                <w:color w:val="auto"/>
              </w:rPr>
            </w:pP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4"/>
              </w:rPr>
              <w:t>2000</w:t>
            </w:r>
          </w:p>
        </w:tc>
        <w:tc>
          <w:tcPr>
            <w:tcW w:w="780" w:type="dxa"/>
            <w:vAlign w:val="bottom"/>
          </w:tcPr>
          <w:p>
            <w:pPr>
              <w:spacing w:after="0"/>
              <w:rPr>
                <w:sz w:val="14"/>
                <w:szCs w:val="14"/>
                <w:color w:val="auto"/>
              </w:rPr>
            </w:pPr>
          </w:p>
        </w:tc>
        <w:tc>
          <w:tcPr>
            <w:tcW w:w="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88"/>
              </w:rPr>
              <w:t>1999</w:t>
            </w:r>
          </w:p>
        </w:tc>
        <w:tc>
          <w:tcPr>
            <w:tcW w:w="62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EARNINGS PER SHARE - BASIC:</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11,851</w:t>
            </w:r>
          </w:p>
        </w:tc>
        <w:tc>
          <w:tcPr>
            <w:tcW w:w="110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9,954</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24,232</w:t>
            </w:r>
          </w:p>
        </w:tc>
        <w:tc>
          <w:tcPr>
            <w:tcW w:w="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19,603</w:t>
            </w:r>
          </w:p>
        </w:tc>
      </w:tr>
      <w:tr>
        <w:trPr>
          <w:trHeight w:val="168"/>
        </w:trPr>
        <w:tc>
          <w:tcPr>
            <w:tcW w:w="3640" w:type="dxa"/>
            <w:vAlign w:val="bottom"/>
          </w:tcPr>
          <w:p>
            <w:pPr>
              <w:spacing w:after="0"/>
              <w:rPr>
                <w:sz w:val="14"/>
                <w:szCs w:val="14"/>
                <w:color w:val="auto"/>
              </w:rPr>
            </w:pPr>
          </w:p>
        </w:tc>
        <w:tc>
          <w:tcPr>
            <w:tcW w:w="1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9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21,765</w:t>
            </w:r>
          </w:p>
        </w:tc>
        <w:tc>
          <w:tcPr>
            <w:tcW w:w="11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22,145</w:t>
            </w:r>
          </w:p>
        </w:tc>
        <w:tc>
          <w:tcPr>
            <w:tcW w:w="10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21,946</w:t>
            </w:r>
          </w:p>
        </w:tc>
        <w:tc>
          <w:tcPr>
            <w:tcW w:w="9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22,184</w:t>
            </w:r>
          </w:p>
        </w:tc>
      </w:tr>
      <w:tr>
        <w:trPr>
          <w:trHeight w:val="168"/>
        </w:trPr>
        <w:tc>
          <w:tcPr>
            <w:tcW w:w="3640" w:type="dxa"/>
            <w:vAlign w:val="bottom"/>
          </w:tcPr>
          <w:p>
            <w:pPr>
              <w:spacing w:after="0"/>
              <w:rPr>
                <w:sz w:val="14"/>
                <w:szCs w:val="14"/>
                <w:color w:val="auto"/>
              </w:rPr>
            </w:pPr>
          </w:p>
        </w:tc>
        <w:tc>
          <w:tcPr>
            <w:tcW w:w="1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 - basic</w:t>
            </w:r>
          </w:p>
        </w:tc>
        <w:tc>
          <w:tcPr>
            <w:tcW w:w="92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1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3640" w:type="dxa"/>
            <w:vAlign w:val="bottom"/>
          </w:tcPr>
          <w:p>
            <w:pPr>
              <w:spacing w:after="0"/>
              <w:rPr>
                <w:sz w:val="14"/>
                <w:szCs w:val="14"/>
                <w:color w:val="auto"/>
              </w:rPr>
            </w:pPr>
          </w:p>
        </w:tc>
        <w:tc>
          <w:tcPr>
            <w:tcW w:w="1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EARNINGS PER SHARE - ASSUMING DILUTION:</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11,851</w:t>
            </w:r>
          </w:p>
        </w:tc>
        <w:tc>
          <w:tcPr>
            <w:tcW w:w="110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9,954</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24,232</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19,603</w:t>
            </w:r>
          </w:p>
        </w:tc>
      </w:tr>
      <w:tr>
        <w:trPr>
          <w:trHeight w:val="168"/>
        </w:trPr>
        <w:tc>
          <w:tcPr>
            <w:tcW w:w="3640" w:type="dxa"/>
            <w:vAlign w:val="bottom"/>
          </w:tcPr>
          <w:p>
            <w:pPr>
              <w:spacing w:after="0"/>
              <w:rPr>
                <w:sz w:val="14"/>
                <w:szCs w:val="14"/>
                <w:color w:val="auto"/>
              </w:rPr>
            </w:pPr>
          </w:p>
        </w:tc>
        <w:tc>
          <w:tcPr>
            <w:tcW w:w="1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9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21,765</w:t>
            </w:r>
          </w:p>
        </w:tc>
        <w:tc>
          <w:tcPr>
            <w:tcW w:w="11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22,145</w:t>
            </w:r>
          </w:p>
        </w:tc>
        <w:tc>
          <w:tcPr>
            <w:tcW w:w="10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21,946</w:t>
            </w:r>
          </w:p>
        </w:tc>
        <w:tc>
          <w:tcPr>
            <w:tcW w:w="9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22,184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impact of options outstanding</w:t>
            </w:r>
          </w:p>
        </w:tc>
        <w:tc>
          <w:tcPr>
            <w:tcW w:w="9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369</w:t>
            </w:r>
          </w:p>
        </w:tc>
        <w:tc>
          <w:tcPr>
            <w:tcW w:w="11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w:t>
            </w:r>
          </w:p>
        </w:tc>
        <w:tc>
          <w:tcPr>
            <w:tcW w:w="10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393</w:t>
            </w:r>
          </w:p>
        </w:tc>
        <w:tc>
          <w:tcPr>
            <w:tcW w:w="9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w:t>
            </w:r>
          </w:p>
        </w:tc>
      </w:tr>
      <w:tr>
        <w:trPr>
          <w:trHeight w:val="168"/>
        </w:trPr>
        <w:tc>
          <w:tcPr>
            <w:tcW w:w="3640" w:type="dxa"/>
            <w:vAlign w:val="bottom"/>
          </w:tcPr>
          <w:p>
            <w:pPr>
              <w:spacing w:after="0"/>
              <w:rPr>
                <w:sz w:val="14"/>
                <w:szCs w:val="14"/>
                <w:color w:val="auto"/>
              </w:rPr>
            </w:pPr>
          </w:p>
        </w:tc>
        <w:tc>
          <w:tcPr>
            <w:tcW w:w="1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&amp; potential</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dilutive shares outstanding</w:t>
            </w:r>
          </w:p>
        </w:tc>
        <w:tc>
          <w:tcPr>
            <w:tcW w:w="92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22,134</w:t>
            </w:r>
          </w:p>
        </w:tc>
        <w:tc>
          <w:tcPr>
            <w:tcW w:w="11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22,317</w:t>
            </w:r>
          </w:p>
        </w:tc>
        <w:tc>
          <w:tcPr>
            <w:tcW w:w="10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22,339</w:t>
            </w:r>
          </w:p>
        </w:tc>
        <w:tc>
          <w:tcPr>
            <w:tcW w:w="9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22,387</w:t>
            </w:r>
          </w:p>
        </w:tc>
      </w:tr>
      <w:tr>
        <w:trPr>
          <w:trHeight w:val="168"/>
        </w:trPr>
        <w:tc>
          <w:tcPr>
            <w:tcW w:w="3640" w:type="dxa"/>
            <w:vAlign w:val="bottom"/>
          </w:tcPr>
          <w:p>
            <w:pPr>
              <w:spacing w:after="0"/>
              <w:rPr>
                <w:sz w:val="14"/>
                <w:szCs w:val="14"/>
                <w:color w:val="auto"/>
              </w:rPr>
            </w:pPr>
          </w:p>
        </w:tc>
        <w:tc>
          <w:tcPr>
            <w:tcW w:w="1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 - assuming dilution</w:t>
            </w:r>
          </w:p>
        </w:tc>
        <w:tc>
          <w:tcPr>
            <w:tcW w:w="92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1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w:t>
            </w:r>
          </w:p>
        </w:tc>
        <w:tc>
          <w:tcPr>
            <w:tcW w:w="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3640" w:type="dxa"/>
            <w:vAlign w:val="bottom"/>
          </w:tcPr>
          <w:p>
            <w:pPr>
              <w:spacing w:after="0"/>
              <w:rPr>
                <w:sz w:val="14"/>
                <w:szCs w:val="14"/>
                <w:color w:val="auto"/>
              </w:rPr>
            </w:pPr>
          </w:p>
        </w:tc>
        <w:tc>
          <w:tcPr>
            <w:tcW w:w="1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41" w:lineRule="exact"/>
        <w:rPr>
          <w:sz w:val="20"/>
          <w:szCs w:val="20"/>
          <w:color w:val="auto"/>
        </w:rPr>
      </w:pPr>
    </w:p>
    <w:p>
      <w:pPr>
        <w:ind w:left="610" w:right="4460"/>
        <w:spacing w:after="0" w:line="256" w:lineRule="auto"/>
        <w:rPr>
          <w:sz w:val="20"/>
          <w:szCs w:val="20"/>
          <w:color w:val="auto"/>
        </w:rPr>
      </w:pPr>
      <w:r>
        <w:rPr>
          <w:rFonts w:ascii="Courier New" w:cs="Courier New" w:eastAsia="Courier New" w:hAnsi="Courier New"/>
          <w:sz w:val="14"/>
          <w:szCs w:val="14"/>
          <w:color w:val="auto"/>
        </w:rPr>
        <w:t>There were options to purchase 14,000 shares of common stock outstanding at a price of $15.1875 per share during the 13 weeks ended February 27, 1999. These options were not included in the computation of diluted earnings per share because the options' exercise price was greater than the average market price of the common shares.</w:t>
      </w:r>
    </w:p>
    <w:p>
      <w:pPr>
        <w:spacing w:after="0" w:line="163" w:lineRule="exact"/>
        <w:rPr>
          <w:sz w:val="20"/>
          <w:szCs w:val="20"/>
          <w:color w:val="auto"/>
        </w:rPr>
      </w:pPr>
    </w:p>
    <w:p>
      <w:pPr>
        <w:ind w:left="610" w:right="4380" w:hanging="610"/>
        <w:spacing w:after="0" w:line="255" w:lineRule="auto"/>
        <w:tabs>
          <w:tab w:leader="none" w:pos="61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defines its operations into two business segments: Recreational vehicles and other manufactured products and dealer financing. Recreation vehicles and other manufactured products includes all data relative to the manufacturing and selling of the Company's Class A, B and C motor home products as well as sales of component products for other manufacturers and recreation vehicle related parts and service revenue. Dealer financing includes floorplan unit financing for the Company's dealers whom have limited floorplan financing resources. Management focuses on operating income as a segment's measure of profit or loss when evaluating a segment's financial performance. Operating income is before interest expense, interest income, and income taxes. A variety of balance sheet ratios are used by management to measure the business. Identifiable assets are those assets used in the operations of each industry segment. General corporate assets consist of cash and cash equivalents, deferred income taxes and other corporate assets not related to the two business segments. General corporate income and expenses include administrative costs. Inter-segment sales and expenses are not significant.</w:t>
      </w:r>
    </w:p>
    <w:p>
      <w:pPr>
        <w:spacing w:after="0" w:line="331" w:lineRule="exact"/>
        <w:rPr>
          <w:rFonts w:ascii="Courier New" w:cs="Courier New" w:eastAsia="Courier New" w:hAnsi="Courier New"/>
          <w:sz w:val="14"/>
          <w:szCs w:val="14"/>
          <w:color w:val="auto"/>
        </w:rPr>
      </w:pPr>
    </w:p>
    <w:p>
      <w:pPr>
        <w:ind w:left="610" w:right="490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For the 26 weeks ended February 26, 2000 and February 27, 1999, the Company's segment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10"/>
        <w:spacing w:after="0"/>
        <w:rPr>
          <w:sz w:val="20"/>
          <w:szCs w:val="20"/>
          <w:color w:val="auto"/>
        </w:rPr>
      </w:pPr>
      <w:r>
        <w:rPr>
          <w:rFonts w:ascii="Courier New" w:cs="Courier New" w:eastAsia="Courier New" w:hAnsi="Courier New"/>
          <w:sz w:val="15"/>
          <w:szCs w:val="15"/>
          <w:color w:val="auto"/>
        </w:rPr>
        <w:t>RECREATION VEHICLES &amp;</w:t>
      </w:r>
    </w:p>
    <w:p>
      <w:pPr>
        <w:ind w:left="4990"/>
        <w:spacing w:after="0"/>
        <w:tabs>
          <w:tab w:leader="none" w:pos="7150" w:val="left"/>
          <w:tab w:leader="none" w:pos="8470" w:val="left"/>
        </w:tabs>
        <w:rPr>
          <w:sz w:val="20"/>
          <w:szCs w:val="20"/>
          <w:color w:val="auto"/>
        </w:rPr>
      </w:pPr>
      <w:r>
        <w:rPr>
          <w:rFonts w:ascii="Courier New" w:cs="Courier New" w:eastAsia="Courier New" w:hAnsi="Courier New"/>
          <w:sz w:val="15"/>
          <w:szCs w:val="15"/>
          <w:color w:val="auto"/>
        </w:rPr>
        <w:t>OTHER MANUFACTURED</w:t>
      </w:r>
      <w:r>
        <w:rPr>
          <w:sz w:val="20"/>
          <w:szCs w:val="20"/>
          <w:color w:val="auto"/>
        </w:rPr>
        <w:tab/>
      </w:r>
      <w:r>
        <w:rPr>
          <w:rFonts w:ascii="Courier New" w:cs="Courier New" w:eastAsia="Courier New" w:hAnsi="Courier New"/>
          <w:sz w:val="15"/>
          <w:szCs w:val="15"/>
          <w:color w:val="auto"/>
        </w:rPr>
        <w:t>DEALER</w:t>
      </w:r>
      <w:r>
        <w:rPr>
          <w:sz w:val="20"/>
          <w:szCs w:val="20"/>
          <w:color w:val="auto"/>
        </w:rPr>
        <w:tab/>
      </w:r>
      <w:r>
        <w:rPr>
          <w:rFonts w:ascii="Courier New" w:cs="Courier New" w:eastAsia="Courier New" w:hAnsi="Courier New"/>
          <w:sz w:val="14"/>
          <w:szCs w:val="14"/>
          <w:color w:val="auto"/>
        </w:rPr>
        <w:t>GENERAL</w:t>
      </w:r>
    </w:p>
    <w:p>
      <w:pPr>
        <w:ind w:left="430"/>
        <w:spacing w:after="0"/>
        <w:tabs>
          <w:tab w:leader="none" w:pos="5410" w:val="left"/>
          <w:tab w:leader="none" w:pos="7070" w:val="left"/>
          <w:tab w:leader="none" w:pos="8370" w:val="left"/>
          <w:tab w:leader="none" w:pos="1003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FINANCING</w:t>
      </w:r>
      <w:r>
        <w:rPr>
          <w:sz w:val="20"/>
          <w:szCs w:val="20"/>
          <w:color w:val="auto"/>
        </w:rPr>
        <w:tab/>
      </w: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4"/>
          <w:szCs w:val="14"/>
          <w:color w:val="auto"/>
        </w:rPr>
        <w:t>TOTAL</w:t>
      </w:r>
    </w:p>
    <w:p>
      <w:pPr>
        <w:ind w:left="430"/>
        <w:spacing w:after="0" w:line="237" w:lineRule="auto"/>
        <w:rPr>
          <w:sz w:val="20"/>
          <w:szCs w:val="20"/>
          <w:color w:val="auto"/>
        </w:rPr>
      </w:pPr>
      <w:r>
        <w:rPr>
          <w:rFonts w:ascii="Courier New" w:cs="Courier New" w:eastAsia="Courier New" w:hAnsi="Courier New"/>
          <w:sz w:val="15"/>
          <w:szCs w:val="15"/>
          <w:color w:val="auto"/>
        </w:rPr>
        <w:t>------------------------------------------------- ----------------------- -------------- --------------- ----------------</w:t>
      </w:r>
    </w:p>
    <w:p>
      <w:pPr>
        <w:spacing w:after="0" w:line="167"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26 WEEKS ENDED FEBRUARY 26, 2000</w:t>
            </w:r>
          </w:p>
        </w:tc>
        <w:tc>
          <w:tcPr>
            <w:tcW w:w="2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2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$ 367,900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1,795</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$ 369,695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2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33,808</w:t>
            </w:r>
          </w:p>
        </w:tc>
        <w:tc>
          <w:tcPr>
            <w:tcW w:w="6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1,739</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35,063</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2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183,520</w:t>
            </w:r>
          </w:p>
        </w:tc>
        <w:tc>
          <w:tcPr>
            <w:tcW w:w="6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32,466</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86,905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302,891</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26 WEEKS ENDED FEBRUARY 27, 1999</w:t>
            </w:r>
          </w:p>
        </w:tc>
        <w:tc>
          <w:tcPr>
            <w:tcW w:w="2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revenues</w:t>
            </w:r>
          </w:p>
        </w:tc>
        <w:tc>
          <w:tcPr>
            <w:tcW w:w="2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$ 310,389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1,407</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$ 311,796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2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26,359</w:t>
            </w:r>
          </w:p>
        </w:tc>
        <w:tc>
          <w:tcPr>
            <w:tcW w:w="6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2,397</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28,666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2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149,375</w:t>
            </w:r>
          </w:p>
        </w:tc>
        <w:tc>
          <w:tcPr>
            <w:tcW w:w="66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30,710</w:t>
            </w:r>
          </w:p>
        </w:tc>
        <w:tc>
          <w:tcPr>
            <w:tcW w:w="4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73,740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253,825</w:t>
            </w:r>
          </w:p>
        </w:tc>
      </w:tr>
    </w:tbl>
    <w:p>
      <w:pPr>
        <w:sectPr>
          <w:pgSz w:w="11900" w:h="16838" w:orient="portrait"/>
          <w:cols w:equalWidth="0" w:num="1">
            <w:col w:w="11370"/>
          </w:cols>
          <w:pgMar w:left="230" w:top="960" w:right="299" w:bottom="685" w:gutter="0" w:footer="0" w:header="0"/>
        </w:sectPr>
      </w:pPr>
    </w:p>
    <w:bookmarkStart w:id="7" w:name="page8"/>
    <w:bookmarkEnd w:id="7"/>
    <w:p>
      <w:pPr>
        <w:ind w:left="220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9019"/>
          </w:cols>
          <w:pgMar w:left="1440" w:top="31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Item 2.</w:t>
      </w:r>
    </w:p>
    <w:p>
      <w:pPr>
        <w:jc w:val="center"/>
        <w:ind w:right="3139"/>
        <w:spacing w:after="0" w:line="237" w:lineRule="auto"/>
        <w:rPr>
          <w:sz w:val="20"/>
          <w:szCs w:val="20"/>
          <w:color w:val="auto"/>
        </w:rPr>
      </w:pPr>
      <w:r>
        <w:rPr>
          <w:rFonts w:ascii="Courier New" w:cs="Courier New" w:eastAsia="Courier New" w:hAnsi="Courier New"/>
          <w:sz w:val="15"/>
          <w:szCs w:val="15"/>
          <w:color w:val="auto"/>
        </w:rPr>
        <w:t>MANAGEMENT'S DISCUSSION AND ANALYSIS OF FINANCIAL CONDITION</w:t>
      </w:r>
    </w:p>
    <w:p>
      <w:pPr>
        <w:jc w:val="center"/>
        <w:ind w:right="3139"/>
        <w:spacing w:after="0" w:line="238" w:lineRule="auto"/>
        <w:rPr>
          <w:sz w:val="20"/>
          <w:szCs w:val="20"/>
          <w:color w:val="auto"/>
        </w:rPr>
      </w:pPr>
      <w:r>
        <w:rPr>
          <w:rFonts w:ascii="Courier New" w:cs="Courier New" w:eastAsia="Courier New" w:hAnsi="Courier New"/>
          <w:sz w:val="15"/>
          <w:szCs w:val="15"/>
          <w:color w:val="auto"/>
        </w:rPr>
        <w:t>AND RESULTS OF OPERATIONS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Thirteen Weeks Ended February 26, 2000 Compared to Thirteen Weeks Ended February 27, 1999</w:t>
      </w:r>
    </w:p>
    <w:p>
      <w:pPr>
        <w:spacing w:after="0" w:line="173"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Net revenues for manufactured products for the 13 weeks ended February 26, 2000 were $186,219,000, an increase of $32,913,000 or 21.5 percent from the 13-week period ended February 27, 1999. Motor home shipments (Class A and C) during the second quarter of fiscal 2000 were 2,592 units, an increase of 307 units, or</w:t>
      </w:r>
    </w:p>
    <w:p>
      <w:pPr>
        <w:spacing w:after="0" w:line="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13.4 percent, compared to the second quarter of fiscal 1999. As a result of the Company's shipments of more units with slideout features and a greater number of higher priced diesel-powered Class A vehicles, the percentage increase in net revenues for manufactured products in the second quarter of fiscal 2000 was greater than the percentage increase in motor home shipments for that period. Even though there have been recent increases in fuel costs and interest rates, the Company remains guardedly optimistic about continued sales growth due to excellent traffic at early spring RV shows and current retail sales levels. Order backlog for the Company's Class A and Class C motor homes was approximately 2,500 orders and 3,300 orders at February 26, 2000 and February 27, 1999, respectively.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Net revenues for dealer financing of Winnebago Acceptance Corporation (WAC) were $925,000 for the 13 weeks ended February 26, 2000, an increase of $99,000 or</w:t>
      </w:r>
    </w:p>
    <w:p>
      <w:pPr>
        <w:spacing w:after="0" w:line="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12.0 percent from the 13-week period ended February 27, 1999. Increased revenues for dealer financing reflect an increase in interest rates charged and to a lesser extent an increase in average dealer receivable balances when comparing the second quarter of fiscal 2000 to the comparable period of fiscal 1999.</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Gross profit, as a percent of net revenues, was 16.5 percent for the 13 weeks ended February 26, 2000 compared to 15.8 percent for the 13 weeks ended February 27, 1999. The Company's gross profit percentage increased as a result of increased volume of motor home production and shipments and a favorable product mix change during the second quarter of fiscal 2000.</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Selling and delivery expenses were $5,641,000 or 3.0 percent of net revenues during the second quarter of fiscal 2000 compared to $5,494,000 or 3.6 percent of net revenues during the second quarter of fiscal 1999. The increase in dollars can be attributed primarily to increases in the Company's promotional programs. Increased sales volume, during the 13 weeks ended February 26, 2000, contributed to the decrease in percentage.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General and administrative expenses were $8,148,000 or 4.4 percent of net revenues during the 13 weeks ended February 26, 2000 compared to $4,289,000 or 2.8 percent of net revenues during the 13 weeks ended February 27, 1999. The increases in both dollars and percentages in general and administrative expenses when comparing the two quarters were primarily due to increases in Company-wide employee incentive programs and increases in the Company's legal costs recorded during the thirteen weeks ended February 26, 2000. Also impacting the increase between the two quarters was monies the Company received and recorded during the second quarter of fiscal 1999 on a previously fully-reserved receivable.</w:t>
      </w:r>
    </w:p>
    <w:p>
      <w:pPr>
        <w:spacing w:after="0" w:line="16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Company had net financial income of $905,000 for the second quarter of fiscal 2000 compared to net financial income of $565,000 for the comparable quarter of fiscal 1999. The increase in net financial income when comparing the two periods was attributed primarily to an increase in net interest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For the second quarter of fiscal</w:t>
            </w:r>
          </w:p>
        </w:tc>
        <w:tc>
          <w:tcPr>
            <w:tcW w:w="3320" w:type="dxa"/>
            <w:vAlign w:val="bottom"/>
          </w:tcPr>
          <w:p>
            <w:pPr>
              <w:ind w:left="40"/>
              <w:spacing w:after="0"/>
              <w:rPr>
                <w:sz w:val="20"/>
                <w:szCs w:val="20"/>
                <w:color w:val="auto"/>
              </w:rPr>
            </w:pPr>
            <w:r>
              <w:rPr>
                <w:rFonts w:ascii="Courier New" w:cs="Courier New" w:eastAsia="Courier New" w:hAnsi="Courier New"/>
                <w:sz w:val="15"/>
                <w:szCs w:val="15"/>
                <w:color w:val="auto"/>
              </w:rPr>
              <w:t>2000, the Company had net income of</w:t>
            </w:r>
          </w:p>
        </w:tc>
        <w:tc>
          <w:tcPr>
            <w:tcW w:w="82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$11,851,000, or $.54 per diluted</w:t>
            </w:r>
          </w:p>
        </w:tc>
        <w:tc>
          <w:tcPr>
            <w:tcW w:w="3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share, compared to the second quarter</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of fiscal</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1999's net income of $9,954,000,</w:t>
            </w:r>
          </w:p>
        </w:tc>
        <w:tc>
          <w:tcPr>
            <w:tcW w:w="3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or $.45 per diluted share. Net income</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6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earnings per diluted share increased by 19.1 percent and 20.0 percent,</w:t>
            </w:r>
          </w:p>
        </w:tc>
        <w:tc>
          <w:tcPr>
            <w:tcW w:w="82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respectively, when comparing the</w:t>
            </w:r>
          </w:p>
        </w:tc>
        <w:tc>
          <w:tcPr>
            <w:tcW w:w="4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second quarter of fiscal 2000 to the second</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 of fiscal 1999.</w:t>
            </w:r>
          </w:p>
        </w:tc>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2860" w:type="dxa"/>
            <w:vAlign w:val="bottom"/>
          </w:tcPr>
          <w:p>
            <w:pPr>
              <w:spacing w:after="0"/>
              <w:rPr>
                <w:sz w:val="24"/>
                <w:szCs w:val="24"/>
                <w:color w:val="auto"/>
              </w:rPr>
            </w:pPr>
          </w:p>
        </w:tc>
        <w:tc>
          <w:tcPr>
            <w:tcW w:w="3320" w:type="dxa"/>
            <w:vAlign w:val="bottom"/>
          </w:tcPr>
          <w:p>
            <w:pPr>
              <w:ind w:left="560"/>
              <w:spacing w:after="0"/>
              <w:rPr>
                <w:sz w:val="20"/>
                <w:szCs w:val="20"/>
                <w:color w:val="auto"/>
              </w:rPr>
            </w:pPr>
            <w:r>
              <w:rPr>
                <w:rFonts w:ascii="Courier New" w:cs="Courier New" w:eastAsia="Courier New" w:hAnsi="Courier New"/>
                <w:sz w:val="15"/>
                <w:szCs w:val="15"/>
                <w:color w:val="auto"/>
              </w:rPr>
              <w:t>7</w:t>
            </w:r>
          </w:p>
        </w:tc>
        <w:tc>
          <w:tcPr>
            <w:tcW w:w="82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9" w:name="page10"/>
    <w:bookmarkEnd w:id="9"/>
    <w:p>
      <w:pPr>
        <w:ind w:right="3679"/>
        <w:spacing w:after="0" w:line="234" w:lineRule="auto"/>
        <w:rPr>
          <w:sz w:val="20"/>
          <w:szCs w:val="20"/>
          <w:color w:val="auto"/>
        </w:rPr>
      </w:pPr>
      <w:r>
        <w:rPr>
          <w:rFonts w:ascii="Courier New" w:cs="Courier New" w:eastAsia="Courier New" w:hAnsi="Courier New"/>
          <w:sz w:val="15"/>
          <w:szCs w:val="15"/>
          <w:color w:val="auto"/>
        </w:rPr>
        <w:t>Twenty-Six Weeks Ended February 26, 2000 Compared to Twenty-Six Weeks Ended February 27, 1999</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Net revenues for manufactured products for the 26 weeks ended February 26, 2000 were $367,900,000, an increase of $57,511,000, or 18.5 percent from the 26-week period ended February 27, 1999. Motor home shipments (Class A and C) were 5,217 units, an increase of 466 units, or 9.8 percent, during the 26 weeks ended February 26, 2000 when compared to the 26 weeks ended February 27, 1999. The difference in percentages when comparing the percent increase in revenue for manufactured products for the first half of fiscal 2000 to the percent increase in unit shipments for the first half of fiscal 2000 was caused by the shipments of more units with slideout features and greater number of higher priced diesel-powered Class A vehicles. Industry demand for motorized recreation vehicles remained strong during the 26 weeks ended February 26, 2000 and the Company's 2000 products continue to be well received by dealers and retail customers.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Net revenues for dealer financing of WAC were $1,795,000 for the 26 weeks ended February 26, 2000, an increase of $388,000 or 27.6 percent from the 26 weeks ended February 27, 1999. Increased revenues for dealer financing reflect an increase in average dealer receivable balances and to a lesser extent, an increase in interest rates charged when comparing the first half of fiscal 2000 to the comparable period of fiscal 1999.</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Gross profit, as a percent of net revenues, was 16.7 percent for the 26 weeks ended February 26, 2000 compared to 15.8 percent for the 26 weeks ended February 27, 1999. The Company's favorable product mix change and increased volume of motor homes during the first 26 weeks of fiscal 2000 were the primary causes of the improved gross margin percentage.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Selling and delivery expenses were $11,901,000 or 3.2 percent of net revenues during the first half of fiscal 2000 compared to $10,596,000 or 3.4 percent of net revenues during the first half of fiscal 1999. The increase in dollars can be attributed primarily to increases in the Company's advertising and promotional programs. Increased sales volume, during the 26 weeks ended February 26, 2000, contributed to the decrease in percentage.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General and administrative expenses were $14,701,000 or 4.0 percent of net revenues during the 26 weeks ended February 26, 2000 compared to $9,983,000 or 3.2 percent of net revenues during the 26 weeks ended February 27, 1999. Increases in Company-wide employee incentive programs and in the Company's legal costs recorded during the first half of fiscal 2000 were the primary reasons for the increases in both dollars and percentages in general and administrative expenses when comparing the two periods. Also impacting the increase between the two fiscal half years was monies the Company received and recorded during the 26 weeks ended February 27, 1999 on a previously fully-reserved receivable.</w:t>
      </w:r>
    </w:p>
    <w:p>
      <w:pPr>
        <w:spacing w:after="0" w:line="16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The Company had net financial income of $1,558,000 for the 26 weeks ended February 26, 2000 compared to net financial income of $1,146,000 for the 26 weeks ended February 27, 1999. The increase in net financial income when comparing the two periods was attributed primarily to an increase in net interest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first half of fiscal 2000, the Company recorded net income of</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$24,232,000, or $1.08 per diluted share, compared to the first half of fiscal 1999's net income of $19,603,000, or $.88 per diluted share. Net income and earnings per diluted share increased by 23.6 percent and 22.7 percent, respectively, when comparing the first half of fiscal 2000 to the first half of fiscal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FINANCIAL CONDITION</w:t>
      </w:r>
    </w:p>
    <w:p>
      <w:pPr>
        <w:spacing w:after="0" w:line="173" w:lineRule="exact"/>
        <w:rPr>
          <w:sz w:val="20"/>
          <w:szCs w:val="20"/>
          <w:color w:val="auto"/>
        </w:rPr>
      </w:pPr>
    </w:p>
    <w:p>
      <w:pPr>
        <w:ind w:right="4019"/>
        <w:spacing w:after="0" w:line="235" w:lineRule="auto"/>
        <w:rPr>
          <w:sz w:val="20"/>
          <w:szCs w:val="20"/>
          <w:color w:val="auto"/>
        </w:rPr>
      </w:pPr>
      <w:r>
        <w:rPr>
          <w:rFonts w:ascii="Courier New" w:cs="Courier New" w:eastAsia="Courier New" w:hAnsi="Courier New"/>
          <w:sz w:val="15"/>
          <w:szCs w:val="15"/>
          <w:color w:val="auto"/>
        </w:rPr>
        <w:t>The Company meets its working capital requirements, capital equipment requirements and cash requirements of subsidiaries with funds generated internally.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February 26, 2000, working capital was $129,215,000, an increase of</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$5,495,000 from the amount at August 28, 1999. The Company's principal uses of cash during the 26 weeks ended February 26, 2000 were $53,635,000 of dealer receivable investments and $14,490,000 for the purchase of shares of the Company's Common Stock. The Company's principal sources of cash during the 26 weeks ended February 26, 2000 were income from operations and the collection of $46,978,000 in dealer receivables. The Company's sources and uses of cash during the 26 weeks ended February 26, 2000 are set forth in the unaudited consolidated statement of cash flows for that period.</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960" w:right="1440" w:bottom="1440" w:gutter="0" w:footer="0" w:header="0"/>
        </w:sectPr>
      </w:pPr>
    </w:p>
    <w:bookmarkStart w:id="10" w:name="page11"/>
    <w:bookmarkEnd w:id="10"/>
    <w:p>
      <w:pPr>
        <w:ind w:right="3319"/>
        <w:spacing w:after="0" w:line="236" w:lineRule="auto"/>
        <w:rPr>
          <w:sz w:val="20"/>
          <w:szCs w:val="20"/>
          <w:color w:val="auto"/>
        </w:rPr>
      </w:pPr>
      <w:r>
        <w:rPr>
          <w:rFonts w:ascii="Courier New" w:cs="Courier New" w:eastAsia="Courier New" w:hAnsi="Courier New"/>
          <w:sz w:val="15"/>
          <w:szCs w:val="15"/>
          <w:color w:val="auto"/>
        </w:rPr>
        <w:t>Principal known demands at February 26, 2000 on the Company's liquid assets for the remainder of fiscal 2000 include approximately $10,000,000 of capital expenditures and funds for payment of cash dividends. On March 15, 2000, the Board of Directors declared a cash dividend of $.10 per common share payable July 10, 2000, to shareholders of record on June 9, 2000.</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Management currently expects its cash on hand, funds from operations and borrowings available under existing credit facilities to be sufficient to cover both short-term and long-term operating requirements.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CHANGES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Recognition of Derivative Instruments and Hedging Activities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SFAS No. 133, "Accounting for Derivative Instruments and Hedging Activities" was issued in June 1998 and must be adopted by the Company no later than fiscal 2001. This statement requires that an entity recognize all derivatives as either assets or liabilities in the balance sheet and measure these instruments at fair value. The Company has not completed the process of evaluating the effect of SFAS No. 133 on its financial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availability of chassis, slower than anticipated sales of new or existing products, a significant increase in interest rates, a general slowdown in the economy, or new product introductions by competitors and other factors which may be disclosed throughout this Form</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10-Q or in the Company's Annual Report on Form 10-K for the year ended August 28, 1999. Any forecasts and projections in this report are "forward looking statements," and are based on management's current expectations of the Company's near-term results, based on current information available pertaining to the Company; actual results could differ materially.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(Y2K) COMPLIANCE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experienced no disruption of its operation as a result of Year 2000 issues related to computer systems and manufacturing operations. The Company is not aware that any of its major third party suppliers has experienced any Year 2000 problems which would have a material impact on the future operations or financial results of the Company. The total cost of the Company's Year 2000 project was previously reported not to exceed $300,000 (all of which has been expensed), and no additional costs have been incurred. The Company does not expect any future disruptions related to Year 2000 issues either internally or from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960" w:right="1440" w:bottom="1440" w:gutter="0" w:footer="0" w:header="0"/>
        </w:sectPr>
      </w:pPr>
    </w:p>
    <w:bookmarkStart w:id="11" w:name="page12"/>
    <w:bookmarkEnd w:id="11"/>
    <w:p>
      <w:pPr>
        <w:spacing w:after="0"/>
        <w:tabs>
          <w:tab w:leader="none" w:pos="7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1240" w:hanging="443"/>
        <w:spacing w:after="0"/>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shareholders was held January 11, 2000.</w:t>
      </w:r>
    </w:p>
    <w:p>
      <w:pPr>
        <w:spacing w:after="0" w:line="172" w:lineRule="exact"/>
        <w:rPr>
          <w:rFonts w:ascii="Courier New" w:cs="Courier New" w:eastAsia="Courier New" w:hAnsi="Courier New"/>
          <w:sz w:val="15"/>
          <w:szCs w:val="15"/>
          <w:color w:val="auto"/>
        </w:rPr>
      </w:pPr>
    </w:p>
    <w:p>
      <w:pPr>
        <w:ind w:left="1240" w:right="3579" w:hanging="443"/>
        <w:spacing w:after="0" w:line="234" w:lineRule="auto"/>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breakdown of votes for the election of eight directors was as follows*:</w:t>
      </w:r>
    </w:p>
    <w:p>
      <w:pPr>
        <w:spacing w:after="0" w:line="200" w:lineRule="exact"/>
        <w:rPr>
          <w:sz w:val="20"/>
          <w:szCs w:val="20"/>
          <w:color w:val="auto"/>
        </w:rPr>
      </w:pPr>
    </w:p>
    <w:p>
      <w:pPr>
        <w:spacing w:after="0" w:line="303"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26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VOTES CAST FOR</w:t>
            </w:r>
          </w:p>
        </w:tc>
        <w:tc>
          <w:tcPr>
            <w:tcW w:w="2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AUTHORITY WITHHELD</w:t>
            </w:r>
          </w:p>
        </w:tc>
      </w:tr>
      <w:tr>
        <w:trPr>
          <w:trHeight w:val="168"/>
        </w:trPr>
        <w:tc>
          <w:tcPr>
            <w:tcW w:w="3060" w:type="dxa"/>
            <w:vAlign w:val="bottom"/>
          </w:tcPr>
          <w:p>
            <w:pPr>
              <w:spacing w:after="0"/>
              <w:rPr>
                <w:sz w:val="14"/>
                <w:szCs w:val="14"/>
                <w:color w:val="auto"/>
              </w:rPr>
            </w:pPr>
          </w:p>
        </w:tc>
        <w:tc>
          <w:tcPr>
            <w:tcW w:w="2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Gerald E. Boman (2002)</w:t>
            </w:r>
          </w:p>
        </w:tc>
        <w:tc>
          <w:tcPr>
            <w:tcW w:w="26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18,687,848</w:t>
            </w:r>
          </w:p>
        </w:tc>
        <w:tc>
          <w:tcPr>
            <w:tcW w:w="2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915,051</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Jerry N. Currie (2002)</w:t>
            </w:r>
          </w:p>
        </w:tc>
        <w:tc>
          <w:tcPr>
            <w:tcW w:w="26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17,726,715</w:t>
            </w:r>
          </w:p>
        </w:tc>
        <w:tc>
          <w:tcPr>
            <w:tcW w:w="2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1,876,184</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Fred G. Dohrmann (2001)</w:t>
            </w:r>
          </w:p>
        </w:tc>
        <w:tc>
          <w:tcPr>
            <w:tcW w:w="26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18,683,590</w:t>
            </w:r>
          </w:p>
        </w:tc>
        <w:tc>
          <w:tcPr>
            <w:tcW w:w="2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919,309</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V. Hanson (2003)</w:t>
            </w:r>
          </w:p>
        </w:tc>
        <w:tc>
          <w:tcPr>
            <w:tcW w:w="26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18,676,108</w:t>
            </w:r>
          </w:p>
        </w:tc>
        <w:tc>
          <w:tcPr>
            <w:tcW w:w="2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926,791</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Bruce D. Hertzke (2003)</w:t>
            </w:r>
          </w:p>
        </w:tc>
        <w:tc>
          <w:tcPr>
            <w:tcW w:w="26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18,689,024</w:t>
            </w:r>
          </w:p>
        </w:tc>
        <w:tc>
          <w:tcPr>
            <w:tcW w:w="2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913,875</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Gerald C. Kitch (2003)</w:t>
            </w:r>
          </w:p>
        </w:tc>
        <w:tc>
          <w:tcPr>
            <w:tcW w:w="26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18,698,885</w:t>
            </w:r>
          </w:p>
        </w:tc>
        <w:tc>
          <w:tcPr>
            <w:tcW w:w="2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904,014</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C. Scott (2001)</w:t>
            </w:r>
          </w:p>
        </w:tc>
        <w:tc>
          <w:tcPr>
            <w:tcW w:w="26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18,699,122</w:t>
            </w:r>
          </w:p>
        </w:tc>
        <w:tc>
          <w:tcPr>
            <w:tcW w:w="2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903,777</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Frederick M. Zimmerman (2002)</w:t>
            </w:r>
          </w:p>
        </w:tc>
        <w:tc>
          <w:tcPr>
            <w:tcW w:w="26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18,701,209</w:t>
            </w:r>
          </w:p>
        </w:tc>
        <w:tc>
          <w:tcPr>
            <w:tcW w:w="25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901,690</w:t>
            </w:r>
          </w:p>
        </w:tc>
      </w:tr>
    </w:tbl>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There were no broker non-votes.</w:t>
      </w:r>
    </w:p>
    <w:p>
      <w:pPr>
        <w:spacing w:after="0" w:line="5" w:lineRule="exact"/>
        <w:rPr>
          <w:sz w:val="20"/>
          <w:szCs w:val="20"/>
          <w:color w:val="auto"/>
        </w:rPr>
      </w:pPr>
    </w:p>
    <w:p>
      <w:pPr>
        <w:ind w:left="1240" w:right="3679" w:hanging="443"/>
        <w:spacing w:after="0" w:line="234" w:lineRule="auto"/>
        <w:tabs>
          <w:tab w:leader="none" w:pos="9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Represents year of Annual Meeting that individual's term will expire.</w:t>
      </w:r>
    </w:p>
    <w:p>
      <w:pPr>
        <w:spacing w:after="0" w:line="173" w:lineRule="exact"/>
        <w:rPr>
          <w:sz w:val="20"/>
          <w:szCs w:val="20"/>
          <w:color w:val="auto"/>
        </w:rPr>
      </w:pPr>
    </w:p>
    <w:p>
      <w:pPr>
        <w:ind w:left="1240" w:right="3239" w:hanging="443"/>
        <w:spacing w:after="0" w:line="255" w:lineRule="auto"/>
        <w:tabs>
          <w:tab w:leader="none" w:pos="12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breakdown of votes to approve amendments to the Company's Articles of Incorporation to 1) provide for the classification of the Board of Directors into three classes; 2) provide that the number of directors constituting the Board of Directors shall be not more than fifteen (15) and not less than three (3), the precise number to be determined by resolution of the Board of Directors from time to time; 3) provide that Directors may be removed only for cause; and 4) require a vote of 75 percent of the outstanding shares of the Company to amend these provisions.</w:t>
      </w:r>
    </w:p>
    <w:p>
      <w:pPr>
        <w:spacing w:after="0" w:line="200" w:lineRule="exact"/>
        <w:rPr>
          <w:sz w:val="20"/>
          <w:szCs w:val="20"/>
          <w:color w:val="auto"/>
        </w:rPr>
      </w:pPr>
    </w:p>
    <w:p>
      <w:pPr>
        <w:spacing w:after="0" w:line="295"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3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VOTES CAST FOR</w:t>
            </w:r>
          </w:p>
        </w:tc>
        <w:tc>
          <w:tcPr>
            <w:tcW w:w="2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VOTES CAST AGAINST</w:t>
            </w:r>
          </w:p>
        </w:tc>
        <w:tc>
          <w:tcPr>
            <w:tcW w:w="2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VOTES ABSTAINED</w:t>
            </w:r>
          </w:p>
        </w:tc>
      </w:tr>
      <w:tr>
        <w:trPr>
          <w:trHeight w:val="168"/>
        </w:trPr>
        <w:tc>
          <w:tcPr>
            <w:tcW w:w="2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11,981,563</w:t>
            </w:r>
          </w:p>
        </w:tc>
        <w:tc>
          <w:tcPr>
            <w:tcW w:w="25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4,714,699</w:t>
            </w:r>
          </w:p>
        </w:tc>
        <w:tc>
          <w:tcPr>
            <w:tcW w:w="2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2,906,637</w:t>
            </w:r>
          </w:p>
        </w:tc>
      </w:tr>
    </w:tbl>
    <w:p>
      <w:pPr>
        <w:spacing w:after="0" w:line="173" w:lineRule="exact"/>
        <w:rPr>
          <w:sz w:val="20"/>
          <w:szCs w:val="20"/>
          <w:color w:val="auto"/>
        </w:rPr>
      </w:pPr>
    </w:p>
    <w:p>
      <w:pPr>
        <w:ind w:left="1240" w:right="959" w:hanging="443"/>
        <w:spacing w:after="0" w:line="234" w:lineRule="auto"/>
        <w:tabs>
          <w:tab w:leader="none" w:pos="12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 amendment to the Company's Articles of Incorporation to authorize the issuance of Preferred Stock.</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3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VOTES CAST FOR</w:t>
            </w:r>
          </w:p>
        </w:tc>
        <w:tc>
          <w:tcPr>
            <w:tcW w:w="2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VOTES CAST AGAINST</w:t>
            </w:r>
          </w:p>
        </w:tc>
        <w:tc>
          <w:tcPr>
            <w:tcW w:w="2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VOTES ABSTAINED</w:t>
            </w:r>
          </w:p>
        </w:tc>
      </w:tr>
      <w:tr>
        <w:trPr>
          <w:trHeight w:val="168"/>
        </w:trPr>
        <w:tc>
          <w:tcPr>
            <w:tcW w:w="2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12,108,884</w:t>
            </w:r>
          </w:p>
        </w:tc>
        <w:tc>
          <w:tcPr>
            <w:tcW w:w="25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4,561,968</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2,932,047</w:t>
            </w:r>
          </w:p>
        </w:tc>
      </w:tr>
    </w:tbl>
    <w:p>
      <w:pPr>
        <w:spacing w:after="0" w:line="166" w:lineRule="exact"/>
        <w:rPr>
          <w:sz w:val="20"/>
          <w:szCs w:val="20"/>
          <w:color w:val="auto"/>
        </w:rPr>
      </w:pPr>
    </w:p>
    <w:p>
      <w:pPr>
        <w:ind w:left="1240" w:hanging="443"/>
        <w:spacing w:after="0"/>
        <w:tabs>
          <w:tab w:leader="none" w:pos="12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on a shareholder proposal concerning cumulative voting.</w:t>
      </w:r>
    </w:p>
    <w:p>
      <w:pPr>
        <w:spacing w:after="0" w:line="166"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VOTES CAST FOR</w:t>
            </w:r>
          </w:p>
        </w:tc>
        <w:tc>
          <w:tcPr>
            <w:tcW w:w="25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VOTES CAST AGAINST</w:t>
            </w:r>
          </w:p>
        </w:tc>
        <w:tc>
          <w:tcPr>
            <w:tcW w:w="2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VOTES ABSTAINED</w:t>
            </w:r>
          </w:p>
        </w:tc>
      </w:tr>
      <w:tr>
        <w:trPr>
          <w:trHeight w:val="168"/>
        </w:trPr>
        <w:tc>
          <w:tcPr>
            <w:tcW w:w="2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2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3,629,182</w:t>
            </w:r>
          </w:p>
        </w:tc>
        <w:tc>
          <w:tcPr>
            <w:tcW w:w="25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12,921,449</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3,052,268</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1140" w:hanging="343"/>
        <w:spacing w:after="0"/>
        <w:tabs>
          <w:tab w:leader="none" w:pos="11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 See Exhibit Index on page 12.</w:t>
      </w:r>
    </w:p>
    <w:p>
      <w:pPr>
        <w:spacing w:after="0" w:line="172" w:lineRule="exact"/>
        <w:rPr>
          <w:rFonts w:ascii="Courier New" w:cs="Courier New" w:eastAsia="Courier New" w:hAnsi="Courier New"/>
          <w:sz w:val="15"/>
          <w:szCs w:val="15"/>
          <w:color w:val="auto"/>
        </w:rPr>
      </w:pPr>
    </w:p>
    <w:p>
      <w:pPr>
        <w:ind w:left="1140" w:right="3319" w:hanging="343"/>
        <w:spacing w:after="0" w:line="234" w:lineRule="auto"/>
        <w:tabs>
          <w:tab w:leader="none" w:pos="11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file any reports on Form 8-K during the period covered by this report.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953" w:right="1440" w:bottom="1440" w:gutter="0" w:footer="0" w:header="0"/>
        </w:sectPr>
      </w:pPr>
    </w:p>
    <w:bookmarkStart w:id="12" w:name="page13"/>
    <w:bookmarkEnd w:id="12"/>
    <w:p>
      <w:pPr>
        <w:spacing w:after="0" w:line="1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7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1440"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April 6,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37" w:lineRule="auto"/>
        <w:rPr>
          <w:sz w:val="20"/>
          <w:szCs w:val="20"/>
          <w:color w:val="auto"/>
        </w:rPr>
      </w:pPr>
      <w:r>
        <w:rPr>
          <w:rFonts w:ascii="Courier New" w:cs="Courier New" w:eastAsia="Courier New" w:hAnsi="Courier New"/>
          <w:sz w:val="15"/>
          <w:szCs w:val="15"/>
          <w:color w:val="auto"/>
        </w:rPr>
        <w:t>Chairman of the Board, Chief Executive Officer,</w:t>
      </w:r>
    </w:p>
    <w:p>
      <w:pPr>
        <w:spacing w:after="0" w:line="238" w:lineRule="auto"/>
        <w:rPr>
          <w:sz w:val="20"/>
          <w:szCs w:val="20"/>
          <w:color w:val="auto"/>
        </w:rPr>
      </w:pPr>
      <w:r>
        <w:rPr>
          <w:rFonts w:ascii="Courier New" w:cs="Courier New" w:eastAsia="Courier New" w:hAnsi="Courier New"/>
          <w:sz w:val="15"/>
          <w:szCs w:val="15"/>
          <w:color w:val="auto"/>
        </w:rPr>
        <w:t>and President</w:t>
      </w:r>
    </w:p>
    <w:p>
      <w:pPr>
        <w:ind w:left="780"/>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3">
            <w:col w:w="360" w:space="620"/>
            <w:col w:w="2620" w:space="520"/>
            <w:col w:w="6119"/>
          </w:cols>
          <w:pgMar w:left="220" w:top="1440"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April 6,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w:t>
      </w:r>
    </w:p>
    <w:p>
      <w:pPr>
        <w:spacing w:after="0" w:line="237" w:lineRule="auto"/>
        <w:rPr>
          <w:sz w:val="20"/>
          <w:szCs w:val="20"/>
          <w:color w:val="auto"/>
        </w:rPr>
      </w:pPr>
      <w:r>
        <w:rPr>
          <w:rFonts w:ascii="Courier New" w:cs="Courier New" w:eastAsia="Courier New" w:hAnsi="Courier New"/>
          <w:sz w:val="15"/>
          <w:szCs w:val="15"/>
          <w:color w:val="auto"/>
        </w:rPr>
        <w:t>Vice President - Chief Financial Officer</w:t>
      </w:r>
    </w:p>
    <w:p>
      <w:pPr>
        <w:ind w:left="780"/>
        <w:spacing w:after="0" w:line="238" w:lineRule="auto"/>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3">
            <w:col w:w="360" w:space="620"/>
            <w:col w:w="2620" w:space="520"/>
            <w:col w:w="6119"/>
          </w:cols>
          <w:pgMar w:left="2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1440" w:right="1440" w:bottom="1440" w:gutter="0" w:footer="0" w:header="0"/>
          <w:type w:val="continuous"/>
        </w:sectPr>
      </w:pPr>
    </w:p>
    <w:bookmarkStart w:id="13" w:name="page14"/>
    <w:bookmarkEnd w:id="13"/>
    <w:p>
      <w:pPr>
        <w:jc w:val="right"/>
        <w:ind w:right="6119"/>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03" w:lineRule="exact"/>
        <w:rPr>
          <w:sz w:val="20"/>
          <w:szCs w:val="20"/>
          <w:color w:val="auto"/>
        </w:rPr>
      </w:pPr>
    </w:p>
    <w:p>
      <w:pPr>
        <w:ind w:left="800" w:hanging="790"/>
        <w:spacing w:after="0"/>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95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3-MOS</w:t>
      </w:r>
    </w:p>
    <w:p>
      <w:pPr>
        <w:ind w:left="2180"/>
        <w:spacing w:after="0" w:line="237" w:lineRule="auto"/>
        <w:rPr>
          <w:sz w:val="20"/>
          <w:szCs w:val="20"/>
          <w:color w:val="auto"/>
        </w:rPr>
      </w:pPr>
      <w:r>
        <w:rPr>
          <w:rFonts w:ascii="Courier New" w:cs="Courier New" w:eastAsia="Courier New" w:hAnsi="Courier New"/>
          <w:sz w:val="15"/>
          <w:szCs w:val="15"/>
          <w:color w:val="auto"/>
        </w:rPr>
        <w:t>AUG-26-2000</w:t>
      </w:r>
    </w:p>
    <w:p>
      <w:pPr>
        <w:ind w:left="2620"/>
        <w:spacing w:after="0" w:line="238" w:lineRule="auto"/>
        <w:rPr>
          <w:sz w:val="20"/>
          <w:szCs w:val="20"/>
          <w:color w:val="auto"/>
        </w:rPr>
      </w:pPr>
      <w:r>
        <w:rPr>
          <w:rFonts w:ascii="Courier New" w:cs="Courier New" w:eastAsia="Courier New" w:hAnsi="Courier New"/>
          <w:sz w:val="15"/>
          <w:szCs w:val="15"/>
          <w:color w:val="auto"/>
        </w:rPr>
        <w:t>FEB-26-2000</w:t>
      </w:r>
    </w:p>
    <w:p>
      <w:pPr>
        <w:ind w:left="3580"/>
        <w:spacing w:after="0" w:line="237" w:lineRule="auto"/>
        <w:rPr>
          <w:sz w:val="20"/>
          <w:szCs w:val="20"/>
          <w:color w:val="auto"/>
        </w:rPr>
      </w:pPr>
      <w:r>
        <w:rPr>
          <w:rFonts w:ascii="Courier New" w:cs="Courier New" w:eastAsia="Courier New" w:hAnsi="Courier New"/>
          <w:sz w:val="15"/>
          <w:szCs w:val="15"/>
          <w:color w:val="auto"/>
        </w:rPr>
        <w:t>43,498</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7" w:lineRule="auto"/>
        <w:rPr>
          <w:sz w:val="20"/>
          <w:szCs w:val="20"/>
          <w:color w:val="auto"/>
        </w:rPr>
      </w:pPr>
      <w:r>
        <w:rPr>
          <w:rFonts w:ascii="Courier New" w:cs="Courier New" w:eastAsia="Courier New" w:hAnsi="Courier New"/>
          <w:sz w:val="15"/>
          <w:szCs w:val="15"/>
          <w:color w:val="auto"/>
        </w:rPr>
        <w:t>64,904</w:t>
      </w:r>
    </w:p>
    <w:p>
      <w:pPr>
        <w:ind w:left="3140"/>
        <w:spacing w:after="0" w:line="238" w:lineRule="auto"/>
        <w:rPr>
          <w:sz w:val="20"/>
          <w:szCs w:val="20"/>
          <w:color w:val="auto"/>
        </w:rPr>
      </w:pPr>
      <w:r>
        <w:rPr>
          <w:rFonts w:ascii="Courier New" w:cs="Courier New" w:eastAsia="Courier New" w:hAnsi="Courier New"/>
          <w:sz w:val="15"/>
          <w:szCs w:val="15"/>
          <w:color w:val="auto"/>
        </w:rPr>
        <w:t>1,138</w:t>
      </w:r>
    </w:p>
    <w:p>
      <w:pPr>
        <w:ind w:left="3140"/>
        <w:spacing w:after="0" w:line="237" w:lineRule="auto"/>
        <w:rPr>
          <w:sz w:val="20"/>
          <w:szCs w:val="20"/>
          <w:color w:val="auto"/>
        </w:rPr>
      </w:pPr>
      <w:r>
        <w:rPr>
          <w:rFonts w:ascii="Courier New" w:cs="Courier New" w:eastAsia="Courier New" w:hAnsi="Courier New"/>
          <w:sz w:val="15"/>
          <w:szCs w:val="15"/>
          <w:color w:val="auto"/>
        </w:rPr>
        <w:t>82,509</w:t>
      </w:r>
    </w:p>
    <w:p>
      <w:pPr>
        <w:ind w:left="2620"/>
        <w:spacing w:after="0" w:line="238" w:lineRule="auto"/>
        <w:rPr>
          <w:sz w:val="20"/>
          <w:szCs w:val="20"/>
          <w:color w:val="auto"/>
        </w:rPr>
      </w:pPr>
      <w:r>
        <w:rPr>
          <w:rFonts w:ascii="Courier New" w:cs="Courier New" w:eastAsia="Courier New" w:hAnsi="Courier New"/>
          <w:sz w:val="15"/>
          <w:szCs w:val="15"/>
          <w:color w:val="auto"/>
        </w:rPr>
        <w:t>214,341</w:t>
      </w:r>
    </w:p>
    <w:p>
      <w:pPr>
        <w:ind w:left="3500"/>
        <w:spacing w:after="0" w:line="238" w:lineRule="auto"/>
        <w:rPr>
          <w:sz w:val="20"/>
          <w:szCs w:val="20"/>
          <w:color w:val="auto"/>
        </w:rPr>
      </w:pPr>
      <w:r>
        <w:rPr>
          <w:rFonts w:ascii="Courier New" w:cs="Courier New" w:eastAsia="Courier New" w:hAnsi="Courier New"/>
          <w:sz w:val="15"/>
          <w:szCs w:val="15"/>
          <w:color w:val="auto"/>
        </w:rPr>
        <w:t>128,058</w:t>
      </w:r>
    </w:p>
    <w:p>
      <w:pPr>
        <w:ind w:left="2880"/>
        <w:spacing w:after="0" w:line="237" w:lineRule="auto"/>
        <w:rPr>
          <w:sz w:val="20"/>
          <w:szCs w:val="20"/>
          <w:color w:val="auto"/>
        </w:rPr>
      </w:pPr>
      <w:r>
        <w:rPr>
          <w:rFonts w:ascii="Courier New" w:cs="Courier New" w:eastAsia="Courier New" w:hAnsi="Courier New"/>
          <w:sz w:val="15"/>
          <w:szCs w:val="15"/>
          <w:color w:val="auto"/>
        </w:rPr>
        <w:t>85,859</w:t>
      </w:r>
    </w:p>
    <w:p>
      <w:pPr>
        <w:ind w:left="2800"/>
        <w:spacing w:after="0" w:line="238" w:lineRule="auto"/>
        <w:rPr>
          <w:sz w:val="20"/>
          <w:szCs w:val="20"/>
          <w:color w:val="auto"/>
        </w:rPr>
      </w:pPr>
      <w:r>
        <w:rPr>
          <w:rFonts w:ascii="Courier New" w:cs="Courier New" w:eastAsia="Courier New" w:hAnsi="Courier New"/>
          <w:sz w:val="15"/>
          <w:szCs w:val="15"/>
          <w:color w:val="auto"/>
        </w:rPr>
        <w:t>302,891</w:t>
      </w:r>
    </w:p>
    <w:p>
      <w:pPr>
        <w:ind w:left="2280"/>
        <w:spacing w:after="0" w:line="237" w:lineRule="auto"/>
        <w:rPr>
          <w:sz w:val="20"/>
          <w:szCs w:val="20"/>
          <w:color w:val="auto"/>
        </w:rPr>
      </w:pPr>
      <w:r>
        <w:rPr>
          <w:rFonts w:ascii="Courier New" w:cs="Courier New" w:eastAsia="Courier New" w:hAnsi="Courier New"/>
          <w:sz w:val="15"/>
          <w:szCs w:val="15"/>
          <w:color w:val="auto"/>
        </w:rPr>
        <w:t>85,126</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700"/>
        <w:spacing w:after="0" w:line="237"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8" w:lineRule="auto"/>
        <w:rPr>
          <w:sz w:val="20"/>
          <w:szCs w:val="20"/>
          <w:color w:val="auto"/>
        </w:rPr>
      </w:pPr>
      <w:r>
        <w:rPr>
          <w:rFonts w:ascii="Courier New" w:cs="Courier New" w:eastAsia="Courier New" w:hAnsi="Courier New"/>
          <w:sz w:val="15"/>
          <w:szCs w:val="15"/>
          <w:color w:val="auto"/>
        </w:rPr>
        <w:t>12,938</w:t>
      </w:r>
    </w:p>
    <w:p>
      <w:pPr>
        <w:ind w:left="3140"/>
        <w:spacing w:after="0" w:line="237" w:lineRule="auto"/>
        <w:rPr>
          <w:sz w:val="20"/>
          <w:szCs w:val="20"/>
          <w:color w:val="auto"/>
        </w:rPr>
      </w:pPr>
      <w:r>
        <w:rPr>
          <w:rFonts w:ascii="Courier New" w:cs="Courier New" w:eastAsia="Courier New" w:hAnsi="Courier New"/>
          <w:sz w:val="15"/>
          <w:szCs w:val="15"/>
          <w:color w:val="auto"/>
        </w:rPr>
        <w:t>145,035</w:t>
      </w:r>
    </w:p>
    <w:p>
      <w:pPr>
        <w:ind w:left="1580"/>
        <w:spacing w:after="0" w:line="238" w:lineRule="auto"/>
        <w:rPr>
          <w:sz w:val="20"/>
          <w:szCs w:val="20"/>
          <w:color w:val="auto"/>
        </w:rPr>
      </w:pPr>
      <w:r>
        <w:rPr>
          <w:rFonts w:ascii="Courier New" w:cs="Courier New" w:eastAsia="Courier New" w:hAnsi="Courier New"/>
          <w:sz w:val="15"/>
          <w:szCs w:val="15"/>
          <w:color w:val="auto"/>
        </w:rPr>
        <w:t>302,891</w:t>
      </w:r>
    </w:p>
    <w:p>
      <w:pPr>
        <w:ind w:left="3400"/>
        <w:spacing w:after="0" w:line="237" w:lineRule="auto"/>
        <w:rPr>
          <w:sz w:val="20"/>
          <w:szCs w:val="20"/>
          <w:color w:val="auto"/>
        </w:rPr>
      </w:pPr>
      <w:r>
        <w:rPr>
          <w:rFonts w:ascii="Courier New" w:cs="Courier New" w:eastAsia="Courier New" w:hAnsi="Courier New"/>
          <w:sz w:val="15"/>
          <w:szCs w:val="15"/>
          <w:color w:val="auto"/>
        </w:rPr>
        <w:t>187,144</w:t>
      </w:r>
    </w:p>
    <w:p>
      <w:pPr>
        <w:ind w:left="2620"/>
        <w:spacing w:after="0" w:line="238" w:lineRule="auto"/>
        <w:rPr>
          <w:sz w:val="20"/>
          <w:szCs w:val="20"/>
          <w:color w:val="auto"/>
        </w:rPr>
      </w:pPr>
      <w:r>
        <w:rPr>
          <w:rFonts w:ascii="Courier New" w:cs="Courier New" w:eastAsia="Courier New" w:hAnsi="Courier New"/>
          <w:sz w:val="15"/>
          <w:szCs w:val="15"/>
          <w:color w:val="auto"/>
        </w:rPr>
        <w:t>187,144</w:t>
      </w:r>
    </w:p>
    <w:p>
      <w:pPr>
        <w:jc w:val="right"/>
        <w:ind w:right="5939"/>
        <w:spacing w:after="0" w:line="237" w:lineRule="auto"/>
        <w:rPr>
          <w:sz w:val="20"/>
          <w:szCs w:val="20"/>
          <w:color w:val="auto"/>
        </w:rPr>
      </w:pPr>
      <w:r>
        <w:rPr>
          <w:rFonts w:ascii="Courier New" w:cs="Courier New" w:eastAsia="Courier New" w:hAnsi="Courier New"/>
          <w:sz w:val="15"/>
          <w:szCs w:val="15"/>
          <w:color w:val="auto"/>
        </w:rPr>
        <w:t>156,352</w:t>
      </w:r>
    </w:p>
    <w:p>
      <w:pPr>
        <w:ind w:left="2880"/>
        <w:spacing w:after="0" w:line="238" w:lineRule="auto"/>
        <w:rPr>
          <w:sz w:val="20"/>
          <w:szCs w:val="20"/>
          <w:color w:val="auto"/>
        </w:rPr>
      </w:pPr>
      <w:r>
        <w:rPr>
          <w:rFonts w:ascii="Courier New" w:cs="Courier New" w:eastAsia="Courier New" w:hAnsi="Courier New"/>
          <w:sz w:val="15"/>
          <w:szCs w:val="15"/>
          <w:color w:val="auto"/>
        </w:rPr>
        <w:t>156,352</w:t>
      </w:r>
    </w:p>
    <w:p>
      <w:pPr>
        <w:ind w:left="2700"/>
        <w:spacing w:after="0" w:line="238" w:lineRule="auto"/>
        <w:rPr>
          <w:sz w:val="20"/>
          <w:szCs w:val="20"/>
          <w:color w:val="auto"/>
        </w:rPr>
      </w:pPr>
      <w:r>
        <w:rPr>
          <w:rFonts w:ascii="Courier New" w:cs="Courier New" w:eastAsia="Courier New" w:hAnsi="Courier New"/>
          <w:sz w:val="15"/>
          <w:szCs w:val="15"/>
          <w:color w:val="auto"/>
        </w:rPr>
        <w:t>13,789</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620"/>
        <w:spacing w:after="0" w:line="238" w:lineRule="auto"/>
        <w:rPr>
          <w:sz w:val="20"/>
          <w:szCs w:val="20"/>
          <w:color w:val="auto"/>
        </w:rPr>
      </w:pPr>
      <w:r>
        <w:rPr>
          <w:rFonts w:ascii="Courier New" w:cs="Courier New" w:eastAsia="Courier New" w:hAnsi="Courier New"/>
          <w:sz w:val="15"/>
          <w:szCs w:val="15"/>
          <w:color w:val="auto"/>
        </w:rPr>
        <w:t>(905)</w:t>
      </w:r>
    </w:p>
    <w:p>
      <w:pPr>
        <w:ind w:left="2800"/>
        <w:spacing w:after="0" w:line="237" w:lineRule="auto"/>
        <w:rPr>
          <w:sz w:val="20"/>
          <w:szCs w:val="20"/>
          <w:color w:val="auto"/>
        </w:rPr>
      </w:pPr>
      <w:r>
        <w:rPr>
          <w:rFonts w:ascii="Courier New" w:cs="Courier New" w:eastAsia="Courier New" w:hAnsi="Courier New"/>
          <w:sz w:val="15"/>
          <w:szCs w:val="15"/>
          <w:color w:val="auto"/>
        </w:rPr>
        <w:t>17,908</w:t>
      </w:r>
    </w:p>
    <w:p>
      <w:pPr>
        <w:ind w:left="3140"/>
        <w:spacing w:after="0" w:line="238" w:lineRule="auto"/>
        <w:rPr>
          <w:sz w:val="20"/>
          <w:szCs w:val="20"/>
          <w:color w:val="auto"/>
        </w:rPr>
      </w:pPr>
      <w:r>
        <w:rPr>
          <w:rFonts w:ascii="Courier New" w:cs="Courier New" w:eastAsia="Courier New" w:hAnsi="Courier New"/>
          <w:sz w:val="15"/>
          <w:szCs w:val="15"/>
          <w:color w:val="auto"/>
        </w:rPr>
        <w:t>6,057</w:t>
      </w:r>
    </w:p>
    <w:p>
      <w:pPr>
        <w:ind w:left="2440"/>
        <w:spacing w:after="0" w:line="237" w:lineRule="auto"/>
        <w:rPr>
          <w:sz w:val="20"/>
          <w:szCs w:val="20"/>
          <w:color w:val="auto"/>
        </w:rPr>
      </w:pPr>
      <w:r>
        <w:rPr>
          <w:rFonts w:ascii="Courier New" w:cs="Courier New" w:eastAsia="Courier New" w:hAnsi="Courier New"/>
          <w:sz w:val="15"/>
          <w:szCs w:val="15"/>
          <w:color w:val="auto"/>
        </w:rPr>
        <w:t>11,851</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ind w:left="3060"/>
        <w:spacing w:after="0" w:line="238" w:lineRule="auto"/>
        <w:rPr>
          <w:sz w:val="20"/>
          <w:szCs w:val="20"/>
          <w:color w:val="auto"/>
        </w:rPr>
      </w:pPr>
      <w:r>
        <w:rPr>
          <w:rFonts w:ascii="Courier New" w:cs="Courier New" w:eastAsia="Courier New" w:hAnsi="Courier New"/>
          <w:sz w:val="15"/>
          <w:szCs w:val="15"/>
          <w:color w:val="auto"/>
        </w:rPr>
        <w:t>11,851</w:t>
      </w:r>
    </w:p>
    <w:p>
      <w:pPr>
        <w:ind w:left="3400"/>
        <w:spacing w:after="0" w:line="237" w:lineRule="auto"/>
        <w:rPr>
          <w:sz w:val="20"/>
          <w:szCs w:val="20"/>
          <w:color w:val="auto"/>
        </w:rPr>
      </w:pPr>
      <w:r>
        <w:rPr>
          <w:rFonts w:ascii="Courier New" w:cs="Courier New" w:eastAsia="Courier New" w:hAnsi="Courier New"/>
          <w:sz w:val="15"/>
          <w:szCs w:val="15"/>
          <w:color w:val="auto"/>
        </w:rPr>
        <w:t>.54</w:t>
      </w:r>
    </w:p>
    <w:p>
      <w:pPr>
        <w:ind w:left="3240"/>
        <w:spacing w:after="0" w:line="238" w:lineRule="auto"/>
        <w:rPr>
          <w:sz w:val="20"/>
          <w:szCs w:val="20"/>
          <w:color w:val="auto"/>
        </w:rPr>
      </w:pPr>
      <w:r>
        <w:rPr>
          <w:rFonts w:ascii="Courier New" w:cs="Courier New" w:eastAsia="Courier New" w:hAnsi="Courier New"/>
          <w:sz w:val="15"/>
          <w:szCs w:val="15"/>
          <w:color w:val="auto"/>
        </w:rPr>
        <w:t>.54</w:t>
      </w:r>
    </w:p>
    <w:sectPr>
      <w:pgSz w:w="11900" w:h="16838" w:orient="portrait"/>
      <w:cols w:equalWidth="0" w:num="1">
        <w:col w:w="10139"/>
      </w:cols>
      <w:pgMar w:left="32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3"/>
    </w:lvl>
  </w:abstractNum>
  <w:abstractNum w:abstractNumId="2">
    <w:nsid w:val="41B71EFB"/>
    <w:multiLevelType w:val="hybridMultilevel"/>
    <w:lvl w:ilvl="0">
      <w:lvlJc w:val="left"/>
      <w:lvlText w:val="%1."/>
      <w:numFmt w:val="decimal"/>
      <w:start w:val="6"/>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2019-12-13T08:26:04Z</dcterms:created>
  <dcterms:modified xsi:type="dcterms:W3CDTF">2019-12-13T08:26:04Z</dcterms:modified>
</cp:coreProperties>
</file>