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FORM 144</w:t>
      </w:r>
    </w:p>
    <w:p>
      <w:pPr>
        <w:spacing w:after="0" w:line="173"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NOTICE OF PROPOSED SALE OF SECURITIES</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PURSUANT TO RULE 144 UNDER THE SECURITIES ACT OF 1933</w:t>
      </w:r>
    </w:p>
    <w:p>
      <w:pPr>
        <w:spacing w:after="0" w:line="173"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tabs>
          <w:tab w:leader="none" w:pos="2660" w:val="left"/>
        </w:tabs>
        <w:rPr>
          <w:sz w:val="20"/>
          <w:szCs w:val="20"/>
          <w:color w:val="auto"/>
        </w:rPr>
      </w:pPr>
      <w:r>
        <w:rPr>
          <w:rFonts w:ascii="Courier New" w:cs="Courier New" w:eastAsia="Courier New" w:hAnsi="Courier New"/>
          <w:sz w:val="14"/>
          <w:szCs w:val="14"/>
          <w:color w:val="auto"/>
        </w:rPr>
        <w:t>Winnebago Industries, Inc.</w:t>
      </w:r>
      <w:r>
        <w:rPr>
          <w:sz w:val="20"/>
          <w:szCs w:val="20"/>
          <w:color w:val="auto"/>
        </w:rPr>
        <w:tab/>
      </w:r>
      <w:r>
        <w:rPr>
          <w:rFonts w:ascii="Courier New" w:cs="Courier New" w:eastAsia="Courier New" w:hAnsi="Courier New"/>
          <w:sz w:val="14"/>
          <w:szCs w:val="14"/>
          <w:color w:val="auto"/>
        </w:rPr>
        <w:t>P.O. Box 152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Forest City, IA 50436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1(d)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160" w:hanging="1376"/>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William J. O'Leary</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24"/>
                <w:szCs w:val="24"/>
                <w:color w:val="auto"/>
              </w:rPr>
            </w:pPr>
          </w:p>
        </w:tc>
        <w:tc>
          <w:tcPr>
            <w:tcW w:w="5140" w:type="dxa"/>
            <w:vAlign w:val="bottom"/>
            <w:gridSpan w:val="4"/>
          </w:tcPr>
          <w:p>
            <w:pPr>
              <w:ind w:left="820"/>
              <w:spacing w:after="0"/>
              <w:rPr>
                <w:sz w:val="20"/>
                <w:szCs w:val="20"/>
                <w:color w:val="auto"/>
              </w:rPr>
            </w:pPr>
            <w:r>
              <w:rPr>
                <w:rFonts w:ascii="Courier New" w:cs="Courier New" w:eastAsia="Courier New" w:hAnsi="Courier New"/>
                <w:sz w:val="14"/>
                <w:szCs w:val="14"/>
                <w:color w:val="auto"/>
              </w:rPr>
              <w:t>OFFICER - VP Production Development</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STREET</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765 11th Street Place   Garner, IA</w:t>
            </w: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50438</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400" w:type="dxa"/>
            <w:vAlign w:val="bottom"/>
          </w:tcPr>
          <w:p>
            <w:pPr>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63"/>
        </w:trPr>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40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40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Securities</w:t>
            </w:r>
          </w:p>
        </w:tc>
        <w:tc>
          <w:tcPr>
            <w:tcW w:w="40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to be Sold</w:t>
            </w:r>
          </w:p>
        </w:tc>
        <w:tc>
          <w:tcPr>
            <w:tcW w:w="40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660" w:type="dxa"/>
            <w:vAlign w:val="bottom"/>
          </w:tcPr>
          <w:p>
            <w:pPr>
              <w:ind w:left="300"/>
              <w:spacing w:after="0"/>
              <w:rPr>
                <w:sz w:val="20"/>
                <w:szCs w:val="20"/>
                <w:color w:val="auto"/>
              </w:rPr>
            </w:pPr>
            <w:r>
              <w:rPr>
                <w:rFonts w:ascii="Courier New" w:cs="Courier New" w:eastAsia="Courier New" w:hAnsi="Courier New"/>
                <w:sz w:val="14"/>
                <w:szCs w:val="14"/>
                <w:color w:val="auto"/>
              </w:rPr>
              <w:t>Edward Jones Company</w:t>
            </w:r>
          </w:p>
        </w:tc>
        <w:tc>
          <w:tcPr>
            <w:tcW w:w="1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660" w:type="dxa"/>
            <w:vAlign w:val="bottom"/>
          </w:tcPr>
          <w:p>
            <w:pPr>
              <w:ind w:left="300"/>
              <w:spacing w:after="0"/>
              <w:rPr>
                <w:sz w:val="20"/>
                <w:szCs w:val="20"/>
                <w:color w:val="auto"/>
              </w:rPr>
            </w:pPr>
            <w:r>
              <w:rPr>
                <w:rFonts w:ascii="Courier New" w:cs="Courier New" w:eastAsia="Courier New" w:hAnsi="Courier New"/>
                <w:sz w:val="14"/>
                <w:szCs w:val="14"/>
                <w:color w:val="auto"/>
              </w:rPr>
              <w:t>200 State Street</w:t>
            </w:r>
          </w:p>
        </w:tc>
        <w:tc>
          <w:tcPr>
            <w:tcW w:w="1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660" w:type="dxa"/>
            <w:vAlign w:val="bottom"/>
          </w:tcPr>
          <w:p>
            <w:pPr>
              <w:ind w:left="300"/>
              <w:spacing w:after="0"/>
              <w:rPr>
                <w:sz w:val="20"/>
                <w:szCs w:val="20"/>
                <w:color w:val="auto"/>
              </w:rPr>
            </w:pPr>
            <w:r>
              <w:rPr>
                <w:rFonts w:ascii="Courier New" w:cs="Courier New" w:eastAsia="Courier New" w:hAnsi="Courier New"/>
                <w:sz w:val="14"/>
                <w:szCs w:val="14"/>
                <w:color w:val="auto"/>
              </w:rPr>
              <w:t>Garner, IA 50438</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10,264</w:t>
            </w:r>
          </w:p>
        </w:tc>
        <w:tc>
          <w:tcPr>
            <w:tcW w:w="2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$532,804.24  18,232,390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10/20/03</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(b) Name and address of each broker through whom the securities are intended</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to be sold</w:t>
      </w:r>
    </w:p>
    <w:p>
      <w:pPr>
        <w:spacing w:after="0" w:line="7" w:lineRule="exact"/>
        <w:rPr>
          <w:sz w:val="20"/>
          <w:szCs w:val="20"/>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00" w:lineRule="exact"/>
        <w:rPr>
          <w:sz w:val="20"/>
          <w:szCs w:val="20"/>
          <w:color w:val="auto"/>
        </w:rPr>
      </w:pPr>
    </w:p>
    <w:p>
      <w:pPr>
        <w:spacing w:after="0" w:line="269"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10/15/95</w:t>
            </w:r>
          </w:p>
        </w:tc>
        <w:tc>
          <w:tcPr>
            <w:tcW w:w="228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10/15/99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12/2000</w:t>
            </w:r>
          </w:p>
        </w:tc>
        <w:tc>
          <w:tcPr>
            <w:tcW w:w="228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Employee Stock Bonus Plan</w:t>
            </w:r>
          </w:p>
        </w:tc>
        <w:tc>
          <w:tcPr>
            <w:tcW w:w="2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698</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$.50</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12/21/01</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12/21/01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par value</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12/21/01</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4,466</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12/21/01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260" w:right="4640" w:hanging="252"/>
        <w:spacing w:after="0" w:line="251"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rFonts w:ascii="Courier New" w:cs="Courier New" w:eastAsia="Courier New" w:hAnsi="Courier New"/>
          <w:sz w:val="14"/>
          <w:szCs w:val="14"/>
          <w:color w:val="auto"/>
        </w:rPr>
      </w:pPr>
    </w:p>
    <w:p>
      <w:pPr>
        <w:ind w:left="260" w:right="4720" w:hanging="252"/>
        <w:spacing w:after="0" w:line="250"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after the acquisition of the securities the person for whose account they are to be sold had any short positions, put or other option to dispose of securities referred to in paragraph (d)(3) of Rule 144,</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furnish full information with respect thereto.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91"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0" w:gutter="0" w:footer="0" w:header="0"/>
        </w:sectPr>
      </w:pPr>
    </w:p>
    <w:p>
      <w:pPr>
        <w:spacing w:after="0" w:line="200" w:lineRule="exact"/>
        <w:rPr>
          <w:sz w:val="20"/>
          <w:szCs w:val="20"/>
          <w:color w:val="auto"/>
        </w:rPr>
      </w:pPr>
    </w:p>
    <w:p>
      <w:pPr>
        <w:spacing w:after="0" w:line="29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10/20/03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020" w:space="440"/>
            <w:col w:w="8080"/>
          </w:cols>
          <w:pgMar w:left="220" w:top="141" w:right="139" w:bottom="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141" w:right="1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2019-12-13T08:26:36Z</dcterms:created>
  <dcterms:modified xsi:type="dcterms:W3CDTF">2019-12-13T08:26:36Z</dcterms:modified>
</cp:coreProperties>
</file>