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82"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45"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14202A"/>
        </w:rPr>
        <w:t xml:space="preserve">Filed by the Registrant </w:t>
      </w:r>
      <w:r>
        <w:rPr>
          <w:rFonts w:ascii="MS PGothic" w:cs="MS PGothic" w:eastAsia="MS PGothic" w:hAnsi="MS PGothic"/>
          <w:sz w:val="18"/>
          <w:szCs w:val="18"/>
          <w:color w:val="14202A"/>
        </w:rPr>
        <w:t>☒</w:t>
      </w:r>
    </w:p>
    <w:p>
      <w:pPr>
        <w:spacing w:after="0" w:line="10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14202A"/>
        </w:rPr>
        <w:t>Filed by party other than the Registrant  </w:t>
      </w:r>
      <w:r>
        <w:rPr>
          <w:rFonts w:ascii="MS PGothic" w:cs="MS PGothic" w:eastAsia="MS PGothic" w:hAnsi="MS PGothic"/>
          <w:sz w:val="18"/>
          <w:szCs w:val="18"/>
          <w:color w:val="14202A"/>
        </w:rPr>
        <w:t>☐</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14202A"/>
        </w:rPr>
        <w:t>Check the appropriate box:</w:t>
      </w:r>
    </w:p>
    <w:p>
      <w:pPr>
        <w:spacing w:after="0" w:line="104"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14202A"/>
        </w:rPr>
      </w:pPr>
      <w:r>
        <w:rPr>
          <w:rFonts w:ascii="Times New Roman" w:cs="Times New Roman" w:eastAsia="Times New Roman" w:hAnsi="Times New Roman"/>
          <w:sz w:val="18"/>
          <w:szCs w:val="18"/>
          <w:color w:val="14202A"/>
        </w:rPr>
        <w:t>Preliminary Proxy Statement</w:t>
      </w:r>
    </w:p>
    <w:p>
      <w:pPr>
        <w:spacing w:after="0" w:line="99" w:lineRule="exact"/>
        <w:rPr>
          <w:rFonts w:ascii="MS PGothic" w:cs="MS PGothic" w:eastAsia="MS PGothic" w:hAnsi="MS PGothic"/>
          <w:sz w:val="18"/>
          <w:szCs w:val="18"/>
          <w:color w:val="14202A"/>
        </w:rPr>
      </w:pPr>
    </w:p>
    <w:p>
      <w:pPr>
        <w:ind w:left="440" w:hanging="432"/>
        <w:spacing w:after="0"/>
        <w:tabs>
          <w:tab w:leader="none" w:pos="440" w:val="left"/>
        </w:tabs>
        <w:numPr>
          <w:ilvl w:val="1"/>
          <w:numId w:val="1"/>
        </w:numPr>
        <w:rPr>
          <w:rFonts w:ascii="MS PGothic" w:cs="MS PGothic" w:eastAsia="MS PGothic" w:hAnsi="MS PGothic"/>
          <w:sz w:val="18"/>
          <w:szCs w:val="18"/>
          <w:color w:val="14202A"/>
        </w:rPr>
      </w:pPr>
      <w:r>
        <w:rPr>
          <w:rFonts w:ascii="Times New Roman" w:cs="Times New Roman" w:eastAsia="Times New Roman" w:hAnsi="Times New Roman"/>
          <w:sz w:val="18"/>
          <w:szCs w:val="18"/>
          <w:b w:val="1"/>
          <w:bCs w:val="1"/>
          <w:color w:val="14202A"/>
        </w:rPr>
        <w:t>Confidential, For Use of the Commission Only (as permitted by Rule 14a-6(e)(2))</w:t>
      </w:r>
    </w:p>
    <w:p>
      <w:pPr>
        <w:spacing w:after="0" w:line="107" w:lineRule="exact"/>
        <w:rPr>
          <w:rFonts w:ascii="MS PGothic" w:cs="MS PGothic" w:eastAsia="MS PGothic" w:hAnsi="MS PGothic"/>
          <w:sz w:val="18"/>
          <w:szCs w:val="18"/>
          <w:color w:val="14202A"/>
        </w:rPr>
      </w:pPr>
    </w:p>
    <w:p>
      <w:pPr>
        <w:ind w:left="440" w:hanging="436"/>
        <w:spacing w:after="0"/>
        <w:tabs>
          <w:tab w:leader="none" w:pos="440" w:val="left"/>
        </w:tabs>
        <w:numPr>
          <w:ilvl w:val="0"/>
          <w:numId w:val="1"/>
        </w:numPr>
        <w:rPr>
          <w:rFonts w:ascii="MS PGothic" w:cs="MS PGothic" w:eastAsia="MS PGothic" w:hAnsi="MS PGothic"/>
          <w:sz w:val="18"/>
          <w:szCs w:val="18"/>
          <w:color w:val="14202A"/>
        </w:rPr>
      </w:pPr>
      <w:r>
        <w:rPr>
          <w:rFonts w:ascii="Times New Roman" w:cs="Times New Roman" w:eastAsia="Times New Roman" w:hAnsi="Times New Roman"/>
          <w:sz w:val="18"/>
          <w:szCs w:val="18"/>
          <w:color w:val="14202A"/>
        </w:rPr>
        <w:t>Definitive Proxy Statement</w:t>
      </w:r>
    </w:p>
    <w:p>
      <w:pPr>
        <w:spacing w:after="0" w:line="103" w:lineRule="exact"/>
        <w:rPr>
          <w:rFonts w:ascii="MS PGothic" w:cs="MS PGothic" w:eastAsia="MS PGothic" w:hAnsi="MS PGothic"/>
          <w:sz w:val="18"/>
          <w:szCs w:val="18"/>
          <w:color w:val="14202A"/>
        </w:rPr>
      </w:pPr>
    </w:p>
    <w:p>
      <w:pPr>
        <w:ind w:left="440" w:hanging="432"/>
        <w:spacing w:after="0"/>
        <w:tabs>
          <w:tab w:leader="none" w:pos="440" w:val="left"/>
        </w:tabs>
        <w:numPr>
          <w:ilvl w:val="1"/>
          <w:numId w:val="1"/>
        </w:numPr>
        <w:rPr>
          <w:rFonts w:ascii="MS PGothic" w:cs="MS PGothic" w:eastAsia="MS PGothic" w:hAnsi="MS PGothic"/>
          <w:sz w:val="18"/>
          <w:szCs w:val="18"/>
          <w:color w:val="14202A"/>
        </w:rPr>
      </w:pPr>
      <w:r>
        <w:rPr>
          <w:rFonts w:ascii="Times New Roman" w:cs="Times New Roman" w:eastAsia="Times New Roman" w:hAnsi="Times New Roman"/>
          <w:sz w:val="18"/>
          <w:szCs w:val="18"/>
          <w:color w:val="14202A"/>
        </w:rPr>
        <w:t>Definitive Additional Materials</w:t>
      </w:r>
    </w:p>
    <w:p>
      <w:pPr>
        <w:spacing w:after="0" w:line="103" w:lineRule="exact"/>
        <w:rPr>
          <w:rFonts w:ascii="MS PGothic" w:cs="MS PGothic" w:eastAsia="MS PGothic" w:hAnsi="MS PGothic"/>
          <w:sz w:val="18"/>
          <w:szCs w:val="18"/>
          <w:color w:val="14202A"/>
        </w:rPr>
      </w:pPr>
    </w:p>
    <w:p>
      <w:pPr>
        <w:ind w:left="440" w:hanging="432"/>
        <w:spacing w:after="0"/>
        <w:tabs>
          <w:tab w:leader="none" w:pos="440" w:val="left"/>
        </w:tabs>
        <w:numPr>
          <w:ilvl w:val="1"/>
          <w:numId w:val="1"/>
        </w:numPr>
        <w:rPr>
          <w:rFonts w:ascii="MS PGothic" w:cs="MS PGothic" w:eastAsia="MS PGothic" w:hAnsi="MS PGothic"/>
          <w:sz w:val="18"/>
          <w:szCs w:val="18"/>
          <w:color w:val="14202A"/>
        </w:rPr>
      </w:pPr>
      <w:r>
        <w:rPr>
          <w:rFonts w:ascii="Times New Roman" w:cs="Times New Roman" w:eastAsia="Times New Roman" w:hAnsi="Times New Roman"/>
          <w:sz w:val="18"/>
          <w:szCs w:val="18"/>
          <w:color w:val="14202A"/>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257175</wp:posOffset>
            </wp:positionV>
            <wp:extent cx="2202815" cy="522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0281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14202A"/>
        </w:rPr>
        <w:t> </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14202A"/>
        </w:rPr>
        <w:t> </w:t>
      </w:r>
    </w:p>
    <w:p>
      <w:pPr>
        <w:spacing w:after="0" w:line="2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2"/>
          <w:szCs w:val="32"/>
          <w:b w:val="1"/>
          <w:bCs w:val="1"/>
          <w:color w:val="14202A"/>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5"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14202A"/>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53"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color w:val="14202A"/>
        </w:rPr>
        <w:t>(Name of Person(s) Filing Proxy Statement, if Other than the Registrant)</w:t>
      </w:r>
    </w:p>
    <w:p>
      <w:pPr>
        <w:spacing w:after="0" w:line="2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14202A"/>
        </w:rPr>
        <w:t>Payment of Filing Fee (Check all boxes that apply):</w:t>
      </w:r>
    </w:p>
    <w:p>
      <w:pPr>
        <w:spacing w:after="0" w:line="104" w:lineRule="exact"/>
        <w:rPr>
          <w:sz w:val="24"/>
          <w:szCs w:val="24"/>
          <w:color w:val="auto"/>
        </w:rPr>
      </w:pPr>
    </w:p>
    <w:p>
      <w:pPr>
        <w:ind w:left="540" w:hanging="428"/>
        <w:spacing w:after="0"/>
        <w:tabs>
          <w:tab w:leader="none" w:pos="540" w:val="left"/>
        </w:tabs>
        <w:numPr>
          <w:ilvl w:val="0"/>
          <w:numId w:val="2"/>
        </w:numPr>
        <w:rPr>
          <w:rFonts w:ascii="MS PGothic" w:cs="MS PGothic" w:eastAsia="MS PGothic" w:hAnsi="MS PGothic"/>
          <w:sz w:val="18"/>
          <w:szCs w:val="18"/>
          <w:color w:val="14202A"/>
        </w:rPr>
      </w:pPr>
      <w:r>
        <w:rPr>
          <w:rFonts w:ascii="Times New Roman" w:cs="Times New Roman" w:eastAsia="Times New Roman" w:hAnsi="Times New Roman"/>
          <w:sz w:val="18"/>
          <w:szCs w:val="18"/>
          <w:color w:val="14202A"/>
        </w:rPr>
        <w:t>No fee required.</w:t>
      </w:r>
    </w:p>
    <w:p>
      <w:pPr>
        <w:spacing w:after="0" w:line="103" w:lineRule="exact"/>
        <w:rPr>
          <w:rFonts w:ascii="MS PGothic" w:cs="MS PGothic" w:eastAsia="MS PGothic" w:hAnsi="MS PGothic"/>
          <w:sz w:val="18"/>
          <w:szCs w:val="18"/>
          <w:color w:val="14202A"/>
        </w:rPr>
      </w:pPr>
    </w:p>
    <w:p>
      <w:pPr>
        <w:ind w:left="540" w:hanging="424"/>
        <w:spacing w:after="0"/>
        <w:tabs>
          <w:tab w:leader="none" w:pos="540" w:val="left"/>
        </w:tabs>
        <w:numPr>
          <w:ilvl w:val="1"/>
          <w:numId w:val="2"/>
        </w:numPr>
        <w:rPr>
          <w:rFonts w:ascii="MS PGothic" w:cs="MS PGothic" w:eastAsia="MS PGothic" w:hAnsi="MS PGothic"/>
          <w:sz w:val="18"/>
          <w:szCs w:val="18"/>
          <w:color w:val="14202A"/>
        </w:rPr>
      </w:pPr>
      <w:r>
        <w:rPr>
          <w:rFonts w:ascii="Times New Roman" w:cs="Times New Roman" w:eastAsia="Times New Roman" w:hAnsi="Times New Roman"/>
          <w:sz w:val="18"/>
          <w:szCs w:val="18"/>
          <w:color w:val="14202A"/>
        </w:rPr>
        <w:t>Fee previously paid with preliminary materials</w:t>
      </w:r>
    </w:p>
    <w:p>
      <w:pPr>
        <w:spacing w:after="0" w:line="103" w:lineRule="exact"/>
        <w:rPr>
          <w:rFonts w:ascii="MS PGothic" w:cs="MS PGothic" w:eastAsia="MS PGothic" w:hAnsi="MS PGothic"/>
          <w:sz w:val="18"/>
          <w:szCs w:val="18"/>
          <w:color w:val="14202A"/>
        </w:rPr>
      </w:pPr>
    </w:p>
    <w:p>
      <w:pPr>
        <w:ind w:left="540" w:hanging="424"/>
        <w:spacing w:after="0"/>
        <w:tabs>
          <w:tab w:leader="none" w:pos="540" w:val="left"/>
        </w:tabs>
        <w:numPr>
          <w:ilvl w:val="1"/>
          <w:numId w:val="2"/>
        </w:numPr>
        <w:rPr>
          <w:rFonts w:ascii="MS PGothic" w:cs="MS PGothic" w:eastAsia="MS PGothic" w:hAnsi="MS PGothic"/>
          <w:sz w:val="17"/>
          <w:szCs w:val="17"/>
          <w:color w:val="14202A"/>
        </w:rPr>
      </w:pPr>
      <w:r>
        <w:rPr>
          <w:rFonts w:ascii="Times New Roman" w:cs="Times New Roman" w:eastAsia="Times New Roman" w:hAnsi="Times New Roman"/>
          <w:sz w:val="17"/>
          <w:szCs w:val="17"/>
          <w:color w:val="14202A"/>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384810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221615</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102870</wp:posOffset>
            </wp:positionV>
            <wp:extent cx="7003415" cy="8983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898398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171450</wp:posOffset>
            </wp:positionV>
            <wp:extent cx="2254250" cy="1508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5425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50"/>
          <w:szCs w:val="50"/>
          <w:b w:val="1"/>
          <w:bCs w:val="1"/>
          <w:color w:val="14202A"/>
        </w:rPr>
        <w:t>Dear Fellow</w:t>
      </w:r>
    </w:p>
    <w:p>
      <w:pPr>
        <w:spacing w:after="0" w:line="225" w:lineRule="auto"/>
        <w:tabs>
          <w:tab w:leader="none" w:pos="5700" w:val="left"/>
        </w:tabs>
        <w:rPr>
          <w:sz w:val="20"/>
          <w:szCs w:val="20"/>
          <w:color w:val="auto"/>
        </w:rPr>
      </w:pPr>
      <w:r>
        <w:rPr>
          <w:rFonts w:ascii="Arial" w:cs="Arial" w:eastAsia="Arial" w:hAnsi="Arial"/>
          <w:sz w:val="50"/>
          <w:szCs w:val="50"/>
          <w:b w:val="1"/>
          <w:bCs w:val="1"/>
          <w:color w:val="14202A"/>
        </w:rPr>
        <w:t>Shareholders,</w:t>
      </w:r>
      <w:r>
        <w:rPr>
          <w:sz w:val="20"/>
          <w:szCs w:val="20"/>
          <w:color w:val="auto"/>
        </w:rPr>
        <w:tab/>
      </w:r>
      <w:r>
        <w:rPr>
          <w:rFonts w:ascii="Arial" w:cs="Arial" w:eastAsia="Arial" w:hAnsi="Arial"/>
          <w:sz w:val="36"/>
          <w:szCs w:val="36"/>
          <w:color w:val="14202A"/>
          <w:vertAlign w:val="subscript"/>
        </w:rPr>
        <w:t> </w:t>
      </w:r>
    </w:p>
    <w:p>
      <w:pPr>
        <w:spacing w:after="0" w:line="214" w:lineRule="exact"/>
        <w:rPr>
          <w:sz w:val="20"/>
          <w:szCs w:val="20"/>
          <w:color w:val="auto"/>
        </w:rPr>
      </w:pPr>
    </w:p>
    <w:p>
      <w:pPr>
        <w:ind w:right="60"/>
        <w:spacing w:after="0" w:line="238" w:lineRule="auto"/>
        <w:rPr>
          <w:sz w:val="20"/>
          <w:szCs w:val="20"/>
          <w:color w:val="auto"/>
        </w:rPr>
      </w:pPr>
      <w:r>
        <w:rPr>
          <w:rFonts w:ascii="Arial" w:cs="Arial" w:eastAsia="Arial" w:hAnsi="Arial"/>
          <w:sz w:val="15"/>
          <w:szCs w:val="15"/>
          <w:color w:val="14202A"/>
        </w:rPr>
        <w:t>Fiscal 2026 was a year of disciplined execution for Winnebago Industries. In a cautious retail environment, we focused on what we could control: strengthening products, aligning production with demand, reducing costs, generating cash and preserving balance sheet flexibility. We also prioritized channel health over near-term volume that could compromise quality, while advancing portfolio actions that improved flexibility and positioned us well for Fiscal 2027.</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5"/>
          <w:szCs w:val="15"/>
          <w:color w:val="14202A"/>
        </w:rPr>
        <w:t>Product innovation remained central to our strategy. Across our brands, we introduced new offerings that broaden our reach by consumer need, price point and use case while reinforcing the quality and experience associated with Winnebago Industries. These launches, including the Winnebago Elora/Resa, ARKA off-grid adventure truck, Grand Design Lineage Series E motorhome and Foundation destination trailer, strengthen our portfolio and should contribute more as distribution expands and awareness grows.</w:t>
      </w:r>
    </w:p>
    <w:p>
      <w:pPr>
        <w:spacing w:after="0" w:line="99" w:lineRule="exact"/>
        <w:rPr>
          <w:sz w:val="20"/>
          <w:szCs w:val="20"/>
          <w:color w:val="auto"/>
        </w:rPr>
      </w:pPr>
    </w:p>
    <w:p>
      <w:pPr>
        <w:ind w:right="100"/>
        <w:spacing w:after="0" w:line="234" w:lineRule="auto"/>
        <w:rPr>
          <w:sz w:val="20"/>
          <w:szCs w:val="20"/>
          <w:color w:val="auto"/>
        </w:rPr>
      </w:pPr>
      <w:r>
        <w:rPr>
          <w:rFonts w:ascii="Arial" w:cs="Arial" w:eastAsia="Arial" w:hAnsi="Arial"/>
          <w:sz w:val="15"/>
          <w:szCs w:val="15"/>
          <w:color w:val="14202A"/>
        </w:rPr>
        <w:t>Our Motorhome RV segment improved in Fiscal 2026, as Winnebago advanced its turnaround, Grand Design Motorized expanded its presence and Newmar remained strong in key categories. Together, these efforts helped return the segment to full-year profitability after an operating loss in Fiscal 2025. In Towable RV, Winnebago towables gained market traction with new and refreshed products, while Grand Design expanded into destination trailers and refreshed key models with floorplans tailored to specific customer use cases. In Marine, Barletta continued gaining share in the U.S. aluminum pontoon market, while Chris-Craft advanced its product refresh, including the reimagined Launch 27.</w:t>
      </w:r>
    </w:p>
    <w:p>
      <w:pPr>
        <w:spacing w:after="0" w:line="98" w:lineRule="exact"/>
        <w:rPr>
          <w:sz w:val="20"/>
          <w:szCs w:val="20"/>
          <w:color w:val="auto"/>
        </w:rPr>
      </w:pPr>
    </w:p>
    <w:p>
      <w:pPr>
        <w:ind w:right="160"/>
        <w:spacing w:after="0" w:line="238" w:lineRule="auto"/>
        <w:rPr>
          <w:sz w:val="20"/>
          <w:szCs w:val="20"/>
          <w:color w:val="auto"/>
        </w:rPr>
      </w:pPr>
      <w:r>
        <w:rPr>
          <w:rFonts w:ascii="Arial" w:cs="Arial" w:eastAsia="Arial" w:hAnsi="Arial"/>
          <w:sz w:val="15"/>
          <w:szCs w:val="15"/>
          <w:color w:val="14202A"/>
        </w:rPr>
        <w:t>We also streamlined our manufacturing network to reduce complexity and improve capacity utilization. During the fourth quarter, we announced plans to relocate Winnebago towables production to Grand Design’s Middlebury, Indiana campus, consolidate select Grand Design lines and align Winnebago B-Van production with our core motorhome operations in Forest City, Iowa. These actions are expected to improve coordination across the portfolio, with benefits building through Fiscal 2027 and into Fiscal 2028.</w:t>
      </w:r>
    </w:p>
    <w:p>
      <w:pPr>
        <w:spacing w:after="0" w:line="99" w:lineRule="exact"/>
        <w:rPr>
          <w:sz w:val="20"/>
          <w:szCs w:val="20"/>
          <w:color w:val="auto"/>
        </w:rPr>
      </w:pPr>
    </w:p>
    <w:p>
      <w:pPr>
        <w:jc w:val="both"/>
        <w:ind w:right="260"/>
        <w:spacing w:after="0" w:line="238" w:lineRule="auto"/>
        <w:rPr>
          <w:sz w:val="20"/>
          <w:szCs w:val="20"/>
          <w:color w:val="auto"/>
        </w:rPr>
      </w:pPr>
      <w:r>
        <w:rPr>
          <w:rFonts w:ascii="Arial" w:cs="Arial" w:eastAsia="Arial" w:hAnsi="Arial"/>
          <w:sz w:val="15"/>
          <w:szCs w:val="15"/>
          <w:color w:val="14202A"/>
        </w:rPr>
        <w:t>We strengthened our financial position in Fiscal 2026 by redeeming $100 million of senior secured notes, renewing and extending our $350 million revolving credit facility through 2031 and increasing the quarterly dividend by 3% to $0.36 per share. We also generated operating cash flow of $169 million, supporting continued investment in the brands, products and capabilities that can strengthen our competitive position and long-term earnings power.</w:t>
      </w:r>
    </w:p>
    <w:p>
      <w:pPr>
        <w:spacing w:after="0" w:line="99" w:lineRule="exact"/>
        <w:rPr>
          <w:sz w:val="20"/>
          <w:szCs w:val="20"/>
          <w:color w:val="auto"/>
        </w:rPr>
      </w:pPr>
    </w:p>
    <w:p>
      <w:pPr>
        <w:ind w:right="80"/>
        <w:spacing w:after="0" w:line="244" w:lineRule="auto"/>
        <w:rPr>
          <w:sz w:val="20"/>
          <w:szCs w:val="20"/>
          <w:color w:val="auto"/>
        </w:rPr>
      </w:pPr>
      <w:r>
        <w:rPr>
          <w:rFonts w:ascii="Arial" w:cs="Arial" w:eastAsia="Arial" w:hAnsi="Arial"/>
          <w:sz w:val="15"/>
          <w:szCs w:val="15"/>
          <w:color w:val="14202A"/>
        </w:rPr>
        <w:t>As we enter Fiscal 2027, our plan does not depend on the timing of an industry recovery; we are focused on executing operating actions already underway, maintaining capital discipline and building on the foundation established in Fiscal 2026 to drive market share, profitability and long-term earnings power.</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14202A"/>
        </w:rPr>
        <w:t>On behalf of the Board, we offer heartfelt thanks to William C. Fisher, who is not standing for re-election when his current term expires.</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14202A"/>
        </w:rPr>
        <w:t>For more than a decade, his judgment, experience and commitment have served Winnebago Industries and our shareholders well.</w:t>
      </w:r>
    </w:p>
    <w:p>
      <w:pPr>
        <w:spacing w:after="0" w:line="111"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14202A"/>
        </w:rPr>
        <w:t>The proxy statement includes several items that will be voted on at the upcoming 2026 Annual Meeting of Shareholders, which will be conducted virtually on Tuesday, December 15, 2026. Among these items are proposed amendments to our Articles of Incorporation and Bylaws that, if approved, would phase out our classified Board beginning in 2027, with all directors standing for annual election beginning in 2029. We encourage you to participate and vote your shares.</w:t>
      </w:r>
    </w:p>
    <w:p>
      <w:pPr>
        <w:spacing w:after="0" w:line="99"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14202A"/>
        </w:rPr>
        <w:t>On behalf of the entire Winnebago Industries Board, thank you for your continued support and confidence. We are energized by the work ahead and focused on building a stronger Winnebago Industries for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1440180"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 </w:t>
      </w:r>
      <w:r>
        <w:rPr>
          <w:rFonts w:ascii="Arial" w:cs="Arial" w:eastAsia="Arial" w:hAnsi="Arial"/>
          <w:sz w:val="15"/>
          <w:szCs w:val="15"/>
          <w:b w:val="1"/>
          <w:bCs w:val="1"/>
          <w:color w:val="14202A"/>
        </w:rPr>
        <w:t>John M. Murabito,</w:t>
      </w:r>
    </w:p>
    <w:p>
      <w:pPr>
        <w:spacing w:after="0"/>
        <w:rPr>
          <w:sz w:val="20"/>
          <w:szCs w:val="20"/>
          <w:color w:val="auto"/>
        </w:rPr>
      </w:pPr>
      <w:r>
        <w:rPr>
          <w:rFonts w:ascii="Arial" w:cs="Arial" w:eastAsia="Arial" w:hAnsi="Arial"/>
          <w:sz w:val="15"/>
          <w:szCs w:val="15"/>
          <w:color w:val="14202A"/>
        </w:rPr>
        <w:t>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174879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487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14202A"/>
        </w:rPr>
        <w:t xml:space="preserve">  </w:t>
      </w:r>
    </w:p>
    <w:p>
      <w:pPr>
        <w:spacing w:after="0" w:line="225" w:lineRule="auto"/>
        <w:rPr>
          <w:sz w:val="20"/>
          <w:szCs w:val="20"/>
          <w:color w:val="auto"/>
        </w:rPr>
      </w:pPr>
      <w:r>
        <w:rPr>
          <w:rFonts w:ascii="Arial" w:cs="Arial" w:eastAsia="Arial" w:hAnsi="Arial"/>
          <w:sz w:val="15"/>
          <w:szCs w:val="15"/>
          <w:b w:val="1"/>
          <w:bCs w:val="1"/>
          <w:color w:val="14202A"/>
        </w:rPr>
        <w:t>Michael J. Happe,</w:t>
      </w:r>
    </w:p>
    <w:p>
      <w:pPr>
        <w:spacing w:after="0"/>
        <w:rPr>
          <w:sz w:val="20"/>
          <w:szCs w:val="20"/>
          <w:color w:val="auto"/>
        </w:rPr>
      </w:pPr>
      <w:r>
        <w:rPr>
          <w:rFonts w:ascii="Arial" w:cs="Arial" w:eastAsia="Arial" w:hAnsi="Arial"/>
          <w:sz w:val="15"/>
          <w:szCs w:val="15"/>
          <w:color w:val="14202A"/>
        </w:rPr>
        <w:t>President and Chief Executive Officer</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171450</wp:posOffset>
            </wp:positionV>
            <wp:extent cx="1139825"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3982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b w:val="1"/>
                <w:bCs w:val="1"/>
                <w:color w:val="14202A"/>
              </w:rPr>
              <w:t>Notice of Annual Meeting of Shareholders</w:t>
            </w:r>
          </w:p>
        </w:tc>
        <w:tc>
          <w:tcPr>
            <w:tcW w:w="27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3000" w:type="dxa"/>
            <w:vAlign w:val="bottom"/>
          </w:tcPr>
          <w:p>
            <w:pPr>
              <w:spacing w:after="0"/>
              <w:rPr>
                <w:sz w:val="20"/>
                <w:szCs w:val="20"/>
                <w:color w:val="auto"/>
              </w:rPr>
            </w:pPr>
            <w:r>
              <w:rPr>
                <w:rFonts w:ascii="Arial" w:cs="Arial" w:eastAsia="Arial" w:hAnsi="Arial"/>
                <w:sz w:val="18"/>
                <w:szCs w:val="18"/>
                <w:b w:val="1"/>
                <w:bCs w:val="1"/>
                <w:color w:val="14202A"/>
              </w:rPr>
              <w:t>to be held December 15, 2026</w:t>
            </w:r>
          </w:p>
        </w:tc>
        <w:tc>
          <w:tcPr>
            <w:tcW w:w="16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920" w:type="dxa"/>
            <w:vAlign w:val="bottom"/>
          </w:tcPr>
          <w:p>
            <w:pPr>
              <w:ind w:left="140"/>
              <w:spacing w:after="0"/>
              <w:rPr>
                <w:sz w:val="20"/>
                <w:szCs w:val="20"/>
                <w:color w:val="auto"/>
              </w:rPr>
            </w:pPr>
            <w:r>
              <w:rPr>
                <w:rFonts w:ascii="Arial" w:cs="Arial" w:eastAsia="Arial" w:hAnsi="Arial"/>
                <w:sz w:val="18"/>
                <w:szCs w:val="18"/>
                <w:color w:val="14202A"/>
              </w:rPr>
              <w:t> </w:t>
            </w:r>
          </w:p>
        </w:tc>
        <w:tc>
          <w:tcPr>
            <w:tcW w:w="0" w:type="dxa"/>
            <w:vAlign w:val="bottom"/>
          </w:tcPr>
          <w:p>
            <w:pPr>
              <w:spacing w:after="0"/>
              <w:rPr>
                <w:sz w:val="1"/>
                <w:szCs w:val="1"/>
                <w:color w:val="auto"/>
              </w:rPr>
            </w:pPr>
          </w:p>
        </w:tc>
      </w:tr>
      <w:tr>
        <w:trPr>
          <w:trHeight w:val="177"/>
        </w:trPr>
        <w:tc>
          <w:tcPr>
            <w:tcW w:w="30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5"/>
        </w:trPr>
        <w:tc>
          <w:tcPr>
            <w:tcW w:w="3000" w:type="dxa"/>
            <w:vAlign w:val="bottom"/>
            <w:shd w:val="clear" w:color="auto" w:fill="14202A"/>
          </w:tcPr>
          <w:p>
            <w:pPr>
              <w:ind w:left="420"/>
              <w:spacing w:after="0"/>
              <w:rPr>
                <w:sz w:val="20"/>
                <w:szCs w:val="20"/>
                <w:color w:val="auto"/>
              </w:rPr>
            </w:pPr>
            <w:r>
              <w:rPr>
                <w:rFonts w:ascii="Arial" w:cs="Arial" w:eastAsia="Arial" w:hAnsi="Arial"/>
                <w:sz w:val="16"/>
                <w:szCs w:val="16"/>
                <w:color w:val="FFFFFF"/>
              </w:rPr>
              <w:t> </w:t>
            </w:r>
          </w:p>
        </w:tc>
        <w:tc>
          <w:tcPr>
            <w:tcW w:w="1600" w:type="dxa"/>
            <w:vAlign w:val="bottom"/>
            <w:shd w:val="clear" w:color="auto" w:fill="14202A"/>
          </w:tcPr>
          <w:p>
            <w:pPr>
              <w:ind w:left="120"/>
              <w:spacing w:after="0"/>
              <w:rPr>
                <w:sz w:val="20"/>
                <w:szCs w:val="20"/>
                <w:color w:val="auto"/>
              </w:rPr>
            </w:pPr>
            <w:r>
              <w:rPr>
                <w:rFonts w:ascii="Arial" w:cs="Arial" w:eastAsia="Arial" w:hAnsi="Arial"/>
                <w:sz w:val="16"/>
                <w:szCs w:val="16"/>
                <w:color w:val="FFFFFF"/>
              </w:rPr>
              <w:t> </w:t>
            </w:r>
          </w:p>
        </w:tc>
        <w:tc>
          <w:tcPr>
            <w:tcW w:w="2760" w:type="dxa"/>
            <w:vAlign w:val="bottom"/>
            <w:shd w:val="clear" w:color="auto" w:fill="14202A"/>
          </w:tcPr>
          <w:p>
            <w:pPr>
              <w:spacing w:after="0"/>
              <w:rPr>
                <w:sz w:val="24"/>
                <w:szCs w:val="24"/>
                <w:color w:val="auto"/>
              </w:rPr>
            </w:pPr>
          </w:p>
        </w:tc>
        <w:tc>
          <w:tcPr>
            <w:tcW w:w="1920" w:type="dxa"/>
            <w:vAlign w:val="bottom"/>
            <w:shd w:val="clear" w:color="auto" w:fill="14202A"/>
          </w:tcPr>
          <w:p>
            <w:pPr>
              <w:ind w:left="220"/>
              <w:spacing w:after="0"/>
              <w:rPr>
                <w:sz w:val="20"/>
                <w:szCs w:val="20"/>
                <w:color w:val="auto"/>
              </w:rPr>
            </w:pPr>
            <w:r>
              <w:rPr>
                <w:rFonts w:ascii="Arial" w:cs="Arial" w:eastAsia="Arial" w:hAnsi="Arial"/>
                <w:sz w:val="16"/>
                <w:szCs w:val="16"/>
                <w:color w:val="FFFFFF"/>
              </w:rPr>
              <w:t> </w:t>
            </w:r>
          </w:p>
        </w:tc>
        <w:tc>
          <w:tcPr>
            <w:tcW w:w="0" w:type="dxa"/>
            <w:vAlign w:val="bottom"/>
          </w:tcPr>
          <w:p>
            <w:pPr>
              <w:spacing w:after="0"/>
              <w:rPr>
                <w:sz w:val="1"/>
                <w:szCs w:val="1"/>
                <w:color w:val="auto"/>
              </w:rPr>
            </w:pPr>
          </w:p>
        </w:tc>
      </w:tr>
      <w:tr>
        <w:trPr>
          <w:trHeight w:val="215"/>
        </w:trPr>
        <w:tc>
          <w:tcPr>
            <w:tcW w:w="3000" w:type="dxa"/>
            <w:vAlign w:val="bottom"/>
            <w:shd w:val="clear" w:color="auto" w:fill="14202A"/>
          </w:tcPr>
          <w:p>
            <w:pPr>
              <w:jc w:val="center"/>
              <w:ind w:right="78"/>
              <w:spacing w:after="0"/>
              <w:rPr>
                <w:sz w:val="20"/>
                <w:szCs w:val="20"/>
                <w:color w:val="auto"/>
              </w:rPr>
            </w:pPr>
            <w:r>
              <w:rPr>
                <w:rFonts w:ascii="Arial" w:cs="Arial" w:eastAsia="Arial" w:hAnsi="Arial"/>
                <w:sz w:val="16"/>
                <w:szCs w:val="16"/>
                <w:b w:val="1"/>
                <w:bCs w:val="1"/>
                <w:color w:val="FFFFFF"/>
              </w:rPr>
              <w:t>Time and Date:</w:t>
            </w:r>
          </w:p>
        </w:tc>
        <w:tc>
          <w:tcPr>
            <w:tcW w:w="1600" w:type="dxa"/>
            <w:vAlign w:val="bottom"/>
            <w:shd w:val="clear" w:color="auto" w:fill="14202A"/>
          </w:tcPr>
          <w:p>
            <w:pPr>
              <w:spacing w:after="0"/>
              <w:rPr>
                <w:sz w:val="18"/>
                <w:szCs w:val="18"/>
                <w:color w:val="auto"/>
              </w:rPr>
            </w:pPr>
          </w:p>
        </w:tc>
        <w:tc>
          <w:tcPr>
            <w:tcW w:w="2760" w:type="dxa"/>
            <w:vAlign w:val="bottom"/>
            <w:shd w:val="clear" w:color="auto" w:fill="14202A"/>
          </w:tcPr>
          <w:p>
            <w:pPr>
              <w:jc w:val="center"/>
              <w:ind w:right="1739"/>
              <w:spacing w:after="0"/>
              <w:rPr>
                <w:sz w:val="20"/>
                <w:szCs w:val="20"/>
                <w:color w:val="auto"/>
              </w:rPr>
            </w:pPr>
            <w:r>
              <w:rPr>
                <w:rFonts w:ascii="Arial" w:cs="Arial" w:eastAsia="Arial" w:hAnsi="Arial"/>
                <w:sz w:val="16"/>
                <w:szCs w:val="16"/>
                <w:b w:val="1"/>
                <w:bCs w:val="1"/>
                <w:color w:val="FFFFFF"/>
                <w:w w:val="97"/>
              </w:rPr>
              <w:t>Place:</w:t>
            </w:r>
          </w:p>
        </w:tc>
        <w:tc>
          <w:tcPr>
            <w:tcW w:w="1920" w:type="dxa"/>
            <w:vAlign w:val="bottom"/>
            <w:shd w:val="clear" w:color="auto" w:fill="14202A"/>
          </w:tcPr>
          <w:p>
            <w:pPr>
              <w:jc w:val="center"/>
              <w:spacing w:after="0"/>
              <w:rPr>
                <w:sz w:val="20"/>
                <w:szCs w:val="20"/>
                <w:color w:val="auto"/>
              </w:rPr>
            </w:pPr>
            <w:r>
              <w:rPr>
                <w:rFonts w:ascii="Arial" w:cs="Arial" w:eastAsia="Arial" w:hAnsi="Arial"/>
                <w:sz w:val="16"/>
                <w:szCs w:val="16"/>
                <w:b w:val="1"/>
                <w:bCs w:val="1"/>
                <w:color w:val="FFFFFF"/>
              </w:rPr>
              <w:t>Record Date:</w:t>
            </w:r>
          </w:p>
        </w:tc>
        <w:tc>
          <w:tcPr>
            <w:tcW w:w="0" w:type="dxa"/>
            <w:vAlign w:val="bottom"/>
          </w:tcPr>
          <w:p>
            <w:pPr>
              <w:spacing w:after="0"/>
              <w:rPr>
                <w:sz w:val="1"/>
                <w:szCs w:val="1"/>
                <w:color w:val="auto"/>
              </w:rPr>
            </w:pPr>
          </w:p>
        </w:tc>
      </w:tr>
      <w:tr>
        <w:trPr>
          <w:trHeight w:val="216"/>
        </w:trPr>
        <w:tc>
          <w:tcPr>
            <w:tcW w:w="3000" w:type="dxa"/>
            <w:vAlign w:val="bottom"/>
            <w:shd w:val="clear" w:color="auto" w:fill="14202A"/>
          </w:tcPr>
          <w:p>
            <w:pPr>
              <w:jc w:val="center"/>
              <w:ind w:right="78"/>
              <w:spacing w:after="0"/>
              <w:rPr>
                <w:sz w:val="20"/>
                <w:szCs w:val="20"/>
                <w:color w:val="auto"/>
              </w:rPr>
            </w:pPr>
            <w:r>
              <w:rPr>
                <w:rFonts w:ascii="Arial" w:cs="Arial" w:eastAsia="Arial" w:hAnsi="Arial"/>
                <w:sz w:val="16"/>
                <w:szCs w:val="16"/>
                <w:color w:val="FFFFFF"/>
                <w:w w:val="97"/>
              </w:rPr>
              <w:t>Tuesday,</w:t>
            </w:r>
          </w:p>
        </w:tc>
        <w:tc>
          <w:tcPr>
            <w:tcW w:w="4360" w:type="dxa"/>
            <w:vAlign w:val="bottom"/>
            <w:gridSpan w:val="2"/>
            <w:shd w:val="clear" w:color="auto" w:fill="14202A"/>
          </w:tcPr>
          <w:p>
            <w:pPr>
              <w:jc w:val="center"/>
              <w:ind w:right="139"/>
              <w:spacing w:after="0"/>
              <w:rPr>
                <w:sz w:val="20"/>
                <w:szCs w:val="20"/>
                <w:color w:val="auto"/>
              </w:rPr>
            </w:pPr>
            <w:r>
              <w:rPr>
                <w:rFonts w:ascii="Arial" w:cs="Arial" w:eastAsia="Arial" w:hAnsi="Arial"/>
                <w:sz w:val="16"/>
                <w:szCs w:val="16"/>
                <w:color w:val="FFFFFF"/>
              </w:rPr>
              <w:t>The annual meeting will be held virtually.</w:t>
            </w:r>
          </w:p>
        </w:tc>
        <w:tc>
          <w:tcPr>
            <w:tcW w:w="1920" w:type="dxa"/>
            <w:vAlign w:val="bottom"/>
            <w:shd w:val="clear" w:color="auto" w:fill="14202A"/>
          </w:tcPr>
          <w:p>
            <w:pPr>
              <w:jc w:val="center"/>
              <w:spacing w:after="0"/>
              <w:rPr>
                <w:sz w:val="20"/>
                <w:szCs w:val="20"/>
                <w:color w:val="auto"/>
              </w:rPr>
            </w:pPr>
            <w:r>
              <w:rPr>
                <w:rFonts w:ascii="Arial" w:cs="Arial" w:eastAsia="Arial" w:hAnsi="Arial"/>
                <w:sz w:val="16"/>
                <w:szCs w:val="16"/>
                <w:color w:val="FFFFFF"/>
              </w:rPr>
              <w:t>October 20, 2026​</w:t>
            </w:r>
          </w:p>
        </w:tc>
        <w:tc>
          <w:tcPr>
            <w:tcW w:w="0" w:type="dxa"/>
            <w:vAlign w:val="bottom"/>
          </w:tcPr>
          <w:p>
            <w:pPr>
              <w:spacing w:after="0"/>
              <w:rPr>
                <w:sz w:val="1"/>
                <w:szCs w:val="1"/>
                <w:color w:val="auto"/>
              </w:rPr>
            </w:pPr>
          </w:p>
        </w:tc>
      </w:tr>
      <w:tr>
        <w:trPr>
          <w:trHeight w:val="203"/>
        </w:trPr>
        <w:tc>
          <w:tcPr>
            <w:tcW w:w="3000" w:type="dxa"/>
            <w:vAlign w:val="bottom"/>
            <w:shd w:val="clear" w:color="auto" w:fill="14202A"/>
          </w:tcPr>
          <w:p>
            <w:pPr>
              <w:jc w:val="center"/>
              <w:ind w:right="98"/>
              <w:spacing w:after="0"/>
              <w:rPr>
                <w:sz w:val="20"/>
                <w:szCs w:val="20"/>
                <w:color w:val="auto"/>
              </w:rPr>
            </w:pPr>
            <w:r>
              <w:rPr>
                <w:rFonts w:ascii="Arial" w:cs="Arial" w:eastAsia="Arial" w:hAnsi="Arial"/>
                <w:sz w:val="16"/>
                <w:szCs w:val="16"/>
                <w:color w:val="FFFFFF"/>
              </w:rPr>
              <w:t>December 15, 2026</w:t>
            </w:r>
          </w:p>
        </w:tc>
        <w:tc>
          <w:tcPr>
            <w:tcW w:w="4360" w:type="dxa"/>
            <w:vAlign w:val="bottom"/>
            <w:gridSpan w:val="2"/>
            <w:shd w:val="clear" w:color="auto" w:fill="14202A"/>
          </w:tcPr>
          <w:p>
            <w:pPr>
              <w:jc w:val="center"/>
              <w:ind w:right="139"/>
              <w:spacing w:after="0"/>
              <w:rPr>
                <w:sz w:val="20"/>
                <w:szCs w:val="20"/>
                <w:color w:val="auto"/>
              </w:rPr>
            </w:pPr>
            <w:r>
              <w:rPr>
                <w:rFonts w:ascii="Arial" w:cs="Arial" w:eastAsia="Arial" w:hAnsi="Arial"/>
                <w:sz w:val="16"/>
                <w:szCs w:val="16"/>
                <w:color w:val="FFFFFF"/>
              </w:rPr>
              <w:t>www.virtualshareholdermeeting.com/WGO2026</w:t>
            </w:r>
          </w:p>
        </w:tc>
        <w:tc>
          <w:tcPr>
            <w:tcW w:w="1920" w:type="dxa"/>
            <w:vAlign w:val="bottom"/>
            <w:shd w:val="clear" w:color="auto" w:fill="14202A"/>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0" w:type="dxa"/>
            <w:vAlign w:val="bottom"/>
            <w:shd w:val="clear" w:color="auto" w:fill="14202A"/>
          </w:tcPr>
          <w:p>
            <w:pPr>
              <w:jc w:val="center"/>
              <w:ind w:right="78"/>
              <w:spacing w:after="0"/>
              <w:rPr>
                <w:sz w:val="20"/>
                <w:szCs w:val="20"/>
                <w:color w:val="auto"/>
              </w:rPr>
            </w:pPr>
            <w:r>
              <w:rPr>
                <w:rFonts w:ascii="Arial" w:cs="Arial" w:eastAsia="Arial" w:hAnsi="Arial"/>
                <w:sz w:val="16"/>
                <w:szCs w:val="16"/>
                <w:color w:val="FFFFFF"/>
              </w:rPr>
              <w:t>4:00 p.m. Central</w:t>
            </w:r>
          </w:p>
        </w:tc>
        <w:tc>
          <w:tcPr>
            <w:tcW w:w="1600" w:type="dxa"/>
            <w:vAlign w:val="bottom"/>
            <w:shd w:val="clear" w:color="auto" w:fill="14202A"/>
          </w:tcPr>
          <w:p>
            <w:pPr>
              <w:spacing w:after="0"/>
              <w:rPr>
                <w:sz w:val="16"/>
                <w:szCs w:val="16"/>
                <w:color w:val="auto"/>
              </w:rPr>
            </w:pPr>
          </w:p>
        </w:tc>
        <w:tc>
          <w:tcPr>
            <w:tcW w:w="2760" w:type="dxa"/>
            <w:vAlign w:val="bottom"/>
            <w:shd w:val="clear" w:color="auto" w:fill="14202A"/>
          </w:tcPr>
          <w:p>
            <w:pPr>
              <w:spacing w:after="0"/>
              <w:rPr>
                <w:sz w:val="16"/>
                <w:szCs w:val="16"/>
                <w:color w:val="auto"/>
              </w:rPr>
            </w:pPr>
          </w:p>
        </w:tc>
        <w:tc>
          <w:tcPr>
            <w:tcW w:w="1920" w:type="dxa"/>
            <w:vAlign w:val="bottom"/>
            <w:shd w:val="clear" w:color="auto" w:fill="14202A"/>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14202A"/>
          </w:tcPr>
          <w:p>
            <w:pPr>
              <w:jc w:val="center"/>
              <w:ind w:right="98"/>
              <w:spacing w:after="0"/>
              <w:rPr>
                <w:sz w:val="20"/>
                <w:szCs w:val="20"/>
                <w:color w:val="auto"/>
              </w:rPr>
            </w:pPr>
            <w:r>
              <w:rPr>
                <w:rFonts w:ascii="Arial" w:cs="Arial" w:eastAsia="Arial" w:hAnsi="Arial"/>
                <w:sz w:val="16"/>
                <w:szCs w:val="16"/>
                <w:color w:val="FFFFFF"/>
              </w:rPr>
              <w:t>Standard Time</w:t>
            </w:r>
          </w:p>
        </w:tc>
        <w:tc>
          <w:tcPr>
            <w:tcW w:w="1600" w:type="dxa"/>
            <w:vAlign w:val="bottom"/>
            <w:shd w:val="clear" w:color="auto" w:fill="14202A"/>
          </w:tcPr>
          <w:p>
            <w:pPr>
              <w:spacing w:after="0"/>
              <w:rPr>
                <w:sz w:val="17"/>
                <w:szCs w:val="17"/>
                <w:color w:val="auto"/>
              </w:rPr>
            </w:pPr>
          </w:p>
        </w:tc>
        <w:tc>
          <w:tcPr>
            <w:tcW w:w="2760" w:type="dxa"/>
            <w:vAlign w:val="bottom"/>
            <w:shd w:val="clear" w:color="auto" w:fill="14202A"/>
          </w:tcPr>
          <w:p>
            <w:pPr>
              <w:spacing w:after="0"/>
              <w:rPr>
                <w:sz w:val="17"/>
                <w:szCs w:val="17"/>
                <w:color w:val="auto"/>
              </w:rPr>
            </w:pPr>
          </w:p>
        </w:tc>
        <w:tc>
          <w:tcPr>
            <w:tcW w:w="1920" w:type="dxa"/>
            <w:vAlign w:val="bottom"/>
            <w:shd w:val="clear" w:color="auto" w:fill="14202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14202A"/>
          </w:tcPr>
          <w:p>
            <w:pPr>
              <w:spacing w:after="0"/>
              <w:rPr>
                <w:sz w:val="19"/>
                <w:szCs w:val="19"/>
                <w:color w:val="auto"/>
              </w:rPr>
            </w:pPr>
          </w:p>
        </w:tc>
        <w:tc>
          <w:tcPr>
            <w:tcW w:w="1600" w:type="dxa"/>
            <w:vAlign w:val="bottom"/>
            <w:shd w:val="clear" w:color="auto" w:fill="14202A"/>
          </w:tcPr>
          <w:p>
            <w:pPr>
              <w:spacing w:after="0"/>
              <w:rPr>
                <w:sz w:val="19"/>
                <w:szCs w:val="19"/>
                <w:color w:val="auto"/>
              </w:rPr>
            </w:pPr>
          </w:p>
        </w:tc>
        <w:tc>
          <w:tcPr>
            <w:tcW w:w="2760" w:type="dxa"/>
            <w:vAlign w:val="bottom"/>
            <w:shd w:val="clear" w:color="auto" w:fill="14202A"/>
          </w:tcPr>
          <w:p>
            <w:pPr>
              <w:spacing w:after="0"/>
              <w:rPr>
                <w:sz w:val="19"/>
                <w:szCs w:val="19"/>
                <w:color w:val="auto"/>
              </w:rPr>
            </w:pPr>
          </w:p>
        </w:tc>
        <w:tc>
          <w:tcPr>
            <w:tcW w:w="1920" w:type="dxa"/>
            <w:vAlign w:val="bottom"/>
            <w:shd w:val="clear" w:color="auto" w:fill="14202A"/>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600" w:type="dxa"/>
            <w:vAlign w:val="bottom"/>
            <w:gridSpan w:val="2"/>
          </w:tcPr>
          <w:p>
            <w:pPr>
              <w:spacing w:after="0"/>
              <w:rPr>
                <w:sz w:val="20"/>
                <w:szCs w:val="20"/>
                <w:color w:val="auto"/>
              </w:rPr>
            </w:pPr>
            <w:r>
              <w:rPr>
                <w:rFonts w:ascii="Arial" w:cs="Arial" w:eastAsia="Arial" w:hAnsi="Arial"/>
                <w:sz w:val="16"/>
                <w:szCs w:val="16"/>
                <w:color w:val="14202A"/>
              </w:rPr>
              <w:t>Winnebago Industries, Inc. (“Winnebago Industries” or the</w:t>
            </w:r>
          </w:p>
        </w:tc>
        <w:tc>
          <w:tcPr>
            <w:tcW w:w="4680" w:type="dxa"/>
            <w:vAlign w:val="bottom"/>
            <w:gridSpan w:val="2"/>
          </w:tcPr>
          <w:p>
            <w:pPr>
              <w:ind w:left="340"/>
              <w:spacing w:after="0"/>
              <w:rPr>
                <w:sz w:val="20"/>
                <w:szCs w:val="20"/>
                <w:color w:val="auto"/>
              </w:rPr>
            </w:pPr>
            <w:r>
              <w:rPr>
                <w:rFonts w:ascii="Arial" w:cs="Arial" w:eastAsia="Arial" w:hAnsi="Arial"/>
                <w:sz w:val="16"/>
                <w:szCs w:val="16"/>
                <w:color w:val="14202A"/>
              </w:rPr>
              <w:t>We will also conduct any other business properly brought</w:t>
            </w:r>
          </w:p>
        </w:tc>
        <w:tc>
          <w:tcPr>
            <w:tcW w:w="0" w:type="dxa"/>
            <w:vAlign w:val="bottom"/>
          </w:tcPr>
          <w:p>
            <w:pPr>
              <w:spacing w:after="0"/>
              <w:rPr>
                <w:sz w:val="1"/>
                <w:szCs w:val="1"/>
                <w:color w:val="auto"/>
              </w:rPr>
            </w:pPr>
          </w:p>
        </w:tc>
      </w:tr>
      <w:tr>
        <w:trPr>
          <w:trHeight w:val="176"/>
        </w:trPr>
        <w:tc>
          <w:tcPr>
            <w:tcW w:w="4600" w:type="dxa"/>
            <w:vAlign w:val="bottom"/>
            <w:gridSpan w:val="2"/>
          </w:tcPr>
          <w:p>
            <w:pPr>
              <w:spacing w:after="0" w:line="176" w:lineRule="exact"/>
              <w:rPr>
                <w:sz w:val="20"/>
                <w:szCs w:val="20"/>
                <w:color w:val="auto"/>
              </w:rPr>
            </w:pPr>
            <w:r>
              <w:rPr>
                <w:rFonts w:ascii="Arial" w:cs="Arial" w:eastAsia="Arial" w:hAnsi="Arial"/>
                <w:sz w:val="16"/>
                <w:szCs w:val="16"/>
                <w:color w:val="14202A"/>
              </w:rPr>
              <w:t>“Company”) will hold its 2026 annual meeting of shareholders</w:t>
            </w:r>
          </w:p>
        </w:tc>
        <w:tc>
          <w:tcPr>
            <w:tcW w:w="2760" w:type="dxa"/>
            <w:vAlign w:val="bottom"/>
          </w:tcPr>
          <w:p>
            <w:pPr>
              <w:ind w:left="340"/>
              <w:spacing w:after="0" w:line="176" w:lineRule="exact"/>
              <w:rPr>
                <w:sz w:val="20"/>
                <w:szCs w:val="20"/>
                <w:color w:val="auto"/>
              </w:rPr>
            </w:pPr>
            <w:r>
              <w:rPr>
                <w:rFonts w:ascii="Arial" w:cs="Arial" w:eastAsia="Arial" w:hAnsi="Arial"/>
                <w:sz w:val="16"/>
                <w:szCs w:val="16"/>
                <w:color w:val="14202A"/>
              </w:rPr>
              <w:t>before the Annual Meeting.</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gridSpan w:val="2"/>
          </w:tcPr>
          <w:p>
            <w:pPr>
              <w:spacing w:after="0" w:line="175" w:lineRule="exact"/>
              <w:rPr>
                <w:sz w:val="20"/>
                <w:szCs w:val="20"/>
                <w:color w:val="auto"/>
              </w:rPr>
            </w:pPr>
            <w:r>
              <w:rPr>
                <w:rFonts w:ascii="Arial" w:cs="Arial" w:eastAsia="Arial" w:hAnsi="Arial"/>
                <w:sz w:val="16"/>
                <w:szCs w:val="16"/>
                <w:color w:val="14202A"/>
              </w:rPr>
              <w:t>(including any adjournments, postponements, recess or</w:t>
            </w:r>
          </w:p>
        </w:tc>
        <w:tc>
          <w:tcPr>
            <w:tcW w:w="4680" w:type="dxa"/>
            <w:vAlign w:val="bottom"/>
            <w:gridSpan w:val="2"/>
            <w:vMerge w:val="restart"/>
          </w:tcPr>
          <w:p>
            <w:pPr>
              <w:ind w:left="340"/>
              <w:spacing w:after="0"/>
              <w:rPr>
                <w:sz w:val="20"/>
                <w:szCs w:val="20"/>
                <w:color w:val="auto"/>
              </w:rPr>
            </w:pPr>
            <w:r>
              <w:rPr>
                <w:rFonts w:ascii="Arial" w:cs="Arial" w:eastAsia="Arial" w:hAnsi="Arial"/>
                <w:sz w:val="16"/>
                <w:szCs w:val="16"/>
                <w:color w:val="14202A"/>
              </w:rPr>
              <w:t>Implementation of Proposals 5 and 6 is conditioned on</w:t>
            </w:r>
          </w:p>
        </w:tc>
        <w:tc>
          <w:tcPr>
            <w:tcW w:w="0" w:type="dxa"/>
            <w:vAlign w:val="bottom"/>
          </w:tcPr>
          <w:p>
            <w:pPr>
              <w:spacing w:after="0"/>
              <w:rPr>
                <w:sz w:val="1"/>
                <w:szCs w:val="1"/>
                <w:color w:val="auto"/>
              </w:rPr>
            </w:pPr>
          </w:p>
        </w:tc>
      </w:tr>
      <w:tr>
        <w:trPr>
          <w:trHeight w:val="95"/>
        </w:trPr>
        <w:tc>
          <w:tcPr>
            <w:tcW w:w="4600" w:type="dxa"/>
            <w:vAlign w:val="bottom"/>
            <w:gridSpan w:val="2"/>
            <w:vMerge w:val="restart"/>
          </w:tcPr>
          <w:p>
            <w:pPr>
              <w:spacing w:after="0"/>
              <w:rPr>
                <w:sz w:val="20"/>
                <w:szCs w:val="20"/>
                <w:color w:val="auto"/>
              </w:rPr>
            </w:pPr>
            <w:r>
              <w:rPr>
                <w:rFonts w:ascii="Arial" w:cs="Arial" w:eastAsia="Arial" w:hAnsi="Arial"/>
                <w:sz w:val="16"/>
                <w:szCs w:val="16"/>
                <w:color w:val="14202A"/>
              </w:rPr>
              <w:t>rescheduling thereof, the “Annual Meeting”) on Tuesday,</w:t>
            </w:r>
          </w:p>
        </w:tc>
        <w:tc>
          <w:tcPr>
            <w:tcW w:w="4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600" w:type="dxa"/>
            <w:vAlign w:val="bottom"/>
            <w:gridSpan w:val="2"/>
            <w:vMerge w:val="continue"/>
          </w:tcPr>
          <w:p>
            <w:pPr>
              <w:spacing w:after="0"/>
              <w:rPr>
                <w:sz w:val="8"/>
                <w:szCs w:val="8"/>
                <w:color w:val="auto"/>
              </w:rPr>
            </w:pPr>
          </w:p>
        </w:tc>
        <w:tc>
          <w:tcPr>
            <w:tcW w:w="4680" w:type="dxa"/>
            <w:vAlign w:val="bottom"/>
            <w:gridSpan w:val="2"/>
            <w:vMerge w:val="restart"/>
          </w:tcPr>
          <w:p>
            <w:pPr>
              <w:ind w:left="340"/>
              <w:spacing w:after="0"/>
              <w:rPr>
                <w:sz w:val="20"/>
                <w:szCs w:val="20"/>
                <w:color w:val="auto"/>
              </w:rPr>
            </w:pPr>
            <w:r>
              <w:rPr>
                <w:rFonts w:ascii="Arial" w:cs="Arial" w:eastAsia="Arial" w:hAnsi="Arial"/>
                <w:sz w:val="16"/>
                <w:szCs w:val="16"/>
                <w:color w:val="14202A"/>
              </w:rPr>
              <w:t>shareholder approval of both proposals. Neither amendment</w:t>
            </w:r>
          </w:p>
        </w:tc>
        <w:tc>
          <w:tcPr>
            <w:tcW w:w="0" w:type="dxa"/>
            <w:vAlign w:val="bottom"/>
          </w:tcPr>
          <w:p>
            <w:pPr>
              <w:spacing w:after="0"/>
              <w:rPr>
                <w:sz w:val="1"/>
                <w:szCs w:val="1"/>
                <w:color w:val="auto"/>
              </w:rPr>
            </w:pPr>
          </w:p>
        </w:tc>
      </w:tr>
      <w:tr>
        <w:trPr>
          <w:trHeight w:val="94"/>
        </w:trPr>
        <w:tc>
          <w:tcPr>
            <w:tcW w:w="4600" w:type="dxa"/>
            <w:vAlign w:val="bottom"/>
            <w:gridSpan w:val="2"/>
            <w:vMerge w:val="restart"/>
          </w:tcPr>
          <w:p>
            <w:pPr>
              <w:spacing w:after="0" w:line="175" w:lineRule="exact"/>
              <w:rPr>
                <w:sz w:val="20"/>
                <w:szCs w:val="20"/>
                <w:color w:val="auto"/>
              </w:rPr>
            </w:pPr>
            <w:r>
              <w:rPr>
                <w:rFonts w:ascii="Arial" w:cs="Arial" w:eastAsia="Arial" w:hAnsi="Arial"/>
                <w:sz w:val="16"/>
                <w:szCs w:val="16"/>
                <w:color w:val="14202A"/>
              </w:rPr>
              <w:t>December 15, 2026 at 4:00 p.m. Central Standard Time. The</w:t>
            </w:r>
          </w:p>
        </w:tc>
        <w:tc>
          <w:tcPr>
            <w:tcW w:w="4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600" w:type="dxa"/>
            <w:vAlign w:val="bottom"/>
            <w:gridSpan w:val="2"/>
            <w:vMerge w:val="continue"/>
          </w:tcPr>
          <w:p>
            <w:pPr>
              <w:spacing w:after="0"/>
              <w:rPr>
                <w:sz w:val="7"/>
                <w:szCs w:val="7"/>
                <w:color w:val="auto"/>
              </w:rPr>
            </w:pPr>
          </w:p>
        </w:tc>
        <w:tc>
          <w:tcPr>
            <w:tcW w:w="4680" w:type="dxa"/>
            <w:vAlign w:val="bottom"/>
            <w:gridSpan w:val="2"/>
            <w:vMerge w:val="restart"/>
          </w:tcPr>
          <w:p>
            <w:pPr>
              <w:ind w:left="340"/>
              <w:spacing w:after="0"/>
              <w:rPr>
                <w:sz w:val="20"/>
                <w:szCs w:val="20"/>
                <w:color w:val="auto"/>
              </w:rPr>
            </w:pPr>
            <w:r>
              <w:rPr>
                <w:rFonts w:ascii="Arial" w:cs="Arial" w:eastAsia="Arial" w:hAnsi="Arial"/>
                <w:sz w:val="16"/>
                <w:szCs w:val="16"/>
                <w:color w:val="14202A"/>
              </w:rPr>
              <w:t>will become effective unless both proposals are approved.</w:t>
            </w:r>
          </w:p>
        </w:tc>
        <w:tc>
          <w:tcPr>
            <w:tcW w:w="0" w:type="dxa"/>
            <w:vAlign w:val="bottom"/>
          </w:tcPr>
          <w:p>
            <w:pPr>
              <w:spacing w:after="0"/>
              <w:rPr>
                <w:sz w:val="1"/>
                <w:szCs w:val="1"/>
                <w:color w:val="auto"/>
              </w:rPr>
            </w:pPr>
          </w:p>
        </w:tc>
      </w:tr>
      <w:tr>
        <w:trPr>
          <w:trHeight w:val="108"/>
        </w:trPr>
        <w:tc>
          <w:tcPr>
            <w:tcW w:w="4600" w:type="dxa"/>
            <w:vAlign w:val="bottom"/>
            <w:gridSpan w:val="2"/>
            <w:vMerge w:val="restart"/>
          </w:tcPr>
          <w:p>
            <w:pPr>
              <w:spacing w:after="0" w:line="175" w:lineRule="exact"/>
              <w:rPr>
                <w:sz w:val="20"/>
                <w:szCs w:val="20"/>
                <w:color w:val="auto"/>
              </w:rPr>
            </w:pPr>
            <w:r>
              <w:rPr>
                <w:rFonts w:ascii="Arial" w:cs="Arial" w:eastAsia="Arial" w:hAnsi="Arial"/>
                <w:sz w:val="16"/>
                <w:szCs w:val="16"/>
                <w:color w:val="14202A"/>
              </w:rPr>
              <w:t>Annual Meeting will be completely virtual. This Notice of</w:t>
            </w:r>
          </w:p>
        </w:tc>
        <w:tc>
          <w:tcPr>
            <w:tcW w:w="4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600" w:type="dxa"/>
            <w:vAlign w:val="bottom"/>
            <w:gridSpan w:val="2"/>
            <w:vMerge w:val="continue"/>
          </w:tcPr>
          <w:p>
            <w:pPr>
              <w:spacing w:after="0"/>
              <w:rPr>
                <w:sz w:val="5"/>
                <w:szCs w:val="5"/>
                <w:color w:val="auto"/>
              </w:rPr>
            </w:pPr>
          </w:p>
        </w:tc>
        <w:tc>
          <w:tcPr>
            <w:tcW w:w="4680" w:type="dxa"/>
            <w:vAlign w:val="bottom"/>
            <w:gridSpan w:val="2"/>
            <w:vMerge w:val="restart"/>
          </w:tcPr>
          <w:p>
            <w:pPr>
              <w:ind w:left="340"/>
              <w:spacing w:after="0"/>
              <w:rPr>
                <w:sz w:val="20"/>
                <w:szCs w:val="20"/>
                <w:color w:val="auto"/>
              </w:rPr>
            </w:pPr>
            <w:r>
              <w:rPr>
                <w:rFonts w:ascii="Arial" w:cs="Arial" w:eastAsia="Arial" w:hAnsi="Arial"/>
                <w:sz w:val="16"/>
                <w:szCs w:val="16"/>
                <w:color w:val="14202A"/>
              </w:rPr>
              <w:t>Approval of Proposals 1 through 4 is not conditioned on</w:t>
            </w:r>
          </w:p>
        </w:tc>
        <w:tc>
          <w:tcPr>
            <w:tcW w:w="0" w:type="dxa"/>
            <w:vAlign w:val="bottom"/>
          </w:tcPr>
          <w:p>
            <w:pPr>
              <w:spacing w:after="0"/>
              <w:rPr>
                <w:sz w:val="1"/>
                <w:szCs w:val="1"/>
                <w:color w:val="auto"/>
              </w:rPr>
            </w:pPr>
          </w:p>
        </w:tc>
      </w:tr>
      <w:tr>
        <w:trPr>
          <w:trHeight w:val="122"/>
        </w:trPr>
        <w:tc>
          <w:tcPr>
            <w:tcW w:w="4600" w:type="dxa"/>
            <w:vAlign w:val="bottom"/>
            <w:gridSpan w:val="2"/>
            <w:vMerge w:val="restart"/>
          </w:tcPr>
          <w:p>
            <w:pPr>
              <w:spacing w:after="0"/>
              <w:rPr>
                <w:sz w:val="20"/>
                <w:szCs w:val="20"/>
                <w:color w:val="auto"/>
              </w:rPr>
            </w:pPr>
            <w:r>
              <w:rPr>
                <w:rFonts w:ascii="Arial" w:cs="Arial" w:eastAsia="Arial" w:hAnsi="Arial"/>
                <w:sz w:val="16"/>
                <w:szCs w:val="16"/>
                <w:color w:val="14202A"/>
              </w:rPr>
              <w:t>Annual Meeting of Shareholders and the accompanying proxy</w:t>
            </w:r>
          </w:p>
        </w:tc>
        <w:tc>
          <w:tcPr>
            <w:tcW w:w="4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600" w:type="dxa"/>
            <w:vAlign w:val="bottom"/>
            <w:gridSpan w:val="2"/>
            <w:vMerge w:val="continue"/>
          </w:tcPr>
          <w:p>
            <w:pPr>
              <w:spacing w:after="0"/>
              <w:rPr>
                <w:sz w:val="5"/>
                <w:szCs w:val="5"/>
                <w:color w:val="auto"/>
              </w:rPr>
            </w:pPr>
          </w:p>
        </w:tc>
        <w:tc>
          <w:tcPr>
            <w:tcW w:w="4680" w:type="dxa"/>
            <w:vAlign w:val="bottom"/>
            <w:gridSpan w:val="2"/>
            <w:vMerge w:val="restart"/>
          </w:tcPr>
          <w:p>
            <w:pPr>
              <w:ind w:left="340"/>
              <w:spacing w:after="0"/>
              <w:rPr>
                <w:sz w:val="20"/>
                <w:szCs w:val="20"/>
                <w:color w:val="auto"/>
              </w:rPr>
            </w:pPr>
            <w:r>
              <w:rPr>
                <w:rFonts w:ascii="Arial" w:cs="Arial" w:eastAsia="Arial" w:hAnsi="Arial"/>
                <w:sz w:val="16"/>
                <w:szCs w:val="16"/>
                <w:color w:val="14202A"/>
              </w:rPr>
              <w:t>approval of either Proposal 5 or Proposal 6.</w:t>
            </w:r>
          </w:p>
        </w:tc>
        <w:tc>
          <w:tcPr>
            <w:tcW w:w="0" w:type="dxa"/>
            <w:vAlign w:val="bottom"/>
          </w:tcPr>
          <w:p>
            <w:pPr>
              <w:spacing w:after="0"/>
              <w:rPr>
                <w:sz w:val="1"/>
                <w:szCs w:val="1"/>
                <w:color w:val="auto"/>
              </w:rPr>
            </w:pPr>
          </w:p>
        </w:tc>
      </w:tr>
      <w:tr>
        <w:trPr>
          <w:trHeight w:val="176"/>
        </w:trPr>
        <w:tc>
          <w:tcPr>
            <w:tcW w:w="4600" w:type="dxa"/>
            <w:vAlign w:val="bottom"/>
            <w:gridSpan w:val="2"/>
          </w:tcPr>
          <w:p>
            <w:pPr>
              <w:spacing w:after="0" w:line="175" w:lineRule="exact"/>
              <w:rPr>
                <w:sz w:val="20"/>
                <w:szCs w:val="20"/>
                <w:color w:val="auto"/>
              </w:rPr>
            </w:pPr>
            <w:r>
              <w:rPr>
                <w:rFonts w:ascii="Arial" w:cs="Arial" w:eastAsia="Arial" w:hAnsi="Arial"/>
                <w:sz w:val="16"/>
                <w:szCs w:val="16"/>
                <w:color w:val="14202A"/>
              </w:rPr>
              <w:t>statement were either made available to you over the internet</w:t>
            </w:r>
          </w:p>
        </w:tc>
        <w:tc>
          <w:tcPr>
            <w:tcW w:w="4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gridSpan w:val="2"/>
          </w:tcPr>
          <w:p>
            <w:pPr>
              <w:spacing w:after="0" w:line="175" w:lineRule="exact"/>
              <w:rPr>
                <w:sz w:val="20"/>
                <w:szCs w:val="20"/>
                <w:color w:val="auto"/>
              </w:rPr>
            </w:pPr>
            <w:r>
              <w:rPr>
                <w:rFonts w:ascii="Arial" w:cs="Arial" w:eastAsia="Arial" w:hAnsi="Arial"/>
                <w:sz w:val="16"/>
                <w:szCs w:val="16"/>
                <w:color w:val="14202A"/>
              </w:rPr>
              <w:t>or mailed to you on or about November 3, 2026. At the Annual</w:t>
            </w:r>
          </w:p>
        </w:tc>
        <w:tc>
          <w:tcPr>
            <w:tcW w:w="4680" w:type="dxa"/>
            <w:vAlign w:val="bottom"/>
            <w:gridSpan w:val="2"/>
          </w:tcPr>
          <w:p>
            <w:pPr>
              <w:ind w:left="340"/>
              <w:spacing w:after="0" w:line="175" w:lineRule="exact"/>
              <w:rPr>
                <w:sz w:val="20"/>
                <w:szCs w:val="20"/>
                <w:color w:val="auto"/>
              </w:rPr>
            </w:pPr>
            <w:r>
              <w:rPr>
                <w:rFonts w:ascii="Arial" w:cs="Arial" w:eastAsia="Arial" w:hAnsi="Arial"/>
                <w:sz w:val="16"/>
                <w:szCs w:val="16"/>
                <w:color w:val="14202A"/>
              </w:rPr>
              <w:t>Only shareholders of record at the close of business on</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20"/>
                <w:szCs w:val="20"/>
                <w:color w:val="auto"/>
              </w:rPr>
            </w:pPr>
            <w:r>
              <w:rPr>
                <w:rFonts w:ascii="Arial" w:cs="Arial" w:eastAsia="Arial" w:hAnsi="Arial"/>
                <w:sz w:val="16"/>
                <w:szCs w:val="16"/>
                <w:color w:val="14202A"/>
              </w:rPr>
              <w:t>Meeting, shareholders will be asked to:</w:t>
            </w:r>
          </w:p>
        </w:tc>
        <w:tc>
          <w:tcPr>
            <w:tcW w:w="1600" w:type="dxa"/>
            <w:vAlign w:val="bottom"/>
          </w:tcPr>
          <w:p>
            <w:pPr>
              <w:spacing w:after="0"/>
              <w:rPr>
                <w:sz w:val="17"/>
                <w:szCs w:val="17"/>
                <w:color w:val="auto"/>
              </w:rPr>
            </w:pPr>
          </w:p>
        </w:tc>
        <w:tc>
          <w:tcPr>
            <w:tcW w:w="4680" w:type="dxa"/>
            <w:vAlign w:val="bottom"/>
            <w:gridSpan w:val="2"/>
          </w:tcPr>
          <w:p>
            <w:pPr>
              <w:ind w:left="340"/>
              <w:spacing w:after="0"/>
              <w:rPr>
                <w:sz w:val="20"/>
                <w:szCs w:val="20"/>
                <w:color w:val="auto"/>
              </w:rPr>
            </w:pPr>
            <w:r>
              <w:rPr>
                <w:rFonts w:ascii="Arial" w:cs="Arial" w:eastAsia="Arial" w:hAnsi="Arial"/>
                <w:sz w:val="16"/>
                <w:szCs w:val="16"/>
                <w:color w:val="14202A"/>
              </w:rPr>
              <w:t>October 20, 2026 may vote at the Annual Meeting or any</w:t>
            </w:r>
          </w:p>
        </w:tc>
        <w:tc>
          <w:tcPr>
            <w:tcW w:w="0" w:type="dxa"/>
            <w:vAlign w:val="bottom"/>
          </w:tcPr>
          <w:p>
            <w:pPr>
              <w:spacing w:after="0"/>
              <w:rPr>
                <w:sz w:val="1"/>
                <w:szCs w:val="1"/>
                <w:color w:val="auto"/>
              </w:rPr>
            </w:pPr>
          </w:p>
        </w:tc>
      </w:tr>
      <w:tr>
        <w:trPr>
          <w:trHeight w:val="217"/>
        </w:trPr>
        <w:tc>
          <w:tcPr>
            <w:tcW w:w="4600" w:type="dxa"/>
            <w:vAlign w:val="bottom"/>
            <w:gridSpan w:val="2"/>
          </w:tcPr>
          <w:p>
            <w:pPr>
              <w:spacing w:after="0"/>
              <w:rPr>
                <w:sz w:val="20"/>
                <w:szCs w:val="20"/>
                <w:color w:val="auto"/>
              </w:rPr>
            </w:pPr>
            <w:r>
              <w:rPr>
                <w:rFonts w:ascii="Arial" w:cs="Arial" w:eastAsia="Arial" w:hAnsi="Arial"/>
                <w:sz w:val="16"/>
                <w:szCs w:val="16"/>
                <w:b w:val="1"/>
                <w:bCs w:val="1"/>
                <w:color w:val="14202A"/>
              </w:rPr>
              <w:t>1. Elect four Class III directors to hold office for a three-</w:t>
            </w:r>
          </w:p>
        </w:tc>
        <w:tc>
          <w:tcPr>
            <w:tcW w:w="2760" w:type="dxa"/>
            <w:vAlign w:val="bottom"/>
          </w:tcPr>
          <w:p>
            <w:pPr>
              <w:ind w:left="340"/>
              <w:spacing w:after="0"/>
              <w:rPr>
                <w:sz w:val="20"/>
                <w:szCs w:val="20"/>
                <w:color w:val="auto"/>
              </w:rPr>
            </w:pPr>
            <w:r>
              <w:rPr>
                <w:rFonts w:ascii="Arial" w:cs="Arial" w:eastAsia="Arial" w:hAnsi="Arial"/>
                <w:sz w:val="16"/>
                <w:szCs w:val="16"/>
                <w:color w:val="14202A"/>
              </w:rPr>
              <w:t>adjournment thereof.</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00" w:type="dxa"/>
            <w:vAlign w:val="bottom"/>
            <w:gridSpan w:val="2"/>
          </w:tcPr>
          <w:p>
            <w:pPr>
              <w:ind w:left="180"/>
              <w:spacing w:after="0" w:line="175" w:lineRule="exact"/>
              <w:rPr>
                <w:sz w:val="20"/>
                <w:szCs w:val="20"/>
                <w:color w:val="auto"/>
              </w:rPr>
            </w:pPr>
            <w:r>
              <w:rPr>
                <w:rFonts w:ascii="Arial" w:cs="Arial" w:eastAsia="Arial" w:hAnsi="Arial"/>
                <w:sz w:val="16"/>
                <w:szCs w:val="16"/>
                <w:b w:val="1"/>
                <w:bCs w:val="1"/>
                <w:color w:val="14202A"/>
              </w:rPr>
              <w:t>year term and one Class I director to hold office for a</w:t>
            </w:r>
          </w:p>
        </w:tc>
        <w:tc>
          <w:tcPr>
            <w:tcW w:w="2760" w:type="dxa"/>
            <w:vAlign w:val="bottom"/>
            <w:vMerge w:val="restart"/>
          </w:tcPr>
          <w:p>
            <w:pPr>
              <w:ind w:left="160"/>
              <w:spacing w:after="0"/>
              <w:rPr>
                <w:sz w:val="20"/>
                <w:szCs w:val="20"/>
                <w:color w:val="auto"/>
              </w:rPr>
            </w:pPr>
            <w:r>
              <w:rPr>
                <w:rFonts w:ascii="Arial" w:cs="Arial" w:eastAsia="Arial" w:hAnsi="Arial"/>
                <w:sz w:val="16"/>
                <w:szCs w:val="16"/>
                <w:color w:val="14202A"/>
              </w:rPr>
              <w:t>By Order of the Board of Directors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180"/>
              <w:spacing w:after="0"/>
              <w:rPr>
                <w:sz w:val="20"/>
                <w:szCs w:val="20"/>
                <w:color w:val="auto"/>
              </w:rPr>
            </w:pPr>
            <w:r>
              <w:rPr>
                <w:rFonts w:ascii="Arial" w:cs="Arial" w:eastAsia="Arial" w:hAnsi="Arial"/>
                <w:sz w:val="16"/>
                <w:szCs w:val="16"/>
                <w:b w:val="1"/>
                <w:bCs w:val="1"/>
                <w:color w:val="14202A"/>
              </w:rPr>
              <w:t>one-year term</w:t>
            </w:r>
          </w:p>
        </w:tc>
        <w:tc>
          <w:tcPr>
            <w:tcW w:w="1600" w:type="dxa"/>
            <w:vAlign w:val="bottom"/>
          </w:tcPr>
          <w:p>
            <w:pPr>
              <w:spacing w:after="0"/>
              <w:rPr>
                <w:sz w:val="19"/>
                <w:szCs w:val="19"/>
                <w:color w:val="auto"/>
              </w:rPr>
            </w:pPr>
          </w:p>
        </w:tc>
        <w:tc>
          <w:tcPr>
            <w:tcW w:w="2760" w:type="dxa"/>
            <w:vAlign w:val="bottom"/>
            <w:vMerge w:val="continue"/>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1765935</wp:posOffset>
            </wp:positionH>
            <wp:positionV relativeFrom="paragraph">
              <wp:posOffset>-2849245</wp:posOffset>
            </wp:positionV>
            <wp:extent cx="68580" cy="1251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5158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-2849245</wp:posOffset>
            </wp:positionV>
            <wp:extent cx="68580" cy="1251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251585"/>
                    </a:xfrm>
                    <a:prstGeom prst="rect">
                      <a:avLst/>
                    </a:prstGeom>
                    <a:noFill/>
                  </pic:spPr>
                </pic:pic>
              </a:graphicData>
            </a:graphic>
          </wp:anchor>
        </w:drawing>
        <w:drawing>
          <wp:anchor simplePos="0" relativeHeight="251657728" behindDoc="1" locked="0" layoutInCell="0" allowOverlap="1">
            <wp:simplePos x="0" y="0"/>
            <wp:positionH relativeFrom="column">
              <wp:posOffset>814070</wp:posOffset>
            </wp:positionH>
            <wp:positionV relativeFrom="paragraph">
              <wp:posOffset>-2669540</wp:posOffset>
            </wp:positionV>
            <wp:extent cx="18034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-2669540</wp:posOffset>
            </wp:positionV>
            <wp:extent cx="18859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5186045</wp:posOffset>
            </wp:positionH>
            <wp:positionV relativeFrom="paragraph">
              <wp:posOffset>-2669540</wp:posOffset>
            </wp:positionV>
            <wp:extent cx="16319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ind w:left="180" w:right="4780" w:hanging="180"/>
        <w:spacing w:after="0" w:line="272" w:lineRule="auto"/>
        <w:tabs>
          <w:tab w:leader="none" w:pos="180" w:val="left"/>
        </w:tabs>
        <w:numPr>
          <w:ilvl w:val="0"/>
          <w:numId w:val="3"/>
        </w:numPr>
        <w:rPr>
          <w:rFonts w:ascii="Arial" w:cs="Arial" w:eastAsia="Arial" w:hAnsi="Arial"/>
          <w:sz w:val="16"/>
          <w:szCs w:val="16"/>
          <w:b w:val="1"/>
          <w:bCs w:val="1"/>
          <w:color w:val="14202A"/>
        </w:rPr>
      </w:pPr>
      <w:r>
        <w:rPr>
          <w:rFonts w:ascii="Arial" w:cs="Arial" w:eastAsia="Arial" w:hAnsi="Arial"/>
          <w:sz w:val="16"/>
          <w:szCs w:val="16"/>
          <w:b w:val="1"/>
          <w:bCs w:val="1"/>
          <w:color w:val="14202A"/>
        </w:rPr>
        <w:t>Approve, on an advisory basis, the compensation of our named executive officers</w:t>
      </w:r>
    </w:p>
    <w:p>
      <w:pPr>
        <w:spacing w:after="0" w:line="1" w:lineRule="exact"/>
        <w:rPr>
          <w:rFonts w:ascii="Arial" w:cs="Arial" w:eastAsia="Arial" w:hAnsi="Arial"/>
          <w:sz w:val="16"/>
          <w:szCs w:val="16"/>
          <w:b w:val="1"/>
          <w:bCs w:val="1"/>
          <w:color w:val="14202A"/>
        </w:rPr>
      </w:pPr>
    </w:p>
    <w:p>
      <w:pPr>
        <w:ind w:left="180" w:right="5220" w:hanging="180"/>
        <w:spacing w:after="0" w:line="230" w:lineRule="auto"/>
        <w:tabs>
          <w:tab w:leader="none" w:pos="180" w:val="left"/>
        </w:tabs>
        <w:numPr>
          <w:ilvl w:val="0"/>
          <w:numId w:val="3"/>
        </w:numPr>
        <w:rPr>
          <w:rFonts w:ascii="Arial" w:cs="Arial" w:eastAsia="Arial" w:hAnsi="Arial"/>
          <w:sz w:val="16"/>
          <w:szCs w:val="16"/>
          <w:b w:val="1"/>
          <w:bCs w:val="1"/>
          <w:color w:val="14202A"/>
        </w:rPr>
      </w:pPr>
      <w:r>
        <w:rPr>
          <w:rFonts w:ascii="Arial" w:cs="Arial" w:eastAsia="Arial" w:hAnsi="Arial"/>
          <w:sz w:val="16"/>
          <w:szCs w:val="16"/>
          <w:b w:val="1"/>
          <w:bCs w:val="1"/>
          <w:color w:val="14202A"/>
        </w:rPr>
        <w:t>Approve our amended and restated 2019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-300355</wp:posOffset>
            </wp:positionV>
            <wp:extent cx="1362710" cy="299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62710" cy="2997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14202A"/>
              </w:rPr>
              <w:t>4. Ratify the selection of Deloitte &amp; Touche LLP as our</w:t>
            </w:r>
          </w:p>
        </w:tc>
        <w:tc>
          <w:tcPr>
            <w:tcW w:w="3980" w:type="dxa"/>
            <w:vAlign w:val="bottom"/>
          </w:tcPr>
          <w:p>
            <w:pPr>
              <w:ind w:left="140"/>
              <w:spacing w:after="0"/>
              <w:rPr>
                <w:sz w:val="20"/>
                <w:szCs w:val="20"/>
                <w:color w:val="auto"/>
              </w:rPr>
            </w:pPr>
            <w:r>
              <w:rPr>
                <w:rFonts w:ascii="Arial" w:cs="Arial" w:eastAsia="Arial" w:hAnsi="Arial"/>
                <w:sz w:val="16"/>
                <w:szCs w:val="16"/>
                <w:color w:val="14202A"/>
              </w:rPr>
              <w:t xml:space="preserve">  </w:t>
            </w:r>
          </w:p>
        </w:tc>
        <w:tc>
          <w:tcPr>
            <w:tcW w:w="0" w:type="dxa"/>
            <w:vAlign w:val="bottom"/>
          </w:tcPr>
          <w:p>
            <w:pPr>
              <w:spacing w:after="0"/>
              <w:rPr>
                <w:sz w:val="1"/>
                <w:szCs w:val="1"/>
                <w:color w:val="auto"/>
              </w:rPr>
            </w:pPr>
          </w:p>
        </w:tc>
      </w:tr>
      <w:tr>
        <w:trPr>
          <w:trHeight w:val="27"/>
        </w:trPr>
        <w:tc>
          <w:tcPr>
            <w:tcW w:w="4620" w:type="dxa"/>
            <w:vAlign w:val="bottom"/>
            <w:vMerge w:val="continue"/>
          </w:tcPr>
          <w:p>
            <w:pPr>
              <w:spacing w:after="0"/>
              <w:rPr>
                <w:sz w:val="2"/>
                <w:szCs w:val="2"/>
                <w:color w:val="auto"/>
              </w:rPr>
            </w:pPr>
          </w:p>
        </w:tc>
        <w:tc>
          <w:tcPr>
            <w:tcW w:w="3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620" w:type="dxa"/>
            <w:vAlign w:val="bottom"/>
          </w:tcPr>
          <w:p>
            <w:pPr>
              <w:ind w:left="180"/>
              <w:spacing w:after="0" w:line="175" w:lineRule="exact"/>
              <w:rPr>
                <w:sz w:val="20"/>
                <w:szCs w:val="20"/>
                <w:color w:val="auto"/>
              </w:rPr>
            </w:pPr>
            <w:r>
              <w:rPr>
                <w:rFonts w:ascii="Arial" w:cs="Arial" w:eastAsia="Arial" w:hAnsi="Arial"/>
                <w:sz w:val="16"/>
                <w:szCs w:val="16"/>
                <w:b w:val="1"/>
                <w:bCs w:val="1"/>
                <w:color w:val="14202A"/>
              </w:rPr>
              <w:t>independent registered public accountant for</w:t>
            </w:r>
          </w:p>
        </w:tc>
        <w:tc>
          <w:tcPr>
            <w:tcW w:w="3980" w:type="dxa"/>
            <w:vAlign w:val="bottom"/>
            <w:vMerge w:val="restart"/>
          </w:tcPr>
          <w:p>
            <w:pPr>
              <w:ind w:left="140"/>
              <w:spacing w:after="0"/>
              <w:rPr>
                <w:sz w:val="20"/>
                <w:szCs w:val="20"/>
                <w:color w:val="auto"/>
              </w:rPr>
            </w:pPr>
            <w:r>
              <w:rPr>
                <w:rFonts w:ascii="Arial" w:cs="Arial" w:eastAsia="Arial" w:hAnsi="Arial"/>
                <w:sz w:val="16"/>
                <w:szCs w:val="16"/>
                <w:b w:val="1"/>
                <w:bCs w:val="1"/>
                <w:color w:val="14202A"/>
              </w:rPr>
              <w:t>Stacy L. Bogart</w:t>
            </w:r>
          </w:p>
        </w:tc>
        <w:tc>
          <w:tcPr>
            <w:tcW w:w="0" w:type="dxa"/>
            <w:vAlign w:val="bottom"/>
          </w:tcPr>
          <w:p>
            <w:pPr>
              <w:spacing w:after="0"/>
              <w:rPr>
                <w:sz w:val="1"/>
                <w:szCs w:val="1"/>
                <w:color w:val="auto"/>
              </w:rPr>
            </w:pPr>
          </w:p>
        </w:tc>
      </w:tr>
      <w:tr>
        <w:trPr>
          <w:trHeight w:val="175"/>
        </w:trPr>
        <w:tc>
          <w:tcPr>
            <w:tcW w:w="4620" w:type="dxa"/>
            <w:vAlign w:val="bottom"/>
          </w:tcPr>
          <w:p>
            <w:pPr>
              <w:ind w:left="180"/>
              <w:spacing w:after="0" w:line="175" w:lineRule="exact"/>
              <w:rPr>
                <w:sz w:val="20"/>
                <w:szCs w:val="20"/>
                <w:color w:val="auto"/>
              </w:rPr>
            </w:pPr>
            <w:r>
              <w:rPr>
                <w:rFonts w:ascii="Arial" w:cs="Arial" w:eastAsia="Arial" w:hAnsi="Arial"/>
                <w:sz w:val="16"/>
                <w:szCs w:val="16"/>
                <w:b w:val="1"/>
                <w:bCs w:val="1"/>
                <w:color w:val="14202A"/>
              </w:rPr>
              <w:t>Fiscal 2027</w:t>
            </w:r>
          </w:p>
        </w:tc>
        <w:tc>
          <w:tcPr>
            <w:tcW w:w="3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14202A"/>
              </w:rPr>
              <w:t>5. Approve an amendment to our Articles of Incorporation</w:t>
            </w:r>
          </w:p>
        </w:tc>
        <w:tc>
          <w:tcPr>
            <w:tcW w:w="3980" w:type="dxa"/>
            <w:vAlign w:val="bottom"/>
          </w:tcPr>
          <w:p>
            <w:pPr>
              <w:ind w:left="140"/>
              <w:spacing w:after="0"/>
              <w:rPr>
                <w:sz w:val="20"/>
                <w:szCs w:val="20"/>
                <w:color w:val="auto"/>
              </w:rPr>
            </w:pPr>
            <w:r>
              <w:rPr>
                <w:rFonts w:ascii="Arial" w:cs="Arial" w:eastAsia="Arial" w:hAnsi="Arial"/>
                <w:sz w:val="16"/>
                <w:szCs w:val="16"/>
                <w:color w:val="14202A"/>
              </w:rPr>
              <w:t>Senior Vice President - Chief Legal Officer, Corporate</w:t>
            </w:r>
          </w:p>
        </w:tc>
        <w:tc>
          <w:tcPr>
            <w:tcW w:w="0" w:type="dxa"/>
            <w:vAlign w:val="bottom"/>
          </w:tcPr>
          <w:p>
            <w:pPr>
              <w:spacing w:after="0"/>
              <w:rPr>
                <w:sz w:val="1"/>
                <w:szCs w:val="1"/>
                <w:color w:val="auto"/>
              </w:rPr>
            </w:pPr>
          </w:p>
        </w:tc>
      </w:tr>
      <w:tr>
        <w:trPr>
          <w:trHeight w:val="54"/>
        </w:trPr>
        <w:tc>
          <w:tcPr>
            <w:tcW w:w="4620" w:type="dxa"/>
            <w:vAlign w:val="bottom"/>
            <w:vMerge w:val="continue"/>
          </w:tcPr>
          <w:p>
            <w:pPr>
              <w:spacing w:after="0"/>
              <w:rPr>
                <w:sz w:val="4"/>
                <w:szCs w:val="4"/>
                <w:color w:val="auto"/>
              </w:rPr>
            </w:pPr>
          </w:p>
        </w:tc>
        <w:tc>
          <w:tcPr>
            <w:tcW w:w="3980" w:type="dxa"/>
            <w:vAlign w:val="bottom"/>
            <w:vMerge w:val="restart"/>
          </w:tcPr>
          <w:p>
            <w:pPr>
              <w:ind w:left="140"/>
              <w:spacing w:after="0"/>
              <w:rPr>
                <w:sz w:val="20"/>
                <w:szCs w:val="20"/>
                <w:color w:val="auto"/>
              </w:rPr>
            </w:pPr>
            <w:r>
              <w:rPr>
                <w:rFonts w:ascii="Arial" w:cs="Arial" w:eastAsia="Arial" w:hAnsi="Arial"/>
                <w:sz w:val="16"/>
                <w:szCs w:val="16"/>
                <w:color w:val="14202A"/>
              </w:rPr>
              <w:t>Secretary and Corporate Responsibility</w:t>
            </w:r>
          </w:p>
        </w:tc>
        <w:tc>
          <w:tcPr>
            <w:tcW w:w="0" w:type="dxa"/>
            <w:vAlign w:val="bottom"/>
          </w:tcPr>
          <w:p>
            <w:pPr>
              <w:spacing w:after="0"/>
              <w:rPr>
                <w:sz w:val="1"/>
                <w:szCs w:val="1"/>
                <w:color w:val="auto"/>
              </w:rPr>
            </w:pPr>
          </w:p>
        </w:tc>
      </w:tr>
      <w:tr>
        <w:trPr>
          <w:trHeight w:val="161"/>
        </w:trPr>
        <w:tc>
          <w:tcPr>
            <w:tcW w:w="4620" w:type="dxa"/>
            <w:vAlign w:val="bottom"/>
            <w:vMerge w:val="restart"/>
          </w:tcPr>
          <w:p>
            <w:pPr>
              <w:ind w:left="180"/>
              <w:spacing w:after="0"/>
              <w:rPr>
                <w:sz w:val="20"/>
                <w:szCs w:val="20"/>
                <w:color w:val="auto"/>
              </w:rPr>
            </w:pPr>
            <w:r>
              <w:rPr>
                <w:rFonts w:ascii="Arial" w:cs="Arial" w:eastAsia="Arial" w:hAnsi="Arial"/>
                <w:sz w:val="16"/>
                <w:szCs w:val="16"/>
                <w:b w:val="1"/>
                <w:bCs w:val="1"/>
                <w:color w:val="14202A"/>
              </w:rPr>
              <w:t>to provide for the phased declassification of the Board</w:t>
            </w:r>
          </w:p>
        </w:tc>
        <w:tc>
          <w:tcPr>
            <w:tcW w:w="3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462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Arial" w:cs="Arial" w:eastAsia="Arial" w:hAnsi="Arial"/>
                <w:sz w:val="16"/>
                <w:szCs w:val="16"/>
                <w:b w:val="1"/>
                <w:bCs w:val="1"/>
                <w:color w:val="14202A"/>
              </w:rPr>
              <w:t>6. Approve an amendment to our Bylaws to provide for the</w:t>
            </w:r>
          </w:p>
        </w:tc>
        <w:tc>
          <w:tcPr>
            <w:tcW w:w="3980" w:type="dxa"/>
            <w:vAlign w:val="bottom"/>
            <w:vMerge w:val="restart"/>
          </w:tcPr>
          <w:p>
            <w:pPr>
              <w:ind w:left="140"/>
              <w:spacing w:after="0"/>
              <w:rPr>
                <w:sz w:val="20"/>
                <w:szCs w:val="20"/>
                <w:color w:val="auto"/>
              </w:rPr>
            </w:pPr>
            <w:r>
              <w:rPr>
                <w:rFonts w:ascii="Arial" w:cs="Arial" w:eastAsia="Arial" w:hAnsi="Arial"/>
                <w:sz w:val="16"/>
                <w:szCs w:val="16"/>
                <w:color w:val="14202A"/>
              </w:rPr>
              <w:t>Eden Prairie, MN</w:t>
            </w:r>
          </w:p>
        </w:tc>
        <w:tc>
          <w:tcPr>
            <w:tcW w:w="0" w:type="dxa"/>
            <w:vAlign w:val="bottom"/>
          </w:tcPr>
          <w:p>
            <w:pPr>
              <w:spacing w:after="0"/>
              <w:rPr>
                <w:sz w:val="1"/>
                <w:szCs w:val="1"/>
                <w:color w:val="auto"/>
              </w:rPr>
            </w:pPr>
          </w:p>
        </w:tc>
      </w:tr>
      <w:tr>
        <w:trPr>
          <w:trHeight w:val="135"/>
        </w:trPr>
        <w:tc>
          <w:tcPr>
            <w:tcW w:w="4620" w:type="dxa"/>
            <w:vAlign w:val="bottom"/>
            <w:vMerge w:val="restart"/>
          </w:tcPr>
          <w:p>
            <w:pPr>
              <w:ind w:left="180"/>
              <w:spacing w:after="0"/>
              <w:rPr>
                <w:sz w:val="20"/>
                <w:szCs w:val="20"/>
                <w:color w:val="auto"/>
              </w:rPr>
            </w:pPr>
            <w:r>
              <w:rPr>
                <w:rFonts w:ascii="Arial" w:cs="Arial" w:eastAsia="Arial" w:hAnsi="Arial"/>
                <w:sz w:val="16"/>
                <w:szCs w:val="16"/>
                <w:b w:val="1"/>
                <w:bCs w:val="1"/>
                <w:color w:val="14202A"/>
              </w:rPr>
              <w:t>phased declassification of the Board</w:t>
            </w:r>
          </w:p>
        </w:tc>
        <w:tc>
          <w:tcPr>
            <w:tcW w:w="3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620" w:type="dxa"/>
            <w:vAlign w:val="bottom"/>
            <w:vMerge w:val="continue"/>
          </w:tcPr>
          <w:p>
            <w:pPr>
              <w:spacing w:after="0"/>
              <w:rPr>
                <w:sz w:val="7"/>
                <w:szCs w:val="7"/>
                <w:color w:val="auto"/>
              </w:rPr>
            </w:pPr>
          </w:p>
        </w:tc>
        <w:tc>
          <w:tcPr>
            <w:tcW w:w="3980" w:type="dxa"/>
            <w:vAlign w:val="bottom"/>
            <w:vMerge w:val="restart"/>
          </w:tcPr>
          <w:p>
            <w:pPr>
              <w:ind w:left="140"/>
              <w:spacing w:after="0"/>
              <w:rPr>
                <w:sz w:val="20"/>
                <w:szCs w:val="20"/>
                <w:color w:val="auto"/>
              </w:rPr>
            </w:pPr>
            <w:r>
              <w:rPr>
                <w:rFonts w:ascii="Arial" w:cs="Arial" w:eastAsia="Arial" w:hAnsi="Arial"/>
                <w:sz w:val="16"/>
                <w:szCs w:val="16"/>
                <w:color w:val="14202A"/>
              </w:rPr>
              <w:t>November 3, 2026</w:t>
            </w:r>
          </w:p>
        </w:tc>
        <w:tc>
          <w:tcPr>
            <w:tcW w:w="0" w:type="dxa"/>
            <w:vAlign w:val="bottom"/>
          </w:tcPr>
          <w:p>
            <w:pPr>
              <w:spacing w:after="0"/>
              <w:rPr>
                <w:sz w:val="1"/>
                <w:szCs w:val="1"/>
                <w:color w:val="auto"/>
              </w:rPr>
            </w:pPr>
          </w:p>
        </w:tc>
      </w:tr>
      <w:tr>
        <w:trPr>
          <w:trHeight w:val="127"/>
        </w:trPr>
        <w:tc>
          <w:tcPr>
            <w:tcW w:w="4620" w:type="dxa"/>
            <w:vAlign w:val="bottom"/>
          </w:tcPr>
          <w:p>
            <w:pPr>
              <w:spacing w:after="0"/>
              <w:rPr>
                <w:sz w:val="11"/>
                <w:szCs w:val="11"/>
                <w:color w:val="auto"/>
              </w:rPr>
            </w:pPr>
          </w:p>
        </w:tc>
        <w:tc>
          <w:tcPr>
            <w:tcW w:w="3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183515</wp:posOffset>
            </wp:positionV>
            <wp:extent cx="5888990" cy="1062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8899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14202A"/>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5897880" cy="7283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97880" cy="7283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FFFFFF"/>
        </w:rPr>
        <w:t>Your Vote Is Important</w:t>
      </w:r>
    </w:p>
    <w:p>
      <w:pPr>
        <w:spacing w:after="0" w:line="73" w:lineRule="exact"/>
        <w:rPr>
          <w:sz w:val="20"/>
          <w:szCs w:val="20"/>
          <w:color w:val="auto"/>
        </w:rPr>
      </w:pPr>
    </w:p>
    <w:p>
      <w:pPr>
        <w:ind w:left="1880"/>
        <w:spacing w:after="0"/>
        <w:rPr>
          <w:sz w:val="20"/>
          <w:szCs w:val="20"/>
          <w:color w:val="auto"/>
        </w:rPr>
      </w:pPr>
      <w:r>
        <w:rPr>
          <w:rFonts w:ascii="Arial" w:cs="Arial" w:eastAsia="Arial" w:hAnsi="Arial"/>
          <w:sz w:val="16"/>
          <w:szCs w:val="16"/>
          <w:color w:val="FFFFFF"/>
        </w:rPr>
        <w:t>Please read this Proxy Statement and submit your vote as soon as possible.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FFFFFF"/>
        </w:rPr>
        <w:t>A prompt response is helpful and your cooperation is appreciated.</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Table of Contents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60" w:type="dxa"/>
            <w:vAlign w:val="bottom"/>
            <w:shd w:val="clear" w:color="auto" w:fill="14202A"/>
          </w:tcPr>
          <w:p>
            <w:pPr>
              <w:spacing w:after="0"/>
              <w:rPr>
                <w:sz w:val="22"/>
                <w:szCs w:val="22"/>
                <w:color w:val="auto"/>
              </w:rPr>
            </w:pPr>
          </w:p>
        </w:tc>
        <w:tc>
          <w:tcPr>
            <w:tcW w:w="940" w:type="dxa"/>
            <w:vAlign w:val="bottom"/>
            <w:shd w:val="clear" w:color="auto" w:fill="14202A"/>
          </w:tcPr>
          <w:p>
            <w:pPr>
              <w:spacing w:after="0"/>
              <w:rPr>
                <w:sz w:val="22"/>
                <w:szCs w:val="22"/>
                <w:color w:val="auto"/>
              </w:rPr>
            </w:pPr>
          </w:p>
        </w:tc>
        <w:tc>
          <w:tcPr>
            <w:tcW w:w="26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12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10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16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14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240" w:type="dxa"/>
            <w:vAlign w:val="bottom"/>
            <w:shd w:val="clear" w:color="auto" w:fill="14202A"/>
          </w:tcPr>
          <w:p>
            <w:pPr>
              <w:spacing w:after="0"/>
              <w:rPr>
                <w:sz w:val="22"/>
                <w:szCs w:val="22"/>
                <w:color w:val="auto"/>
              </w:rPr>
            </w:pPr>
          </w:p>
        </w:tc>
        <w:tc>
          <w:tcPr>
            <w:tcW w:w="16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380" w:type="dxa"/>
            <w:vAlign w:val="bottom"/>
            <w:shd w:val="clear" w:color="auto" w:fill="14202A"/>
          </w:tcPr>
          <w:p>
            <w:pPr>
              <w:spacing w:after="0"/>
              <w:rPr>
                <w:sz w:val="22"/>
                <w:szCs w:val="22"/>
                <w:color w:val="auto"/>
              </w:rPr>
            </w:pPr>
          </w:p>
        </w:tc>
        <w:tc>
          <w:tcPr>
            <w:tcW w:w="10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240" w:type="dxa"/>
            <w:vAlign w:val="bottom"/>
            <w:shd w:val="clear" w:color="auto" w:fill="14202A"/>
          </w:tcPr>
          <w:p>
            <w:pPr>
              <w:spacing w:after="0"/>
              <w:rPr>
                <w:sz w:val="22"/>
                <w:szCs w:val="22"/>
                <w:color w:val="auto"/>
              </w:rPr>
            </w:pPr>
          </w:p>
        </w:tc>
        <w:tc>
          <w:tcPr>
            <w:tcW w:w="260" w:type="dxa"/>
            <w:vAlign w:val="bottom"/>
            <w:shd w:val="clear" w:color="auto" w:fill="14202A"/>
          </w:tcPr>
          <w:p>
            <w:pPr>
              <w:spacing w:after="0"/>
              <w:rPr>
                <w:sz w:val="22"/>
                <w:szCs w:val="22"/>
                <w:color w:val="auto"/>
              </w:rPr>
            </w:pPr>
          </w:p>
        </w:tc>
        <w:tc>
          <w:tcPr>
            <w:tcW w:w="240" w:type="dxa"/>
            <w:vAlign w:val="bottom"/>
            <w:shd w:val="clear" w:color="auto" w:fill="14202A"/>
          </w:tcPr>
          <w:p>
            <w:pPr>
              <w:spacing w:after="0"/>
              <w:rPr>
                <w:sz w:val="22"/>
                <w:szCs w:val="22"/>
                <w:color w:val="auto"/>
              </w:rPr>
            </w:pPr>
          </w:p>
        </w:tc>
        <w:tc>
          <w:tcPr>
            <w:tcW w:w="1920" w:type="dxa"/>
            <w:vAlign w:val="bottom"/>
            <w:shd w:val="clear" w:color="auto" w:fill="14202A"/>
          </w:tcPr>
          <w:p>
            <w:pPr>
              <w:spacing w:after="0"/>
              <w:rPr>
                <w:sz w:val="22"/>
                <w:szCs w:val="22"/>
                <w:color w:val="auto"/>
              </w:rPr>
            </w:pPr>
          </w:p>
        </w:tc>
        <w:tc>
          <w:tcPr>
            <w:tcW w:w="1320" w:type="dxa"/>
            <w:vAlign w:val="bottom"/>
            <w:shd w:val="clear" w:color="auto" w:fill="14202A"/>
          </w:tcPr>
          <w:p>
            <w:pPr>
              <w:spacing w:after="0"/>
              <w:rPr>
                <w:sz w:val="22"/>
                <w:szCs w:val="22"/>
                <w:color w:val="auto"/>
              </w:rPr>
            </w:pPr>
          </w:p>
        </w:tc>
        <w:tc>
          <w:tcPr>
            <w:tcW w:w="1740" w:type="dxa"/>
            <w:vAlign w:val="bottom"/>
            <w:gridSpan w:val="5"/>
            <w:shd w:val="clear" w:color="auto" w:fill="14202A"/>
          </w:tcPr>
          <w:p>
            <w:pPr>
              <w:jc w:val="right"/>
              <w:ind w:right="120"/>
              <w:spacing w:after="0"/>
              <w:rPr>
                <w:sz w:val="20"/>
                <w:szCs w:val="20"/>
                <w:color w:val="auto"/>
              </w:rPr>
            </w:pPr>
            <w:r>
              <w:rPr>
                <w:rFonts w:ascii="Arial" w:cs="Arial" w:eastAsia="Arial" w:hAnsi="Arial"/>
                <w:sz w:val="13"/>
                <w:szCs w:val="13"/>
                <w:b w:val="1"/>
                <w:bCs w:val="1"/>
                <w:color w:val="FFFFFF"/>
              </w:rPr>
              <w:t>Page</w:t>
            </w:r>
          </w:p>
        </w:tc>
      </w:tr>
      <w:tr>
        <w:trPr>
          <w:trHeight w:val="62"/>
        </w:trPr>
        <w:tc>
          <w:tcPr>
            <w:tcW w:w="160" w:type="dxa"/>
            <w:vAlign w:val="bottom"/>
            <w:shd w:val="clear" w:color="auto" w:fill="14202A"/>
          </w:tcPr>
          <w:p>
            <w:pPr>
              <w:spacing w:after="0"/>
              <w:rPr>
                <w:sz w:val="5"/>
                <w:szCs w:val="5"/>
                <w:color w:val="auto"/>
              </w:rPr>
            </w:pPr>
          </w:p>
        </w:tc>
        <w:tc>
          <w:tcPr>
            <w:tcW w:w="940" w:type="dxa"/>
            <w:vAlign w:val="bottom"/>
            <w:shd w:val="clear" w:color="auto" w:fill="14202A"/>
          </w:tcPr>
          <w:p>
            <w:pPr>
              <w:spacing w:after="0"/>
              <w:rPr>
                <w:sz w:val="5"/>
                <w:szCs w:val="5"/>
                <w:color w:val="auto"/>
              </w:rPr>
            </w:pPr>
          </w:p>
        </w:tc>
        <w:tc>
          <w:tcPr>
            <w:tcW w:w="26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12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10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160" w:type="dxa"/>
            <w:vAlign w:val="bottom"/>
            <w:shd w:val="clear" w:color="auto" w:fill="14202A"/>
          </w:tcPr>
          <w:p>
            <w:pPr>
              <w:spacing w:after="0"/>
              <w:rPr>
                <w:sz w:val="5"/>
                <w:szCs w:val="5"/>
                <w:color w:val="auto"/>
              </w:rPr>
            </w:pPr>
          </w:p>
        </w:tc>
        <w:tc>
          <w:tcPr>
            <w:tcW w:w="8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8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8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14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240" w:type="dxa"/>
            <w:vAlign w:val="bottom"/>
            <w:shd w:val="clear" w:color="auto" w:fill="14202A"/>
          </w:tcPr>
          <w:p>
            <w:pPr>
              <w:spacing w:after="0"/>
              <w:rPr>
                <w:sz w:val="5"/>
                <w:szCs w:val="5"/>
                <w:color w:val="auto"/>
              </w:rPr>
            </w:pPr>
          </w:p>
        </w:tc>
        <w:tc>
          <w:tcPr>
            <w:tcW w:w="16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8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380" w:type="dxa"/>
            <w:vAlign w:val="bottom"/>
            <w:shd w:val="clear" w:color="auto" w:fill="14202A"/>
          </w:tcPr>
          <w:p>
            <w:pPr>
              <w:spacing w:after="0"/>
              <w:rPr>
                <w:sz w:val="5"/>
                <w:szCs w:val="5"/>
                <w:color w:val="auto"/>
              </w:rPr>
            </w:pPr>
          </w:p>
        </w:tc>
        <w:tc>
          <w:tcPr>
            <w:tcW w:w="100" w:type="dxa"/>
            <w:vAlign w:val="bottom"/>
            <w:shd w:val="clear" w:color="auto" w:fill="14202A"/>
          </w:tcPr>
          <w:p>
            <w:pPr>
              <w:spacing w:after="0"/>
              <w:rPr>
                <w:sz w:val="5"/>
                <w:szCs w:val="5"/>
                <w:color w:val="auto"/>
              </w:rPr>
            </w:pPr>
          </w:p>
        </w:tc>
        <w:tc>
          <w:tcPr>
            <w:tcW w:w="80" w:type="dxa"/>
            <w:vAlign w:val="bottom"/>
            <w:shd w:val="clear" w:color="auto" w:fill="14202A"/>
          </w:tcPr>
          <w:p>
            <w:pPr>
              <w:spacing w:after="0"/>
              <w:rPr>
                <w:sz w:val="5"/>
                <w:szCs w:val="5"/>
                <w:color w:val="auto"/>
              </w:rPr>
            </w:pPr>
          </w:p>
        </w:tc>
        <w:tc>
          <w:tcPr>
            <w:tcW w:w="240" w:type="dxa"/>
            <w:vAlign w:val="bottom"/>
            <w:shd w:val="clear" w:color="auto" w:fill="14202A"/>
          </w:tcPr>
          <w:p>
            <w:pPr>
              <w:spacing w:after="0"/>
              <w:rPr>
                <w:sz w:val="5"/>
                <w:szCs w:val="5"/>
                <w:color w:val="auto"/>
              </w:rPr>
            </w:pPr>
          </w:p>
        </w:tc>
        <w:tc>
          <w:tcPr>
            <w:tcW w:w="260" w:type="dxa"/>
            <w:vAlign w:val="bottom"/>
            <w:shd w:val="clear" w:color="auto" w:fill="14202A"/>
          </w:tcPr>
          <w:p>
            <w:pPr>
              <w:spacing w:after="0"/>
              <w:rPr>
                <w:sz w:val="5"/>
                <w:szCs w:val="5"/>
                <w:color w:val="auto"/>
              </w:rPr>
            </w:pPr>
          </w:p>
        </w:tc>
        <w:tc>
          <w:tcPr>
            <w:tcW w:w="240" w:type="dxa"/>
            <w:vAlign w:val="bottom"/>
            <w:shd w:val="clear" w:color="auto" w:fill="14202A"/>
          </w:tcPr>
          <w:p>
            <w:pPr>
              <w:spacing w:after="0"/>
              <w:rPr>
                <w:sz w:val="5"/>
                <w:szCs w:val="5"/>
                <w:color w:val="auto"/>
              </w:rPr>
            </w:pPr>
          </w:p>
        </w:tc>
        <w:tc>
          <w:tcPr>
            <w:tcW w:w="1920" w:type="dxa"/>
            <w:vAlign w:val="bottom"/>
            <w:shd w:val="clear" w:color="auto" w:fill="14202A"/>
          </w:tcPr>
          <w:p>
            <w:pPr>
              <w:spacing w:after="0"/>
              <w:rPr>
                <w:sz w:val="5"/>
                <w:szCs w:val="5"/>
                <w:color w:val="auto"/>
              </w:rPr>
            </w:pPr>
          </w:p>
        </w:tc>
        <w:tc>
          <w:tcPr>
            <w:tcW w:w="1320" w:type="dxa"/>
            <w:vAlign w:val="bottom"/>
            <w:shd w:val="clear" w:color="auto" w:fill="14202A"/>
          </w:tcPr>
          <w:p>
            <w:pPr>
              <w:spacing w:after="0"/>
              <w:rPr>
                <w:sz w:val="5"/>
                <w:szCs w:val="5"/>
                <w:color w:val="auto"/>
              </w:rPr>
            </w:pPr>
          </w:p>
        </w:tc>
        <w:tc>
          <w:tcPr>
            <w:tcW w:w="146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60" w:type="dxa"/>
            <w:vAlign w:val="bottom"/>
            <w:shd w:val="clear" w:color="auto" w:fill="14202A"/>
          </w:tcPr>
          <w:p>
            <w:pPr>
              <w:spacing w:after="0"/>
              <w:rPr>
                <w:sz w:val="5"/>
                <w:szCs w:val="5"/>
                <w:color w:val="auto"/>
              </w:rPr>
            </w:pPr>
          </w:p>
        </w:tc>
        <w:tc>
          <w:tcPr>
            <w:tcW w:w="80" w:type="dxa"/>
            <w:vAlign w:val="bottom"/>
            <w:shd w:val="clear" w:color="auto" w:fill="14202A"/>
          </w:tcPr>
          <w:p>
            <w:pPr>
              <w:spacing w:after="0"/>
              <w:rPr>
                <w:sz w:val="5"/>
                <w:szCs w:val="5"/>
                <w:color w:val="auto"/>
              </w:rPr>
            </w:pPr>
          </w:p>
        </w:tc>
        <w:tc>
          <w:tcPr>
            <w:tcW w:w="120" w:type="dxa"/>
            <w:vAlign w:val="bottom"/>
            <w:shd w:val="clear" w:color="auto" w:fill="14202A"/>
          </w:tcPr>
          <w:p>
            <w:pPr>
              <w:spacing w:after="0"/>
              <w:rPr>
                <w:sz w:val="5"/>
                <w:szCs w:val="5"/>
                <w:color w:val="auto"/>
              </w:rPr>
            </w:pPr>
          </w:p>
        </w:tc>
      </w:tr>
      <w:tr>
        <w:trPr>
          <w:trHeight w:val="229"/>
        </w:trPr>
        <w:tc>
          <w:tcPr>
            <w:tcW w:w="160" w:type="dxa"/>
            <w:vAlign w:val="bottom"/>
          </w:tcPr>
          <w:p>
            <w:pPr>
              <w:spacing w:after="0"/>
              <w:rPr>
                <w:sz w:val="19"/>
                <w:szCs w:val="19"/>
                <w:color w:val="auto"/>
              </w:rPr>
            </w:pPr>
          </w:p>
        </w:tc>
        <w:tc>
          <w:tcPr>
            <w:tcW w:w="7380" w:type="dxa"/>
            <w:vAlign w:val="bottom"/>
            <w:gridSpan w:val="34"/>
          </w:tcPr>
          <w:p>
            <w:pPr>
              <w:spacing w:after="0"/>
              <w:rPr>
                <w:sz w:val="20"/>
                <w:szCs w:val="20"/>
                <w:color w:val="auto"/>
              </w:rPr>
            </w:pPr>
            <w:r>
              <w:rPr>
                <w:rFonts w:ascii="Arial" w:cs="Arial" w:eastAsia="Arial" w:hAnsi="Arial"/>
                <w:sz w:val="14"/>
                <w:szCs w:val="14"/>
                <w:b w:val="1"/>
                <w:bCs w:val="1"/>
                <w:color w:val="0000EE"/>
              </w:rPr>
              <w:t>Proxy Statement Summary</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5</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Business and Strategic Overview</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6</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Director Nominees and Continuing Directors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7</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Corporate Responsibility &amp; Inclusion</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8</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Corporate Governance Highlights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9</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Corporate Governance Practices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9</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b w:val="1"/>
                <w:bCs w:val="1"/>
                <w:color w:val="0000EE"/>
              </w:rPr>
              <w:t>Corporate Governance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10</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Board Leadership Structure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10</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Skills and Experiences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10</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Executive Leadership Experience Criteria: Definitions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11</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Board and Shareholder Meeting Attendance; Executive Sessions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12</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Board Committees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12</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Director Independence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14</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Risk Oversight</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15</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Board Refreshment</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16</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Board Commitments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16</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Code of Conduct and Corporate Governance Documents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16</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Policy on Transactions with Related Persons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17</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Communications with Directors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17</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Insider Trading Policy; Anti-Hedging and Anti-Pledging Policy</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17</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Cooperation Agreement with Vision One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18</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b w:val="1"/>
                <w:bCs w:val="1"/>
                <w:color w:val="0000EE"/>
              </w:rPr>
              <w:t>Proposal 1 – Election of Directors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19</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Director Nominees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20</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Directors Continuing in Office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25</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b w:val="1"/>
                <w:bCs w:val="1"/>
                <w:color w:val="0000EE"/>
              </w:rPr>
              <w:t>Director Compensation</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30</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b w:val="1"/>
                <w:bCs w:val="1"/>
                <w:color w:val="0000EE"/>
              </w:rPr>
              <w:t>Compensation Discussion and Analysis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33</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Executive Summary</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33</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Determination of Compensation</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39</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Fiscal 2026 NEO Compensation Decisions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41</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Additional Compensation Policies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49</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b w:val="1"/>
                <w:bCs w:val="1"/>
                <w:color w:val="0000EE"/>
              </w:rPr>
              <w:t>Human Resources Committee Report</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52</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b w:val="1"/>
                <w:bCs w:val="1"/>
                <w:color w:val="0000EE"/>
              </w:rPr>
              <w:t>Compensation Tables and Narrative Disclosure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53</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top w:val="single" w:sz="8" w:color="0000EE"/>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Summary Compensation Table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53</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Grants of Plan-Based Awards Table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55</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Narrative Disclosure to Summary Compensation Table and Grants of Plan-Based Awards Table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56</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920" w:type="dxa"/>
            <w:vAlign w:val="bottom"/>
            <w:tcBorders>
              <w:top w:val="single" w:sz="8" w:color="0000EE"/>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Outstanding Equity Awards at Fiscal Year End Table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57</w:t>
            </w:r>
          </w:p>
        </w:tc>
      </w:tr>
      <w:tr>
        <w:trPr>
          <w:trHeight w:val="34"/>
        </w:trPr>
        <w:tc>
          <w:tcPr>
            <w:tcW w:w="160" w:type="dxa"/>
            <w:vAlign w:val="bottom"/>
            <w:tcBorders>
              <w:bottom w:val="single" w:sz="8" w:color="14202A"/>
            </w:tcBorders>
          </w:tcPr>
          <w:p>
            <w:pPr>
              <w:spacing w:after="0"/>
              <w:rPr>
                <w:sz w:val="2"/>
                <w:szCs w:val="2"/>
                <w:color w:val="auto"/>
              </w:rPr>
            </w:pPr>
          </w:p>
        </w:tc>
        <w:tc>
          <w:tcPr>
            <w:tcW w:w="940" w:type="dxa"/>
            <w:vAlign w:val="bottom"/>
            <w:tcBorders>
              <w:top w:val="single" w:sz="8" w:color="0000EE"/>
              <w:bottom w:val="single" w:sz="8" w:color="14202A"/>
            </w:tcBorders>
          </w:tcPr>
          <w:p>
            <w:pPr>
              <w:spacing w:after="0"/>
              <w:rPr>
                <w:sz w:val="2"/>
                <w:szCs w:val="2"/>
                <w:color w:val="auto"/>
              </w:rPr>
            </w:pPr>
          </w:p>
        </w:tc>
        <w:tc>
          <w:tcPr>
            <w:tcW w:w="260" w:type="dxa"/>
            <w:vAlign w:val="bottom"/>
            <w:tcBorders>
              <w:top w:val="single" w:sz="8" w:color="0000EE"/>
              <w:bottom w:val="single" w:sz="8" w:color="14202A"/>
            </w:tcBorders>
          </w:tcPr>
          <w:p>
            <w:pPr>
              <w:spacing w:after="0"/>
              <w:rPr>
                <w:sz w:val="2"/>
                <w:szCs w:val="2"/>
                <w:color w:val="auto"/>
              </w:rPr>
            </w:pPr>
          </w:p>
        </w:tc>
        <w:tc>
          <w:tcPr>
            <w:tcW w:w="40" w:type="dxa"/>
            <w:vAlign w:val="bottom"/>
            <w:tcBorders>
              <w:top w:val="single" w:sz="8" w:color="0000EE"/>
              <w:bottom w:val="single" w:sz="8" w:color="14202A"/>
            </w:tcBorders>
          </w:tcPr>
          <w:p>
            <w:pPr>
              <w:spacing w:after="0"/>
              <w:rPr>
                <w:sz w:val="2"/>
                <w:szCs w:val="2"/>
                <w:color w:val="auto"/>
              </w:rPr>
            </w:pPr>
          </w:p>
        </w:tc>
        <w:tc>
          <w:tcPr>
            <w:tcW w:w="40" w:type="dxa"/>
            <w:vAlign w:val="bottom"/>
            <w:tcBorders>
              <w:top w:val="single" w:sz="8" w:color="0000EE"/>
              <w:bottom w:val="single" w:sz="8" w:color="14202A"/>
            </w:tcBorders>
          </w:tcPr>
          <w:p>
            <w:pPr>
              <w:spacing w:after="0"/>
              <w:rPr>
                <w:sz w:val="2"/>
                <w:szCs w:val="2"/>
                <w:color w:val="auto"/>
              </w:rPr>
            </w:pPr>
          </w:p>
        </w:tc>
        <w:tc>
          <w:tcPr>
            <w:tcW w:w="40" w:type="dxa"/>
            <w:vAlign w:val="bottom"/>
            <w:tcBorders>
              <w:top w:val="single" w:sz="8" w:color="0000EE"/>
              <w:bottom w:val="single" w:sz="8" w:color="14202A"/>
            </w:tcBorders>
          </w:tcPr>
          <w:p>
            <w:pPr>
              <w:spacing w:after="0"/>
              <w:rPr>
                <w:sz w:val="2"/>
                <w:szCs w:val="2"/>
                <w:color w:val="auto"/>
              </w:rPr>
            </w:pPr>
          </w:p>
        </w:tc>
        <w:tc>
          <w:tcPr>
            <w:tcW w:w="12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100" w:type="dxa"/>
            <w:vAlign w:val="bottom"/>
            <w:tcBorders>
              <w:top w:val="single" w:sz="8" w:color="0000EE"/>
              <w:bottom w:val="single" w:sz="8" w:color="14202A"/>
            </w:tcBorders>
          </w:tcPr>
          <w:p>
            <w:pPr>
              <w:spacing w:after="0"/>
              <w:rPr>
                <w:sz w:val="2"/>
                <w:szCs w:val="2"/>
                <w:color w:val="auto"/>
              </w:rPr>
            </w:pPr>
          </w:p>
        </w:tc>
        <w:tc>
          <w:tcPr>
            <w:tcW w:w="40" w:type="dxa"/>
            <w:vAlign w:val="bottom"/>
            <w:tcBorders>
              <w:top w:val="single" w:sz="8" w:color="0000EE"/>
              <w:bottom w:val="single" w:sz="8" w:color="14202A"/>
            </w:tcBorders>
          </w:tcPr>
          <w:p>
            <w:pPr>
              <w:spacing w:after="0"/>
              <w:rPr>
                <w:sz w:val="2"/>
                <w:szCs w:val="2"/>
                <w:color w:val="auto"/>
              </w:rPr>
            </w:pPr>
          </w:p>
        </w:tc>
        <w:tc>
          <w:tcPr>
            <w:tcW w:w="160" w:type="dxa"/>
            <w:vAlign w:val="bottom"/>
            <w:tcBorders>
              <w:top w:val="single" w:sz="8" w:color="0000EE"/>
              <w:bottom w:val="single" w:sz="8" w:color="14202A"/>
            </w:tcBorders>
          </w:tcPr>
          <w:p>
            <w:pPr>
              <w:spacing w:after="0"/>
              <w:rPr>
                <w:sz w:val="2"/>
                <w:szCs w:val="2"/>
                <w:color w:val="auto"/>
              </w:rPr>
            </w:pPr>
          </w:p>
        </w:tc>
        <w:tc>
          <w:tcPr>
            <w:tcW w:w="80" w:type="dxa"/>
            <w:vAlign w:val="bottom"/>
            <w:tcBorders>
              <w:top w:val="single" w:sz="8" w:color="0000EE"/>
              <w:bottom w:val="single" w:sz="8" w:color="14202A"/>
            </w:tcBorders>
          </w:tcPr>
          <w:p>
            <w:pPr>
              <w:spacing w:after="0"/>
              <w:rPr>
                <w:sz w:val="2"/>
                <w:szCs w:val="2"/>
                <w:color w:val="auto"/>
              </w:rPr>
            </w:pPr>
          </w:p>
        </w:tc>
        <w:tc>
          <w:tcPr>
            <w:tcW w:w="40" w:type="dxa"/>
            <w:vAlign w:val="bottom"/>
            <w:tcBorders>
              <w:top w:val="single" w:sz="8" w:color="0000EE"/>
              <w:bottom w:val="single" w:sz="8" w:color="14202A"/>
            </w:tcBorders>
          </w:tcPr>
          <w:p>
            <w:pPr>
              <w:spacing w:after="0"/>
              <w:rPr>
                <w:sz w:val="2"/>
                <w:szCs w:val="2"/>
                <w:color w:val="auto"/>
              </w:rPr>
            </w:pPr>
          </w:p>
        </w:tc>
        <w:tc>
          <w:tcPr>
            <w:tcW w:w="8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40" w:type="dxa"/>
            <w:vAlign w:val="bottom"/>
            <w:tcBorders>
              <w:top w:val="single" w:sz="8" w:color="0000EE"/>
              <w:bottom w:val="single" w:sz="8" w:color="14202A"/>
            </w:tcBorders>
          </w:tcPr>
          <w:p>
            <w:pPr>
              <w:spacing w:after="0"/>
              <w:rPr>
                <w:sz w:val="2"/>
                <w:szCs w:val="2"/>
                <w:color w:val="auto"/>
              </w:rPr>
            </w:pPr>
          </w:p>
        </w:tc>
        <w:tc>
          <w:tcPr>
            <w:tcW w:w="8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14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240" w:type="dxa"/>
            <w:vAlign w:val="bottom"/>
            <w:tcBorders>
              <w:top w:val="single" w:sz="8" w:color="0000EE"/>
              <w:bottom w:val="single" w:sz="8" w:color="14202A"/>
            </w:tcBorders>
          </w:tcPr>
          <w:p>
            <w:pPr>
              <w:spacing w:after="0"/>
              <w:rPr>
                <w:sz w:val="2"/>
                <w:szCs w:val="2"/>
                <w:color w:val="auto"/>
              </w:rPr>
            </w:pPr>
          </w:p>
        </w:tc>
        <w:tc>
          <w:tcPr>
            <w:tcW w:w="16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8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380" w:type="dxa"/>
            <w:vAlign w:val="bottom"/>
            <w:tcBorders>
              <w:top w:val="single" w:sz="8" w:color="0000EE"/>
              <w:bottom w:val="single" w:sz="8" w:color="14202A"/>
            </w:tcBorders>
          </w:tcPr>
          <w:p>
            <w:pPr>
              <w:spacing w:after="0"/>
              <w:rPr>
                <w:sz w:val="2"/>
                <w:szCs w:val="2"/>
                <w:color w:val="auto"/>
              </w:rPr>
            </w:pPr>
          </w:p>
        </w:tc>
        <w:tc>
          <w:tcPr>
            <w:tcW w:w="100" w:type="dxa"/>
            <w:vAlign w:val="bottom"/>
            <w:tcBorders>
              <w:top w:val="single" w:sz="8" w:color="0000EE"/>
              <w:bottom w:val="single" w:sz="8" w:color="14202A"/>
            </w:tcBorders>
          </w:tcPr>
          <w:p>
            <w:pPr>
              <w:spacing w:after="0"/>
              <w:rPr>
                <w:sz w:val="2"/>
                <w:szCs w:val="2"/>
                <w:color w:val="auto"/>
              </w:rPr>
            </w:pPr>
          </w:p>
        </w:tc>
        <w:tc>
          <w:tcPr>
            <w:tcW w:w="80" w:type="dxa"/>
            <w:vAlign w:val="bottom"/>
            <w:tcBorders>
              <w:bottom w:val="single" w:sz="8" w:color="14202A"/>
            </w:tcBorders>
          </w:tcPr>
          <w:p>
            <w:pPr>
              <w:spacing w:after="0"/>
              <w:rPr>
                <w:sz w:val="2"/>
                <w:szCs w:val="2"/>
                <w:color w:val="auto"/>
              </w:rPr>
            </w:pPr>
          </w:p>
        </w:tc>
        <w:tc>
          <w:tcPr>
            <w:tcW w:w="240" w:type="dxa"/>
            <w:vAlign w:val="bottom"/>
            <w:tcBorders>
              <w:bottom w:val="single" w:sz="8" w:color="14202A"/>
            </w:tcBorders>
          </w:tcPr>
          <w:p>
            <w:pPr>
              <w:spacing w:after="0"/>
              <w:rPr>
                <w:sz w:val="2"/>
                <w:szCs w:val="2"/>
                <w:color w:val="auto"/>
              </w:rPr>
            </w:pPr>
          </w:p>
        </w:tc>
        <w:tc>
          <w:tcPr>
            <w:tcW w:w="260" w:type="dxa"/>
            <w:vAlign w:val="bottom"/>
            <w:tcBorders>
              <w:bottom w:val="single" w:sz="8" w:color="14202A"/>
            </w:tcBorders>
          </w:tcPr>
          <w:p>
            <w:pPr>
              <w:spacing w:after="0"/>
              <w:rPr>
                <w:sz w:val="2"/>
                <w:szCs w:val="2"/>
                <w:color w:val="auto"/>
              </w:rPr>
            </w:pPr>
          </w:p>
        </w:tc>
        <w:tc>
          <w:tcPr>
            <w:tcW w:w="240" w:type="dxa"/>
            <w:vAlign w:val="bottom"/>
            <w:tcBorders>
              <w:bottom w:val="single" w:sz="8" w:color="14202A"/>
            </w:tcBorders>
          </w:tcPr>
          <w:p>
            <w:pPr>
              <w:spacing w:after="0"/>
              <w:rPr>
                <w:sz w:val="2"/>
                <w:szCs w:val="2"/>
                <w:color w:val="auto"/>
              </w:rPr>
            </w:pPr>
          </w:p>
        </w:tc>
        <w:tc>
          <w:tcPr>
            <w:tcW w:w="1920" w:type="dxa"/>
            <w:vAlign w:val="bottom"/>
            <w:tcBorders>
              <w:bottom w:val="single" w:sz="8" w:color="14202A"/>
            </w:tcBorders>
          </w:tcPr>
          <w:p>
            <w:pPr>
              <w:spacing w:after="0"/>
              <w:rPr>
                <w:sz w:val="2"/>
                <w:szCs w:val="2"/>
                <w:color w:val="auto"/>
              </w:rPr>
            </w:pPr>
          </w:p>
        </w:tc>
        <w:tc>
          <w:tcPr>
            <w:tcW w:w="1320" w:type="dxa"/>
            <w:vAlign w:val="bottom"/>
            <w:tcBorders>
              <w:bottom w:val="single" w:sz="8" w:color="14202A"/>
            </w:tcBorders>
          </w:tcPr>
          <w:p>
            <w:pPr>
              <w:spacing w:after="0"/>
              <w:rPr>
                <w:sz w:val="2"/>
                <w:szCs w:val="2"/>
                <w:color w:val="auto"/>
              </w:rPr>
            </w:pPr>
          </w:p>
        </w:tc>
        <w:tc>
          <w:tcPr>
            <w:tcW w:w="1460" w:type="dxa"/>
            <w:vAlign w:val="bottom"/>
            <w:tcBorders>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60" w:type="dxa"/>
            <w:vAlign w:val="bottom"/>
            <w:tcBorders>
              <w:top w:val="single" w:sz="8" w:color="0000EE"/>
              <w:bottom w:val="single" w:sz="8" w:color="14202A"/>
            </w:tcBorders>
          </w:tcPr>
          <w:p>
            <w:pPr>
              <w:spacing w:after="0"/>
              <w:rPr>
                <w:sz w:val="2"/>
                <w:szCs w:val="2"/>
                <w:color w:val="auto"/>
              </w:rPr>
            </w:pPr>
          </w:p>
        </w:tc>
        <w:tc>
          <w:tcPr>
            <w:tcW w:w="80" w:type="dxa"/>
            <w:vAlign w:val="bottom"/>
            <w:tcBorders>
              <w:top w:val="single" w:sz="8" w:color="0000EE"/>
              <w:bottom w:val="single" w:sz="8" w:color="14202A"/>
            </w:tcBorders>
          </w:tcPr>
          <w:p>
            <w:pPr>
              <w:spacing w:after="0"/>
              <w:rPr>
                <w:sz w:val="2"/>
                <w:szCs w:val="2"/>
                <w:color w:val="auto"/>
              </w:rPr>
            </w:pPr>
          </w:p>
        </w:tc>
        <w:tc>
          <w:tcPr>
            <w:tcW w:w="120" w:type="dxa"/>
            <w:vAlign w:val="bottom"/>
            <w:tcBorders>
              <w:bottom w:val="single" w:sz="8" w:color="14202A"/>
            </w:tcBorders>
          </w:tcPr>
          <w:p>
            <w:pPr>
              <w:spacing w:after="0"/>
              <w:rPr>
                <w:sz w:val="2"/>
                <w:szCs w:val="2"/>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Proxy Statement for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60" w:type="dxa"/>
            <w:vAlign w:val="bottom"/>
            <w:shd w:val="clear" w:color="auto" w:fill="14202A"/>
          </w:tcPr>
          <w:p>
            <w:pPr>
              <w:spacing w:after="0"/>
              <w:rPr>
                <w:sz w:val="22"/>
                <w:szCs w:val="22"/>
                <w:color w:val="auto"/>
              </w:rPr>
            </w:pPr>
          </w:p>
        </w:tc>
        <w:tc>
          <w:tcPr>
            <w:tcW w:w="160" w:type="dxa"/>
            <w:vAlign w:val="bottom"/>
            <w:shd w:val="clear" w:color="auto" w:fill="14202A"/>
          </w:tcPr>
          <w:p>
            <w:pPr>
              <w:spacing w:after="0"/>
              <w:rPr>
                <w:sz w:val="22"/>
                <w:szCs w:val="22"/>
                <w:color w:val="auto"/>
              </w:rPr>
            </w:pPr>
          </w:p>
        </w:tc>
        <w:tc>
          <w:tcPr>
            <w:tcW w:w="106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520" w:type="dxa"/>
            <w:vAlign w:val="bottom"/>
            <w:shd w:val="clear" w:color="auto" w:fill="14202A"/>
          </w:tcPr>
          <w:p>
            <w:pPr>
              <w:spacing w:after="0"/>
              <w:rPr>
                <w:sz w:val="22"/>
                <w:szCs w:val="22"/>
                <w:color w:val="auto"/>
              </w:rPr>
            </w:pPr>
          </w:p>
        </w:tc>
        <w:tc>
          <w:tcPr>
            <w:tcW w:w="400" w:type="dxa"/>
            <w:vAlign w:val="bottom"/>
            <w:shd w:val="clear" w:color="auto" w:fill="14202A"/>
          </w:tcPr>
          <w:p>
            <w:pPr>
              <w:spacing w:after="0"/>
              <w:rPr>
                <w:sz w:val="22"/>
                <w:szCs w:val="22"/>
                <w:color w:val="auto"/>
              </w:rPr>
            </w:pPr>
          </w:p>
        </w:tc>
        <w:tc>
          <w:tcPr>
            <w:tcW w:w="26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18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300" w:type="dxa"/>
            <w:vAlign w:val="bottom"/>
            <w:shd w:val="clear" w:color="auto" w:fill="14202A"/>
          </w:tcPr>
          <w:p>
            <w:pPr>
              <w:spacing w:after="0"/>
              <w:rPr>
                <w:sz w:val="22"/>
                <w:szCs w:val="22"/>
                <w:color w:val="auto"/>
              </w:rPr>
            </w:pPr>
          </w:p>
        </w:tc>
        <w:tc>
          <w:tcPr>
            <w:tcW w:w="360" w:type="dxa"/>
            <w:vAlign w:val="bottom"/>
            <w:shd w:val="clear" w:color="auto" w:fill="14202A"/>
          </w:tcPr>
          <w:p>
            <w:pPr>
              <w:spacing w:after="0"/>
              <w:rPr>
                <w:sz w:val="22"/>
                <w:szCs w:val="22"/>
                <w:color w:val="auto"/>
              </w:rPr>
            </w:pPr>
          </w:p>
        </w:tc>
        <w:tc>
          <w:tcPr>
            <w:tcW w:w="220" w:type="dxa"/>
            <w:vAlign w:val="bottom"/>
            <w:shd w:val="clear" w:color="auto" w:fill="14202A"/>
          </w:tcPr>
          <w:p>
            <w:pPr>
              <w:spacing w:after="0"/>
              <w:rPr>
                <w:sz w:val="22"/>
                <w:szCs w:val="22"/>
                <w:color w:val="auto"/>
              </w:rPr>
            </w:pPr>
          </w:p>
        </w:tc>
        <w:tc>
          <w:tcPr>
            <w:tcW w:w="220" w:type="dxa"/>
            <w:vAlign w:val="bottom"/>
            <w:shd w:val="clear" w:color="auto" w:fill="14202A"/>
          </w:tcPr>
          <w:p>
            <w:pPr>
              <w:spacing w:after="0"/>
              <w:rPr>
                <w:sz w:val="22"/>
                <w:szCs w:val="22"/>
                <w:color w:val="auto"/>
              </w:rPr>
            </w:pPr>
          </w:p>
        </w:tc>
        <w:tc>
          <w:tcPr>
            <w:tcW w:w="600" w:type="dxa"/>
            <w:vAlign w:val="bottom"/>
            <w:shd w:val="clear" w:color="auto" w:fill="14202A"/>
          </w:tcPr>
          <w:p>
            <w:pPr>
              <w:spacing w:after="0"/>
              <w:rPr>
                <w:sz w:val="22"/>
                <w:szCs w:val="22"/>
                <w:color w:val="auto"/>
              </w:rPr>
            </w:pPr>
          </w:p>
        </w:tc>
        <w:tc>
          <w:tcPr>
            <w:tcW w:w="200" w:type="dxa"/>
            <w:vAlign w:val="bottom"/>
            <w:shd w:val="clear" w:color="auto" w:fill="14202A"/>
          </w:tcPr>
          <w:p>
            <w:pPr>
              <w:spacing w:after="0"/>
              <w:rPr>
                <w:sz w:val="22"/>
                <w:szCs w:val="22"/>
                <w:color w:val="auto"/>
              </w:rPr>
            </w:pPr>
          </w:p>
        </w:tc>
        <w:tc>
          <w:tcPr>
            <w:tcW w:w="120" w:type="dxa"/>
            <w:vAlign w:val="bottom"/>
            <w:shd w:val="clear" w:color="auto" w:fill="14202A"/>
          </w:tcPr>
          <w:p>
            <w:pPr>
              <w:spacing w:after="0"/>
              <w:rPr>
                <w:sz w:val="22"/>
                <w:szCs w:val="22"/>
                <w:color w:val="auto"/>
              </w:rPr>
            </w:pPr>
          </w:p>
        </w:tc>
        <w:tc>
          <w:tcPr>
            <w:tcW w:w="720" w:type="dxa"/>
            <w:vAlign w:val="bottom"/>
            <w:shd w:val="clear" w:color="auto" w:fill="14202A"/>
          </w:tcPr>
          <w:p>
            <w:pPr>
              <w:spacing w:after="0"/>
              <w:rPr>
                <w:sz w:val="22"/>
                <w:szCs w:val="22"/>
                <w:color w:val="auto"/>
              </w:rPr>
            </w:pPr>
          </w:p>
        </w:tc>
        <w:tc>
          <w:tcPr>
            <w:tcW w:w="220" w:type="dxa"/>
            <w:vAlign w:val="bottom"/>
            <w:shd w:val="clear" w:color="auto" w:fill="14202A"/>
          </w:tcPr>
          <w:p>
            <w:pPr>
              <w:spacing w:after="0"/>
              <w:rPr>
                <w:sz w:val="22"/>
                <w:szCs w:val="22"/>
                <w:color w:val="auto"/>
              </w:rPr>
            </w:pPr>
          </w:p>
        </w:tc>
        <w:tc>
          <w:tcPr>
            <w:tcW w:w="600" w:type="dxa"/>
            <w:vAlign w:val="bottom"/>
            <w:shd w:val="clear" w:color="auto" w:fill="14202A"/>
          </w:tcPr>
          <w:p>
            <w:pPr>
              <w:spacing w:after="0"/>
              <w:rPr>
                <w:sz w:val="22"/>
                <w:szCs w:val="22"/>
                <w:color w:val="auto"/>
              </w:rPr>
            </w:pPr>
          </w:p>
        </w:tc>
        <w:tc>
          <w:tcPr>
            <w:tcW w:w="140" w:type="dxa"/>
            <w:vAlign w:val="bottom"/>
            <w:shd w:val="clear" w:color="auto" w:fill="14202A"/>
          </w:tcPr>
          <w:p>
            <w:pPr>
              <w:spacing w:after="0"/>
              <w:rPr>
                <w:sz w:val="22"/>
                <w:szCs w:val="22"/>
                <w:color w:val="auto"/>
              </w:rPr>
            </w:pPr>
          </w:p>
        </w:tc>
        <w:tc>
          <w:tcPr>
            <w:tcW w:w="220" w:type="dxa"/>
            <w:vAlign w:val="bottom"/>
            <w:shd w:val="clear" w:color="auto" w:fill="14202A"/>
          </w:tcPr>
          <w:p>
            <w:pPr>
              <w:spacing w:after="0"/>
              <w:rPr>
                <w:sz w:val="22"/>
                <w:szCs w:val="22"/>
                <w:color w:val="auto"/>
              </w:rPr>
            </w:pPr>
          </w:p>
        </w:tc>
        <w:tc>
          <w:tcPr>
            <w:tcW w:w="1000" w:type="dxa"/>
            <w:vAlign w:val="bottom"/>
            <w:shd w:val="clear" w:color="auto" w:fill="14202A"/>
          </w:tcPr>
          <w:p>
            <w:pPr>
              <w:spacing w:after="0"/>
              <w:rPr>
                <w:sz w:val="22"/>
                <w:szCs w:val="22"/>
                <w:color w:val="auto"/>
              </w:rPr>
            </w:pPr>
          </w:p>
        </w:tc>
        <w:tc>
          <w:tcPr>
            <w:tcW w:w="180" w:type="dxa"/>
            <w:vAlign w:val="bottom"/>
            <w:shd w:val="clear" w:color="auto" w:fill="14202A"/>
          </w:tcPr>
          <w:p>
            <w:pPr>
              <w:spacing w:after="0"/>
              <w:rPr>
                <w:sz w:val="22"/>
                <w:szCs w:val="22"/>
                <w:color w:val="auto"/>
              </w:rPr>
            </w:pPr>
          </w:p>
        </w:tc>
        <w:tc>
          <w:tcPr>
            <w:tcW w:w="460" w:type="dxa"/>
            <w:vAlign w:val="bottom"/>
            <w:shd w:val="clear" w:color="auto" w:fill="14202A"/>
          </w:tcPr>
          <w:p>
            <w:pPr>
              <w:spacing w:after="0"/>
              <w:rPr>
                <w:sz w:val="22"/>
                <w:szCs w:val="22"/>
                <w:color w:val="auto"/>
              </w:rPr>
            </w:pPr>
          </w:p>
        </w:tc>
        <w:tc>
          <w:tcPr>
            <w:tcW w:w="900" w:type="dxa"/>
            <w:vAlign w:val="bottom"/>
            <w:gridSpan w:val="6"/>
            <w:shd w:val="clear" w:color="auto" w:fill="14202A"/>
          </w:tcPr>
          <w:p>
            <w:pPr>
              <w:jc w:val="center"/>
              <w:ind w:left="288"/>
              <w:spacing w:after="0"/>
              <w:rPr>
                <w:sz w:val="20"/>
                <w:szCs w:val="20"/>
                <w:color w:val="auto"/>
              </w:rPr>
            </w:pPr>
            <w:r>
              <w:rPr>
                <w:rFonts w:ascii="Arial" w:cs="Arial" w:eastAsia="Arial" w:hAnsi="Arial"/>
                <w:sz w:val="13"/>
                <w:szCs w:val="13"/>
                <w:b w:val="1"/>
                <w:bCs w:val="1"/>
                <w:color w:val="FFFFFF"/>
                <w:w w:val="96"/>
              </w:rPr>
              <w:t>Page</w:t>
            </w:r>
          </w:p>
        </w:tc>
        <w:tc>
          <w:tcPr>
            <w:tcW w:w="0" w:type="dxa"/>
            <w:vAlign w:val="bottom"/>
          </w:tcPr>
          <w:p>
            <w:pPr>
              <w:spacing w:after="0"/>
              <w:rPr>
                <w:sz w:val="1"/>
                <w:szCs w:val="1"/>
                <w:color w:val="auto"/>
              </w:rPr>
            </w:pPr>
          </w:p>
        </w:tc>
      </w:tr>
      <w:tr>
        <w:trPr>
          <w:trHeight w:val="62"/>
        </w:trPr>
        <w:tc>
          <w:tcPr>
            <w:tcW w:w="160" w:type="dxa"/>
            <w:vAlign w:val="bottom"/>
            <w:shd w:val="clear" w:color="auto" w:fill="14202A"/>
          </w:tcPr>
          <w:p>
            <w:pPr>
              <w:spacing w:after="0"/>
              <w:rPr>
                <w:sz w:val="5"/>
                <w:szCs w:val="5"/>
                <w:color w:val="auto"/>
              </w:rPr>
            </w:pPr>
          </w:p>
        </w:tc>
        <w:tc>
          <w:tcPr>
            <w:tcW w:w="160" w:type="dxa"/>
            <w:vAlign w:val="bottom"/>
            <w:shd w:val="clear" w:color="auto" w:fill="14202A"/>
          </w:tcPr>
          <w:p>
            <w:pPr>
              <w:spacing w:after="0"/>
              <w:rPr>
                <w:sz w:val="5"/>
                <w:szCs w:val="5"/>
                <w:color w:val="auto"/>
              </w:rPr>
            </w:pPr>
          </w:p>
        </w:tc>
        <w:tc>
          <w:tcPr>
            <w:tcW w:w="106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520" w:type="dxa"/>
            <w:vAlign w:val="bottom"/>
            <w:shd w:val="clear" w:color="auto" w:fill="14202A"/>
          </w:tcPr>
          <w:p>
            <w:pPr>
              <w:spacing w:after="0"/>
              <w:rPr>
                <w:sz w:val="5"/>
                <w:szCs w:val="5"/>
                <w:color w:val="auto"/>
              </w:rPr>
            </w:pPr>
          </w:p>
        </w:tc>
        <w:tc>
          <w:tcPr>
            <w:tcW w:w="400" w:type="dxa"/>
            <w:vAlign w:val="bottom"/>
            <w:shd w:val="clear" w:color="auto" w:fill="14202A"/>
          </w:tcPr>
          <w:p>
            <w:pPr>
              <w:spacing w:after="0"/>
              <w:rPr>
                <w:sz w:val="5"/>
                <w:szCs w:val="5"/>
                <w:color w:val="auto"/>
              </w:rPr>
            </w:pPr>
          </w:p>
        </w:tc>
        <w:tc>
          <w:tcPr>
            <w:tcW w:w="26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18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300" w:type="dxa"/>
            <w:vAlign w:val="bottom"/>
            <w:shd w:val="clear" w:color="auto" w:fill="14202A"/>
          </w:tcPr>
          <w:p>
            <w:pPr>
              <w:spacing w:after="0"/>
              <w:rPr>
                <w:sz w:val="5"/>
                <w:szCs w:val="5"/>
                <w:color w:val="auto"/>
              </w:rPr>
            </w:pPr>
          </w:p>
        </w:tc>
        <w:tc>
          <w:tcPr>
            <w:tcW w:w="360" w:type="dxa"/>
            <w:vAlign w:val="bottom"/>
            <w:shd w:val="clear" w:color="auto" w:fill="14202A"/>
          </w:tcPr>
          <w:p>
            <w:pPr>
              <w:spacing w:after="0"/>
              <w:rPr>
                <w:sz w:val="5"/>
                <w:szCs w:val="5"/>
                <w:color w:val="auto"/>
              </w:rPr>
            </w:pPr>
          </w:p>
        </w:tc>
        <w:tc>
          <w:tcPr>
            <w:tcW w:w="220" w:type="dxa"/>
            <w:vAlign w:val="bottom"/>
            <w:shd w:val="clear" w:color="auto" w:fill="14202A"/>
          </w:tcPr>
          <w:p>
            <w:pPr>
              <w:spacing w:after="0"/>
              <w:rPr>
                <w:sz w:val="5"/>
                <w:szCs w:val="5"/>
                <w:color w:val="auto"/>
              </w:rPr>
            </w:pPr>
          </w:p>
        </w:tc>
        <w:tc>
          <w:tcPr>
            <w:tcW w:w="220" w:type="dxa"/>
            <w:vAlign w:val="bottom"/>
            <w:shd w:val="clear" w:color="auto" w:fill="14202A"/>
          </w:tcPr>
          <w:p>
            <w:pPr>
              <w:spacing w:after="0"/>
              <w:rPr>
                <w:sz w:val="5"/>
                <w:szCs w:val="5"/>
                <w:color w:val="auto"/>
              </w:rPr>
            </w:pPr>
          </w:p>
        </w:tc>
        <w:tc>
          <w:tcPr>
            <w:tcW w:w="600" w:type="dxa"/>
            <w:vAlign w:val="bottom"/>
            <w:shd w:val="clear" w:color="auto" w:fill="14202A"/>
          </w:tcPr>
          <w:p>
            <w:pPr>
              <w:spacing w:after="0"/>
              <w:rPr>
                <w:sz w:val="5"/>
                <w:szCs w:val="5"/>
                <w:color w:val="auto"/>
              </w:rPr>
            </w:pPr>
          </w:p>
        </w:tc>
        <w:tc>
          <w:tcPr>
            <w:tcW w:w="200" w:type="dxa"/>
            <w:vAlign w:val="bottom"/>
            <w:shd w:val="clear" w:color="auto" w:fill="14202A"/>
          </w:tcPr>
          <w:p>
            <w:pPr>
              <w:spacing w:after="0"/>
              <w:rPr>
                <w:sz w:val="5"/>
                <w:szCs w:val="5"/>
                <w:color w:val="auto"/>
              </w:rPr>
            </w:pPr>
          </w:p>
        </w:tc>
        <w:tc>
          <w:tcPr>
            <w:tcW w:w="120" w:type="dxa"/>
            <w:vAlign w:val="bottom"/>
            <w:shd w:val="clear" w:color="auto" w:fill="14202A"/>
          </w:tcPr>
          <w:p>
            <w:pPr>
              <w:spacing w:after="0"/>
              <w:rPr>
                <w:sz w:val="5"/>
                <w:szCs w:val="5"/>
                <w:color w:val="auto"/>
              </w:rPr>
            </w:pPr>
          </w:p>
        </w:tc>
        <w:tc>
          <w:tcPr>
            <w:tcW w:w="720" w:type="dxa"/>
            <w:vAlign w:val="bottom"/>
            <w:shd w:val="clear" w:color="auto" w:fill="14202A"/>
          </w:tcPr>
          <w:p>
            <w:pPr>
              <w:spacing w:after="0"/>
              <w:rPr>
                <w:sz w:val="5"/>
                <w:szCs w:val="5"/>
                <w:color w:val="auto"/>
              </w:rPr>
            </w:pPr>
          </w:p>
        </w:tc>
        <w:tc>
          <w:tcPr>
            <w:tcW w:w="220" w:type="dxa"/>
            <w:vAlign w:val="bottom"/>
            <w:shd w:val="clear" w:color="auto" w:fill="14202A"/>
          </w:tcPr>
          <w:p>
            <w:pPr>
              <w:spacing w:after="0"/>
              <w:rPr>
                <w:sz w:val="5"/>
                <w:szCs w:val="5"/>
                <w:color w:val="auto"/>
              </w:rPr>
            </w:pPr>
          </w:p>
        </w:tc>
        <w:tc>
          <w:tcPr>
            <w:tcW w:w="600" w:type="dxa"/>
            <w:vAlign w:val="bottom"/>
            <w:shd w:val="clear" w:color="auto" w:fill="14202A"/>
          </w:tcPr>
          <w:p>
            <w:pPr>
              <w:spacing w:after="0"/>
              <w:rPr>
                <w:sz w:val="5"/>
                <w:szCs w:val="5"/>
                <w:color w:val="auto"/>
              </w:rPr>
            </w:pPr>
          </w:p>
        </w:tc>
        <w:tc>
          <w:tcPr>
            <w:tcW w:w="140" w:type="dxa"/>
            <w:vAlign w:val="bottom"/>
            <w:shd w:val="clear" w:color="auto" w:fill="14202A"/>
          </w:tcPr>
          <w:p>
            <w:pPr>
              <w:spacing w:after="0"/>
              <w:rPr>
                <w:sz w:val="5"/>
                <w:szCs w:val="5"/>
                <w:color w:val="auto"/>
              </w:rPr>
            </w:pPr>
          </w:p>
        </w:tc>
        <w:tc>
          <w:tcPr>
            <w:tcW w:w="220" w:type="dxa"/>
            <w:vAlign w:val="bottom"/>
            <w:shd w:val="clear" w:color="auto" w:fill="14202A"/>
          </w:tcPr>
          <w:p>
            <w:pPr>
              <w:spacing w:after="0"/>
              <w:rPr>
                <w:sz w:val="5"/>
                <w:szCs w:val="5"/>
                <w:color w:val="auto"/>
              </w:rPr>
            </w:pPr>
          </w:p>
        </w:tc>
        <w:tc>
          <w:tcPr>
            <w:tcW w:w="1000" w:type="dxa"/>
            <w:vAlign w:val="bottom"/>
            <w:shd w:val="clear" w:color="auto" w:fill="14202A"/>
          </w:tcPr>
          <w:p>
            <w:pPr>
              <w:spacing w:after="0"/>
              <w:rPr>
                <w:sz w:val="5"/>
                <w:szCs w:val="5"/>
                <w:color w:val="auto"/>
              </w:rPr>
            </w:pPr>
          </w:p>
        </w:tc>
        <w:tc>
          <w:tcPr>
            <w:tcW w:w="180" w:type="dxa"/>
            <w:vAlign w:val="bottom"/>
            <w:shd w:val="clear" w:color="auto" w:fill="14202A"/>
          </w:tcPr>
          <w:p>
            <w:pPr>
              <w:spacing w:after="0"/>
              <w:rPr>
                <w:sz w:val="5"/>
                <w:szCs w:val="5"/>
                <w:color w:val="auto"/>
              </w:rPr>
            </w:pPr>
          </w:p>
        </w:tc>
        <w:tc>
          <w:tcPr>
            <w:tcW w:w="460" w:type="dxa"/>
            <w:vAlign w:val="bottom"/>
            <w:shd w:val="clear" w:color="auto" w:fill="14202A"/>
          </w:tcPr>
          <w:p>
            <w:pPr>
              <w:spacing w:after="0"/>
              <w:rPr>
                <w:sz w:val="5"/>
                <w:szCs w:val="5"/>
                <w:color w:val="auto"/>
              </w:rPr>
            </w:pPr>
          </w:p>
        </w:tc>
        <w:tc>
          <w:tcPr>
            <w:tcW w:w="520" w:type="dxa"/>
            <w:vAlign w:val="bottom"/>
            <w:shd w:val="clear" w:color="auto" w:fill="14202A"/>
          </w:tcPr>
          <w:p>
            <w:pPr>
              <w:spacing w:after="0"/>
              <w:rPr>
                <w:sz w:val="5"/>
                <w:szCs w:val="5"/>
                <w:color w:val="auto"/>
              </w:rPr>
            </w:pPr>
          </w:p>
        </w:tc>
        <w:tc>
          <w:tcPr>
            <w:tcW w:w="100" w:type="dxa"/>
            <w:vAlign w:val="bottom"/>
            <w:shd w:val="clear" w:color="auto" w:fill="14202A"/>
          </w:tcPr>
          <w:p>
            <w:pPr>
              <w:spacing w:after="0"/>
              <w:rPr>
                <w:sz w:val="5"/>
                <w:szCs w:val="5"/>
                <w:color w:val="auto"/>
              </w:rPr>
            </w:pPr>
          </w:p>
        </w:tc>
        <w:tc>
          <w:tcPr>
            <w:tcW w:w="12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12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8220" w:type="dxa"/>
            <w:vAlign w:val="bottom"/>
            <w:gridSpan w:val="24"/>
          </w:tcPr>
          <w:p>
            <w:pPr>
              <w:spacing w:after="0"/>
              <w:rPr>
                <w:sz w:val="20"/>
                <w:szCs w:val="20"/>
                <w:color w:val="auto"/>
              </w:rPr>
            </w:pPr>
            <w:r>
              <w:rPr>
                <w:rFonts w:ascii="Arial" w:cs="Arial" w:eastAsia="Arial" w:hAnsi="Arial"/>
                <w:sz w:val="14"/>
                <w:szCs w:val="14"/>
                <w:color w:val="0000EE"/>
              </w:rPr>
              <w:t>Option Exercises and Stock Vested Table</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59</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color w:val="0000EE"/>
              </w:rPr>
              <w:t>Non-Qualified Deferred Compensation</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59</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color w:val="0000EE"/>
              </w:rPr>
              <w:t>Potential Payments upon Termination or Change in Control</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59</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color w:val="0000EE"/>
              </w:rPr>
              <w:t>2014 Plan and 2019 Plan Benefits</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60</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Estimated Change in Control or Termination Payments and Benefits at the End of Fiscal 2026</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62</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7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CEO Pay Ratio Disclosure</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64</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Pay Versus Performance Disclosure</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65</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Equity Compensation Plan Information</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69</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Proposal 2 – Advisory Vote to Approve the Compensation of our Named Executive Officers</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70</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7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Proposal 3 – Approval of the Amended and Restated 2019 Omnibus Incentive Plan</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71</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7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Proposal 4 – Ratification of the Selection of Independent Registered Public Accountant for the Fiscal Year Ending</w:t>
            </w:r>
          </w:p>
        </w:tc>
        <w:tc>
          <w:tcPr>
            <w:tcW w:w="900" w:type="dxa"/>
            <w:vAlign w:val="bottom"/>
            <w:gridSpan w:val="6"/>
            <w:vMerge w:val="restart"/>
          </w:tcPr>
          <w:p>
            <w:pPr>
              <w:jc w:val="right"/>
              <w:ind w:right="120"/>
              <w:spacing w:after="0"/>
              <w:rPr>
                <w:sz w:val="20"/>
                <w:szCs w:val="20"/>
                <w:color w:val="auto"/>
              </w:rPr>
            </w:pPr>
            <w:r>
              <w:rPr>
                <w:rFonts w:ascii="Arial" w:cs="Arial" w:eastAsia="Arial" w:hAnsi="Arial"/>
                <w:sz w:val="14"/>
                <w:szCs w:val="14"/>
                <w:color w:val="0000EE"/>
              </w:rPr>
              <w:t>82</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7600" w:type="dxa"/>
            <w:vAlign w:val="bottom"/>
            <w:tcBorders>
              <w:top w:val="single" w:sz="8" w:color="0000EE"/>
            </w:tcBorders>
            <w:gridSpan w:val="22"/>
          </w:tcPr>
          <w:p>
            <w:pPr>
              <w:spacing w:after="0" w:line="142" w:lineRule="exact"/>
              <w:rPr>
                <w:sz w:val="20"/>
                <w:szCs w:val="20"/>
                <w:color w:val="auto"/>
              </w:rPr>
            </w:pPr>
            <w:r>
              <w:rPr>
                <w:rFonts w:ascii="Arial" w:cs="Arial" w:eastAsia="Arial" w:hAnsi="Arial"/>
                <w:sz w:val="14"/>
                <w:szCs w:val="14"/>
                <w:b w:val="1"/>
                <w:bCs w:val="1"/>
                <w:color w:val="0000EE"/>
              </w:rPr>
              <w:t>August 28, 2027</w:t>
            </w:r>
          </w:p>
        </w:tc>
        <w:tc>
          <w:tcPr>
            <w:tcW w:w="460" w:type="dxa"/>
            <w:vAlign w:val="bottom"/>
          </w:tcPr>
          <w:p>
            <w:pPr>
              <w:spacing w:after="0"/>
              <w:rPr>
                <w:sz w:val="12"/>
                <w:szCs w:val="12"/>
                <w:color w:val="auto"/>
              </w:rPr>
            </w:pPr>
          </w:p>
        </w:tc>
        <w:tc>
          <w:tcPr>
            <w:tcW w:w="90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40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Report of the Audit and Finance Committee</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83</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Independent Registered Public Accountant’s Fees and Services</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84</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color w:val="0000EE"/>
              </w:rPr>
              <w:t>Policy Regarding the Approval of Independent Registered Public Accountant Provision of Audit and Non-Audit Services</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84</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7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1000" w:type="dxa"/>
            <w:vAlign w:val="bottom"/>
            <w:tcBorders>
              <w:top w:val="single" w:sz="8" w:color="0000EE"/>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Proposal 5 – Approval of an Amendment to our Articles of Incorporation to Declassify the Board</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85</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7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Proposal 6 – Approval of an Amendment to our Bylaws to Declassify the Board</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88</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720" w:type="dxa"/>
            <w:vAlign w:val="bottom"/>
            <w:tcBorders>
              <w:top w:val="single" w:sz="8" w:color="0000EE"/>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Security Ownership of Certain Beneficial Owners and Management</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90</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Voting Information</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92</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40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Other Information</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97</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40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APPENDIX A – Amended and Restated 2019 Omnibus Incentive Plan</w:t>
            </w:r>
          </w:p>
        </w:tc>
        <w:tc>
          <w:tcPr>
            <w:tcW w:w="900" w:type="dxa"/>
            <w:vAlign w:val="bottom"/>
            <w:gridSpan w:val="6"/>
          </w:tcPr>
          <w:p>
            <w:pPr>
              <w:jc w:val="center"/>
              <w:ind w:left="288"/>
              <w:spacing w:after="0"/>
              <w:rPr>
                <w:sz w:val="20"/>
                <w:szCs w:val="20"/>
                <w:color w:val="auto"/>
              </w:rPr>
            </w:pPr>
            <w:r>
              <w:rPr>
                <w:rFonts w:ascii="Arial" w:cs="Arial" w:eastAsia="Arial" w:hAnsi="Arial"/>
                <w:sz w:val="14"/>
                <w:szCs w:val="14"/>
                <w:color w:val="0000EE"/>
              </w:rPr>
              <w:t>A-1</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APPENDIX B – Proposed Articles of Amendment</w:t>
            </w:r>
          </w:p>
        </w:tc>
        <w:tc>
          <w:tcPr>
            <w:tcW w:w="900" w:type="dxa"/>
            <w:vAlign w:val="bottom"/>
            <w:gridSpan w:val="6"/>
          </w:tcPr>
          <w:p>
            <w:pPr>
              <w:jc w:val="center"/>
              <w:ind w:left="288"/>
              <w:spacing w:after="0"/>
              <w:rPr>
                <w:sz w:val="20"/>
                <w:szCs w:val="20"/>
                <w:color w:val="auto"/>
              </w:rPr>
            </w:pPr>
            <w:r>
              <w:rPr>
                <w:rFonts w:ascii="Arial" w:cs="Arial" w:eastAsia="Arial" w:hAnsi="Arial"/>
                <w:sz w:val="14"/>
                <w:szCs w:val="14"/>
                <w:color w:val="0000EE"/>
              </w:rPr>
              <w:t>B-1</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APPENDIX C – Proposed Amendment to the Bylaws</w:t>
            </w:r>
          </w:p>
        </w:tc>
        <w:tc>
          <w:tcPr>
            <w:tcW w:w="900" w:type="dxa"/>
            <w:vAlign w:val="bottom"/>
            <w:gridSpan w:val="6"/>
          </w:tcPr>
          <w:p>
            <w:pPr>
              <w:jc w:val="center"/>
              <w:ind w:left="308"/>
              <w:spacing w:after="0"/>
              <w:rPr>
                <w:sz w:val="20"/>
                <w:szCs w:val="20"/>
                <w:color w:val="auto"/>
              </w:rPr>
            </w:pPr>
            <w:r>
              <w:rPr>
                <w:rFonts w:ascii="Arial" w:cs="Arial" w:eastAsia="Arial" w:hAnsi="Arial"/>
                <w:sz w:val="14"/>
                <w:szCs w:val="14"/>
                <w:color w:val="0000EE"/>
              </w:rPr>
              <w:t>C-1</w:t>
            </w:r>
          </w:p>
        </w:tc>
        <w:tc>
          <w:tcPr>
            <w:tcW w:w="0" w:type="dxa"/>
            <w:vAlign w:val="bottom"/>
          </w:tcPr>
          <w:p>
            <w:pPr>
              <w:spacing w:after="0"/>
              <w:rPr>
                <w:sz w:val="1"/>
                <w:szCs w:val="1"/>
                <w:color w:val="auto"/>
              </w:rPr>
            </w:pPr>
          </w:p>
        </w:tc>
      </w:tr>
      <w:tr>
        <w:trPr>
          <w:trHeight w:val="34"/>
        </w:trPr>
        <w:tc>
          <w:tcPr>
            <w:tcW w:w="160" w:type="dxa"/>
            <w:vAlign w:val="bottom"/>
            <w:tcBorders>
              <w:bottom w:val="single" w:sz="8" w:color="14202A"/>
            </w:tcBorders>
          </w:tcPr>
          <w:p>
            <w:pPr>
              <w:spacing w:after="0"/>
              <w:rPr>
                <w:sz w:val="2"/>
                <w:szCs w:val="2"/>
                <w:color w:val="auto"/>
              </w:rPr>
            </w:pPr>
          </w:p>
        </w:tc>
        <w:tc>
          <w:tcPr>
            <w:tcW w:w="160" w:type="dxa"/>
            <w:vAlign w:val="bottom"/>
            <w:tcBorders>
              <w:top w:val="single" w:sz="8" w:color="0000EE"/>
              <w:bottom w:val="single" w:sz="8" w:color="14202A"/>
            </w:tcBorders>
          </w:tcPr>
          <w:p>
            <w:pPr>
              <w:spacing w:after="0"/>
              <w:rPr>
                <w:sz w:val="2"/>
                <w:szCs w:val="2"/>
                <w:color w:val="auto"/>
              </w:rPr>
            </w:pPr>
          </w:p>
        </w:tc>
        <w:tc>
          <w:tcPr>
            <w:tcW w:w="1060" w:type="dxa"/>
            <w:vAlign w:val="bottom"/>
            <w:tcBorders>
              <w:top w:val="single" w:sz="8" w:color="0000EE"/>
              <w:bottom w:val="single" w:sz="8" w:color="14202A"/>
            </w:tcBorders>
          </w:tcPr>
          <w:p>
            <w:pPr>
              <w:spacing w:after="0"/>
              <w:rPr>
                <w:sz w:val="2"/>
                <w:szCs w:val="2"/>
                <w:color w:val="auto"/>
              </w:rPr>
            </w:pPr>
          </w:p>
        </w:tc>
        <w:tc>
          <w:tcPr>
            <w:tcW w:w="40" w:type="dxa"/>
            <w:vAlign w:val="bottom"/>
            <w:tcBorders>
              <w:top w:val="single" w:sz="8" w:color="0000EE"/>
              <w:bottom w:val="single" w:sz="8" w:color="14202A"/>
            </w:tcBorders>
          </w:tcPr>
          <w:p>
            <w:pPr>
              <w:spacing w:after="0"/>
              <w:rPr>
                <w:sz w:val="2"/>
                <w:szCs w:val="2"/>
                <w:color w:val="auto"/>
              </w:rPr>
            </w:pPr>
          </w:p>
        </w:tc>
        <w:tc>
          <w:tcPr>
            <w:tcW w:w="520" w:type="dxa"/>
            <w:vAlign w:val="bottom"/>
            <w:tcBorders>
              <w:top w:val="single" w:sz="8" w:color="0000EE"/>
              <w:bottom w:val="single" w:sz="8" w:color="14202A"/>
            </w:tcBorders>
          </w:tcPr>
          <w:p>
            <w:pPr>
              <w:spacing w:after="0"/>
              <w:rPr>
                <w:sz w:val="2"/>
                <w:szCs w:val="2"/>
                <w:color w:val="auto"/>
              </w:rPr>
            </w:pPr>
          </w:p>
        </w:tc>
        <w:tc>
          <w:tcPr>
            <w:tcW w:w="400" w:type="dxa"/>
            <w:vAlign w:val="bottom"/>
            <w:tcBorders>
              <w:top w:val="single" w:sz="8" w:color="0000EE"/>
              <w:bottom w:val="single" w:sz="8" w:color="14202A"/>
            </w:tcBorders>
          </w:tcPr>
          <w:p>
            <w:pPr>
              <w:spacing w:after="0"/>
              <w:rPr>
                <w:sz w:val="2"/>
                <w:szCs w:val="2"/>
                <w:color w:val="auto"/>
              </w:rPr>
            </w:pPr>
          </w:p>
        </w:tc>
        <w:tc>
          <w:tcPr>
            <w:tcW w:w="26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18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300" w:type="dxa"/>
            <w:vAlign w:val="bottom"/>
            <w:tcBorders>
              <w:top w:val="single" w:sz="8" w:color="0000EE"/>
              <w:bottom w:val="single" w:sz="8" w:color="14202A"/>
            </w:tcBorders>
          </w:tcPr>
          <w:p>
            <w:pPr>
              <w:spacing w:after="0"/>
              <w:rPr>
                <w:sz w:val="2"/>
                <w:szCs w:val="2"/>
                <w:color w:val="auto"/>
              </w:rPr>
            </w:pPr>
          </w:p>
        </w:tc>
        <w:tc>
          <w:tcPr>
            <w:tcW w:w="360" w:type="dxa"/>
            <w:vAlign w:val="bottom"/>
            <w:tcBorders>
              <w:top w:val="single" w:sz="8" w:color="0000EE"/>
              <w:bottom w:val="single" w:sz="8" w:color="14202A"/>
            </w:tcBorders>
          </w:tcPr>
          <w:p>
            <w:pPr>
              <w:spacing w:after="0"/>
              <w:rPr>
                <w:sz w:val="2"/>
                <w:szCs w:val="2"/>
                <w:color w:val="auto"/>
              </w:rPr>
            </w:pPr>
          </w:p>
        </w:tc>
        <w:tc>
          <w:tcPr>
            <w:tcW w:w="220" w:type="dxa"/>
            <w:vAlign w:val="bottom"/>
            <w:tcBorders>
              <w:top w:val="single" w:sz="8" w:color="0000EE"/>
              <w:bottom w:val="single" w:sz="8" w:color="14202A"/>
            </w:tcBorders>
          </w:tcPr>
          <w:p>
            <w:pPr>
              <w:spacing w:after="0"/>
              <w:rPr>
                <w:sz w:val="2"/>
                <w:szCs w:val="2"/>
                <w:color w:val="auto"/>
              </w:rPr>
            </w:pPr>
          </w:p>
        </w:tc>
        <w:tc>
          <w:tcPr>
            <w:tcW w:w="220" w:type="dxa"/>
            <w:vAlign w:val="bottom"/>
            <w:tcBorders>
              <w:bottom w:val="single" w:sz="8" w:color="14202A"/>
            </w:tcBorders>
          </w:tcPr>
          <w:p>
            <w:pPr>
              <w:spacing w:after="0"/>
              <w:rPr>
                <w:sz w:val="2"/>
                <w:szCs w:val="2"/>
                <w:color w:val="auto"/>
              </w:rPr>
            </w:pPr>
          </w:p>
        </w:tc>
        <w:tc>
          <w:tcPr>
            <w:tcW w:w="600" w:type="dxa"/>
            <w:vAlign w:val="bottom"/>
            <w:tcBorders>
              <w:bottom w:val="single" w:sz="8" w:color="14202A"/>
            </w:tcBorders>
          </w:tcPr>
          <w:p>
            <w:pPr>
              <w:spacing w:after="0"/>
              <w:rPr>
                <w:sz w:val="2"/>
                <w:szCs w:val="2"/>
                <w:color w:val="auto"/>
              </w:rPr>
            </w:pPr>
          </w:p>
        </w:tc>
        <w:tc>
          <w:tcPr>
            <w:tcW w:w="200" w:type="dxa"/>
            <w:vAlign w:val="bottom"/>
            <w:tcBorders>
              <w:bottom w:val="single" w:sz="8" w:color="14202A"/>
            </w:tcBorders>
          </w:tcPr>
          <w:p>
            <w:pPr>
              <w:spacing w:after="0"/>
              <w:rPr>
                <w:sz w:val="2"/>
                <w:szCs w:val="2"/>
                <w:color w:val="auto"/>
              </w:rPr>
            </w:pPr>
          </w:p>
        </w:tc>
        <w:tc>
          <w:tcPr>
            <w:tcW w:w="120" w:type="dxa"/>
            <w:vAlign w:val="bottom"/>
            <w:tcBorders>
              <w:bottom w:val="single" w:sz="8" w:color="14202A"/>
            </w:tcBorders>
          </w:tcPr>
          <w:p>
            <w:pPr>
              <w:spacing w:after="0"/>
              <w:rPr>
                <w:sz w:val="2"/>
                <w:szCs w:val="2"/>
                <w:color w:val="auto"/>
              </w:rPr>
            </w:pPr>
          </w:p>
        </w:tc>
        <w:tc>
          <w:tcPr>
            <w:tcW w:w="720" w:type="dxa"/>
            <w:vAlign w:val="bottom"/>
            <w:tcBorders>
              <w:bottom w:val="single" w:sz="8" w:color="14202A"/>
            </w:tcBorders>
          </w:tcPr>
          <w:p>
            <w:pPr>
              <w:spacing w:after="0"/>
              <w:rPr>
                <w:sz w:val="2"/>
                <w:szCs w:val="2"/>
                <w:color w:val="auto"/>
              </w:rPr>
            </w:pPr>
          </w:p>
        </w:tc>
        <w:tc>
          <w:tcPr>
            <w:tcW w:w="220" w:type="dxa"/>
            <w:vAlign w:val="bottom"/>
            <w:tcBorders>
              <w:bottom w:val="single" w:sz="8" w:color="14202A"/>
            </w:tcBorders>
          </w:tcPr>
          <w:p>
            <w:pPr>
              <w:spacing w:after="0"/>
              <w:rPr>
                <w:sz w:val="2"/>
                <w:szCs w:val="2"/>
                <w:color w:val="auto"/>
              </w:rPr>
            </w:pPr>
          </w:p>
        </w:tc>
        <w:tc>
          <w:tcPr>
            <w:tcW w:w="600" w:type="dxa"/>
            <w:vAlign w:val="bottom"/>
            <w:tcBorders>
              <w:bottom w:val="single" w:sz="8" w:color="14202A"/>
            </w:tcBorders>
          </w:tcPr>
          <w:p>
            <w:pPr>
              <w:spacing w:after="0"/>
              <w:rPr>
                <w:sz w:val="2"/>
                <w:szCs w:val="2"/>
                <w:color w:val="auto"/>
              </w:rPr>
            </w:pPr>
          </w:p>
        </w:tc>
        <w:tc>
          <w:tcPr>
            <w:tcW w:w="140" w:type="dxa"/>
            <w:vAlign w:val="bottom"/>
            <w:tcBorders>
              <w:bottom w:val="single" w:sz="8" w:color="14202A"/>
            </w:tcBorders>
          </w:tcPr>
          <w:p>
            <w:pPr>
              <w:spacing w:after="0"/>
              <w:rPr>
                <w:sz w:val="2"/>
                <w:szCs w:val="2"/>
                <w:color w:val="auto"/>
              </w:rPr>
            </w:pPr>
          </w:p>
        </w:tc>
        <w:tc>
          <w:tcPr>
            <w:tcW w:w="220" w:type="dxa"/>
            <w:vAlign w:val="bottom"/>
            <w:tcBorders>
              <w:bottom w:val="single" w:sz="8" w:color="14202A"/>
            </w:tcBorders>
          </w:tcPr>
          <w:p>
            <w:pPr>
              <w:spacing w:after="0"/>
              <w:rPr>
                <w:sz w:val="2"/>
                <w:szCs w:val="2"/>
                <w:color w:val="auto"/>
              </w:rPr>
            </w:pPr>
          </w:p>
        </w:tc>
        <w:tc>
          <w:tcPr>
            <w:tcW w:w="1000" w:type="dxa"/>
            <w:vAlign w:val="bottom"/>
            <w:tcBorders>
              <w:bottom w:val="single" w:sz="8" w:color="14202A"/>
            </w:tcBorders>
          </w:tcPr>
          <w:p>
            <w:pPr>
              <w:spacing w:after="0"/>
              <w:rPr>
                <w:sz w:val="2"/>
                <w:szCs w:val="2"/>
                <w:color w:val="auto"/>
              </w:rPr>
            </w:pPr>
          </w:p>
        </w:tc>
        <w:tc>
          <w:tcPr>
            <w:tcW w:w="180" w:type="dxa"/>
            <w:vAlign w:val="bottom"/>
            <w:tcBorders>
              <w:bottom w:val="single" w:sz="8" w:color="14202A"/>
            </w:tcBorders>
          </w:tcPr>
          <w:p>
            <w:pPr>
              <w:spacing w:after="0"/>
              <w:rPr>
                <w:sz w:val="2"/>
                <w:szCs w:val="2"/>
                <w:color w:val="auto"/>
              </w:rPr>
            </w:pPr>
          </w:p>
        </w:tc>
        <w:tc>
          <w:tcPr>
            <w:tcW w:w="460" w:type="dxa"/>
            <w:vAlign w:val="bottom"/>
            <w:tcBorders>
              <w:bottom w:val="single" w:sz="8" w:color="14202A"/>
            </w:tcBorders>
          </w:tcPr>
          <w:p>
            <w:pPr>
              <w:spacing w:after="0"/>
              <w:rPr>
                <w:sz w:val="2"/>
                <w:szCs w:val="2"/>
                <w:color w:val="auto"/>
              </w:rPr>
            </w:pPr>
          </w:p>
        </w:tc>
        <w:tc>
          <w:tcPr>
            <w:tcW w:w="520" w:type="dxa"/>
            <w:vAlign w:val="bottom"/>
            <w:tcBorders>
              <w:bottom w:val="single" w:sz="8" w:color="14202A"/>
            </w:tcBorders>
          </w:tcPr>
          <w:p>
            <w:pPr>
              <w:spacing w:after="0"/>
              <w:rPr>
                <w:sz w:val="2"/>
                <w:szCs w:val="2"/>
                <w:color w:val="auto"/>
              </w:rPr>
            </w:pPr>
          </w:p>
        </w:tc>
        <w:tc>
          <w:tcPr>
            <w:tcW w:w="100" w:type="dxa"/>
            <w:vAlign w:val="bottom"/>
            <w:tcBorders>
              <w:top w:val="single" w:sz="8" w:color="0000EE"/>
              <w:bottom w:val="single" w:sz="8" w:color="14202A"/>
            </w:tcBorders>
          </w:tcPr>
          <w:p>
            <w:pPr>
              <w:spacing w:after="0"/>
              <w:rPr>
                <w:sz w:val="2"/>
                <w:szCs w:val="2"/>
                <w:color w:val="auto"/>
              </w:rPr>
            </w:pPr>
          </w:p>
        </w:tc>
        <w:tc>
          <w:tcPr>
            <w:tcW w:w="12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20" w:type="dxa"/>
            <w:vAlign w:val="bottom"/>
            <w:tcBorders>
              <w:bottom w:val="single" w:sz="8" w:color="14202A"/>
            </w:tcBorders>
          </w:tcPr>
          <w:p>
            <w:pPr>
              <w:spacing w:after="0"/>
              <w:rPr>
                <w:sz w:val="2"/>
                <w:szCs w:val="2"/>
                <w:color w:val="auto"/>
              </w:rPr>
            </w:pPr>
          </w:p>
        </w:tc>
        <w:tc>
          <w:tcPr>
            <w:tcW w:w="120" w:type="dxa"/>
            <w:vAlign w:val="bottom"/>
            <w:tcBorders>
              <w:bottom w:val="single" w:sz="8" w:color="14202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Proxy Statement for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PROXY STATEMENT SUMMARY</w:t>
      </w:r>
    </w:p>
    <w:p>
      <w:pPr>
        <w:spacing w:after="0" w:line="180"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14202A"/>
        </w:rPr>
        <w:t>This proxy statement (this “Proxy Statement”) is furnished in connection with the solicitation of proxies by and on behalf of the Board of Directors (the “Board”) of Winnebago Industries, Inc., a Minnesota corporation (“Winnebago Industries,” “WGO,” “our,” “we,” or the “Company”), for use at the 2026 Annual Meeting of Shareholders (including any adjournment, postponement, recess or rescheduling thereof, the “Annual Meeting”), to be held virtually at www.virtualshareholdermeeting.com/WGO2026, on Tuesday, December 15, 2026, at 4:00 p.m. Central Standard Time. We expect to begin mailing a Notice of Internet Availability of Proxy Materials to shareholders entitled to vote at the Annual Meeting on or about November 3, 2026. Our Proxy Statement, proxy card and Annual Report, which includes the Company’s Annual Report on Form 10-K for the fiscal year ended August 29, 2026 (the “Annual Report on Form 10-K”), will also be available on the Internet at www.proxyvote.com.</w:t>
      </w:r>
    </w:p>
    <w:p>
      <w:pPr>
        <w:spacing w:after="0" w:line="142"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14202A"/>
        </w:rPr>
        <w:t>This summary highlights information contained elsewhere in this Proxy Statement. This summary does not contain all of the information that you should consider, and you should read the entire Proxy Statement carefully before voting. Page references are supplied to help you find further information in this Proxy Statement.</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Business and Strategic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Enterprise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258445</wp:posOffset>
            </wp:positionV>
            <wp:extent cx="5820410" cy="19977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20410"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14202A"/>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Fiscal 2026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395605</wp:posOffset>
            </wp:positionV>
            <wp:extent cx="5846445" cy="1817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644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14202A"/>
        </w:rPr>
        <w:t xml:space="preserve">  </w:t>
      </w:r>
    </w:p>
    <w:p>
      <w:pPr>
        <w:spacing w:after="0" w:line="55" w:lineRule="exact"/>
        <w:rPr>
          <w:sz w:val="20"/>
          <w:szCs w:val="20"/>
          <w:color w:val="auto"/>
        </w:rPr>
      </w:pPr>
    </w:p>
    <w:p>
      <w:pPr>
        <w:ind w:left="360" w:hanging="360"/>
        <w:spacing w:after="0"/>
        <w:tabs>
          <w:tab w:leader="none" w:pos="360" w:val="left"/>
        </w:tabs>
        <w:numPr>
          <w:ilvl w:val="0"/>
          <w:numId w:val="4"/>
        </w:numPr>
        <w:rPr>
          <w:rFonts w:ascii="Arial" w:cs="Arial" w:eastAsia="Arial" w:hAnsi="Arial"/>
          <w:sz w:val="13"/>
          <w:szCs w:val="13"/>
          <w:color w:val="14202A"/>
        </w:rPr>
      </w:pPr>
      <w:r>
        <w:rPr>
          <w:rFonts w:ascii="Arial" w:cs="Arial" w:eastAsia="Arial" w:hAnsi="Arial"/>
          <w:sz w:val="13"/>
          <w:szCs w:val="13"/>
          <w:color w:val="14202A"/>
        </w:rPr>
        <w:t>Source: Statistical Surveys Inc. - North America, trailing twelve months as of fiscal year end, measured in units.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 Nominees and Continuing Directors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232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 and Primary Occupation</w:t>
            </w:r>
          </w:p>
        </w:tc>
        <w:tc>
          <w:tcPr>
            <w:tcW w:w="62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Age</w:t>
            </w:r>
          </w:p>
        </w:tc>
        <w:tc>
          <w:tcPr>
            <w:tcW w:w="12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Director Since</w:t>
            </w:r>
          </w:p>
        </w:tc>
        <w:tc>
          <w:tcPr>
            <w:tcW w:w="110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Independent</w:t>
            </w:r>
          </w:p>
        </w:tc>
        <w:tc>
          <w:tcPr>
            <w:tcW w:w="10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Other Public</w:t>
            </w:r>
          </w:p>
        </w:tc>
        <w:tc>
          <w:tcPr>
            <w:tcW w:w="300" w:type="dxa"/>
            <w:vAlign w:val="bottom"/>
            <w:shd w:val="clear" w:color="auto" w:fill="14202A"/>
          </w:tcPr>
          <w:p>
            <w:pPr>
              <w:spacing w:after="0"/>
              <w:rPr>
                <w:sz w:val="19"/>
                <w:szCs w:val="19"/>
                <w:color w:val="auto"/>
              </w:rPr>
            </w:pPr>
          </w:p>
        </w:tc>
        <w:tc>
          <w:tcPr>
            <w:tcW w:w="2520" w:type="dxa"/>
            <w:vAlign w:val="bottom"/>
            <w:vMerge w:val="restart"/>
            <w:shd w:val="clear" w:color="auto" w:fill="14202A"/>
          </w:tcPr>
          <w:p>
            <w:pPr>
              <w:ind w:left="520"/>
              <w:spacing w:after="0"/>
              <w:rPr>
                <w:sz w:val="20"/>
                <w:szCs w:val="20"/>
                <w:color w:val="auto"/>
              </w:rPr>
            </w:pPr>
            <w:r>
              <w:rPr>
                <w:rFonts w:ascii="Arial" w:cs="Arial" w:eastAsia="Arial" w:hAnsi="Arial"/>
                <w:sz w:val="13"/>
                <w:szCs w:val="13"/>
                <w:b w:val="1"/>
                <w:bCs w:val="1"/>
                <w:color w:val="FFFFFF"/>
              </w:rPr>
              <w:t>Current Committees</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2320" w:type="dxa"/>
            <w:vAlign w:val="bottom"/>
            <w:vMerge w:val="continue"/>
            <w:shd w:val="clear" w:color="auto" w:fill="14202A"/>
          </w:tcPr>
          <w:p>
            <w:pPr>
              <w:spacing w:after="0"/>
              <w:rPr>
                <w:sz w:val="14"/>
                <w:szCs w:val="14"/>
                <w:color w:val="auto"/>
              </w:rPr>
            </w:pPr>
          </w:p>
        </w:tc>
        <w:tc>
          <w:tcPr>
            <w:tcW w:w="620" w:type="dxa"/>
            <w:vAlign w:val="bottom"/>
            <w:vMerge w:val="continue"/>
            <w:shd w:val="clear" w:color="auto" w:fill="14202A"/>
          </w:tcPr>
          <w:p>
            <w:pPr>
              <w:spacing w:after="0"/>
              <w:rPr>
                <w:sz w:val="14"/>
                <w:szCs w:val="14"/>
                <w:color w:val="auto"/>
              </w:rPr>
            </w:pPr>
          </w:p>
        </w:tc>
        <w:tc>
          <w:tcPr>
            <w:tcW w:w="1260" w:type="dxa"/>
            <w:vAlign w:val="bottom"/>
            <w:vMerge w:val="continue"/>
            <w:shd w:val="clear" w:color="auto" w:fill="14202A"/>
          </w:tcPr>
          <w:p>
            <w:pPr>
              <w:spacing w:after="0"/>
              <w:rPr>
                <w:sz w:val="14"/>
                <w:szCs w:val="14"/>
                <w:color w:val="auto"/>
              </w:rPr>
            </w:pPr>
          </w:p>
        </w:tc>
        <w:tc>
          <w:tcPr>
            <w:tcW w:w="1100" w:type="dxa"/>
            <w:vAlign w:val="bottom"/>
            <w:vMerge w:val="continue"/>
            <w:shd w:val="clear" w:color="auto" w:fill="14202A"/>
          </w:tcPr>
          <w:p>
            <w:pPr>
              <w:spacing w:after="0"/>
              <w:rPr>
                <w:sz w:val="14"/>
                <w:szCs w:val="14"/>
                <w:color w:val="auto"/>
              </w:rPr>
            </w:pPr>
          </w:p>
        </w:tc>
        <w:tc>
          <w:tcPr>
            <w:tcW w:w="10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Boards</w:t>
            </w:r>
          </w:p>
        </w:tc>
        <w:tc>
          <w:tcPr>
            <w:tcW w:w="300" w:type="dxa"/>
            <w:vAlign w:val="bottom"/>
            <w:shd w:val="clear" w:color="auto" w:fill="14202A"/>
          </w:tcPr>
          <w:p>
            <w:pPr>
              <w:spacing w:after="0"/>
              <w:rPr>
                <w:sz w:val="14"/>
                <w:szCs w:val="14"/>
                <w:color w:val="auto"/>
              </w:rPr>
            </w:pPr>
          </w:p>
        </w:tc>
        <w:tc>
          <w:tcPr>
            <w:tcW w:w="2520" w:type="dxa"/>
            <w:vAlign w:val="bottom"/>
            <w:vMerge w:val="continue"/>
            <w:shd w:val="clear" w:color="auto" w:fill="14202A"/>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2320" w:type="dxa"/>
            <w:vAlign w:val="bottom"/>
            <w:shd w:val="clear" w:color="auto" w:fill="14202A"/>
          </w:tcPr>
          <w:p>
            <w:pPr>
              <w:spacing w:after="0"/>
              <w:rPr>
                <w:sz w:val="5"/>
                <w:szCs w:val="5"/>
                <w:color w:val="auto"/>
              </w:rPr>
            </w:pPr>
          </w:p>
        </w:tc>
        <w:tc>
          <w:tcPr>
            <w:tcW w:w="620" w:type="dxa"/>
            <w:vAlign w:val="bottom"/>
            <w:shd w:val="clear" w:color="auto" w:fill="14202A"/>
          </w:tcPr>
          <w:p>
            <w:pPr>
              <w:spacing w:after="0"/>
              <w:rPr>
                <w:sz w:val="5"/>
                <w:szCs w:val="5"/>
                <w:color w:val="auto"/>
              </w:rPr>
            </w:pPr>
          </w:p>
        </w:tc>
        <w:tc>
          <w:tcPr>
            <w:tcW w:w="1260" w:type="dxa"/>
            <w:vAlign w:val="bottom"/>
            <w:shd w:val="clear" w:color="auto" w:fill="14202A"/>
          </w:tcPr>
          <w:p>
            <w:pPr>
              <w:spacing w:after="0"/>
              <w:rPr>
                <w:sz w:val="5"/>
                <w:szCs w:val="5"/>
                <w:color w:val="auto"/>
              </w:rPr>
            </w:pPr>
          </w:p>
        </w:tc>
        <w:tc>
          <w:tcPr>
            <w:tcW w:w="1100" w:type="dxa"/>
            <w:vAlign w:val="bottom"/>
            <w:shd w:val="clear" w:color="auto" w:fill="14202A"/>
          </w:tcPr>
          <w:p>
            <w:pPr>
              <w:spacing w:after="0"/>
              <w:rPr>
                <w:sz w:val="5"/>
                <w:szCs w:val="5"/>
                <w:color w:val="auto"/>
              </w:rPr>
            </w:pPr>
          </w:p>
        </w:tc>
        <w:tc>
          <w:tcPr>
            <w:tcW w:w="1060" w:type="dxa"/>
            <w:vAlign w:val="bottom"/>
            <w:shd w:val="clear" w:color="auto" w:fill="14202A"/>
          </w:tcPr>
          <w:p>
            <w:pPr>
              <w:spacing w:after="0"/>
              <w:rPr>
                <w:sz w:val="5"/>
                <w:szCs w:val="5"/>
                <w:color w:val="auto"/>
              </w:rPr>
            </w:pPr>
          </w:p>
        </w:tc>
        <w:tc>
          <w:tcPr>
            <w:tcW w:w="300" w:type="dxa"/>
            <w:vAlign w:val="bottom"/>
            <w:shd w:val="clear" w:color="auto" w:fill="14202A"/>
          </w:tcPr>
          <w:p>
            <w:pPr>
              <w:spacing w:after="0"/>
              <w:rPr>
                <w:sz w:val="5"/>
                <w:szCs w:val="5"/>
                <w:color w:val="auto"/>
              </w:rPr>
            </w:pPr>
          </w:p>
        </w:tc>
        <w:tc>
          <w:tcPr>
            <w:tcW w:w="252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Sara E. Armbruster</w:t>
            </w:r>
          </w:p>
        </w:tc>
        <w:tc>
          <w:tcPr>
            <w:tcW w:w="620" w:type="dxa"/>
            <w:vAlign w:val="bottom"/>
          </w:tcPr>
          <w:p>
            <w:pPr>
              <w:jc w:val="center"/>
              <w:spacing w:after="0"/>
              <w:rPr>
                <w:sz w:val="20"/>
                <w:szCs w:val="20"/>
                <w:color w:val="auto"/>
              </w:rPr>
            </w:pPr>
            <w:r>
              <w:rPr>
                <w:rFonts w:ascii="Arial" w:cs="Arial" w:eastAsia="Arial" w:hAnsi="Arial"/>
                <w:sz w:val="14"/>
                <w:szCs w:val="14"/>
                <w:color w:val="14202A"/>
              </w:rPr>
              <w:t>55</w:t>
            </w:r>
          </w:p>
        </w:tc>
        <w:tc>
          <w:tcPr>
            <w:tcW w:w="1260" w:type="dxa"/>
            <w:vAlign w:val="bottom"/>
          </w:tcPr>
          <w:p>
            <w:pPr>
              <w:jc w:val="center"/>
              <w:spacing w:after="0"/>
              <w:rPr>
                <w:sz w:val="20"/>
                <w:szCs w:val="20"/>
                <w:color w:val="auto"/>
              </w:rPr>
            </w:pPr>
            <w:r>
              <w:rPr>
                <w:rFonts w:ascii="Arial" w:cs="Arial" w:eastAsia="Arial" w:hAnsi="Arial"/>
                <w:sz w:val="14"/>
                <w:szCs w:val="14"/>
                <w:color w:val="14202A"/>
              </w:rPr>
              <w:t>2019</w:t>
            </w:r>
          </w:p>
        </w:tc>
        <w:tc>
          <w:tcPr>
            <w:tcW w:w="110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Human Resources*</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Former President and</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Chief Executive Officer of</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Nominating and Governance</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Steelcase, Inc.</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0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Christopher J. Braun</w:t>
            </w:r>
          </w:p>
        </w:tc>
        <w:tc>
          <w:tcPr>
            <w:tcW w:w="620" w:type="dxa"/>
            <w:vAlign w:val="bottom"/>
          </w:tcPr>
          <w:p>
            <w:pPr>
              <w:jc w:val="center"/>
              <w:spacing w:after="0"/>
              <w:rPr>
                <w:sz w:val="20"/>
                <w:szCs w:val="20"/>
                <w:color w:val="auto"/>
              </w:rPr>
            </w:pPr>
            <w:r>
              <w:rPr>
                <w:rFonts w:ascii="Arial" w:cs="Arial" w:eastAsia="Arial" w:hAnsi="Arial"/>
                <w:sz w:val="14"/>
                <w:szCs w:val="14"/>
                <w:color w:val="14202A"/>
              </w:rPr>
              <w:t>66</w:t>
            </w:r>
          </w:p>
        </w:tc>
        <w:tc>
          <w:tcPr>
            <w:tcW w:w="1260" w:type="dxa"/>
            <w:vAlign w:val="bottom"/>
          </w:tcPr>
          <w:p>
            <w:pPr>
              <w:jc w:val="center"/>
              <w:spacing w:after="0"/>
              <w:rPr>
                <w:sz w:val="20"/>
                <w:szCs w:val="20"/>
                <w:color w:val="auto"/>
              </w:rPr>
            </w:pPr>
            <w:r>
              <w:rPr>
                <w:rFonts w:ascii="Arial" w:cs="Arial" w:eastAsia="Arial" w:hAnsi="Arial"/>
                <w:sz w:val="14"/>
                <w:szCs w:val="14"/>
                <w:color w:val="14202A"/>
              </w:rPr>
              <w:t>2015</w:t>
            </w:r>
          </w:p>
        </w:tc>
        <w:tc>
          <w:tcPr>
            <w:tcW w:w="110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Audit and Finance</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Former Chief Executive Officer</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of Teton Buildings, LLC</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Nominating and Governance</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0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Kevin E. Bryant</w:t>
            </w:r>
          </w:p>
        </w:tc>
        <w:tc>
          <w:tcPr>
            <w:tcW w:w="620" w:type="dxa"/>
            <w:vAlign w:val="bottom"/>
          </w:tcPr>
          <w:p>
            <w:pPr>
              <w:jc w:val="center"/>
              <w:spacing w:after="0"/>
              <w:rPr>
                <w:sz w:val="20"/>
                <w:szCs w:val="20"/>
                <w:color w:val="auto"/>
              </w:rPr>
            </w:pPr>
            <w:r>
              <w:rPr>
                <w:rFonts w:ascii="Arial" w:cs="Arial" w:eastAsia="Arial" w:hAnsi="Arial"/>
                <w:sz w:val="14"/>
                <w:szCs w:val="14"/>
                <w:color w:val="14202A"/>
              </w:rPr>
              <w:t>51</w:t>
            </w:r>
          </w:p>
        </w:tc>
        <w:tc>
          <w:tcPr>
            <w:tcW w:w="1260" w:type="dxa"/>
            <w:vAlign w:val="bottom"/>
          </w:tcPr>
          <w:p>
            <w:pPr>
              <w:jc w:val="center"/>
              <w:spacing w:after="0"/>
              <w:rPr>
                <w:sz w:val="20"/>
                <w:szCs w:val="20"/>
                <w:color w:val="auto"/>
              </w:rPr>
            </w:pPr>
            <w:r>
              <w:rPr>
                <w:rFonts w:ascii="Arial" w:cs="Arial" w:eastAsia="Arial" w:hAnsi="Arial"/>
                <w:sz w:val="14"/>
                <w:szCs w:val="14"/>
                <w:color w:val="14202A"/>
              </w:rPr>
              <w:t>2021</w:t>
            </w:r>
          </w:p>
        </w:tc>
        <w:tc>
          <w:tcPr>
            <w:tcW w:w="110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1</w:t>
            </w: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Audit and Finance*</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Former Executive Vice</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President, Stakeholder Affairs</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Technology and Innovation</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and Chief Strategy Officer of</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Southwest Power Pool</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0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Michael J. Happe</w:t>
            </w:r>
          </w:p>
        </w:tc>
        <w:tc>
          <w:tcPr>
            <w:tcW w:w="620" w:type="dxa"/>
            <w:vAlign w:val="bottom"/>
          </w:tcPr>
          <w:p>
            <w:pPr>
              <w:jc w:val="center"/>
              <w:spacing w:after="0"/>
              <w:rPr>
                <w:sz w:val="20"/>
                <w:szCs w:val="20"/>
                <w:color w:val="auto"/>
              </w:rPr>
            </w:pPr>
            <w:r>
              <w:rPr>
                <w:rFonts w:ascii="Arial" w:cs="Arial" w:eastAsia="Arial" w:hAnsi="Arial"/>
                <w:sz w:val="14"/>
                <w:szCs w:val="14"/>
                <w:color w:val="14202A"/>
              </w:rPr>
              <w:t>55</w:t>
            </w:r>
          </w:p>
        </w:tc>
        <w:tc>
          <w:tcPr>
            <w:tcW w:w="1260" w:type="dxa"/>
            <w:vAlign w:val="bottom"/>
          </w:tcPr>
          <w:p>
            <w:pPr>
              <w:jc w:val="center"/>
              <w:spacing w:after="0"/>
              <w:rPr>
                <w:sz w:val="20"/>
                <w:szCs w:val="20"/>
                <w:color w:val="auto"/>
              </w:rPr>
            </w:pPr>
            <w:r>
              <w:rPr>
                <w:rFonts w:ascii="Arial" w:cs="Arial" w:eastAsia="Arial" w:hAnsi="Arial"/>
                <w:sz w:val="14"/>
                <w:szCs w:val="14"/>
                <w:color w:val="14202A"/>
              </w:rPr>
              <w:t>2016</w:t>
            </w:r>
          </w:p>
        </w:tc>
        <w:tc>
          <w:tcPr>
            <w:tcW w:w="1100" w:type="dxa"/>
            <w:vAlign w:val="bottom"/>
          </w:tcPr>
          <w:p>
            <w:pPr>
              <w:jc w:val="center"/>
              <w:spacing w:after="0"/>
              <w:rPr>
                <w:sz w:val="20"/>
                <w:szCs w:val="20"/>
                <w:color w:val="auto"/>
              </w:rPr>
            </w:pPr>
            <w:r>
              <w:rPr>
                <w:rFonts w:ascii="Arial" w:cs="Arial" w:eastAsia="Arial" w:hAnsi="Arial"/>
                <w:sz w:val="14"/>
                <w:szCs w:val="14"/>
                <w:color w:val="14202A"/>
              </w:rPr>
              <w:t>No</w:t>
            </w:r>
          </w:p>
        </w:tc>
        <w:tc>
          <w:tcPr>
            <w:tcW w:w="1060" w:type="dxa"/>
            <w:vAlign w:val="bottom"/>
          </w:tcPr>
          <w:p>
            <w:pPr>
              <w:jc w:val="center"/>
              <w:spacing w:after="0"/>
              <w:rPr>
                <w:sz w:val="20"/>
                <w:szCs w:val="20"/>
                <w:color w:val="auto"/>
              </w:rPr>
            </w:pPr>
            <w:r>
              <w:rPr>
                <w:rFonts w:ascii="Arial" w:cs="Arial" w:eastAsia="Arial" w:hAnsi="Arial"/>
                <w:sz w:val="14"/>
                <w:szCs w:val="14"/>
                <w:color w:val="14202A"/>
              </w:rPr>
              <w:t>1</w:t>
            </w:r>
          </w:p>
        </w:tc>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President and Chief Executive</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Officer of Winnebago Industries</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0" w:type="dxa"/>
            <w:vAlign w:val="bottom"/>
            <w:tcBorders>
              <w:bottom w:val="single" w:sz="8" w:color="14202A"/>
            </w:tcBorders>
          </w:tcPr>
          <w:p>
            <w:pPr>
              <w:spacing w:after="0"/>
              <w:rPr>
                <w:sz w:val="5"/>
                <w:szCs w:val="5"/>
                <w:color w:val="auto"/>
              </w:rPr>
            </w:pPr>
          </w:p>
        </w:tc>
        <w:tc>
          <w:tcPr>
            <w:tcW w:w="2320" w:type="dxa"/>
            <w:vAlign w:val="bottom"/>
            <w:tcBorders>
              <w:bottom w:val="single" w:sz="8" w:color="14202A"/>
            </w:tcBorders>
          </w:tcPr>
          <w:p>
            <w:pPr>
              <w:spacing w:after="0"/>
              <w:rPr>
                <w:sz w:val="5"/>
                <w:szCs w:val="5"/>
                <w:color w:val="auto"/>
              </w:rPr>
            </w:pPr>
          </w:p>
        </w:tc>
        <w:tc>
          <w:tcPr>
            <w:tcW w:w="620" w:type="dxa"/>
            <w:vAlign w:val="bottom"/>
            <w:tcBorders>
              <w:bottom w:val="single" w:sz="8" w:color="14202A"/>
            </w:tcBorders>
          </w:tcPr>
          <w:p>
            <w:pPr>
              <w:spacing w:after="0"/>
              <w:rPr>
                <w:sz w:val="5"/>
                <w:szCs w:val="5"/>
                <w:color w:val="auto"/>
              </w:rPr>
            </w:pPr>
          </w:p>
        </w:tc>
        <w:tc>
          <w:tcPr>
            <w:tcW w:w="1260" w:type="dxa"/>
            <w:vAlign w:val="bottom"/>
            <w:tcBorders>
              <w:bottom w:val="single" w:sz="8" w:color="14202A"/>
            </w:tcBorders>
          </w:tcPr>
          <w:p>
            <w:pPr>
              <w:spacing w:after="0"/>
              <w:rPr>
                <w:sz w:val="5"/>
                <w:szCs w:val="5"/>
                <w:color w:val="auto"/>
              </w:rPr>
            </w:pPr>
          </w:p>
        </w:tc>
        <w:tc>
          <w:tcPr>
            <w:tcW w:w="1100" w:type="dxa"/>
            <w:vAlign w:val="bottom"/>
            <w:tcBorders>
              <w:bottom w:val="single" w:sz="8" w:color="14202A"/>
            </w:tcBorders>
          </w:tcPr>
          <w:p>
            <w:pPr>
              <w:spacing w:after="0"/>
              <w:rPr>
                <w:sz w:val="5"/>
                <w:szCs w:val="5"/>
                <w:color w:val="auto"/>
              </w:rPr>
            </w:pPr>
          </w:p>
        </w:tc>
        <w:tc>
          <w:tcPr>
            <w:tcW w:w="106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25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Jay L. Johnson</w:t>
            </w:r>
          </w:p>
        </w:tc>
        <w:tc>
          <w:tcPr>
            <w:tcW w:w="620" w:type="dxa"/>
            <w:vAlign w:val="bottom"/>
          </w:tcPr>
          <w:p>
            <w:pPr>
              <w:jc w:val="center"/>
              <w:spacing w:after="0"/>
              <w:rPr>
                <w:sz w:val="20"/>
                <w:szCs w:val="20"/>
                <w:color w:val="auto"/>
              </w:rPr>
            </w:pPr>
            <w:r>
              <w:rPr>
                <w:rFonts w:ascii="Arial" w:cs="Arial" w:eastAsia="Arial" w:hAnsi="Arial"/>
                <w:sz w:val="14"/>
                <w:szCs w:val="14"/>
                <w:color w:val="14202A"/>
              </w:rPr>
              <w:t>50</w:t>
            </w:r>
          </w:p>
        </w:tc>
        <w:tc>
          <w:tcPr>
            <w:tcW w:w="1260" w:type="dxa"/>
            <w:vAlign w:val="bottom"/>
          </w:tcPr>
          <w:p>
            <w:pPr>
              <w:jc w:val="center"/>
              <w:spacing w:after="0"/>
              <w:rPr>
                <w:sz w:val="20"/>
                <w:szCs w:val="20"/>
                <w:color w:val="auto"/>
              </w:rPr>
            </w:pPr>
            <w:r>
              <w:rPr>
                <w:rFonts w:ascii="Arial" w:cs="Arial" w:eastAsia="Arial" w:hAnsi="Arial"/>
                <w:sz w:val="14"/>
                <w:szCs w:val="14"/>
                <w:color w:val="14202A"/>
              </w:rPr>
              <w:t>N/A​</w:t>
            </w:r>
          </w:p>
        </w:tc>
        <w:tc>
          <w:tcPr>
            <w:tcW w:w="110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1</w:t>
            </w:r>
          </w:p>
        </w:tc>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Executive Vice President, Chief</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Financial Officer and Treasurer</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of Lamar Advertising Company</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0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Staci L. Kroon</w:t>
            </w:r>
          </w:p>
        </w:tc>
        <w:tc>
          <w:tcPr>
            <w:tcW w:w="620" w:type="dxa"/>
            <w:vAlign w:val="bottom"/>
          </w:tcPr>
          <w:p>
            <w:pPr>
              <w:jc w:val="center"/>
              <w:spacing w:after="0"/>
              <w:rPr>
                <w:sz w:val="20"/>
                <w:szCs w:val="20"/>
                <w:color w:val="auto"/>
              </w:rPr>
            </w:pPr>
            <w:r>
              <w:rPr>
                <w:rFonts w:ascii="Arial" w:cs="Arial" w:eastAsia="Arial" w:hAnsi="Arial"/>
                <w:sz w:val="14"/>
                <w:szCs w:val="14"/>
                <w:color w:val="14202A"/>
              </w:rPr>
              <w:t>53</w:t>
            </w:r>
          </w:p>
        </w:tc>
        <w:tc>
          <w:tcPr>
            <w:tcW w:w="1260" w:type="dxa"/>
            <w:vAlign w:val="bottom"/>
          </w:tcPr>
          <w:p>
            <w:pPr>
              <w:jc w:val="center"/>
              <w:spacing w:after="0"/>
              <w:rPr>
                <w:sz w:val="20"/>
                <w:szCs w:val="20"/>
                <w:color w:val="auto"/>
              </w:rPr>
            </w:pPr>
            <w:r>
              <w:rPr>
                <w:rFonts w:ascii="Arial" w:cs="Arial" w:eastAsia="Arial" w:hAnsi="Arial"/>
                <w:sz w:val="14"/>
                <w:szCs w:val="14"/>
                <w:color w:val="14202A"/>
              </w:rPr>
              <w:t>2023</w:t>
            </w:r>
          </w:p>
        </w:tc>
        <w:tc>
          <w:tcPr>
            <w:tcW w:w="110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Human Resources</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President and Chief Executive</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Officer of TouchPoint, Inc.</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Technology and Innovation*</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0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David W. Miles</w:t>
            </w:r>
          </w:p>
        </w:tc>
        <w:tc>
          <w:tcPr>
            <w:tcW w:w="620" w:type="dxa"/>
            <w:vAlign w:val="bottom"/>
          </w:tcPr>
          <w:p>
            <w:pPr>
              <w:jc w:val="center"/>
              <w:spacing w:after="0"/>
              <w:rPr>
                <w:sz w:val="20"/>
                <w:szCs w:val="20"/>
                <w:color w:val="auto"/>
              </w:rPr>
            </w:pPr>
            <w:r>
              <w:rPr>
                <w:rFonts w:ascii="Arial" w:cs="Arial" w:eastAsia="Arial" w:hAnsi="Arial"/>
                <w:sz w:val="14"/>
                <w:szCs w:val="14"/>
                <w:color w:val="14202A"/>
              </w:rPr>
              <w:t>69</w:t>
            </w:r>
          </w:p>
        </w:tc>
        <w:tc>
          <w:tcPr>
            <w:tcW w:w="1260" w:type="dxa"/>
            <w:vAlign w:val="bottom"/>
          </w:tcPr>
          <w:p>
            <w:pPr>
              <w:jc w:val="center"/>
              <w:spacing w:after="0"/>
              <w:rPr>
                <w:sz w:val="20"/>
                <w:szCs w:val="20"/>
                <w:color w:val="auto"/>
              </w:rPr>
            </w:pPr>
            <w:r>
              <w:rPr>
                <w:rFonts w:ascii="Arial" w:cs="Arial" w:eastAsia="Arial" w:hAnsi="Arial"/>
                <w:sz w:val="14"/>
                <w:szCs w:val="14"/>
                <w:color w:val="14202A"/>
              </w:rPr>
              <w:t>2015</w:t>
            </w:r>
          </w:p>
        </w:tc>
        <w:tc>
          <w:tcPr>
            <w:tcW w:w="110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Audit and Finance</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Co-Founder and Managing</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Principal of Manchester Story</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Nominating and Governance</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Group</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0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John M. Murabito (Chair)</w:t>
            </w:r>
          </w:p>
        </w:tc>
        <w:tc>
          <w:tcPr>
            <w:tcW w:w="620" w:type="dxa"/>
            <w:vAlign w:val="bottom"/>
          </w:tcPr>
          <w:p>
            <w:pPr>
              <w:jc w:val="center"/>
              <w:spacing w:after="0"/>
              <w:rPr>
                <w:sz w:val="20"/>
                <w:szCs w:val="20"/>
                <w:color w:val="auto"/>
              </w:rPr>
            </w:pPr>
            <w:r>
              <w:rPr>
                <w:rFonts w:ascii="Arial" w:cs="Arial" w:eastAsia="Arial" w:hAnsi="Arial"/>
                <w:sz w:val="14"/>
                <w:szCs w:val="14"/>
                <w:color w:val="14202A"/>
              </w:rPr>
              <w:t>67</w:t>
            </w:r>
          </w:p>
        </w:tc>
        <w:tc>
          <w:tcPr>
            <w:tcW w:w="1260" w:type="dxa"/>
            <w:vAlign w:val="bottom"/>
          </w:tcPr>
          <w:p>
            <w:pPr>
              <w:jc w:val="center"/>
              <w:spacing w:after="0"/>
              <w:rPr>
                <w:sz w:val="20"/>
                <w:szCs w:val="20"/>
                <w:color w:val="auto"/>
              </w:rPr>
            </w:pPr>
            <w:r>
              <w:rPr>
                <w:rFonts w:ascii="Arial" w:cs="Arial" w:eastAsia="Arial" w:hAnsi="Arial"/>
                <w:sz w:val="14"/>
                <w:szCs w:val="14"/>
                <w:color w:val="14202A"/>
              </w:rPr>
              <w:t>2017</w:t>
            </w:r>
          </w:p>
        </w:tc>
        <w:tc>
          <w:tcPr>
            <w:tcW w:w="110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Human Resources</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Former Executive Vice President</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and Chief Administrative Officer</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Nominating and Governance*</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of Cigna Corporation</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0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Michael E. Pack</w:t>
            </w:r>
          </w:p>
        </w:tc>
        <w:tc>
          <w:tcPr>
            <w:tcW w:w="620" w:type="dxa"/>
            <w:vAlign w:val="bottom"/>
          </w:tcPr>
          <w:p>
            <w:pPr>
              <w:jc w:val="center"/>
              <w:spacing w:after="0"/>
              <w:rPr>
                <w:sz w:val="20"/>
                <w:szCs w:val="20"/>
                <w:color w:val="auto"/>
              </w:rPr>
            </w:pPr>
            <w:r>
              <w:rPr>
                <w:rFonts w:ascii="Arial" w:cs="Arial" w:eastAsia="Arial" w:hAnsi="Arial"/>
                <w:sz w:val="14"/>
                <w:szCs w:val="14"/>
                <w:color w:val="14202A"/>
              </w:rPr>
              <w:t>52</w:t>
            </w:r>
          </w:p>
        </w:tc>
        <w:tc>
          <w:tcPr>
            <w:tcW w:w="1260" w:type="dxa"/>
            <w:vAlign w:val="bottom"/>
          </w:tcPr>
          <w:p>
            <w:pPr>
              <w:jc w:val="center"/>
              <w:spacing w:after="0"/>
              <w:rPr>
                <w:sz w:val="20"/>
                <w:szCs w:val="20"/>
                <w:color w:val="auto"/>
              </w:rPr>
            </w:pPr>
            <w:r>
              <w:rPr>
                <w:rFonts w:ascii="Arial" w:cs="Arial" w:eastAsia="Arial" w:hAnsi="Arial"/>
                <w:sz w:val="14"/>
                <w:szCs w:val="14"/>
                <w:color w:val="14202A"/>
              </w:rPr>
              <w:t>2025</w:t>
            </w:r>
          </w:p>
        </w:tc>
        <w:tc>
          <w:tcPr>
            <w:tcW w:w="110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Audit and Finance</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Executive Vice President and</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President, Vocational of</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Technology and Innovation</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Oshkosh Corporation</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0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Emily R. Silver</w:t>
            </w:r>
          </w:p>
        </w:tc>
        <w:tc>
          <w:tcPr>
            <w:tcW w:w="620" w:type="dxa"/>
            <w:vAlign w:val="bottom"/>
          </w:tcPr>
          <w:p>
            <w:pPr>
              <w:jc w:val="center"/>
              <w:spacing w:after="0"/>
              <w:rPr>
                <w:sz w:val="20"/>
                <w:szCs w:val="20"/>
                <w:color w:val="auto"/>
              </w:rPr>
            </w:pPr>
            <w:r>
              <w:rPr>
                <w:rFonts w:ascii="Arial" w:cs="Arial" w:eastAsia="Arial" w:hAnsi="Arial"/>
                <w:sz w:val="14"/>
                <w:szCs w:val="14"/>
                <w:color w:val="14202A"/>
              </w:rPr>
              <w:t>47</w:t>
            </w:r>
          </w:p>
        </w:tc>
        <w:tc>
          <w:tcPr>
            <w:tcW w:w="1260" w:type="dxa"/>
            <w:vAlign w:val="bottom"/>
          </w:tcPr>
          <w:p>
            <w:pPr>
              <w:jc w:val="center"/>
              <w:spacing w:after="0"/>
              <w:rPr>
                <w:sz w:val="20"/>
                <w:szCs w:val="20"/>
                <w:color w:val="auto"/>
              </w:rPr>
            </w:pPr>
            <w:r>
              <w:rPr>
                <w:rFonts w:ascii="Arial" w:cs="Arial" w:eastAsia="Arial" w:hAnsi="Arial"/>
                <w:sz w:val="14"/>
                <w:szCs w:val="14"/>
                <w:color w:val="14202A"/>
              </w:rPr>
              <w:t>2026</w:t>
            </w:r>
          </w:p>
        </w:tc>
        <w:tc>
          <w:tcPr>
            <w:tcW w:w="110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Human Resources</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Senior Vice President, Chief</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Marketing, eCommerce and</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Technology and Innovation</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Athlete Experience Officer of</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DICK’S Sporting Goods</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2320" w:type="dxa"/>
            <w:vAlign w:val="bottom"/>
            <w:tcBorders>
              <w:bottom w:val="single" w:sz="8" w:color="14202A"/>
            </w:tcBorders>
          </w:tcPr>
          <w:p>
            <w:pPr>
              <w:spacing w:after="0" w:line="20" w:lineRule="exact"/>
              <w:rPr>
                <w:sz w:val="1"/>
                <w:szCs w:val="1"/>
                <w:color w:val="auto"/>
              </w:rPr>
            </w:pPr>
          </w:p>
        </w:tc>
        <w:tc>
          <w:tcPr>
            <w:tcW w:w="620" w:type="dxa"/>
            <w:vAlign w:val="bottom"/>
            <w:tcBorders>
              <w:bottom w:val="single" w:sz="8" w:color="14202A"/>
            </w:tcBorders>
          </w:tcPr>
          <w:p>
            <w:pPr>
              <w:spacing w:after="0" w:line="20" w:lineRule="exact"/>
              <w:rPr>
                <w:sz w:val="1"/>
                <w:szCs w:val="1"/>
                <w:color w:val="auto"/>
              </w:rPr>
            </w:pPr>
          </w:p>
        </w:tc>
        <w:tc>
          <w:tcPr>
            <w:tcW w:w="1260" w:type="dxa"/>
            <w:vAlign w:val="bottom"/>
            <w:tcBorders>
              <w:bottom w:val="single" w:sz="8" w:color="14202A"/>
            </w:tcBorders>
          </w:tcPr>
          <w:p>
            <w:pPr>
              <w:spacing w:after="0" w:line="20" w:lineRule="exact"/>
              <w:rPr>
                <w:sz w:val="1"/>
                <w:szCs w:val="1"/>
                <w:color w:val="auto"/>
              </w:rPr>
            </w:pPr>
          </w:p>
        </w:tc>
        <w:tc>
          <w:tcPr>
            <w:tcW w:w="1100" w:type="dxa"/>
            <w:vAlign w:val="bottom"/>
            <w:tcBorders>
              <w:bottom w:val="single" w:sz="8" w:color="14202A"/>
            </w:tcBorders>
          </w:tcPr>
          <w:p>
            <w:pPr>
              <w:spacing w:after="0" w:line="20" w:lineRule="exact"/>
              <w:rPr>
                <w:sz w:val="1"/>
                <w:szCs w:val="1"/>
                <w:color w:val="auto"/>
              </w:rPr>
            </w:pPr>
          </w:p>
        </w:tc>
        <w:tc>
          <w:tcPr>
            <w:tcW w:w="1060" w:type="dxa"/>
            <w:vAlign w:val="bottom"/>
            <w:tcBorders>
              <w:bottom w:val="single" w:sz="8" w:color="14202A"/>
            </w:tcBorders>
          </w:tcPr>
          <w:p>
            <w:pPr>
              <w:spacing w:after="0" w:line="20" w:lineRule="exact"/>
              <w:rPr>
                <w:sz w:val="1"/>
                <w:szCs w:val="1"/>
                <w:color w:val="auto"/>
              </w:rPr>
            </w:pPr>
          </w:p>
        </w:tc>
        <w:tc>
          <w:tcPr>
            <w:tcW w:w="300" w:type="dxa"/>
            <w:vAlign w:val="bottom"/>
            <w:tcBorders>
              <w:bottom w:val="single" w:sz="8" w:color="14202A"/>
            </w:tcBorders>
          </w:tcPr>
          <w:p>
            <w:pPr>
              <w:spacing w:after="0" w:line="20" w:lineRule="exact"/>
              <w:rPr>
                <w:sz w:val="1"/>
                <w:szCs w:val="1"/>
                <w:color w:val="auto"/>
              </w:rPr>
            </w:pPr>
          </w:p>
        </w:tc>
        <w:tc>
          <w:tcPr>
            <w:tcW w:w="252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60"/>
        <w:spacing w:after="0"/>
        <w:tabs>
          <w:tab w:leader="none" w:pos="360" w:val="left"/>
        </w:tabs>
        <w:numPr>
          <w:ilvl w:val="0"/>
          <w:numId w:val="5"/>
        </w:numPr>
        <w:rPr>
          <w:rFonts w:ascii="Arial" w:cs="Arial" w:eastAsia="Arial" w:hAnsi="Arial"/>
          <w:sz w:val="13"/>
          <w:szCs w:val="13"/>
          <w:color w:val="14202A"/>
        </w:rPr>
      </w:pPr>
      <w:r>
        <w:rPr>
          <w:rFonts w:ascii="Arial" w:cs="Arial" w:eastAsia="Arial" w:hAnsi="Arial"/>
          <w:sz w:val="13"/>
          <w:szCs w:val="13"/>
          <w:color w:val="14202A"/>
        </w:rPr>
        <w:t>Committee Chair</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30936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09360" cy="6858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sz w:val="1"/>
          <w:szCs w:val="1"/>
          <w:color w:val="auto"/>
        </w:rPr>
        <w:drawing>
          <wp:inline distT="0" distB="0" distL="0" distR="0">
            <wp:extent cx="68580" cy="26543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65430"/>
                    </a:xfrm>
                    <a:prstGeom prst="rect">
                      <a:avLst/>
                    </a:prstGeom>
                    <a:noFill/>
                    <a:ln>
                      <a:noFill/>
                    </a:ln>
                  </pic:spPr>
                </pic:pic>
              </a:graphicData>
            </a:graphic>
          </wp:inline>
        </w:drawing>
      </w:r>
      <w:r>
        <w:rPr>
          <w:rFonts w:ascii="Arial" w:cs="Arial" w:eastAsia="Arial" w:hAnsi="Arial"/>
          <w:sz w:val="23"/>
          <w:szCs w:val="23"/>
          <w:b w:val="1"/>
          <w:bCs w:val="1"/>
          <w:color w:val="FFFFFF"/>
        </w:rPr>
        <w:t xml:space="preserve"> CORPORATE RESPONSIBILITY &amp;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-196215</wp:posOffset>
            </wp:positionV>
            <wp:extent cx="6240780"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40780" cy="196850"/>
                    </a:xfrm>
                    <a:prstGeom prst="rect">
                      <a:avLst/>
                    </a:prstGeom>
                    <a:noFill/>
                  </pic:spPr>
                </pic:pic>
              </a:graphicData>
            </a:graphic>
          </wp:anchor>
        </w:drawing>
      </w:r>
    </w:p>
    <w:p>
      <w:pPr>
        <w:spacing w:after="0" w:line="182" w:lineRule="exact"/>
        <w:rPr>
          <w:sz w:val="20"/>
          <w:szCs w:val="20"/>
          <w:color w:val="auto"/>
        </w:rPr>
      </w:pPr>
    </w:p>
    <w:p>
      <w:pPr>
        <w:ind w:left="180" w:right="460"/>
        <w:spacing w:after="0" w:line="259" w:lineRule="auto"/>
        <w:rPr>
          <w:sz w:val="20"/>
          <w:szCs w:val="20"/>
          <w:color w:val="auto"/>
        </w:rPr>
      </w:pPr>
      <w:r>
        <w:rPr>
          <w:rFonts w:ascii="Arial" w:cs="Arial" w:eastAsia="Arial" w:hAnsi="Arial"/>
          <w:sz w:val="16"/>
          <w:szCs w:val="16"/>
          <w:color w:val="14202A"/>
        </w:rPr>
        <w:t xml:space="preserve">At Winnebago Industries, our purpose is to elevate every moment outdoors. Our Corporate Responsibility &amp; Inclusion strategy is grounded in a simple commitment: </w:t>
      </w:r>
      <w:r>
        <w:rPr>
          <w:rFonts w:ascii="Arial" w:cs="Arial" w:eastAsia="Arial" w:hAnsi="Arial"/>
          <w:sz w:val="16"/>
          <w:szCs w:val="16"/>
          <w:b w:val="1"/>
          <w:bCs w:val="1"/>
          <w:color w:val="14202A"/>
        </w:rPr>
        <w:t>People First. Planet Forward. Community Driven.</w:t>
      </w:r>
      <w:r>
        <w:rPr>
          <w:rFonts w:ascii="Arial" w:cs="Arial" w:eastAsia="Arial" w:hAnsi="Arial"/>
          <w:sz w:val="16"/>
          <w:szCs w:val="16"/>
          <w:color w:val="14202A"/>
        </w:rPr>
        <w:t xml:space="preserve"> We build inclusion and belonging, protect and preserve the outdoors, and contribute to the places where we travel, live, work and play. Through </w:t>
      </w:r>
      <w:r>
        <w:rPr>
          <w:rFonts w:ascii="Arial" w:cs="Arial" w:eastAsia="Arial" w:hAnsi="Arial"/>
          <w:sz w:val="16"/>
          <w:szCs w:val="16"/>
          <w:b w:val="1"/>
          <w:bCs w:val="1"/>
          <w:color w:val="14202A"/>
        </w:rPr>
        <w:t>Learn, Act and Inspire</w:t>
      </w:r>
      <w:r>
        <w:rPr>
          <w:rFonts w:ascii="Arial" w:cs="Arial" w:eastAsia="Arial" w:hAnsi="Arial"/>
          <w:sz w:val="16"/>
          <w:szCs w:val="16"/>
          <w:color w:val="14202A"/>
        </w:rPr>
        <w:t>, we focus on high-impact, resource-smart actions that empower our teams and sustain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-14605</wp:posOffset>
            </wp:positionV>
            <wp:extent cx="840105" cy="8401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40105" cy="840105"/>
                    </a:xfrm>
                    <a:prstGeom prst="rect">
                      <a:avLst/>
                    </a:prstGeom>
                    <a:noFill/>
                  </pic:spPr>
                </pic:pic>
              </a:graphicData>
            </a:graphic>
          </wp:anchor>
        </w:drawing>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16"/>
          <w:szCs w:val="16"/>
          <w:color w:val="14202A"/>
        </w:rPr>
        <w:t>Our CR&amp;I efforts are centered on three priorities: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14202A"/>
        </w:rPr>
        <w:t xml:space="preserve">•   </w:t>
      </w:r>
      <w:r>
        <w:rPr>
          <w:rFonts w:ascii="Arial" w:cs="Arial" w:eastAsia="Arial" w:hAnsi="Arial"/>
          <w:sz w:val="16"/>
          <w:szCs w:val="16"/>
          <w:b w:val="1"/>
          <w:bCs w:val="1"/>
          <w:color w:val="14202A"/>
        </w:rPr>
        <w:t>LEARN</w:t>
      </w:r>
      <w:r>
        <w:rPr>
          <w:rFonts w:ascii="Arial" w:cs="Arial" w:eastAsia="Arial" w:hAnsi="Arial"/>
          <w:sz w:val="16"/>
          <w:szCs w:val="16"/>
          <w:color w:val="14202A"/>
        </w:rPr>
        <w:t xml:space="preserve"> about one another and the world around us</w:t>
      </w:r>
    </w:p>
    <w:p>
      <w:pPr>
        <w:spacing w:after="0" w:line="5" w:lineRule="exact"/>
        <w:rPr>
          <w:sz w:val="20"/>
          <w:szCs w:val="20"/>
          <w:color w:val="auto"/>
        </w:rPr>
      </w:pPr>
    </w:p>
    <w:p>
      <w:pPr>
        <w:ind w:left="180" w:right="4360"/>
        <w:spacing w:after="0" w:line="276" w:lineRule="auto"/>
        <w:rPr>
          <w:sz w:val="20"/>
          <w:szCs w:val="20"/>
          <w:color w:val="auto"/>
        </w:rPr>
      </w:pPr>
      <w:r>
        <w:rPr>
          <w:rFonts w:ascii="Arial" w:cs="Arial" w:eastAsia="Arial" w:hAnsi="Arial"/>
          <w:sz w:val="16"/>
          <w:szCs w:val="16"/>
          <w:color w:val="14202A"/>
        </w:rPr>
        <w:t xml:space="preserve">•  </w:t>
      </w:r>
      <w:r>
        <w:rPr>
          <w:rFonts w:ascii="Arial" w:cs="Arial" w:eastAsia="Arial" w:hAnsi="Arial"/>
          <w:sz w:val="16"/>
          <w:szCs w:val="16"/>
          <w:b w:val="1"/>
          <w:bCs w:val="1"/>
          <w:color w:val="14202A"/>
        </w:rPr>
        <w:t>ACT</w:t>
      </w:r>
      <w:r>
        <w:rPr>
          <w:rFonts w:ascii="Arial" w:cs="Arial" w:eastAsia="Arial" w:hAnsi="Arial"/>
          <w:sz w:val="16"/>
          <w:szCs w:val="16"/>
          <w:color w:val="14202A"/>
        </w:rPr>
        <w:t xml:space="preserve"> to empower people, protect the planet and strengthen communities •  </w:t>
      </w:r>
      <w:r>
        <w:rPr>
          <w:rFonts w:ascii="Arial" w:cs="Arial" w:eastAsia="Arial" w:hAnsi="Arial"/>
          <w:sz w:val="16"/>
          <w:szCs w:val="16"/>
          <w:b w:val="1"/>
          <w:bCs w:val="1"/>
          <w:color w:val="14202A"/>
        </w:rPr>
        <w:t>INSPIRE</w:t>
      </w:r>
      <w:r>
        <w:rPr>
          <w:rFonts w:ascii="Arial" w:cs="Arial" w:eastAsia="Arial" w:hAnsi="Arial"/>
          <w:sz w:val="16"/>
          <w:szCs w:val="16"/>
          <w:color w:val="14202A"/>
        </w:rPr>
        <w:t xml:space="preserve"> others through progress, partnership and shared impact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6"/>
                <w:szCs w:val="16"/>
                <w:color w:val="14202A"/>
              </w:rPr>
              <w:t> </w:t>
            </w: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380" w:type="dxa"/>
            <w:vAlign w:val="bottom"/>
            <w:gridSpan w:val="2"/>
          </w:tcPr>
          <w:p>
            <w:pPr>
              <w:spacing w:after="0"/>
              <w:rPr>
                <w:sz w:val="13"/>
                <w:szCs w:val="13"/>
                <w:color w:val="auto"/>
              </w:rPr>
            </w:pPr>
          </w:p>
        </w:tc>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100" w:type="dxa"/>
            <w:vAlign w:val="bottom"/>
            <w:tcBorders>
              <w:bottom w:val="single" w:sz="8" w:color="A5B7C2"/>
            </w:tcBorders>
            <w:shd w:val="clear" w:color="auto" w:fill="A5B7C2"/>
          </w:tcPr>
          <w:p>
            <w:pPr>
              <w:spacing w:after="0"/>
              <w:rPr>
                <w:sz w:val="24"/>
                <w:szCs w:val="24"/>
                <w:color w:val="auto"/>
              </w:rPr>
            </w:pPr>
          </w:p>
        </w:tc>
        <w:tc>
          <w:tcPr>
            <w:tcW w:w="4840" w:type="dxa"/>
            <w:vAlign w:val="bottom"/>
            <w:tcBorders>
              <w:bottom w:val="single" w:sz="8" w:color="A5B7C2"/>
            </w:tcBorders>
            <w:gridSpan w:val="3"/>
            <w:shd w:val="clear" w:color="auto" w:fill="A5B7C2"/>
          </w:tcPr>
          <w:p>
            <w:pPr>
              <w:ind w:left="60"/>
              <w:spacing w:after="0"/>
              <w:rPr>
                <w:sz w:val="20"/>
                <w:szCs w:val="20"/>
                <w:color w:val="auto"/>
              </w:rPr>
            </w:pPr>
            <w:r>
              <w:rPr>
                <w:rFonts w:ascii="Arial" w:cs="Arial" w:eastAsia="Arial" w:hAnsi="Arial"/>
                <w:sz w:val="23"/>
                <w:szCs w:val="23"/>
                <w:b w:val="1"/>
                <w:bCs w:val="1"/>
                <w:color w:val="14202A"/>
              </w:rPr>
              <w:t>PEOPLE FIRST</w:t>
            </w:r>
            <w:r>
              <w:rPr>
                <w:rFonts w:ascii="Arial" w:cs="Arial" w:eastAsia="Arial" w:hAnsi="Arial"/>
                <w:sz w:val="16"/>
                <w:szCs w:val="16"/>
                <w:color w:val="14202A"/>
              </w:rPr>
              <w:t xml:space="preserve">    Embrace inclusion and belonging</w:t>
            </w:r>
          </w:p>
        </w:tc>
        <w:tc>
          <w:tcPr>
            <w:tcW w:w="20" w:type="dxa"/>
            <w:vAlign w:val="bottom"/>
            <w:tcBorders>
              <w:bottom w:val="single" w:sz="8" w:color="A5B7C2"/>
            </w:tcBorders>
            <w:shd w:val="clear" w:color="auto" w:fill="A5B7C2"/>
          </w:tcPr>
          <w:p>
            <w:pPr>
              <w:spacing w:after="0"/>
              <w:rPr>
                <w:sz w:val="24"/>
                <w:szCs w:val="24"/>
                <w:color w:val="auto"/>
              </w:rPr>
            </w:pPr>
          </w:p>
        </w:tc>
        <w:tc>
          <w:tcPr>
            <w:tcW w:w="2460" w:type="dxa"/>
            <w:vAlign w:val="bottom"/>
            <w:tcBorders>
              <w:bottom w:val="single" w:sz="8" w:color="A5B7C2"/>
            </w:tcBorders>
            <w:shd w:val="clear" w:color="auto" w:fill="A5B7C2"/>
          </w:tcPr>
          <w:p>
            <w:pPr>
              <w:spacing w:after="0"/>
              <w:rPr>
                <w:sz w:val="24"/>
                <w:szCs w:val="24"/>
                <w:color w:val="auto"/>
              </w:rPr>
            </w:pPr>
          </w:p>
        </w:tc>
        <w:tc>
          <w:tcPr>
            <w:tcW w:w="20" w:type="dxa"/>
            <w:vAlign w:val="bottom"/>
            <w:tcBorders>
              <w:bottom w:val="single" w:sz="8" w:color="A5B7C2"/>
            </w:tcBorders>
            <w:shd w:val="clear" w:color="auto" w:fill="A5B7C2"/>
          </w:tcPr>
          <w:p>
            <w:pPr>
              <w:spacing w:after="0"/>
              <w:rPr>
                <w:sz w:val="24"/>
                <w:szCs w:val="24"/>
                <w:color w:val="auto"/>
              </w:rPr>
            </w:pPr>
          </w:p>
        </w:tc>
        <w:tc>
          <w:tcPr>
            <w:tcW w:w="2500" w:type="dxa"/>
            <w:vAlign w:val="bottom"/>
            <w:tcBorders>
              <w:bottom w:val="single" w:sz="8" w:color="A5B7C2"/>
            </w:tcBorders>
            <w:shd w:val="clear" w:color="auto" w:fill="A5B7C2"/>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2360" w:type="dxa"/>
            <w:vAlign w:val="bottom"/>
            <w:vMerge w:val="restart"/>
          </w:tcPr>
          <w:p>
            <w:pPr>
              <w:jc w:val="center"/>
              <w:ind w:right="24"/>
              <w:spacing w:after="0"/>
              <w:rPr>
                <w:sz w:val="20"/>
                <w:szCs w:val="20"/>
                <w:color w:val="auto"/>
              </w:rPr>
            </w:pPr>
            <w:r>
              <w:rPr>
                <w:rFonts w:ascii="Arial" w:cs="Arial" w:eastAsia="Arial" w:hAnsi="Arial"/>
                <w:sz w:val="16"/>
                <w:szCs w:val="16"/>
                <w:b w:val="1"/>
                <w:bCs w:val="1"/>
                <w:color w:val="A5B7C2"/>
              </w:rPr>
              <w:t>Developing Our People</w:t>
            </w:r>
          </w:p>
        </w:tc>
        <w:tc>
          <w:tcPr>
            <w:tcW w:w="20" w:type="dxa"/>
            <w:vAlign w:val="bottom"/>
          </w:tcPr>
          <w:p>
            <w:pPr>
              <w:spacing w:after="0"/>
              <w:rPr>
                <w:sz w:val="9"/>
                <w:szCs w:val="9"/>
                <w:color w:val="auto"/>
              </w:rPr>
            </w:pPr>
          </w:p>
        </w:tc>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5B7C2"/>
              </w:rPr>
              <w:t>Champion of Women</w:t>
            </w:r>
          </w:p>
        </w:tc>
        <w:tc>
          <w:tcPr>
            <w:tcW w:w="20" w:type="dxa"/>
            <w:vAlign w:val="bottom"/>
          </w:tcPr>
          <w:p>
            <w:pPr>
              <w:spacing w:after="0"/>
              <w:rPr>
                <w:sz w:val="9"/>
                <w:szCs w:val="9"/>
                <w:color w:val="auto"/>
              </w:rPr>
            </w:pPr>
          </w:p>
        </w:tc>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5B7C2"/>
              </w:rPr>
              <w:t>Employee Experience</w:t>
            </w:r>
          </w:p>
        </w:tc>
        <w:tc>
          <w:tcPr>
            <w:tcW w:w="20" w:type="dxa"/>
            <w:vAlign w:val="bottom"/>
          </w:tcPr>
          <w:p>
            <w:pPr>
              <w:spacing w:after="0"/>
              <w:rPr>
                <w:sz w:val="9"/>
                <w:szCs w:val="9"/>
                <w:color w:val="auto"/>
              </w:rPr>
            </w:pPr>
          </w:p>
        </w:tc>
        <w:tc>
          <w:tcPr>
            <w:tcW w:w="2500" w:type="dxa"/>
            <w:vAlign w:val="bottom"/>
            <w:vMerge w:val="restart"/>
          </w:tcPr>
          <w:p>
            <w:pPr>
              <w:jc w:val="center"/>
              <w:spacing w:after="0"/>
              <w:rPr>
                <w:sz w:val="20"/>
                <w:szCs w:val="20"/>
                <w:color w:val="auto"/>
              </w:rPr>
            </w:pPr>
            <w:r>
              <w:rPr>
                <w:rFonts w:ascii="Arial" w:cs="Arial" w:eastAsia="Arial" w:hAnsi="Arial"/>
                <w:sz w:val="16"/>
                <w:szCs w:val="16"/>
                <w:b w:val="1"/>
                <w:bCs w:val="1"/>
                <w:color w:val="A5B7C2"/>
              </w:rPr>
              <w:t>Safe Operations</w:t>
            </w:r>
          </w:p>
        </w:tc>
        <w:tc>
          <w:tcPr>
            <w:tcW w:w="0" w:type="dxa"/>
            <w:vAlign w:val="bottom"/>
          </w:tcPr>
          <w:p>
            <w:pPr>
              <w:spacing w:after="0"/>
              <w:rPr>
                <w:sz w:val="1"/>
                <w:szCs w:val="1"/>
                <w:color w:val="auto"/>
              </w:rPr>
            </w:pPr>
          </w:p>
        </w:tc>
      </w:tr>
      <w:tr>
        <w:trPr>
          <w:trHeight w:val="347"/>
        </w:trPr>
        <w:tc>
          <w:tcPr>
            <w:tcW w:w="1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0" w:type="dxa"/>
            <w:vAlign w:val="bottom"/>
            <w:shd w:val="clear" w:color="auto" w:fill="D7D1CC"/>
          </w:tcPr>
          <w:p>
            <w:pPr>
              <w:spacing w:after="0"/>
              <w:rPr>
                <w:sz w:val="24"/>
                <w:szCs w:val="24"/>
                <w:color w:val="auto"/>
              </w:rPr>
            </w:pPr>
          </w:p>
        </w:tc>
        <w:tc>
          <w:tcPr>
            <w:tcW w:w="2460" w:type="dxa"/>
            <w:vAlign w:val="bottom"/>
            <w:vMerge w:val="continue"/>
          </w:tcPr>
          <w:p>
            <w:pPr>
              <w:spacing w:after="0"/>
              <w:rPr>
                <w:sz w:val="24"/>
                <w:szCs w:val="24"/>
                <w:color w:val="auto"/>
              </w:rPr>
            </w:pPr>
          </w:p>
        </w:tc>
        <w:tc>
          <w:tcPr>
            <w:tcW w:w="20" w:type="dxa"/>
            <w:vAlign w:val="bottom"/>
            <w:shd w:val="clear" w:color="auto" w:fill="D7D1CC"/>
          </w:tcPr>
          <w:p>
            <w:pPr>
              <w:spacing w:after="0"/>
              <w:rPr>
                <w:sz w:val="24"/>
                <w:szCs w:val="24"/>
                <w:color w:val="auto"/>
              </w:rPr>
            </w:pPr>
          </w:p>
        </w:tc>
        <w:tc>
          <w:tcPr>
            <w:tcW w:w="2460" w:type="dxa"/>
            <w:vAlign w:val="bottom"/>
            <w:vMerge w:val="continue"/>
          </w:tcPr>
          <w:p>
            <w:pPr>
              <w:spacing w:after="0"/>
              <w:rPr>
                <w:sz w:val="24"/>
                <w:szCs w:val="24"/>
                <w:color w:val="auto"/>
              </w:rPr>
            </w:pPr>
          </w:p>
        </w:tc>
        <w:tc>
          <w:tcPr>
            <w:tcW w:w="20" w:type="dxa"/>
            <w:vAlign w:val="bottom"/>
            <w:shd w:val="clear" w:color="auto" w:fill="D7D1CC"/>
          </w:tcPr>
          <w:p>
            <w:pPr>
              <w:spacing w:after="0"/>
              <w:rPr>
                <w:sz w:val="24"/>
                <w:szCs w:val="24"/>
                <w:color w:val="auto"/>
              </w:rPr>
            </w:pPr>
          </w:p>
        </w:tc>
        <w:tc>
          <w:tcPr>
            <w:tcW w:w="2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2360" w:type="dxa"/>
            <w:vAlign w:val="bottom"/>
          </w:tcPr>
          <w:p>
            <w:pPr>
              <w:ind w:left="1060"/>
              <w:spacing w:after="0" w:line="170" w:lineRule="exact"/>
              <w:rPr>
                <w:sz w:val="20"/>
                <w:szCs w:val="20"/>
                <w:color w:val="auto"/>
              </w:rPr>
            </w:pPr>
            <w:r>
              <w:rPr>
                <w:rFonts w:ascii="Arial" w:cs="Arial" w:eastAsia="Arial" w:hAnsi="Arial"/>
                <w:sz w:val="15"/>
                <w:szCs w:val="15"/>
                <w:color w:val="14202A"/>
              </w:rPr>
              <w:t> </w:t>
            </w:r>
          </w:p>
        </w:tc>
        <w:tc>
          <w:tcPr>
            <w:tcW w:w="20" w:type="dxa"/>
            <w:vAlign w:val="bottom"/>
            <w:shd w:val="clear" w:color="auto" w:fill="D7D1CC"/>
          </w:tcPr>
          <w:p>
            <w:pPr>
              <w:spacing w:after="0"/>
              <w:rPr>
                <w:sz w:val="14"/>
                <w:szCs w:val="14"/>
                <w:color w:val="auto"/>
              </w:rPr>
            </w:pPr>
          </w:p>
        </w:tc>
        <w:tc>
          <w:tcPr>
            <w:tcW w:w="2460" w:type="dxa"/>
            <w:vAlign w:val="bottom"/>
          </w:tcPr>
          <w:p>
            <w:pPr>
              <w:ind w:left="1160"/>
              <w:spacing w:after="0" w:line="170" w:lineRule="exact"/>
              <w:rPr>
                <w:sz w:val="20"/>
                <w:szCs w:val="20"/>
                <w:color w:val="auto"/>
              </w:rPr>
            </w:pPr>
            <w:r>
              <w:rPr>
                <w:rFonts w:ascii="Arial" w:cs="Arial" w:eastAsia="Arial" w:hAnsi="Arial"/>
                <w:sz w:val="15"/>
                <w:szCs w:val="15"/>
                <w:color w:val="14202A"/>
              </w:rPr>
              <w:t> </w:t>
            </w:r>
          </w:p>
        </w:tc>
        <w:tc>
          <w:tcPr>
            <w:tcW w:w="20" w:type="dxa"/>
            <w:vAlign w:val="bottom"/>
            <w:shd w:val="clear" w:color="auto" w:fill="D7D1CC"/>
          </w:tcPr>
          <w:p>
            <w:pPr>
              <w:spacing w:after="0"/>
              <w:rPr>
                <w:sz w:val="14"/>
                <w:szCs w:val="14"/>
                <w:color w:val="auto"/>
              </w:rPr>
            </w:pPr>
          </w:p>
        </w:tc>
        <w:tc>
          <w:tcPr>
            <w:tcW w:w="2460" w:type="dxa"/>
            <w:vAlign w:val="bottom"/>
          </w:tcPr>
          <w:p>
            <w:pPr>
              <w:ind w:left="1120"/>
              <w:spacing w:after="0" w:line="170" w:lineRule="exact"/>
              <w:rPr>
                <w:sz w:val="20"/>
                <w:szCs w:val="20"/>
                <w:color w:val="auto"/>
              </w:rPr>
            </w:pPr>
            <w:r>
              <w:rPr>
                <w:rFonts w:ascii="Arial" w:cs="Arial" w:eastAsia="Arial" w:hAnsi="Arial"/>
                <w:sz w:val="15"/>
                <w:szCs w:val="15"/>
                <w:color w:val="14202A"/>
              </w:rPr>
              <w:t> </w:t>
            </w:r>
          </w:p>
        </w:tc>
        <w:tc>
          <w:tcPr>
            <w:tcW w:w="20" w:type="dxa"/>
            <w:vAlign w:val="bottom"/>
            <w:shd w:val="clear" w:color="auto" w:fill="D7D1CC"/>
          </w:tcPr>
          <w:p>
            <w:pPr>
              <w:spacing w:after="0"/>
              <w:rPr>
                <w:sz w:val="14"/>
                <w:szCs w:val="14"/>
                <w:color w:val="auto"/>
              </w:rPr>
            </w:pPr>
          </w:p>
        </w:tc>
        <w:tc>
          <w:tcPr>
            <w:tcW w:w="2500" w:type="dxa"/>
            <w:vAlign w:val="bottom"/>
          </w:tcPr>
          <w:p>
            <w:pPr>
              <w:ind w:left="1160"/>
              <w:spacing w:after="0" w:line="170" w:lineRule="exact"/>
              <w:rPr>
                <w:sz w:val="20"/>
                <w:szCs w:val="20"/>
                <w:color w:val="auto"/>
              </w:rPr>
            </w:pPr>
            <w:r>
              <w:rPr>
                <w:rFonts w:ascii="Arial" w:cs="Arial" w:eastAsia="Arial" w:hAnsi="Arial"/>
                <w:sz w:val="15"/>
                <w:szCs w:val="15"/>
                <w:color w:val="14202A"/>
              </w:rPr>
              <w:t> </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60" w:type="dxa"/>
            <w:vAlign w:val="bottom"/>
          </w:tcPr>
          <w:p>
            <w:pPr>
              <w:jc w:val="center"/>
              <w:ind w:right="4"/>
              <w:spacing w:after="0"/>
              <w:rPr>
                <w:sz w:val="20"/>
                <w:szCs w:val="20"/>
                <w:color w:val="auto"/>
              </w:rPr>
            </w:pPr>
            <w:r>
              <w:rPr>
                <w:rFonts w:ascii="Arial" w:cs="Arial" w:eastAsia="Arial" w:hAnsi="Arial"/>
                <w:sz w:val="14"/>
                <w:szCs w:val="14"/>
                <w:color w:val="14202A"/>
              </w:rPr>
              <w:t>Advanced program maturity by</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Supported women’s professional</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Grew membership in the</w:t>
            </w:r>
          </w:p>
        </w:tc>
        <w:tc>
          <w:tcPr>
            <w:tcW w:w="20" w:type="dxa"/>
            <w:vAlign w:val="bottom"/>
            <w:shd w:val="clear" w:color="auto" w:fill="D7D1CC"/>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14202A"/>
              </w:rPr>
              <w:t>In our ongoing commitment</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60" w:type="dxa"/>
            <w:vAlign w:val="bottom"/>
          </w:tcPr>
          <w:p>
            <w:pPr>
              <w:jc w:val="center"/>
              <w:ind w:right="4"/>
              <w:spacing w:after="0"/>
              <w:rPr>
                <w:sz w:val="20"/>
                <w:szCs w:val="20"/>
                <w:color w:val="auto"/>
              </w:rPr>
            </w:pPr>
            <w:r>
              <w:rPr>
                <w:rFonts w:ascii="Arial" w:cs="Arial" w:eastAsia="Arial" w:hAnsi="Arial"/>
                <w:sz w:val="14"/>
                <w:szCs w:val="14"/>
                <w:color w:val="14202A"/>
              </w:rPr>
              <w:t>incorporating a corporate</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development through the RV</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Company’s Employee Resource</w:t>
            </w:r>
          </w:p>
        </w:tc>
        <w:tc>
          <w:tcPr>
            <w:tcW w:w="20" w:type="dxa"/>
            <w:vAlign w:val="bottom"/>
            <w:shd w:val="clear" w:color="auto" w:fill="D7D1CC"/>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14202A"/>
              </w:rPr>
              <w:t>to putting people first, we embraced</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60" w:type="dxa"/>
            <w:vAlign w:val="bottom"/>
          </w:tcPr>
          <w:p>
            <w:pPr>
              <w:jc w:val="center"/>
              <w:ind w:right="4"/>
              <w:spacing w:after="0"/>
              <w:rPr>
                <w:sz w:val="20"/>
                <w:szCs w:val="20"/>
                <w:color w:val="auto"/>
              </w:rPr>
            </w:pPr>
            <w:r>
              <w:rPr>
                <w:rFonts w:ascii="Arial" w:cs="Arial" w:eastAsia="Arial" w:hAnsi="Arial"/>
                <w:sz w:val="14"/>
                <w:szCs w:val="14"/>
                <w:color w:val="14202A"/>
              </w:rPr>
              <w:t>responsibility governance model,</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Women’s Association, Women in</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Groups (“ERGs”), including the</w:t>
            </w:r>
          </w:p>
        </w:tc>
        <w:tc>
          <w:tcPr>
            <w:tcW w:w="20" w:type="dxa"/>
            <w:vAlign w:val="bottom"/>
            <w:shd w:val="clear" w:color="auto" w:fill="D7D1CC"/>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14202A"/>
              </w:rPr>
              <w:t>the annual theme “</w:t>
            </w:r>
            <w:r>
              <w:rPr>
                <w:rFonts w:ascii="Arial" w:cs="Arial" w:eastAsia="Arial" w:hAnsi="Arial"/>
                <w:sz w:val="14"/>
                <w:szCs w:val="14"/>
                <w:b w:val="1"/>
                <w:bCs w:val="1"/>
                <w:color w:val="DAD490"/>
              </w:rPr>
              <w:t>Serious Injury</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60" w:type="dxa"/>
            <w:vAlign w:val="bottom"/>
          </w:tcPr>
          <w:p>
            <w:pPr>
              <w:jc w:val="center"/>
              <w:ind w:right="44"/>
              <w:spacing w:after="0"/>
              <w:rPr>
                <w:sz w:val="20"/>
                <w:szCs w:val="20"/>
                <w:color w:val="auto"/>
              </w:rPr>
            </w:pPr>
            <w:r>
              <w:rPr>
                <w:rFonts w:ascii="Arial" w:cs="Arial" w:eastAsia="Arial" w:hAnsi="Arial"/>
                <w:sz w:val="14"/>
                <w:szCs w:val="14"/>
                <w:color w:val="14202A"/>
              </w:rPr>
              <w:t>adding inclusive observances, and</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Manufacturing, Winnebago’s</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Women’s Inclusion Network,</w:t>
            </w:r>
          </w:p>
        </w:tc>
        <w:tc>
          <w:tcPr>
            <w:tcW w:w="20" w:type="dxa"/>
            <w:vAlign w:val="bottom"/>
            <w:shd w:val="clear" w:color="auto" w:fill="D7D1CC"/>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DAD490"/>
              </w:rPr>
              <w:t>and Fatality (SIF) Prevention</w:t>
            </w: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60" w:type="dxa"/>
            <w:vAlign w:val="bottom"/>
          </w:tcPr>
          <w:p>
            <w:pPr>
              <w:jc w:val="center"/>
              <w:ind w:right="4"/>
              <w:spacing w:after="0"/>
              <w:rPr>
                <w:sz w:val="20"/>
                <w:szCs w:val="20"/>
                <w:color w:val="auto"/>
              </w:rPr>
            </w:pPr>
            <w:r>
              <w:rPr>
                <w:rFonts w:ascii="Arial" w:cs="Arial" w:eastAsia="Arial" w:hAnsi="Arial"/>
                <w:sz w:val="14"/>
                <w:szCs w:val="14"/>
                <w:color w:val="14202A"/>
              </w:rPr>
              <w:t>educational resources.</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Women’s Inclusion Network,</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Veterans Network, and Mosaic.</w:t>
            </w:r>
          </w:p>
        </w:tc>
        <w:tc>
          <w:tcPr>
            <w:tcW w:w="20" w:type="dxa"/>
            <w:vAlign w:val="bottom"/>
            <w:shd w:val="clear" w:color="auto" w:fill="D7D1CC"/>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14202A"/>
              </w:rPr>
              <w:t>across all business units, leading to</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60" w:type="dxa"/>
            <w:vAlign w:val="bottom"/>
          </w:tcPr>
          <w:p>
            <w:pPr>
              <w:ind w:left="1060"/>
              <w:spacing w:after="0"/>
              <w:rPr>
                <w:sz w:val="20"/>
                <w:szCs w:val="20"/>
                <w:color w:val="auto"/>
              </w:rPr>
            </w:pPr>
            <w:r>
              <w:rPr>
                <w:rFonts w:ascii="Arial" w:cs="Arial" w:eastAsia="Arial" w:hAnsi="Arial"/>
                <w:sz w:val="14"/>
                <w:szCs w:val="14"/>
                <w:color w:val="14202A"/>
              </w:rPr>
              <w:t> </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leadership forums, and educational</w:t>
            </w:r>
          </w:p>
        </w:tc>
        <w:tc>
          <w:tcPr>
            <w:tcW w:w="20" w:type="dxa"/>
            <w:vAlign w:val="bottom"/>
            <w:shd w:val="clear" w:color="auto" w:fill="D7D1CC"/>
          </w:tcPr>
          <w:p>
            <w:pPr>
              <w:spacing w:after="0"/>
              <w:rPr>
                <w:sz w:val="14"/>
                <w:szCs w:val="14"/>
                <w:color w:val="auto"/>
              </w:rPr>
            </w:pPr>
          </w:p>
        </w:tc>
        <w:tc>
          <w:tcPr>
            <w:tcW w:w="2460" w:type="dxa"/>
            <w:vAlign w:val="bottom"/>
          </w:tcPr>
          <w:p>
            <w:pPr>
              <w:ind w:left="1160"/>
              <w:spacing w:after="0"/>
              <w:rPr>
                <w:sz w:val="20"/>
                <w:szCs w:val="20"/>
                <w:color w:val="auto"/>
              </w:rPr>
            </w:pPr>
            <w:r>
              <w:rPr>
                <w:rFonts w:ascii="Arial" w:cs="Arial" w:eastAsia="Arial" w:hAnsi="Arial"/>
                <w:sz w:val="14"/>
                <w:szCs w:val="14"/>
                <w:color w:val="14202A"/>
              </w:rPr>
              <w:t> </w:t>
            </w:r>
          </w:p>
        </w:tc>
        <w:tc>
          <w:tcPr>
            <w:tcW w:w="20" w:type="dxa"/>
            <w:vAlign w:val="bottom"/>
            <w:shd w:val="clear" w:color="auto" w:fill="D7D1CC"/>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14202A"/>
              </w:rPr>
              <w:t>enhanced safety improvements.</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60" w:type="dxa"/>
            <w:vAlign w:val="bottom"/>
          </w:tcPr>
          <w:p>
            <w:pPr>
              <w:jc w:val="center"/>
              <w:ind w:right="4"/>
              <w:spacing w:after="0"/>
              <w:rPr>
                <w:sz w:val="20"/>
                <w:szCs w:val="20"/>
                <w:color w:val="auto"/>
              </w:rPr>
            </w:pPr>
            <w:r>
              <w:rPr>
                <w:rFonts w:ascii="Arial" w:cs="Arial" w:eastAsia="Arial" w:hAnsi="Arial"/>
                <w:sz w:val="14"/>
                <w:szCs w:val="14"/>
                <w:color w:val="14202A"/>
              </w:rPr>
              <w:t>Collaborated with Talent</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programming.</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Provided monthly ERG educational</w:t>
            </w:r>
          </w:p>
        </w:tc>
        <w:tc>
          <w:tcPr>
            <w:tcW w:w="20" w:type="dxa"/>
            <w:vAlign w:val="bottom"/>
            <w:shd w:val="clear" w:color="auto" w:fill="D7D1CC"/>
          </w:tcPr>
          <w:p>
            <w:pPr>
              <w:spacing w:after="0"/>
              <w:rPr>
                <w:sz w:val="14"/>
                <w:szCs w:val="14"/>
                <w:color w:val="auto"/>
              </w:rPr>
            </w:pPr>
          </w:p>
        </w:tc>
        <w:tc>
          <w:tcPr>
            <w:tcW w:w="2500" w:type="dxa"/>
            <w:vAlign w:val="bottom"/>
          </w:tcPr>
          <w:p>
            <w:pPr>
              <w:ind w:left="1160"/>
              <w:spacing w:after="0"/>
              <w:rPr>
                <w:sz w:val="20"/>
                <w:szCs w:val="20"/>
                <w:color w:val="auto"/>
              </w:rPr>
            </w:pPr>
            <w:r>
              <w:rPr>
                <w:rFonts w:ascii="Arial" w:cs="Arial" w:eastAsia="Arial" w:hAnsi="Arial"/>
                <w:sz w:val="14"/>
                <w:szCs w:val="14"/>
                <w:color w:val="14202A"/>
              </w:rPr>
              <w:t> </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60" w:type="dxa"/>
            <w:vAlign w:val="bottom"/>
          </w:tcPr>
          <w:p>
            <w:pPr>
              <w:jc w:val="center"/>
              <w:ind w:right="4"/>
              <w:spacing w:after="0"/>
              <w:rPr>
                <w:sz w:val="20"/>
                <w:szCs w:val="20"/>
                <w:color w:val="auto"/>
              </w:rPr>
            </w:pPr>
            <w:r>
              <w:rPr>
                <w:rFonts w:ascii="Arial" w:cs="Arial" w:eastAsia="Arial" w:hAnsi="Arial"/>
                <w:sz w:val="14"/>
                <w:szCs w:val="14"/>
                <w:color w:val="14202A"/>
              </w:rPr>
              <w:t>Development to advance inclusion</w:t>
            </w:r>
          </w:p>
        </w:tc>
        <w:tc>
          <w:tcPr>
            <w:tcW w:w="20" w:type="dxa"/>
            <w:vAlign w:val="bottom"/>
            <w:shd w:val="clear" w:color="auto" w:fill="D7D1CC"/>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opportunities based on employee</w:t>
            </w:r>
          </w:p>
        </w:tc>
        <w:tc>
          <w:tcPr>
            <w:tcW w:w="20" w:type="dxa"/>
            <w:vAlign w:val="bottom"/>
            <w:shd w:val="clear" w:color="auto" w:fill="D7D1CC"/>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60" w:type="dxa"/>
            <w:vAlign w:val="bottom"/>
          </w:tcPr>
          <w:p>
            <w:pPr>
              <w:jc w:val="center"/>
              <w:ind w:right="4"/>
              <w:spacing w:after="0"/>
              <w:rPr>
                <w:sz w:val="20"/>
                <w:szCs w:val="20"/>
                <w:color w:val="auto"/>
              </w:rPr>
            </w:pPr>
            <w:r>
              <w:rPr>
                <w:rFonts w:ascii="Arial" w:cs="Arial" w:eastAsia="Arial" w:hAnsi="Arial"/>
                <w:sz w:val="14"/>
                <w:szCs w:val="14"/>
                <w:color w:val="14202A"/>
              </w:rPr>
              <w:t>across leadership development,</w:t>
            </w:r>
          </w:p>
        </w:tc>
        <w:tc>
          <w:tcPr>
            <w:tcW w:w="20" w:type="dxa"/>
            <w:vAlign w:val="bottom"/>
            <w:shd w:val="clear" w:color="auto" w:fill="D7D1CC"/>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feedback.</w:t>
            </w:r>
          </w:p>
        </w:tc>
        <w:tc>
          <w:tcPr>
            <w:tcW w:w="20" w:type="dxa"/>
            <w:vAlign w:val="bottom"/>
            <w:shd w:val="clear" w:color="auto" w:fill="D7D1CC"/>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60" w:type="dxa"/>
            <w:vAlign w:val="bottom"/>
          </w:tcPr>
          <w:p>
            <w:pPr>
              <w:jc w:val="center"/>
              <w:ind w:right="4"/>
              <w:spacing w:after="0"/>
              <w:rPr>
                <w:sz w:val="20"/>
                <w:szCs w:val="20"/>
                <w:color w:val="auto"/>
              </w:rPr>
            </w:pPr>
            <w:r>
              <w:rPr>
                <w:rFonts w:ascii="Arial" w:cs="Arial" w:eastAsia="Arial" w:hAnsi="Arial"/>
                <w:sz w:val="14"/>
                <w:szCs w:val="14"/>
                <w:color w:val="14202A"/>
              </w:rPr>
              <w:t>talent planning, and internship</w:t>
            </w:r>
          </w:p>
        </w:tc>
        <w:tc>
          <w:tcPr>
            <w:tcW w:w="20" w:type="dxa"/>
            <w:vAlign w:val="bottom"/>
            <w:shd w:val="clear" w:color="auto" w:fill="D7D1CC"/>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shd w:val="clear" w:color="auto" w:fill="D7D1CC"/>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shd w:val="clear" w:color="auto" w:fill="D7D1CC"/>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60" w:type="dxa"/>
            <w:vAlign w:val="bottom"/>
          </w:tcPr>
          <w:p>
            <w:pPr>
              <w:jc w:val="center"/>
              <w:ind w:right="4"/>
              <w:spacing w:after="0"/>
              <w:rPr>
                <w:sz w:val="20"/>
                <w:szCs w:val="20"/>
                <w:color w:val="auto"/>
              </w:rPr>
            </w:pPr>
            <w:r>
              <w:rPr>
                <w:rFonts w:ascii="Arial" w:cs="Arial" w:eastAsia="Arial" w:hAnsi="Arial"/>
                <w:sz w:val="14"/>
                <w:szCs w:val="14"/>
                <w:color w:val="14202A"/>
              </w:rPr>
              <w:t>programs.</w:t>
            </w:r>
          </w:p>
        </w:tc>
        <w:tc>
          <w:tcPr>
            <w:tcW w:w="20" w:type="dxa"/>
            <w:vAlign w:val="bottom"/>
            <w:shd w:val="clear" w:color="auto" w:fill="D7D1CC"/>
          </w:tcPr>
          <w:p>
            <w:pPr>
              <w:spacing w:after="0"/>
              <w:rPr>
                <w:sz w:val="16"/>
                <w:szCs w:val="16"/>
                <w:color w:val="auto"/>
              </w:rPr>
            </w:pPr>
          </w:p>
        </w:tc>
        <w:tc>
          <w:tcPr>
            <w:tcW w:w="2460" w:type="dxa"/>
            <w:vAlign w:val="bottom"/>
          </w:tcPr>
          <w:p>
            <w:pPr>
              <w:spacing w:after="0"/>
              <w:rPr>
                <w:sz w:val="16"/>
                <w:szCs w:val="16"/>
                <w:color w:val="auto"/>
              </w:rPr>
            </w:pPr>
          </w:p>
        </w:tc>
        <w:tc>
          <w:tcPr>
            <w:tcW w:w="20" w:type="dxa"/>
            <w:vAlign w:val="bottom"/>
            <w:shd w:val="clear" w:color="auto" w:fill="D7D1CC"/>
          </w:tcPr>
          <w:p>
            <w:pPr>
              <w:spacing w:after="0"/>
              <w:rPr>
                <w:sz w:val="16"/>
                <w:szCs w:val="16"/>
                <w:color w:val="auto"/>
              </w:rPr>
            </w:pPr>
          </w:p>
        </w:tc>
        <w:tc>
          <w:tcPr>
            <w:tcW w:w="2460" w:type="dxa"/>
            <w:vAlign w:val="bottom"/>
          </w:tcPr>
          <w:p>
            <w:pPr>
              <w:spacing w:after="0"/>
              <w:rPr>
                <w:sz w:val="16"/>
                <w:szCs w:val="16"/>
                <w:color w:val="auto"/>
              </w:rPr>
            </w:pPr>
          </w:p>
        </w:tc>
        <w:tc>
          <w:tcPr>
            <w:tcW w:w="20" w:type="dxa"/>
            <w:vAlign w:val="bottom"/>
            <w:shd w:val="clear" w:color="auto" w:fill="D7D1CC"/>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0" w:type="dxa"/>
            <w:vAlign w:val="bottom"/>
            <w:shd w:val="clear" w:color="auto" w:fill="D7D1CC"/>
          </w:tcPr>
          <w:p>
            <w:pPr>
              <w:spacing w:after="0"/>
              <w:rPr>
                <w:sz w:val="10"/>
                <w:szCs w:val="10"/>
                <w:color w:val="auto"/>
              </w:rPr>
            </w:pPr>
          </w:p>
        </w:tc>
        <w:tc>
          <w:tcPr>
            <w:tcW w:w="2460" w:type="dxa"/>
            <w:vAlign w:val="bottom"/>
          </w:tcPr>
          <w:p>
            <w:pPr>
              <w:spacing w:after="0"/>
              <w:rPr>
                <w:sz w:val="10"/>
                <w:szCs w:val="10"/>
                <w:color w:val="auto"/>
              </w:rPr>
            </w:pPr>
          </w:p>
        </w:tc>
        <w:tc>
          <w:tcPr>
            <w:tcW w:w="20" w:type="dxa"/>
            <w:vAlign w:val="bottom"/>
            <w:shd w:val="clear" w:color="auto" w:fill="D7D1CC"/>
          </w:tcPr>
          <w:p>
            <w:pPr>
              <w:spacing w:after="0"/>
              <w:rPr>
                <w:sz w:val="10"/>
                <w:szCs w:val="10"/>
                <w:color w:val="auto"/>
              </w:rPr>
            </w:pPr>
          </w:p>
        </w:tc>
        <w:tc>
          <w:tcPr>
            <w:tcW w:w="2460" w:type="dxa"/>
            <w:vAlign w:val="bottom"/>
          </w:tcPr>
          <w:p>
            <w:pPr>
              <w:spacing w:after="0"/>
              <w:rPr>
                <w:sz w:val="10"/>
                <w:szCs w:val="10"/>
                <w:color w:val="auto"/>
              </w:rPr>
            </w:pPr>
          </w:p>
        </w:tc>
        <w:tc>
          <w:tcPr>
            <w:tcW w:w="20" w:type="dxa"/>
            <w:vAlign w:val="bottom"/>
            <w:shd w:val="clear" w:color="auto" w:fill="D7D1CC"/>
          </w:tcPr>
          <w:p>
            <w:pPr>
              <w:spacing w:after="0"/>
              <w:rPr>
                <w:sz w:val="10"/>
                <w:szCs w:val="10"/>
                <w:color w:val="auto"/>
              </w:rPr>
            </w:pPr>
          </w:p>
        </w:tc>
        <w:tc>
          <w:tcPr>
            <w:tcW w:w="25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30936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09360" cy="6858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sz w:val="1"/>
          <w:szCs w:val="1"/>
          <w:color w:val="auto"/>
        </w:rPr>
        <w:drawing>
          <wp:inline distT="0" distB="0" distL="0" distR="0">
            <wp:extent cx="68580" cy="26606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266065"/>
                    </a:xfrm>
                    <a:prstGeom prst="rect">
                      <a:avLst/>
                    </a:prstGeom>
                    <a:noFill/>
                    <a:ln>
                      <a:noFill/>
                    </a:ln>
                  </pic:spPr>
                </pic:pic>
              </a:graphicData>
            </a:graphic>
          </wp:inline>
        </w:drawing>
      </w:r>
      <w:r>
        <w:rPr>
          <w:rFonts w:ascii="Arial" w:cs="Arial" w:eastAsia="Arial" w:hAnsi="Arial"/>
          <w:sz w:val="23"/>
          <w:szCs w:val="23"/>
          <w:b w:val="1"/>
          <w:bCs w:val="1"/>
          <w:color w:val="14202A"/>
        </w:rPr>
        <w:t xml:space="preserve"> PLANET FORWARD</w:t>
      </w:r>
      <w:r>
        <w:rPr>
          <w:rFonts w:ascii="Arial" w:cs="Arial" w:eastAsia="Arial" w:hAnsi="Arial"/>
          <w:sz w:val="16"/>
          <w:szCs w:val="16"/>
          <w:color w:val="14202A"/>
        </w:rPr>
        <w:t xml:space="preserve">    Protect and preserve the outdoors.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-196850</wp:posOffset>
            </wp:positionV>
            <wp:extent cx="6240780" cy="196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40780" cy="196850"/>
                    </a:xfrm>
                    <a:prstGeom prst="rect">
                      <a:avLst/>
                    </a:prstGeom>
                    <a:noFill/>
                  </pic:spPr>
                </pic:pic>
              </a:graphicData>
            </a:graphic>
          </wp:anchor>
        </w:drawing>
      </w:r>
    </w:p>
    <w:p>
      <w:pPr>
        <w:spacing w:after="0" w:line="88" w:lineRule="exact"/>
        <w:rPr>
          <w:sz w:val="20"/>
          <w:szCs w:val="20"/>
          <w:color w:val="auto"/>
        </w:rPr>
      </w:pPr>
    </w:p>
    <w:tbl>
      <w:tblPr>
        <w:tblLayout w:type="fixed"/>
        <w:tblInd w:w="220" w:type="dxa"/>
        <w:tblCellMar>
          <w:top w:w="0" w:type="dxa"/>
          <w:left w:w="0" w:type="dxa"/>
          <w:bottom w:w="0" w:type="dxa"/>
          <w:right w:w="0" w:type="dxa"/>
        </w:tblCellMar>
      </w:tblPr>
      <w:tr>
        <w:trPr>
          <w:trHeight w:val="440"/>
        </w:trPr>
        <w:tc>
          <w:tcPr>
            <w:tcW w:w="2160" w:type="dxa"/>
            <w:vAlign w:val="bottom"/>
            <w:tcBorders>
              <w:right w:val="single" w:sz="8" w:color="D7D1CC"/>
            </w:tcBorders>
          </w:tcPr>
          <w:p>
            <w:pPr>
              <w:jc w:val="center"/>
              <w:ind w:left="527"/>
              <w:spacing w:after="0"/>
              <w:rPr>
                <w:sz w:val="20"/>
                <w:szCs w:val="20"/>
                <w:color w:val="auto"/>
              </w:rPr>
            </w:pPr>
            <w:r>
              <w:rPr>
                <w:rFonts w:ascii="Arial" w:cs="Arial" w:eastAsia="Arial" w:hAnsi="Arial"/>
                <w:sz w:val="15"/>
                <w:szCs w:val="15"/>
                <w:b w:val="1"/>
                <w:bCs w:val="1"/>
                <w:color w:val="14202A"/>
                <w:w w:val="99"/>
              </w:rPr>
              <w:t>Waste</w:t>
            </w:r>
          </w:p>
        </w:tc>
        <w:tc>
          <w:tcPr>
            <w:tcW w:w="2400" w:type="dxa"/>
            <w:vAlign w:val="bottom"/>
            <w:tcBorders>
              <w:right w:val="single" w:sz="8" w:color="D7D1CC"/>
            </w:tcBorders>
          </w:tcPr>
          <w:p>
            <w:pPr>
              <w:jc w:val="center"/>
              <w:ind w:left="767"/>
              <w:spacing w:after="0"/>
              <w:rPr>
                <w:sz w:val="20"/>
                <w:szCs w:val="20"/>
                <w:color w:val="auto"/>
              </w:rPr>
            </w:pPr>
            <w:r>
              <w:rPr>
                <w:rFonts w:ascii="Arial" w:cs="Arial" w:eastAsia="Arial" w:hAnsi="Arial"/>
                <w:sz w:val="15"/>
                <w:szCs w:val="15"/>
                <w:b w:val="1"/>
                <w:bCs w:val="1"/>
                <w:color w:val="14202A"/>
              </w:rPr>
              <w:t>GHG Emissions</w:t>
            </w:r>
          </w:p>
        </w:tc>
        <w:tc>
          <w:tcPr>
            <w:tcW w:w="2420" w:type="dxa"/>
            <w:vAlign w:val="bottom"/>
            <w:tcBorders>
              <w:right w:val="single" w:sz="8" w:color="D7D1CC"/>
            </w:tcBorders>
          </w:tcPr>
          <w:p>
            <w:pPr>
              <w:jc w:val="center"/>
              <w:ind w:left="767"/>
              <w:spacing w:after="0"/>
              <w:rPr>
                <w:sz w:val="20"/>
                <w:szCs w:val="20"/>
                <w:color w:val="auto"/>
              </w:rPr>
            </w:pPr>
            <w:r>
              <w:rPr>
                <w:rFonts w:ascii="Arial" w:cs="Arial" w:eastAsia="Arial" w:hAnsi="Arial"/>
                <w:sz w:val="15"/>
                <w:szCs w:val="15"/>
                <w:b w:val="1"/>
                <w:bCs w:val="1"/>
                <w:color w:val="14202A"/>
              </w:rPr>
              <w:t>Product</w:t>
            </w:r>
          </w:p>
        </w:tc>
        <w:tc>
          <w:tcPr>
            <w:tcW w:w="2240" w:type="dxa"/>
            <w:vAlign w:val="bottom"/>
          </w:tcPr>
          <w:p>
            <w:pPr>
              <w:jc w:val="center"/>
              <w:ind w:left="947"/>
              <w:spacing w:after="0"/>
              <w:rPr>
                <w:sz w:val="20"/>
                <w:szCs w:val="20"/>
                <w:color w:val="auto"/>
              </w:rPr>
            </w:pPr>
            <w:r>
              <w:rPr>
                <w:rFonts w:ascii="Arial" w:cs="Arial" w:eastAsia="Arial" w:hAnsi="Arial"/>
                <w:sz w:val="15"/>
                <w:szCs w:val="15"/>
                <w:b w:val="1"/>
                <w:bCs w:val="1"/>
                <w:color w:val="14202A"/>
              </w:rPr>
              <w:t>Water</w:t>
            </w:r>
          </w:p>
        </w:tc>
      </w:tr>
      <w:tr>
        <w:trPr>
          <w:trHeight w:val="210"/>
        </w:trPr>
        <w:tc>
          <w:tcPr>
            <w:tcW w:w="2160" w:type="dxa"/>
            <w:vAlign w:val="bottom"/>
            <w:tcBorders>
              <w:right w:val="single" w:sz="8" w:color="D7D1CC"/>
            </w:tcBorders>
          </w:tcPr>
          <w:p>
            <w:pPr>
              <w:jc w:val="center"/>
              <w:ind w:left="527"/>
              <w:spacing w:after="0"/>
              <w:rPr>
                <w:sz w:val="20"/>
                <w:szCs w:val="20"/>
                <w:color w:val="auto"/>
              </w:rPr>
            </w:pPr>
            <w:r>
              <w:rPr>
                <w:rFonts w:ascii="Arial" w:cs="Arial" w:eastAsia="Arial" w:hAnsi="Arial"/>
                <w:sz w:val="15"/>
                <w:szCs w:val="15"/>
                <w:b w:val="1"/>
                <w:bCs w:val="1"/>
                <w:color w:val="14202A"/>
              </w:rPr>
              <w:t>Reduction</w:t>
            </w:r>
          </w:p>
        </w:tc>
        <w:tc>
          <w:tcPr>
            <w:tcW w:w="2400" w:type="dxa"/>
            <w:vAlign w:val="bottom"/>
            <w:tcBorders>
              <w:right w:val="single" w:sz="8" w:color="D7D1CC"/>
            </w:tcBorders>
          </w:tcPr>
          <w:p>
            <w:pPr>
              <w:jc w:val="center"/>
              <w:ind w:left="787"/>
              <w:spacing w:after="0"/>
              <w:rPr>
                <w:sz w:val="20"/>
                <w:szCs w:val="20"/>
                <w:color w:val="auto"/>
              </w:rPr>
            </w:pPr>
            <w:r>
              <w:rPr>
                <w:rFonts w:ascii="Arial" w:cs="Arial" w:eastAsia="Arial" w:hAnsi="Arial"/>
                <w:sz w:val="15"/>
                <w:szCs w:val="15"/>
                <w:b w:val="1"/>
                <w:bCs w:val="1"/>
                <w:color w:val="14202A"/>
              </w:rPr>
              <w:t>Reduction</w:t>
            </w:r>
          </w:p>
        </w:tc>
        <w:tc>
          <w:tcPr>
            <w:tcW w:w="2420" w:type="dxa"/>
            <w:vAlign w:val="bottom"/>
            <w:tcBorders>
              <w:right w:val="single" w:sz="8" w:color="D7D1CC"/>
            </w:tcBorders>
          </w:tcPr>
          <w:p>
            <w:pPr>
              <w:jc w:val="center"/>
              <w:ind w:left="787"/>
              <w:spacing w:after="0"/>
              <w:rPr>
                <w:sz w:val="20"/>
                <w:szCs w:val="20"/>
                <w:color w:val="auto"/>
              </w:rPr>
            </w:pPr>
            <w:r>
              <w:rPr>
                <w:rFonts w:ascii="Arial" w:cs="Arial" w:eastAsia="Arial" w:hAnsi="Arial"/>
                <w:sz w:val="15"/>
                <w:szCs w:val="15"/>
                <w:b w:val="1"/>
                <w:bCs w:val="1"/>
                <w:color w:val="14202A"/>
              </w:rPr>
              <w:t>Stewardship</w:t>
            </w:r>
          </w:p>
        </w:tc>
        <w:tc>
          <w:tcPr>
            <w:tcW w:w="2240" w:type="dxa"/>
            <w:vAlign w:val="bottom"/>
          </w:tcPr>
          <w:p>
            <w:pPr>
              <w:jc w:val="center"/>
              <w:ind w:left="947"/>
              <w:spacing w:after="0"/>
              <w:rPr>
                <w:sz w:val="20"/>
                <w:szCs w:val="20"/>
                <w:color w:val="auto"/>
              </w:rPr>
            </w:pPr>
            <w:r>
              <w:rPr>
                <w:rFonts w:ascii="Arial" w:cs="Arial" w:eastAsia="Arial" w:hAnsi="Arial"/>
                <w:sz w:val="15"/>
                <w:szCs w:val="15"/>
                <w:b w:val="1"/>
                <w:bCs w:val="1"/>
                <w:color w:val="14202A"/>
              </w:rPr>
              <w:t>Reduction</w:t>
            </w:r>
          </w:p>
        </w:tc>
      </w:tr>
      <w:tr>
        <w:trPr>
          <w:trHeight w:val="407"/>
        </w:trPr>
        <w:tc>
          <w:tcPr>
            <w:tcW w:w="2160" w:type="dxa"/>
            <w:vAlign w:val="bottom"/>
            <w:tcBorders>
              <w:right w:val="single" w:sz="8" w:color="D7D1CC"/>
            </w:tcBorders>
          </w:tcPr>
          <w:p>
            <w:pPr>
              <w:jc w:val="center"/>
              <w:ind w:right="227"/>
              <w:spacing w:after="0"/>
              <w:rPr>
                <w:sz w:val="20"/>
                <w:szCs w:val="20"/>
                <w:color w:val="auto"/>
              </w:rPr>
            </w:pPr>
            <w:r>
              <w:rPr>
                <w:rFonts w:ascii="Arial" w:cs="Arial" w:eastAsia="Arial" w:hAnsi="Arial"/>
                <w:sz w:val="14"/>
                <w:szCs w:val="14"/>
                <w:b w:val="1"/>
                <w:bCs w:val="1"/>
                <w:color w:val="14202A"/>
              </w:rPr>
              <w:t xml:space="preserve">Goal: </w:t>
            </w:r>
            <w:r>
              <w:rPr>
                <w:rFonts w:ascii="Arial" w:cs="Arial" w:eastAsia="Arial" w:hAnsi="Arial"/>
                <w:sz w:val="14"/>
                <w:szCs w:val="14"/>
                <w:color w:val="14202A"/>
              </w:rPr>
              <w:t>Achieve a Zero</w:t>
            </w:r>
          </w:p>
        </w:tc>
        <w:tc>
          <w:tcPr>
            <w:tcW w:w="2400" w:type="dxa"/>
            <w:vAlign w:val="bottom"/>
            <w:tcBorders>
              <w:right w:val="single" w:sz="8" w:color="D7D1CC"/>
            </w:tcBorders>
          </w:tcPr>
          <w:p>
            <w:pPr>
              <w:jc w:val="center"/>
              <w:spacing w:after="0"/>
              <w:rPr>
                <w:sz w:val="20"/>
                <w:szCs w:val="20"/>
                <w:color w:val="auto"/>
              </w:rPr>
            </w:pPr>
            <w:r>
              <w:rPr>
                <w:rFonts w:ascii="Arial" w:cs="Arial" w:eastAsia="Arial" w:hAnsi="Arial"/>
                <w:sz w:val="14"/>
                <w:szCs w:val="14"/>
                <w:b w:val="1"/>
                <w:bCs w:val="1"/>
                <w:color w:val="14202A"/>
              </w:rPr>
              <w:t xml:space="preserve">Goal: </w:t>
            </w:r>
            <w:r>
              <w:rPr>
                <w:rFonts w:ascii="Arial" w:cs="Arial" w:eastAsia="Arial" w:hAnsi="Arial"/>
                <w:sz w:val="14"/>
                <w:szCs w:val="14"/>
                <w:color w:val="14202A"/>
              </w:rPr>
              <w:t>Reduce absolute</w:t>
            </w:r>
          </w:p>
        </w:tc>
        <w:tc>
          <w:tcPr>
            <w:tcW w:w="2420" w:type="dxa"/>
            <w:vAlign w:val="bottom"/>
            <w:tcBorders>
              <w:right w:val="single" w:sz="8" w:color="D7D1CC"/>
            </w:tcBorders>
          </w:tcPr>
          <w:p>
            <w:pPr>
              <w:jc w:val="center"/>
              <w:spacing w:after="0"/>
              <w:rPr>
                <w:sz w:val="20"/>
                <w:szCs w:val="20"/>
                <w:color w:val="auto"/>
              </w:rPr>
            </w:pPr>
            <w:r>
              <w:rPr>
                <w:rFonts w:ascii="Arial" w:cs="Arial" w:eastAsia="Arial" w:hAnsi="Arial"/>
                <w:sz w:val="14"/>
                <w:szCs w:val="14"/>
                <w:b w:val="1"/>
                <w:bCs w:val="1"/>
                <w:color w:val="14202A"/>
              </w:rPr>
              <w:t xml:space="preserve">Goal: </w:t>
            </w:r>
            <w:r>
              <w:rPr>
                <w:rFonts w:ascii="Arial" w:cs="Arial" w:eastAsia="Arial" w:hAnsi="Arial"/>
                <w:sz w:val="14"/>
                <w:szCs w:val="14"/>
                <w:color w:val="14202A"/>
              </w:rPr>
              <w:t>Build a</w:t>
            </w:r>
            <w:r>
              <w:rPr>
                <w:rFonts w:ascii="Arial" w:cs="Arial" w:eastAsia="Arial" w:hAnsi="Arial"/>
                <w:sz w:val="14"/>
                <w:szCs w:val="14"/>
                <w:b w:val="1"/>
                <w:bCs w:val="1"/>
                <w:color w:val="14202A"/>
              </w:rPr>
              <w:t xml:space="preserve"> </w:t>
            </w:r>
            <w:r>
              <w:rPr>
                <w:rFonts w:ascii="Arial" w:cs="Arial" w:eastAsia="Arial" w:hAnsi="Arial"/>
                <w:sz w:val="14"/>
                <w:szCs w:val="14"/>
                <w:b w:val="1"/>
                <w:bCs w:val="1"/>
                <w:color w:val="DAD490"/>
              </w:rPr>
              <w:t>Lifecycle</w:t>
            </w:r>
          </w:p>
        </w:tc>
        <w:tc>
          <w:tcPr>
            <w:tcW w:w="2240" w:type="dxa"/>
            <w:vAlign w:val="bottom"/>
          </w:tcPr>
          <w:p>
            <w:pPr>
              <w:jc w:val="center"/>
              <w:ind w:left="67"/>
              <w:spacing w:after="0"/>
              <w:rPr>
                <w:sz w:val="20"/>
                <w:szCs w:val="20"/>
                <w:color w:val="auto"/>
              </w:rPr>
            </w:pPr>
            <w:r>
              <w:rPr>
                <w:rFonts w:ascii="Arial" w:cs="Arial" w:eastAsia="Arial" w:hAnsi="Arial"/>
                <w:sz w:val="14"/>
                <w:szCs w:val="14"/>
                <w:b w:val="1"/>
                <w:bCs w:val="1"/>
                <w:color w:val="14202A"/>
              </w:rPr>
              <w:t xml:space="preserve">Goal: </w:t>
            </w:r>
            <w:r>
              <w:rPr>
                <w:rFonts w:ascii="Arial" w:cs="Arial" w:eastAsia="Arial" w:hAnsi="Arial"/>
                <w:sz w:val="14"/>
                <w:szCs w:val="14"/>
                <w:color w:val="14202A"/>
              </w:rPr>
              <w:t>Reduce freshwater</w:t>
            </w:r>
          </w:p>
        </w:tc>
      </w:tr>
      <w:tr>
        <w:trPr>
          <w:trHeight w:val="162"/>
        </w:trPr>
        <w:tc>
          <w:tcPr>
            <w:tcW w:w="2160" w:type="dxa"/>
            <w:vAlign w:val="bottom"/>
            <w:tcBorders>
              <w:right w:val="single" w:sz="8" w:color="D7D1CC"/>
            </w:tcBorders>
          </w:tcPr>
          <w:p>
            <w:pPr>
              <w:jc w:val="center"/>
              <w:ind w:right="207"/>
              <w:spacing w:after="0"/>
              <w:rPr>
                <w:sz w:val="20"/>
                <w:szCs w:val="20"/>
                <w:color w:val="auto"/>
              </w:rPr>
            </w:pPr>
            <w:r>
              <w:rPr>
                <w:rFonts w:ascii="Arial" w:cs="Arial" w:eastAsia="Arial" w:hAnsi="Arial"/>
                <w:sz w:val="14"/>
                <w:szCs w:val="14"/>
                <w:color w:val="14202A"/>
              </w:rPr>
              <w:t>Waste to Landfill target</w:t>
            </w:r>
          </w:p>
        </w:tc>
        <w:tc>
          <w:tcPr>
            <w:tcW w:w="2400" w:type="dxa"/>
            <w:vAlign w:val="bottom"/>
            <w:tcBorders>
              <w:right w:val="single" w:sz="8" w:color="D7D1CC"/>
            </w:tcBorders>
          </w:tcPr>
          <w:p>
            <w:pPr>
              <w:jc w:val="center"/>
              <w:spacing w:after="0"/>
              <w:rPr>
                <w:sz w:val="20"/>
                <w:szCs w:val="20"/>
                <w:color w:val="auto"/>
              </w:rPr>
            </w:pPr>
            <w:r>
              <w:rPr>
                <w:rFonts w:ascii="Arial" w:cs="Arial" w:eastAsia="Arial" w:hAnsi="Arial"/>
                <w:sz w:val="14"/>
                <w:szCs w:val="14"/>
                <w:color w:val="14202A"/>
              </w:rPr>
              <w:t>greenhouse gas (“GHG”)</w:t>
            </w:r>
          </w:p>
        </w:tc>
        <w:tc>
          <w:tcPr>
            <w:tcW w:w="2420" w:type="dxa"/>
            <w:vAlign w:val="bottom"/>
            <w:tcBorders>
              <w:right w:val="single" w:sz="8" w:color="D7D1CC"/>
            </w:tcBorders>
          </w:tcPr>
          <w:p>
            <w:pPr>
              <w:jc w:val="center"/>
              <w:spacing w:after="0"/>
              <w:rPr>
                <w:sz w:val="20"/>
                <w:szCs w:val="20"/>
                <w:color w:val="auto"/>
              </w:rPr>
            </w:pPr>
            <w:r>
              <w:rPr>
                <w:rFonts w:ascii="Arial" w:cs="Arial" w:eastAsia="Arial" w:hAnsi="Arial"/>
                <w:sz w:val="14"/>
                <w:szCs w:val="14"/>
                <w:b w:val="1"/>
                <w:bCs w:val="1"/>
                <w:color w:val="DAD490"/>
              </w:rPr>
              <w:t xml:space="preserve">Assessment process </w:t>
            </w:r>
            <w:r>
              <w:rPr>
                <w:rFonts w:ascii="Arial" w:cs="Arial" w:eastAsia="Arial" w:hAnsi="Arial"/>
                <w:sz w:val="14"/>
                <w:szCs w:val="14"/>
                <w:color w:val="14202A"/>
              </w:rPr>
              <w:t>to</w:t>
            </w:r>
          </w:p>
        </w:tc>
        <w:tc>
          <w:tcPr>
            <w:tcW w:w="2240" w:type="dxa"/>
            <w:vAlign w:val="bottom"/>
          </w:tcPr>
          <w:p>
            <w:pPr>
              <w:jc w:val="center"/>
              <w:ind w:left="67"/>
              <w:spacing w:after="0"/>
              <w:rPr>
                <w:sz w:val="20"/>
                <w:szCs w:val="20"/>
                <w:color w:val="auto"/>
              </w:rPr>
            </w:pPr>
            <w:r>
              <w:rPr>
                <w:rFonts w:ascii="Arial" w:cs="Arial" w:eastAsia="Arial" w:hAnsi="Arial"/>
                <w:sz w:val="14"/>
                <w:szCs w:val="14"/>
                <w:color w:val="14202A"/>
              </w:rPr>
              <w:t xml:space="preserve">use by </w:t>
            </w:r>
            <w:r>
              <w:rPr>
                <w:rFonts w:ascii="Arial" w:cs="Arial" w:eastAsia="Arial" w:hAnsi="Arial"/>
                <w:sz w:val="14"/>
                <w:szCs w:val="14"/>
                <w:b w:val="1"/>
                <w:bCs w:val="1"/>
                <w:color w:val="DAD490"/>
              </w:rPr>
              <w:t>30%</w:t>
            </w:r>
            <w:r>
              <w:rPr>
                <w:rFonts w:ascii="Arial" w:cs="Arial" w:eastAsia="Arial" w:hAnsi="Arial"/>
                <w:sz w:val="14"/>
                <w:szCs w:val="14"/>
                <w:color w:val="14202A"/>
              </w:rPr>
              <w:t xml:space="preserve"> by </w:t>
            </w:r>
            <w:r>
              <w:rPr>
                <w:rFonts w:ascii="Arial" w:cs="Arial" w:eastAsia="Arial" w:hAnsi="Arial"/>
                <w:sz w:val="14"/>
                <w:szCs w:val="14"/>
                <w:b w:val="1"/>
                <w:bCs w:val="1"/>
                <w:color w:val="DAD490"/>
              </w:rPr>
              <w:t>2030</w:t>
            </w:r>
          </w:p>
        </w:tc>
      </w:tr>
      <w:tr>
        <w:trPr>
          <w:trHeight w:val="162"/>
        </w:trPr>
        <w:tc>
          <w:tcPr>
            <w:tcW w:w="2160" w:type="dxa"/>
            <w:vAlign w:val="bottom"/>
            <w:tcBorders>
              <w:right w:val="single" w:sz="8" w:color="D7D1CC"/>
            </w:tcBorders>
          </w:tcPr>
          <w:p>
            <w:pPr>
              <w:jc w:val="center"/>
              <w:ind w:right="207"/>
              <w:spacing w:after="0"/>
              <w:rPr>
                <w:sz w:val="20"/>
                <w:szCs w:val="20"/>
                <w:color w:val="auto"/>
              </w:rPr>
            </w:pPr>
            <w:r>
              <w:rPr>
                <w:rFonts w:ascii="Arial" w:cs="Arial" w:eastAsia="Arial" w:hAnsi="Arial"/>
                <w:sz w:val="14"/>
                <w:szCs w:val="14"/>
                <w:color w:val="14202A"/>
              </w:rPr>
              <w:t xml:space="preserve">of </w:t>
            </w:r>
            <w:r>
              <w:rPr>
                <w:rFonts w:ascii="Arial" w:cs="Arial" w:eastAsia="Arial" w:hAnsi="Arial"/>
                <w:sz w:val="14"/>
                <w:szCs w:val="14"/>
                <w:b w:val="1"/>
                <w:bCs w:val="1"/>
                <w:color w:val="DAD490"/>
              </w:rPr>
              <w:t>90%</w:t>
            </w:r>
            <w:r>
              <w:rPr>
                <w:rFonts w:ascii="Arial" w:cs="Arial" w:eastAsia="Arial" w:hAnsi="Arial"/>
                <w:sz w:val="14"/>
                <w:szCs w:val="14"/>
                <w:color w:val="14202A"/>
              </w:rPr>
              <w:t xml:space="preserve"> diversion of waste</w:t>
            </w:r>
          </w:p>
        </w:tc>
        <w:tc>
          <w:tcPr>
            <w:tcW w:w="2400" w:type="dxa"/>
            <w:vAlign w:val="bottom"/>
            <w:tcBorders>
              <w:right w:val="single" w:sz="8" w:color="D7D1CC"/>
            </w:tcBorders>
          </w:tcPr>
          <w:p>
            <w:pPr>
              <w:jc w:val="center"/>
              <w:spacing w:after="0"/>
              <w:rPr>
                <w:sz w:val="20"/>
                <w:szCs w:val="20"/>
                <w:color w:val="auto"/>
              </w:rPr>
            </w:pPr>
            <w:r>
              <w:rPr>
                <w:rFonts w:ascii="Arial" w:cs="Arial" w:eastAsia="Arial" w:hAnsi="Arial"/>
                <w:sz w:val="14"/>
                <w:szCs w:val="14"/>
                <w:color w:val="14202A"/>
              </w:rPr>
              <w:t>emissions by at least</w:t>
            </w:r>
          </w:p>
        </w:tc>
        <w:tc>
          <w:tcPr>
            <w:tcW w:w="2420" w:type="dxa"/>
            <w:vAlign w:val="bottom"/>
            <w:tcBorders>
              <w:right w:val="single" w:sz="8" w:color="D7D1CC"/>
            </w:tcBorders>
          </w:tcPr>
          <w:p>
            <w:pPr>
              <w:jc w:val="center"/>
              <w:spacing w:after="0"/>
              <w:rPr>
                <w:sz w:val="20"/>
                <w:szCs w:val="20"/>
                <w:color w:val="auto"/>
              </w:rPr>
            </w:pPr>
            <w:r>
              <w:rPr>
                <w:rFonts w:ascii="Arial" w:cs="Arial" w:eastAsia="Arial" w:hAnsi="Arial"/>
                <w:sz w:val="14"/>
                <w:szCs w:val="14"/>
                <w:color w:val="14202A"/>
              </w:rPr>
              <w:t>address upstream and</w:t>
            </w:r>
          </w:p>
        </w:tc>
        <w:tc>
          <w:tcPr>
            <w:tcW w:w="2240" w:type="dxa"/>
            <w:vAlign w:val="bottom"/>
          </w:tcPr>
          <w:p>
            <w:pPr>
              <w:ind w:left="1120"/>
              <w:spacing w:after="0"/>
              <w:rPr>
                <w:sz w:val="20"/>
                <w:szCs w:val="20"/>
                <w:color w:val="auto"/>
              </w:rPr>
            </w:pPr>
            <w:r>
              <w:rPr>
                <w:rFonts w:ascii="Arial" w:cs="Arial" w:eastAsia="Arial" w:hAnsi="Arial"/>
                <w:sz w:val="14"/>
                <w:szCs w:val="14"/>
                <w:color w:val="14202A"/>
              </w:rPr>
              <w:t> </w:t>
            </w:r>
          </w:p>
        </w:tc>
      </w:tr>
      <w:tr>
        <w:trPr>
          <w:trHeight w:val="162"/>
        </w:trPr>
        <w:tc>
          <w:tcPr>
            <w:tcW w:w="2160" w:type="dxa"/>
            <w:vAlign w:val="bottom"/>
            <w:tcBorders>
              <w:right w:val="single" w:sz="8" w:color="D7D1CC"/>
            </w:tcBorders>
          </w:tcPr>
          <w:p>
            <w:pPr>
              <w:jc w:val="center"/>
              <w:ind w:right="167"/>
              <w:spacing w:after="0"/>
              <w:rPr>
                <w:sz w:val="20"/>
                <w:szCs w:val="20"/>
                <w:color w:val="auto"/>
              </w:rPr>
            </w:pPr>
            <w:r>
              <w:rPr>
                <w:rFonts w:ascii="Arial" w:cs="Arial" w:eastAsia="Arial" w:hAnsi="Arial"/>
                <w:sz w:val="14"/>
                <w:szCs w:val="14"/>
                <w:color w:val="14202A"/>
              </w:rPr>
              <w:t xml:space="preserve">from landfills by </w:t>
            </w:r>
            <w:r>
              <w:rPr>
                <w:rFonts w:ascii="Arial" w:cs="Arial" w:eastAsia="Arial" w:hAnsi="Arial"/>
                <w:sz w:val="14"/>
                <w:szCs w:val="14"/>
                <w:b w:val="1"/>
                <w:bCs w:val="1"/>
                <w:color w:val="DAD490"/>
              </w:rPr>
              <w:t>2030</w:t>
            </w:r>
          </w:p>
        </w:tc>
        <w:tc>
          <w:tcPr>
            <w:tcW w:w="2400" w:type="dxa"/>
            <w:vAlign w:val="bottom"/>
            <w:tcBorders>
              <w:right w:val="single" w:sz="8" w:color="D7D1CC"/>
            </w:tcBorders>
          </w:tcPr>
          <w:p>
            <w:pPr>
              <w:jc w:val="center"/>
              <w:spacing w:after="0"/>
              <w:rPr>
                <w:sz w:val="20"/>
                <w:szCs w:val="20"/>
                <w:color w:val="auto"/>
              </w:rPr>
            </w:pPr>
            <w:r>
              <w:rPr>
                <w:rFonts w:ascii="Arial" w:cs="Arial" w:eastAsia="Arial" w:hAnsi="Arial"/>
                <w:sz w:val="14"/>
                <w:szCs w:val="14"/>
                <w:b w:val="1"/>
                <w:bCs w:val="1"/>
                <w:color w:val="DAD490"/>
              </w:rPr>
              <w:t xml:space="preserve">50% </w:t>
            </w:r>
            <w:r>
              <w:rPr>
                <w:rFonts w:ascii="Arial" w:cs="Arial" w:eastAsia="Arial" w:hAnsi="Arial"/>
                <w:sz w:val="14"/>
                <w:szCs w:val="14"/>
                <w:color w:val="14202A"/>
              </w:rPr>
              <w:t>by</w:t>
            </w:r>
            <w:r>
              <w:rPr>
                <w:rFonts w:ascii="Arial" w:cs="Arial" w:eastAsia="Arial" w:hAnsi="Arial"/>
                <w:sz w:val="14"/>
                <w:szCs w:val="14"/>
                <w:b w:val="1"/>
                <w:bCs w:val="1"/>
                <w:color w:val="DAD490"/>
              </w:rPr>
              <w:t xml:space="preserve"> 2030</w:t>
            </w:r>
          </w:p>
        </w:tc>
        <w:tc>
          <w:tcPr>
            <w:tcW w:w="2420" w:type="dxa"/>
            <w:vAlign w:val="bottom"/>
            <w:tcBorders>
              <w:right w:val="single" w:sz="8" w:color="D7D1CC"/>
            </w:tcBorders>
          </w:tcPr>
          <w:p>
            <w:pPr>
              <w:jc w:val="center"/>
              <w:spacing w:after="0"/>
              <w:rPr>
                <w:sz w:val="20"/>
                <w:szCs w:val="20"/>
                <w:color w:val="auto"/>
              </w:rPr>
            </w:pPr>
            <w:r>
              <w:rPr>
                <w:rFonts w:ascii="Arial" w:cs="Arial" w:eastAsia="Arial" w:hAnsi="Arial"/>
                <w:sz w:val="14"/>
                <w:szCs w:val="14"/>
                <w:color w:val="14202A"/>
              </w:rPr>
              <w:t>downstream environmental</w:t>
            </w:r>
          </w:p>
        </w:tc>
        <w:tc>
          <w:tcPr>
            <w:tcW w:w="2240" w:type="dxa"/>
            <w:vAlign w:val="bottom"/>
          </w:tcPr>
          <w:p>
            <w:pPr>
              <w:jc w:val="center"/>
              <w:ind w:left="67"/>
              <w:spacing w:after="0"/>
              <w:rPr>
                <w:sz w:val="20"/>
                <w:szCs w:val="20"/>
                <w:color w:val="auto"/>
              </w:rPr>
            </w:pPr>
            <w:r>
              <w:rPr>
                <w:rFonts w:ascii="Arial" w:cs="Arial" w:eastAsia="Arial" w:hAnsi="Arial"/>
                <w:sz w:val="14"/>
                <w:szCs w:val="14"/>
                <w:color w:val="14202A"/>
              </w:rPr>
              <w:t>Managing our water usage</w:t>
            </w:r>
          </w:p>
        </w:tc>
      </w:tr>
      <w:tr>
        <w:trPr>
          <w:trHeight w:val="162"/>
        </w:trPr>
        <w:tc>
          <w:tcPr>
            <w:tcW w:w="2160" w:type="dxa"/>
            <w:vAlign w:val="bottom"/>
            <w:tcBorders>
              <w:right w:val="single" w:sz="8" w:color="D7D1CC"/>
            </w:tcBorders>
          </w:tcPr>
          <w:p>
            <w:pPr>
              <w:ind w:left="880"/>
              <w:spacing w:after="0"/>
              <w:rPr>
                <w:sz w:val="20"/>
                <w:szCs w:val="20"/>
                <w:color w:val="auto"/>
              </w:rPr>
            </w:pPr>
            <w:r>
              <w:rPr>
                <w:rFonts w:ascii="Arial" w:cs="Arial" w:eastAsia="Arial" w:hAnsi="Arial"/>
                <w:sz w:val="14"/>
                <w:szCs w:val="14"/>
                <w:color w:val="14202A"/>
              </w:rPr>
              <w:t> </w:t>
            </w:r>
          </w:p>
        </w:tc>
        <w:tc>
          <w:tcPr>
            <w:tcW w:w="2400" w:type="dxa"/>
            <w:vAlign w:val="bottom"/>
            <w:tcBorders>
              <w:right w:val="single" w:sz="8" w:color="D7D1CC"/>
            </w:tcBorders>
          </w:tcPr>
          <w:p>
            <w:pPr>
              <w:ind w:left="1120"/>
              <w:spacing w:after="0"/>
              <w:rPr>
                <w:sz w:val="20"/>
                <w:szCs w:val="20"/>
                <w:color w:val="auto"/>
              </w:rPr>
            </w:pPr>
            <w:r>
              <w:rPr>
                <w:rFonts w:ascii="Arial" w:cs="Arial" w:eastAsia="Arial" w:hAnsi="Arial"/>
                <w:sz w:val="14"/>
                <w:szCs w:val="14"/>
                <w:color w:val="14202A"/>
              </w:rPr>
              <w:t> </w:t>
            </w:r>
          </w:p>
        </w:tc>
        <w:tc>
          <w:tcPr>
            <w:tcW w:w="2420" w:type="dxa"/>
            <w:vAlign w:val="bottom"/>
            <w:tcBorders>
              <w:right w:val="single" w:sz="8" w:color="D7D1CC"/>
            </w:tcBorders>
          </w:tcPr>
          <w:p>
            <w:pPr>
              <w:jc w:val="center"/>
              <w:ind w:right="7"/>
              <w:spacing w:after="0"/>
              <w:rPr>
                <w:sz w:val="20"/>
                <w:szCs w:val="20"/>
                <w:color w:val="auto"/>
              </w:rPr>
            </w:pPr>
            <w:r>
              <w:rPr>
                <w:rFonts w:ascii="Arial" w:cs="Arial" w:eastAsia="Arial" w:hAnsi="Arial"/>
                <w:sz w:val="14"/>
                <w:szCs w:val="14"/>
                <w:color w:val="14202A"/>
              </w:rPr>
              <w:t>impacts on our product</w:t>
            </w:r>
          </w:p>
        </w:tc>
        <w:tc>
          <w:tcPr>
            <w:tcW w:w="2240" w:type="dxa"/>
            <w:vAlign w:val="bottom"/>
          </w:tcPr>
          <w:p>
            <w:pPr>
              <w:jc w:val="center"/>
              <w:ind w:left="67"/>
              <w:spacing w:after="0"/>
              <w:rPr>
                <w:sz w:val="20"/>
                <w:szCs w:val="20"/>
                <w:color w:val="auto"/>
              </w:rPr>
            </w:pPr>
            <w:r>
              <w:rPr>
                <w:rFonts w:ascii="Arial" w:cs="Arial" w:eastAsia="Arial" w:hAnsi="Arial"/>
                <w:sz w:val="14"/>
                <w:szCs w:val="14"/>
                <w:color w:val="14202A"/>
              </w:rPr>
              <w:t>through a combination of training</w:t>
            </w:r>
          </w:p>
        </w:tc>
      </w:tr>
      <w:tr>
        <w:trPr>
          <w:trHeight w:val="162"/>
        </w:trPr>
        <w:tc>
          <w:tcPr>
            <w:tcW w:w="2160" w:type="dxa"/>
            <w:vAlign w:val="bottom"/>
            <w:tcBorders>
              <w:right w:val="single" w:sz="8" w:color="D7D1CC"/>
            </w:tcBorders>
          </w:tcPr>
          <w:p>
            <w:pPr>
              <w:jc w:val="center"/>
              <w:ind w:right="187"/>
              <w:spacing w:after="0"/>
              <w:rPr>
                <w:sz w:val="20"/>
                <w:szCs w:val="20"/>
                <w:color w:val="auto"/>
              </w:rPr>
            </w:pPr>
            <w:r>
              <w:rPr>
                <w:rFonts w:ascii="Arial" w:cs="Arial" w:eastAsia="Arial" w:hAnsi="Arial"/>
                <w:sz w:val="14"/>
                <w:szCs w:val="14"/>
                <w:color w:val="14202A"/>
              </w:rPr>
              <w:t>Initiated multiple sustainability</w:t>
            </w:r>
          </w:p>
        </w:tc>
        <w:tc>
          <w:tcPr>
            <w:tcW w:w="2400" w:type="dxa"/>
            <w:vAlign w:val="bottom"/>
            <w:tcBorders>
              <w:right w:val="single" w:sz="8" w:color="D7D1CC"/>
            </w:tcBorders>
          </w:tcPr>
          <w:p>
            <w:pPr>
              <w:jc w:val="center"/>
              <w:spacing w:after="0"/>
              <w:rPr>
                <w:sz w:val="20"/>
                <w:szCs w:val="20"/>
                <w:color w:val="auto"/>
              </w:rPr>
            </w:pPr>
            <w:r>
              <w:rPr>
                <w:rFonts w:ascii="Arial" w:cs="Arial" w:eastAsia="Arial" w:hAnsi="Arial"/>
                <w:sz w:val="14"/>
                <w:szCs w:val="14"/>
                <w:color w:val="14202A"/>
              </w:rPr>
              <w:t>Scored a “B–” on our latest</w:t>
            </w:r>
          </w:p>
        </w:tc>
        <w:tc>
          <w:tcPr>
            <w:tcW w:w="2420" w:type="dxa"/>
            <w:vAlign w:val="bottom"/>
            <w:tcBorders>
              <w:right w:val="single" w:sz="8" w:color="D7D1CC"/>
            </w:tcBorders>
          </w:tcPr>
          <w:p>
            <w:pPr>
              <w:jc w:val="center"/>
              <w:spacing w:after="0"/>
              <w:rPr>
                <w:sz w:val="20"/>
                <w:szCs w:val="20"/>
                <w:color w:val="auto"/>
              </w:rPr>
            </w:pPr>
            <w:r>
              <w:rPr>
                <w:rFonts w:ascii="Arial" w:cs="Arial" w:eastAsia="Arial" w:hAnsi="Arial"/>
                <w:sz w:val="14"/>
                <w:szCs w:val="14"/>
                <w:color w:val="14202A"/>
              </w:rPr>
              <w:t xml:space="preserve">lines by </w:t>
            </w:r>
            <w:r>
              <w:rPr>
                <w:rFonts w:ascii="Arial" w:cs="Arial" w:eastAsia="Arial" w:hAnsi="Arial"/>
                <w:sz w:val="14"/>
                <w:szCs w:val="14"/>
                <w:b w:val="1"/>
                <w:bCs w:val="1"/>
                <w:color w:val="DAD490"/>
              </w:rPr>
              <w:t>2030</w:t>
            </w:r>
          </w:p>
        </w:tc>
        <w:tc>
          <w:tcPr>
            <w:tcW w:w="2240" w:type="dxa"/>
            <w:vAlign w:val="bottom"/>
          </w:tcPr>
          <w:p>
            <w:pPr>
              <w:jc w:val="center"/>
              <w:ind w:left="67"/>
              <w:spacing w:after="0"/>
              <w:rPr>
                <w:sz w:val="20"/>
                <w:szCs w:val="20"/>
                <w:color w:val="auto"/>
              </w:rPr>
            </w:pPr>
            <w:r>
              <w:rPr>
                <w:rFonts w:ascii="Arial" w:cs="Arial" w:eastAsia="Arial" w:hAnsi="Arial"/>
                <w:sz w:val="14"/>
                <w:szCs w:val="14"/>
                <w:color w:val="14202A"/>
              </w:rPr>
              <w:t>on water stewardship and leak</w:t>
            </w:r>
          </w:p>
        </w:tc>
      </w:tr>
      <w:tr>
        <w:trPr>
          <w:trHeight w:val="162"/>
        </w:trPr>
        <w:tc>
          <w:tcPr>
            <w:tcW w:w="2160" w:type="dxa"/>
            <w:vAlign w:val="bottom"/>
            <w:tcBorders>
              <w:right w:val="single" w:sz="8" w:color="D7D1CC"/>
            </w:tcBorders>
          </w:tcPr>
          <w:p>
            <w:pPr>
              <w:jc w:val="center"/>
              <w:ind w:right="167"/>
              <w:spacing w:after="0"/>
              <w:rPr>
                <w:sz w:val="20"/>
                <w:szCs w:val="20"/>
                <w:color w:val="auto"/>
              </w:rPr>
            </w:pPr>
            <w:r>
              <w:rPr>
                <w:rFonts w:ascii="Arial" w:cs="Arial" w:eastAsia="Arial" w:hAnsi="Arial"/>
                <w:sz w:val="14"/>
                <w:szCs w:val="14"/>
                <w:color w:val="14202A"/>
              </w:rPr>
              <w:t>projects across the entire</w:t>
            </w:r>
          </w:p>
        </w:tc>
        <w:tc>
          <w:tcPr>
            <w:tcW w:w="2400" w:type="dxa"/>
            <w:vAlign w:val="bottom"/>
            <w:tcBorders>
              <w:right w:val="single" w:sz="8" w:color="D7D1CC"/>
            </w:tcBorders>
          </w:tcPr>
          <w:p>
            <w:pPr>
              <w:jc w:val="center"/>
              <w:spacing w:after="0"/>
              <w:rPr>
                <w:sz w:val="20"/>
                <w:szCs w:val="20"/>
                <w:color w:val="auto"/>
              </w:rPr>
            </w:pPr>
            <w:r>
              <w:rPr>
                <w:rFonts w:ascii="Arial" w:cs="Arial" w:eastAsia="Arial" w:hAnsi="Arial"/>
                <w:sz w:val="14"/>
                <w:szCs w:val="14"/>
                <w:color w:val="14202A"/>
              </w:rPr>
              <w:t>submission to CDP</w:t>
            </w:r>
          </w:p>
        </w:tc>
        <w:tc>
          <w:tcPr>
            <w:tcW w:w="2420" w:type="dxa"/>
            <w:vAlign w:val="bottom"/>
            <w:tcBorders>
              <w:right w:val="single" w:sz="8" w:color="D7D1CC"/>
            </w:tcBorders>
          </w:tcPr>
          <w:p>
            <w:pPr>
              <w:ind w:left="1120"/>
              <w:spacing w:after="0"/>
              <w:rPr>
                <w:sz w:val="20"/>
                <w:szCs w:val="20"/>
                <w:color w:val="auto"/>
              </w:rPr>
            </w:pPr>
            <w:r>
              <w:rPr>
                <w:rFonts w:ascii="Arial" w:cs="Arial" w:eastAsia="Arial" w:hAnsi="Arial"/>
                <w:sz w:val="14"/>
                <w:szCs w:val="14"/>
                <w:color w:val="14202A"/>
              </w:rPr>
              <w:t> </w:t>
            </w:r>
          </w:p>
        </w:tc>
        <w:tc>
          <w:tcPr>
            <w:tcW w:w="2240" w:type="dxa"/>
            <w:vAlign w:val="bottom"/>
          </w:tcPr>
          <w:p>
            <w:pPr>
              <w:jc w:val="center"/>
              <w:ind w:left="27"/>
              <w:spacing w:after="0"/>
              <w:rPr>
                <w:sz w:val="20"/>
                <w:szCs w:val="20"/>
                <w:color w:val="auto"/>
              </w:rPr>
            </w:pPr>
            <w:r>
              <w:rPr>
                <w:rFonts w:ascii="Arial" w:cs="Arial" w:eastAsia="Arial" w:hAnsi="Arial"/>
                <w:sz w:val="14"/>
                <w:szCs w:val="14"/>
                <w:color w:val="14202A"/>
              </w:rPr>
              <w:t>detection preventative</w:t>
            </w:r>
          </w:p>
        </w:tc>
      </w:tr>
      <w:tr>
        <w:trPr>
          <w:trHeight w:val="162"/>
        </w:trPr>
        <w:tc>
          <w:tcPr>
            <w:tcW w:w="2160" w:type="dxa"/>
            <w:vAlign w:val="bottom"/>
            <w:tcBorders>
              <w:right w:val="single" w:sz="8" w:color="D7D1CC"/>
            </w:tcBorders>
          </w:tcPr>
          <w:p>
            <w:pPr>
              <w:jc w:val="center"/>
              <w:ind w:right="187"/>
              <w:spacing w:after="0"/>
              <w:rPr>
                <w:sz w:val="20"/>
                <w:szCs w:val="20"/>
                <w:color w:val="auto"/>
              </w:rPr>
            </w:pPr>
            <w:r>
              <w:rPr>
                <w:rFonts w:ascii="Arial" w:cs="Arial" w:eastAsia="Arial" w:hAnsi="Arial"/>
                <w:sz w:val="14"/>
                <w:szCs w:val="14"/>
                <w:color w:val="14202A"/>
              </w:rPr>
              <w:t>enterprise representing waste</w:t>
            </w:r>
          </w:p>
        </w:tc>
        <w:tc>
          <w:tcPr>
            <w:tcW w:w="2400" w:type="dxa"/>
            <w:vAlign w:val="bottom"/>
            <w:tcBorders>
              <w:right w:val="single" w:sz="8" w:color="D7D1CC"/>
            </w:tcBorders>
          </w:tcPr>
          <w:p>
            <w:pPr>
              <w:spacing w:after="0"/>
              <w:rPr>
                <w:sz w:val="14"/>
                <w:szCs w:val="14"/>
                <w:color w:val="auto"/>
              </w:rPr>
            </w:pPr>
          </w:p>
        </w:tc>
        <w:tc>
          <w:tcPr>
            <w:tcW w:w="2420" w:type="dxa"/>
            <w:vAlign w:val="bottom"/>
            <w:tcBorders>
              <w:right w:val="single" w:sz="8" w:color="D7D1CC"/>
            </w:tcBorders>
          </w:tcPr>
          <w:p>
            <w:pPr>
              <w:jc w:val="center"/>
              <w:spacing w:after="0"/>
              <w:rPr>
                <w:sz w:val="20"/>
                <w:szCs w:val="20"/>
                <w:color w:val="auto"/>
              </w:rPr>
            </w:pPr>
            <w:r>
              <w:rPr>
                <w:rFonts w:ascii="Arial" w:cs="Arial" w:eastAsia="Arial" w:hAnsi="Arial"/>
                <w:sz w:val="14"/>
                <w:szCs w:val="14"/>
                <w:color w:val="14202A"/>
              </w:rPr>
              <w:t>Increased use of composite wood</w:t>
            </w:r>
          </w:p>
        </w:tc>
        <w:tc>
          <w:tcPr>
            <w:tcW w:w="2240" w:type="dxa"/>
            <w:vAlign w:val="bottom"/>
          </w:tcPr>
          <w:p>
            <w:pPr>
              <w:jc w:val="center"/>
              <w:ind w:left="67"/>
              <w:spacing w:after="0"/>
              <w:rPr>
                <w:sz w:val="20"/>
                <w:szCs w:val="20"/>
                <w:color w:val="auto"/>
              </w:rPr>
            </w:pPr>
            <w:r>
              <w:rPr>
                <w:rFonts w:ascii="Arial" w:cs="Arial" w:eastAsia="Arial" w:hAnsi="Arial"/>
                <w:sz w:val="14"/>
                <w:szCs w:val="14"/>
                <w:color w:val="14202A"/>
              </w:rPr>
              <w:t>maintenance.</w:t>
            </w:r>
          </w:p>
        </w:tc>
      </w:tr>
      <w:tr>
        <w:trPr>
          <w:trHeight w:val="162"/>
        </w:trPr>
        <w:tc>
          <w:tcPr>
            <w:tcW w:w="2160" w:type="dxa"/>
            <w:vAlign w:val="bottom"/>
            <w:tcBorders>
              <w:right w:val="single" w:sz="8" w:color="D7D1CC"/>
            </w:tcBorders>
          </w:tcPr>
          <w:p>
            <w:pPr>
              <w:spacing w:after="0"/>
              <w:rPr>
                <w:sz w:val="20"/>
                <w:szCs w:val="20"/>
                <w:color w:val="auto"/>
              </w:rPr>
            </w:pPr>
            <w:r>
              <w:rPr>
                <w:rFonts w:ascii="Arial" w:cs="Arial" w:eastAsia="Arial" w:hAnsi="Arial"/>
                <w:sz w:val="14"/>
                <w:szCs w:val="14"/>
                <w:color w:val="14202A"/>
              </w:rPr>
              <w:t>reduction, reduced pulls to the</w:t>
            </w:r>
          </w:p>
        </w:tc>
        <w:tc>
          <w:tcPr>
            <w:tcW w:w="2400" w:type="dxa"/>
            <w:vAlign w:val="bottom"/>
            <w:tcBorders>
              <w:right w:val="single" w:sz="8" w:color="D7D1CC"/>
            </w:tcBorders>
          </w:tcPr>
          <w:p>
            <w:pPr>
              <w:spacing w:after="0"/>
              <w:rPr>
                <w:sz w:val="14"/>
                <w:szCs w:val="14"/>
                <w:color w:val="auto"/>
              </w:rPr>
            </w:pPr>
          </w:p>
        </w:tc>
        <w:tc>
          <w:tcPr>
            <w:tcW w:w="2420" w:type="dxa"/>
            <w:vAlign w:val="bottom"/>
            <w:tcBorders>
              <w:right w:val="single" w:sz="8" w:color="D7D1CC"/>
            </w:tcBorders>
          </w:tcPr>
          <w:p>
            <w:pPr>
              <w:jc w:val="center"/>
              <w:spacing w:after="0"/>
              <w:rPr>
                <w:sz w:val="20"/>
                <w:szCs w:val="20"/>
                <w:color w:val="auto"/>
              </w:rPr>
            </w:pPr>
            <w:r>
              <w:rPr>
                <w:rFonts w:ascii="Arial" w:cs="Arial" w:eastAsia="Arial" w:hAnsi="Arial"/>
                <w:sz w:val="14"/>
                <w:szCs w:val="14"/>
                <w:color w:val="14202A"/>
              </w:rPr>
              <w:t>to reduce reliance on traditionally</w:t>
            </w:r>
          </w:p>
        </w:tc>
        <w:tc>
          <w:tcPr>
            <w:tcW w:w="2240" w:type="dxa"/>
            <w:vAlign w:val="bottom"/>
          </w:tcPr>
          <w:p>
            <w:pPr>
              <w:spacing w:after="0"/>
              <w:rPr>
                <w:sz w:val="14"/>
                <w:szCs w:val="14"/>
                <w:color w:val="auto"/>
              </w:rPr>
            </w:pPr>
          </w:p>
        </w:tc>
      </w:tr>
      <w:tr>
        <w:trPr>
          <w:trHeight w:val="185"/>
        </w:trPr>
        <w:tc>
          <w:tcPr>
            <w:tcW w:w="2160" w:type="dxa"/>
            <w:vAlign w:val="bottom"/>
            <w:tcBorders>
              <w:right w:val="single" w:sz="8" w:color="D7D1CC"/>
            </w:tcBorders>
          </w:tcPr>
          <w:p>
            <w:pPr>
              <w:jc w:val="center"/>
              <w:ind w:right="167"/>
              <w:spacing w:after="0"/>
              <w:rPr>
                <w:sz w:val="20"/>
                <w:szCs w:val="20"/>
                <w:color w:val="auto"/>
              </w:rPr>
            </w:pPr>
            <w:r>
              <w:rPr>
                <w:rFonts w:ascii="Arial" w:cs="Arial" w:eastAsia="Arial" w:hAnsi="Arial"/>
                <w:sz w:val="14"/>
                <w:szCs w:val="14"/>
                <w:color w:val="14202A"/>
              </w:rPr>
              <w:t>landfill, and energy reduction.</w:t>
            </w:r>
          </w:p>
        </w:tc>
        <w:tc>
          <w:tcPr>
            <w:tcW w:w="2400" w:type="dxa"/>
            <w:vAlign w:val="bottom"/>
            <w:tcBorders>
              <w:right w:val="single" w:sz="8" w:color="D7D1CC"/>
            </w:tcBorders>
          </w:tcPr>
          <w:p>
            <w:pPr>
              <w:spacing w:after="0"/>
              <w:rPr>
                <w:sz w:val="16"/>
                <w:szCs w:val="16"/>
                <w:color w:val="auto"/>
              </w:rPr>
            </w:pPr>
          </w:p>
        </w:tc>
        <w:tc>
          <w:tcPr>
            <w:tcW w:w="2420" w:type="dxa"/>
            <w:vAlign w:val="bottom"/>
            <w:tcBorders>
              <w:right w:val="single" w:sz="8" w:color="D7D1CC"/>
            </w:tcBorders>
          </w:tcPr>
          <w:p>
            <w:pPr>
              <w:jc w:val="center"/>
              <w:spacing w:after="0"/>
              <w:rPr>
                <w:sz w:val="20"/>
                <w:szCs w:val="20"/>
                <w:color w:val="auto"/>
              </w:rPr>
            </w:pPr>
            <w:r>
              <w:rPr>
                <w:rFonts w:ascii="Arial" w:cs="Arial" w:eastAsia="Arial" w:hAnsi="Arial"/>
                <w:sz w:val="14"/>
                <w:szCs w:val="14"/>
                <w:color w:val="14202A"/>
              </w:rPr>
              <w:t>sourced wood.</w:t>
            </w:r>
          </w:p>
        </w:tc>
        <w:tc>
          <w:tcPr>
            <w:tcW w:w="22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-7620</wp:posOffset>
            </wp:positionV>
            <wp:extent cx="8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-7620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68580</wp:posOffset>
            </wp:positionV>
            <wp:extent cx="630936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09360" cy="68580"/>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-1499235</wp:posOffset>
            </wp:positionV>
            <wp:extent cx="291465" cy="3683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1465" cy="36830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-1499235</wp:posOffset>
            </wp:positionV>
            <wp:extent cx="428625" cy="368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8625" cy="368300"/>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-1499235</wp:posOffset>
            </wp:positionV>
            <wp:extent cx="394335" cy="3683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94335" cy="368300"/>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-1499235</wp:posOffset>
            </wp:positionV>
            <wp:extent cx="368300" cy="308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8300" cy="30861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sz w:val="1"/>
          <w:szCs w:val="1"/>
          <w:color w:val="auto"/>
        </w:rPr>
        <w:drawing>
          <wp:inline distT="0" distB="0" distL="0" distR="0">
            <wp:extent cx="68580" cy="26606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266065"/>
                    </a:xfrm>
                    <a:prstGeom prst="rect">
                      <a:avLst/>
                    </a:prstGeom>
                    <a:noFill/>
                    <a:ln>
                      <a:noFill/>
                    </a:ln>
                  </pic:spPr>
                </pic:pic>
              </a:graphicData>
            </a:graphic>
          </wp:inline>
        </w:drawing>
      </w:r>
      <w:r>
        <w:rPr>
          <w:rFonts w:ascii="Arial" w:cs="Arial" w:eastAsia="Arial" w:hAnsi="Arial"/>
          <w:sz w:val="23"/>
          <w:szCs w:val="23"/>
          <w:b w:val="1"/>
          <w:bCs w:val="1"/>
          <w:color w:val="14202A"/>
        </w:rPr>
        <w:t xml:space="preserve"> COMMUNITY DRIVEN</w:t>
      </w:r>
      <w:r>
        <w:rPr>
          <w:rFonts w:ascii="Arial" w:cs="Arial" w:eastAsia="Arial" w:hAnsi="Arial"/>
          <w:sz w:val="16"/>
          <w:szCs w:val="16"/>
          <w:color w:val="14202A"/>
        </w:rPr>
        <w:t xml:space="preserve">    Contribute to the places we call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-196850</wp:posOffset>
            </wp:positionV>
            <wp:extent cx="6240780" cy="685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40780" cy="685800"/>
                    </a:xfrm>
                    <a:prstGeom prst="rect">
                      <a:avLst/>
                    </a:prstGeom>
                    <a:noFill/>
                  </pic:spPr>
                </pic:pic>
              </a:graphicData>
            </a:graphic>
          </wp:anchor>
        </w:drawing>
      </w:r>
    </w:p>
    <w:p>
      <w:pPr>
        <w:spacing w:after="0" w:line="88" w:lineRule="exact"/>
        <w:rPr>
          <w:sz w:val="20"/>
          <w:szCs w:val="20"/>
          <w:color w:val="auto"/>
        </w:rPr>
      </w:pPr>
    </w:p>
    <w:tbl>
      <w:tblPr>
        <w:tblLayout w:type="fixed"/>
        <w:tblInd w:w="160" w:type="dxa"/>
        <w:tblCellMar>
          <w:top w:w="0" w:type="dxa"/>
          <w:left w:w="0" w:type="dxa"/>
          <w:bottom w:w="0" w:type="dxa"/>
          <w:right w:w="0" w:type="dxa"/>
        </w:tblCellMar>
      </w:tblPr>
      <w:tr>
        <w:trPr>
          <w:trHeight w:val="673"/>
        </w:trPr>
        <w:tc>
          <w:tcPr>
            <w:tcW w:w="4820" w:type="dxa"/>
            <w:vAlign w:val="bottom"/>
            <w:tcBorders>
              <w:right w:val="single" w:sz="8" w:color="DAD490"/>
            </w:tcBorders>
            <w:gridSpan w:val="2"/>
            <w:vMerge w:val="restart"/>
          </w:tcPr>
          <w:p>
            <w:pPr>
              <w:spacing w:after="0"/>
              <w:rPr>
                <w:sz w:val="20"/>
                <w:szCs w:val="20"/>
                <w:color w:val="auto"/>
              </w:rPr>
            </w:pPr>
            <w:r>
              <w:rPr>
                <w:rFonts w:ascii="Arial" w:cs="Arial" w:eastAsia="Arial" w:hAnsi="Arial"/>
                <w:sz w:val="16"/>
                <w:szCs w:val="16"/>
                <w:color w:val="14202A"/>
              </w:rPr>
              <w:t> </w:t>
            </w:r>
          </w:p>
        </w:tc>
        <w:tc>
          <w:tcPr>
            <w:tcW w:w="2420" w:type="dxa"/>
            <w:vAlign w:val="bottom"/>
          </w:tcPr>
          <w:p>
            <w:pPr>
              <w:ind w:left="20"/>
              <w:spacing w:after="0"/>
              <w:rPr>
                <w:sz w:val="20"/>
                <w:szCs w:val="20"/>
                <w:color w:val="auto"/>
              </w:rPr>
            </w:pPr>
            <w:r>
              <w:rPr>
                <w:rFonts w:ascii="Arial" w:cs="Arial" w:eastAsia="Arial" w:hAnsi="Arial"/>
                <w:sz w:val="16"/>
                <w:szCs w:val="16"/>
                <w:color w:val="14202A"/>
              </w:rPr>
              <w:t xml:space="preserve">  </w:t>
            </w: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20" w:type="dxa"/>
            <w:vAlign w:val="bottom"/>
            <w:tcBorders>
              <w:right w:val="single" w:sz="8" w:color="DAD490"/>
            </w:tcBorders>
            <w:gridSpan w:val="2"/>
            <w:vMerge w:val="continue"/>
          </w:tcPr>
          <w:p>
            <w:pPr>
              <w:spacing w:after="0"/>
              <w:rPr>
                <w:sz w:val="16"/>
                <w:szCs w:val="16"/>
                <w:color w:val="auto"/>
              </w:rPr>
            </w:pPr>
          </w:p>
        </w:tc>
        <w:tc>
          <w:tcPr>
            <w:tcW w:w="2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600" w:type="dxa"/>
            <w:vAlign w:val="bottom"/>
          </w:tcPr>
          <w:p>
            <w:pPr>
              <w:spacing w:after="0"/>
              <w:rPr>
                <w:sz w:val="6"/>
                <w:szCs w:val="6"/>
                <w:color w:val="auto"/>
              </w:rPr>
            </w:pPr>
          </w:p>
        </w:tc>
        <w:tc>
          <w:tcPr>
            <w:tcW w:w="4220" w:type="dxa"/>
            <w:vAlign w:val="bottom"/>
            <w:tcBorders>
              <w:right w:val="single" w:sz="8" w:color="DAD490"/>
            </w:tcBorders>
            <w:vMerge w:val="restart"/>
          </w:tcPr>
          <w:p>
            <w:pPr>
              <w:jc w:val="center"/>
              <w:ind w:right="708"/>
              <w:spacing w:after="0"/>
              <w:rPr>
                <w:sz w:val="20"/>
                <w:szCs w:val="20"/>
                <w:color w:val="auto"/>
              </w:rPr>
            </w:pPr>
            <w:r>
              <w:rPr>
                <w:rFonts w:ascii="Arial" w:cs="Arial" w:eastAsia="Arial" w:hAnsi="Arial"/>
                <w:sz w:val="14"/>
                <w:szCs w:val="14"/>
                <w:b w:val="1"/>
                <w:bCs w:val="1"/>
                <w:color w:val="14202A"/>
              </w:rPr>
              <w:t>In Fiscal 2026, Winnebago Industries,</w:t>
            </w:r>
          </w:p>
        </w:tc>
        <w:tc>
          <w:tcPr>
            <w:tcW w:w="2420" w:type="dxa"/>
            <w:vAlign w:val="bottom"/>
            <w:vMerge w:val="restart"/>
          </w:tcPr>
          <w:p>
            <w:pPr>
              <w:jc w:val="center"/>
              <w:spacing w:after="0"/>
              <w:rPr>
                <w:sz w:val="20"/>
                <w:szCs w:val="20"/>
                <w:color w:val="auto"/>
              </w:rPr>
            </w:pPr>
            <w:r>
              <w:rPr>
                <w:rFonts w:ascii="Arial" w:cs="Arial" w:eastAsia="Arial" w:hAnsi="Arial"/>
                <w:sz w:val="14"/>
                <w:szCs w:val="14"/>
                <w:b w:val="1"/>
                <w:bCs w:val="1"/>
                <w:color w:val="14202A"/>
              </w:rPr>
              <w:t>In Fiscal 2026,</w:t>
            </w:r>
          </w:p>
        </w:tc>
        <w:tc>
          <w:tcPr>
            <w:tcW w:w="20" w:type="dxa"/>
            <w:vAlign w:val="bottom"/>
          </w:tcPr>
          <w:p>
            <w:pPr>
              <w:spacing w:after="0"/>
              <w:rPr>
                <w:sz w:val="6"/>
                <w:szCs w:val="6"/>
                <w:color w:val="auto"/>
              </w:rPr>
            </w:pPr>
          </w:p>
        </w:tc>
        <w:tc>
          <w:tcPr>
            <w:tcW w:w="2020" w:type="dxa"/>
            <w:vAlign w:val="bottom"/>
            <w:gridSpan w:val="2"/>
            <w:vMerge w:val="restart"/>
          </w:tcPr>
          <w:p>
            <w:pPr>
              <w:jc w:val="center"/>
              <w:ind w:left="288"/>
              <w:spacing w:after="0"/>
              <w:rPr>
                <w:sz w:val="20"/>
                <w:szCs w:val="20"/>
                <w:color w:val="auto"/>
              </w:rPr>
            </w:pPr>
            <w:r>
              <w:rPr>
                <w:rFonts w:ascii="Arial" w:cs="Arial" w:eastAsia="Arial" w:hAnsi="Arial"/>
                <w:sz w:val="14"/>
                <w:szCs w:val="14"/>
                <w:b w:val="1"/>
                <w:bCs w:val="1"/>
                <w:color w:val="14202A"/>
              </w:rPr>
              <w:t>In Fiscal 2026,</w:t>
            </w:r>
          </w:p>
        </w:tc>
        <w:tc>
          <w:tcPr>
            <w:tcW w:w="0" w:type="dxa"/>
            <w:vAlign w:val="bottom"/>
          </w:tcPr>
          <w:p>
            <w:pPr>
              <w:spacing w:after="0"/>
              <w:rPr>
                <w:sz w:val="1"/>
                <w:szCs w:val="1"/>
                <w:color w:val="auto"/>
              </w:rPr>
            </w:pPr>
          </w:p>
        </w:tc>
      </w:tr>
      <w:tr>
        <w:trPr>
          <w:trHeight w:val="220"/>
        </w:trPr>
        <w:tc>
          <w:tcPr>
            <w:tcW w:w="600" w:type="dxa"/>
            <w:vAlign w:val="bottom"/>
          </w:tcPr>
          <w:p>
            <w:pPr>
              <w:spacing w:after="0"/>
              <w:rPr>
                <w:sz w:val="19"/>
                <w:szCs w:val="19"/>
                <w:color w:val="auto"/>
              </w:rPr>
            </w:pPr>
          </w:p>
        </w:tc>
        <w:tc>
          <w:tcPr>
            <w:tcW w:w="4220" w:type="dxa"/>
            <w:vAlign w:val="bottom"/>
            <w:tcBorders>
              <w:right w:val="single" w:sz="8" w:color="DAD490"/>
            </w:tcBorders>
            <w:vMerge w:val="continue"/>
          </w:tcPr>
          <w:p>
            <w:pPr>
              <w:spacing w:after="0"/>
              <w:rPr>
                <w:sz w:val="19"/>
                <w:szCs w:val="19"/>
                <w:color w:val="auto"/>
              </w:rPr>
            </w:pPr>
          </w:p>
        </w:tc>
        <w:tc>
          <w:tcPr>
            <w:tcW w:w="2420" w:type="dxa"/>
            <w:vAlign w:val="bottom"/>
            <w:vMerge w:val="continue"/>
          </w:tcPr>
          <w:p>
            <w:pPr>
              <w:spacing w:after="0"/>
              <w:rPr>
                <w:sz w:val="19"/>
                <w:szCs w:val="19"/>
                <w:color w:val="auto"/>
              </w:rPr>
            </w:pPr>
          </w:p>
        </w:tc>
        <w:tc>
          <w:tcPr>
            <w:tcW w:w="20" w:type="dxa"/>
            <w:vAlign w:val="bottom"/>
            <w:shd w:val="clear" w:color="auto" w:fill="DAD490"/>
          </w:tcPr>
          <w:p>
            <w:pPr>
              <w:spacing w:after="0"/>
              <w:rPr>
                <w:sz w:val="19"/>
                <w:szCs w:val="19"/>
                <w:color w:val="auto"/>
              </w:rPr>
            </w:pPr>
          </w:p>
        </w:tc>
        <w:tc>
          <w:tcPr>
            <w:tcW w:w="2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4220" w:type="dxa"/>
            <w:vAlign w:val="bottom"/>
            <w:tcBorders>
              <w:right w:val="single" w:sz="8" w:color="DAD490"/>
            </w:tcBorders>
          </w:tcPr>
          <w:p>
            <w:pPr>
              <w:jc w:val="center"/>
              <w:ind w:right="688"/>
              <w:spacing w:after="0"/>
              <w:rPr>
                <w:sz w:val="20"/>
                <w:szCs w:val="20"/>
                <w:color w:val="auto"/>
              </w:rPr>
            </w:pPr>
            <w:r>
              <w:rPr>
                <w:rFonts w:ascii="Arial" w:cs="Arial" w:eastAsia="Arial" w:hAnsi="Arial"/>
                <w:sz w:val="14"/>
                <w:szCs w:val="14"/>
                <w:b w:val="1"/>
                <w:bCs w:val="1"/>
                <w:color w:val="14202A"/>
              </w:rPr>
              <w:t>its employees, and the</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14202A"/>
              </w:rPr>
              <w:t>total community support includes</w:t>
            </w:r>
          </w:p>
        </w:tc>
        <w:tc>
          <w:tcPr>
            <w:tcW w:w="20" w:type="dxa"/>
            <w:vAlign w:val="bottom"/>
            <w:shd w:val="clear" w:color="auto" w:fill="DAD490"/>
          </w:tcPr>
          <w:p>
            <w:pPr>
              <w:spacing w:after="0"/>
              <w:rPr>
                <w:sz w:val="14"/>
                <w:szCs w:val="14"/>
                <w:color w:val="auto"/>
              </w:rPr>
            </w:pPr>
          </w:p>
        </w:tc>
        <w:tc>
          <w:tcPr>
            <w:tcW w:w="202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DAD490"/>
              </w:rPr>
              <w:t>more than 14,000</w:t>
            </w: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4220" w:type="dxa"/>
            <w:vAlign w:val="bottom"/>
            <w:tcBorders>
              <w:right w:val="single" w:sz="8" w:color="DAD490"/>
            </w:tcBorders>
          </w:tcPr>
          <w:p>
            <w:pPr>
              <w:jc w:val="center"/>
              <w:ind w:right="708"/>
              <w:spacing w:after="0"/>
              <w:rPr>
                <w:sz w:val="20"/>
                <w:szCs w:val="20"/>
                <w:color w:val="auto"/>
              </w:rPr>
            </w:pPr>
            <w:r>
              <w:rPr>
                <w:rFonts w:ascii="Arial" w:cs="Arial" w:eastAsia="Arial" w:hAnsi="Arial"/>
                <w:sz w:val="14"/>
                <w:szCs w:val="14"/>
                <w:b w:val="1"/>
                <w:bCs w:val="1"/>
                <w:color w:val="14202A"/>
              </w:rPr>
              <w:t>Winnebago Industries Foundation</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14202A"/>
              </w:rPr>
              <w:t xml:space="preserve">more than </w:t>
            </w:r>
            <w:r>
              <w:rPr>
                <w:rFonts w:ascii="Arial" w:cs="Arial" w:eastAsia="Arial" w:hAnsi="Arial"/>
                <w:sz w:val="14"/>
                <w:szCs w:val="14"/>
                <w:b w:val="1"/>
                <w:bCs w:val="1"/>
                <w:color w:val="DAD490"/>
              </w:rPr>
              <w:t>$600,000</w:t>
            </w:r>
            <w:r>
              <w:rPr>
                <w:rFonts w:ascii="Arial" w:cs="Arial" w:eastAsia="Arial" w:hAnsi="Arial"/>
                <w:sz w:val="14"/>
                <w:szCs w:val="14"/>
                <w:b w:val="1"/>
                <w:bCs w:val="1"/>
                <w:color w:val="14202A"/>
              </w:rPr>
              <w:t xml:space="preserve"> raised by</w:t>
            </w:r>
          </w:p>
        </w:tc>
        <w:tc>
          <w:tcPr>
            <w:tcW w:w="20" w:type="dxa"/>
            <w:vAlign w:val="bottom"/>
            <w:shd w:val="clear" w:color="auto" w:fill="DAD490"/>
          </w:tcPr>
          <w:p>
            <w:pPr>
              <w:spacing w:after="0"/>
              <w:rPr>
                <w:sz w:val="14"/>
                <w:szCs w:val="14"/>
                <w:color w:val="auto"/>
              </w:rPr>
            </w:pPr>
          </w:p>
        </w:tc>
        <w:tc>
          <w:tcPr>
            <w:tcW w:w="202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14202A"/>
              </w:rPr>
              <w:t>volunteer hours logged</w:t>
            </w: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4220" w:type="dxa"/>
            <w:vAlign w:val="bottom"/>
            <w:tcBorders>
              <w:right w:val="single" w:sz="8" w:color="DAD490"/>
            </w:tcBorders>
          </w:tcPr>
          <w:p>
            <w:pPr>
              <w:jc w:val="center"/>
              <w:ind w:right="688"/>
              <w:spacing w:after="0"/>
              <w:rPr>
                <w:sz w:val="20"/>
                <w:szCs w:val="20"/>
                <w:color w:val="auto"/>
              </w:rPr>
            </w:pPr>
            <w:r>
              <w:rPr>
                <w:rFonts w:ascii="Arial" w:cs="Arial" w:eastAsia="Arial" w:hAnsi="Arial"/>
                <w:sz w:val="14"/>
                <w:szCs w:val="14"/>
                <w:b w:val="1"/>
                <w:bCs w:val="1"/>
                <w:color w:val="14202A"/>
              </w:rPr>
              <w:t xml:space="preserve">gave nearly </w:t>
            </w:r>
            <w:r>
              <w:rPr>
                <w:rFonts w:ascii="Arial" w:cs="Arial" w:eastAsia="Arial" w:hAnsi="Arial"/>
                <w:sz w:val="14"/>
                <w:szCs w:val="14"/>
                <w:b w:val="1"/>
                <w:bCs w:val="1"/>
                <w:color w:val="DAD490"/>
              </w:rPr>
              <w:t>$2 million</w:t>
            </w:r>
            <w:r>
              <w:rPr>
                <w:rFonts w:ascii="Arial" w:cs="Arial" w:eastAsia="Arial" w:hAnsi="Arial"/>
                <w:sz w:val="14"/>
                <w:szCs w:val="14"/>
                <w:b w:val="1"/>
                <w:bCs w:val="1"/>
                <w:color w:val="14202A"/>
              </w:rPr>
              <w:t xml:space="preserve"> in total community support</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14202A"/>
              </w:rPr>
              <w:t>employees, including Winnebago</w:t>
            </w:r>
          </w:p>
        </w:tc>
        <w:tc>
          <w:tcPr>
            <w:tcW w:w="20" w:type="dxa"/>
            <w:vAlign w:val="bottom"/>
            <w:shd w:val="clear" w:color="auto" w:fill="DAD490"/>
          </w:tcPr>
          <w:p>
            <w:pPr>
              <w:spacing w:after="0"/>
              <w:rPr>
                <w:sz w:val="14"/>
                <w:szCs w:val="14"/>
                <w:color w:val="auto"/>
              </w:rPr>
            </w:pPr>
          </w:p>
        </w:tc>
        <w:tc>
          <w:tcPr>
            <w:tcW w:w="202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14202A"/>
              </w:rPr>
              <w:t xml:space="preserve">by </w:t>
            </w:r>
            <w:r>
              <w:rPr>
                <w:rFonts w:ascii="Arial" w:cs="Arial" w:eastAsia="Arial" w:hAnsi="Arial"/>
                <w:sz w:val="14"/>
                <w:szCs w:val="14"/>
                <w:b w:val="1"/>
                <w:bCs w:val="1"/>
                <w:color w:val="DAD490"/>
              </w:rPr>
              <w:t>nearly 300</w:t>
            </w: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4220" w:type="dxa"/>
            <w:vAlign w:val="bottom"/>
            <w:tcBorders>
              <w:right w:val="single" w:sz="8" w:color="DAD490"/>
            </w:tcBorders>
          </w:tcPr>
          <w:p>
            <w:pPr>
              <w:jc w:val="center"/>
              <w:ind w:right="708"/>
              <w:spacing w:after="0"/>
              <w:rPr>
                <w:sz w:val="20"/>
                <w:szCs w:val="20"/>
                <w:color w:val="auto"/>
              </w:rPr>
            </w:pPr>
            <w:r>
              <w:rPr>
                <w:rFonts w:ascii="Arial" w:cs="Arial" w:eastAsia="Arial" w:hAnsi="Arial"/>
                <w:sz w:val="14"/>
                <w:szCs w:val="14"/>
                <w:b w:val="1"/>
                <w:bCs w:val="1"/>
                <w:color w:val="14202A"/>
              </w:rPr>
              <w:t>(grants, charitable donations, in-kind</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14202A"/>
              </w:rPr>
              <w:t>Foundation matching gifts, for</w:t>
            </w:r>
          </w:p>
        </w:tc>
        <w:tc>
          <w:tcPr>
            <w:tcW w:w="20" w:type="dxa"/>
            <w:vAlign w:val="bottom"/>
            <w:shd w:val="clear" w:color="auto" w:fill="DAD490"/>
          </w:tcPr>
          <w:p>
            <w:pPr>
              <w:spacing w:after="0"/>
              <w:rPr>
                <w:sz w:val="14"/>
                <w:szCs w:val="14"/>
                <w:color w:val="auto"/>
              </w:rPr>
            </w:pPr>
          </w:p>
        </w:tc>
        <w:tc>
          <w:tcPr>
            <w:tcW w:w="202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14202A"/>
              </w:rPr>
              <w:t>employees</w:t>
            </w: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4220" w:type="dxa"/>
            <w:vAlign w:val="bottom"/>
            <w:tcBorders>
              <w:right w:val="single" w:sz="8" w:color="DAD490"/>
            </w:tcBorders>
          </w:tcPr>
          <w:p>
            <w:pPr>
              <w:jc w:val="center"/>
              <w:ind w:right="688"/>
              <w:spacing w:after="0"/>
              <w:rPr>
                <w:sz w:val="20"/>
                <w:szCs w:val="20"/>
                <w:color w:val="auto"/>
              </w:rPr>
            </w:pPr>
            <w:r>
              <w:rPr>
                <w:rFonts w:ascii="Arial" w:cs="Arial" w:eastAsia="Arial" w:hAnsi="Arial"/>
                <w:sz w:val="14"/>
                <w:szCs w:val="14"/>
                <w:b w:val="1"/>
                <w:bCs w:val="1"/>
                <w:color w:val="14202A"/>
              </w:rPr>
              <w:t>contributions, employee giving,</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DAD490"/>
              </w:rPr>
              <w:t xml:space="preserve">more than 400 </w:t>
            </w:r>
            <w:r>
              <w:rPr>
                <w:rFonts w:ascii="Arial" w:cs="Arial" w:eastAsia="Arial" w:hAnsi="Arial"/>
                <w:sz w:val="14"/>
                <w:szCs w:val="14"/>
                <w:b w:val="1"/>
                <w:bCs w:val="1"/>
                <w:color w:val="14202A"/>
              </w:rPr>
              <w:t>community</w:t>
            </w:r>
          </w:p>
        </w:tc>
        <w:tc>
          <w:tcPr>
            <w:tcW w:w="20" w:type="dxa"/>
            <w:vAlign w:val="bottom"/>
            <w:shd w:val="clear" w:color="auto" w:fill="DAD490"/>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4220" w:type="dxa"/>
            <w:vAlign w:val="bottom"/>
            <w:tcBorders>
              <w:right w:val="single" w:sz="8" w:color="DAD490"/>
            </w:tcBorders>
          </w:tcPr>
          <w:p>
            <w:pPr>
              <w:jc w:val="center"/>
              <w:ind w:right="648"/>
              <w:spacing w:after="0"/>
              <w:rPr>
                <w:sz w:val="20"/>
                <w:szCs w:val="20"/>
                <w:color w:val="auto"/>
              </w:rPr>
            </w:pPr>
            <w:r>
              <w:rPr>
                <w:rFonts w:ascii="Arial" w:cs="Arial" w:eastAsia="Arial" w:hAnsi="Arial"/>
                <w:sz w:val="14"/>
                <w:szCs w:val="14"/>
                <w:b w:val="1"/>
                <w:bCs w:val="1"/>
                <w:color w:val="14202A"/>
              </w:rPr>
              <w:t>and volunteer hours)</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14202A"/>
              </w:rPr>
              <w:t>partners</w:t>
            </w:r>
          </w:p>
        </w:tc>
        <w:tc>
          <w:tcPr>
            <w:tcW w:w="20" w:type="dxa"/>
            <w:vAlign w:val="bottom"/>
            <w:shd w:val="clear" w:color="auto" w:fill="DAD490"/>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00" w:type="dxa"/>
            <w:vAlign w:val="bottom"/>
          </w:tcPr>
          <w:p>
            <w:pPr>
              <w:spacing w:after="0"/>
              <w:rPr>
                <w:sz w:val="9"/>
                <w:szCs w:val="9"/>
                <w:color w:val="auto"/>
              </w:rPr>
            </w:pPr>
          </w:p>
        </w:tc>
        <w:tc>
          <w:tcPr>
            <w:tcW w:w="4220" w:type="dxa"/>
            <w:vAlign w:val="bottom"/>
            <w:tcBorders>
              <w:bottom w:val="single" w:sz="8" w:color="14202A"/>
            </w:tcBorders>
          </w:tcPr>
          <w:p>
            <w:pPr>
              <w:spacing w:after="0"/>
              <w:rPr>
                <w:sz w:val="9"/>
                <w:szCs w:val="9"/>
                <w:color w:val="auto"/>
              </w:rPr>
            </w:pPr>
          </w:p>
        </w:tc>
        <w:tc>
          <w:tcPr>
            <w:tcW w:w="2420" w:type="dxa"/>
            <w:vAlign w:val="bottom"/>
            <w:tcBorders>
              <w:bottom w:val="single" w:sz="8" w:color="14202A"/>
            </w:tcBorders>
          </w:tcPr>
          <w:p>
            <w:pPr>
              <w:spacing w:after="0"/>
              <w:rPr>
                <w:sz w:val="9"/>
                <w:szCs w:val="9"/>
                <w:color w:val="auto"/>
              </w:rPr>
            </w:pPr>
          </w:p>
        </w:tc>
        <w:tc>
          <w:tcPr>
            <w:tcW w:w="20" w:type="dxa"/>
            <w:vAlign w:val="bottom"/>
            <w:tcBorders>
              <w:bottom w:val="single" w:sz="8" w:color="14202A"/>
            </w:tcBorders>
          </w:tcPr>
          <w:p>
            <w:pPr>
              <w:spacing w:after="0"/>
              <w:rPr>
                <w:sz w:val="9"/>
                <w:szCs w:val="9"/>
                <w:color w:val="auto"/>
              </w:rPr>
            </w:pPr>
          </w:p>
        </w:tc>
        <w:tc>
          <w:tcPr>
            <w:tcW w:w="1760" w:type="dxa"/>
            <w:vAlign w:val="bottom"/>
            <w:tcBorders>
              <w:bottom w:val="single" w:sz="8" w:color="14202A"/>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right"/>
        <w:ind w:left="1640" w:right="1700"/>
        <w:spacing w:after="0" w:line="296" w:lineRule="auto"/>
        <w:rPr>
          <w:sz w:val="20"/>
          <w:szCs w:val="20"/>
          <w:color w:val="auto"/>
        </w:rPr>
      </w:pPr>
      <w:r>
        <w:rPr>
          <w:rFonts w:ascii="Arial" w:cs="Arial" w:eastAsia="Arial" w:hAnsi="Arial"/>
          <w:sz w:val="16"/>
          <w:szCs w:val="16"/>
          <w:color w:val="14202A"/>
        </w:rPr>
        <w:t xml:space="preserve">Learn more in our Corporate Responsibility Report at </w:t>
      </w:r>
      <w:r>
        <w:rPr>
          <w:rFonts w:ascii="Arial" w:cs="Arial" w:eastAsia="Arial" w:hAnsi="Arial"/>
          <w:sz w:val="16"/>
          <w:szCs w:val="16"/>
          <w:b w:val="1"/>
          <w:bCs w:val="1"/>
          <w:color w:val="14202A"/>
        </w:rPr>
        <w:t>www.winnebagoind.com/our-impact</w:t>
      </w:r>
      <w:r>
        <w:rPr>
          <w:rFonts w:ascii="Arial" w:cs="Arial" w:eastAsia="Arial" w:hAnsi="Arial"/>
          <w:sz w:val="16"/>
          <w:szCs w:val="16"/>
          <w:color w:val="14202A"/>
        </w:rPr>
        <w:t xml:space="preserve"> and follow our corporate responsibility journey at </w:t>
      </w:r>
      <w:r>
        <w:rPr>
          <w:rFonts w:ascii="Arial" w:cs="Arial" w:eastAsia="Arial" w:hAnsi="Arial"/>
          <w:sz w:val="16"/>
          <w:szCs w:val="16"/>
          <w:b w:val="1"/>
          <w:bCs w:val="1"/>
          <w:color w:val="14202A"/>
        </w:rPr>
        <w:t>www.winnebagoind.com/responsibility</w:t>
      </w:r>
    </w:p>
    <w:p>
      <w:pPr>
        <w:spacing w:after="0" w:line="244" w:lineRule="exact"/>
        <w:rPr>
          <w:sz w:val="20"/>
          <w:szCs w:val="20"/>
          <w:color w:val="auto"/>
        </w:rPr>
      </w:pPr>
    </w:p>
    <w:p>
      <w:pPr>
        <w:jc w:val="right"/>
        <w:ind w:right="340"/>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156210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-83185</wp:posOffset>
            </wp:positionV>
            <wp:extent cx="1465580" cy="94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940"/>
          </w:cols>
          <w:pgMar w:left="980" w:top="114" w:right="979" w:bottom="1440" w:gutter="0" w:footer="0" w:header="0"/>
        </w:sectPr>
      </w:pPr>
    </w:p>
    <w:bookmarkStart w:id="10" w:name="page11"/>
    <w:bookmarkEnd w:id="10"/>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DAD490"/>
        </w:rPr>
        <w:t>Corporate Governance Highlights</w:t>
      </w:r>
    </w:p>
    <w:p>
      <w:pPr>
        <w:spacing w:after="0" w:line="180" w:lineRule="exact"/>
        <w:rPr>
          <w:sz w:val="20"/>
          <w:szCs w:val="20"/>
          <w:color w:val="auto"/>
        </w:rPr>
      </w:pPr>
    </w:p>
    <w:p>
      <w:pPr>
        <w:jc w:val="both"/>
        <w:ind w:left="860" w:right="1220"/>
        <w:spacing w:after="0" w:line="259" w:lineRule="auto"/>
        <w:rPr>
          <w:sz w:val="20"/>
          <w:szCs w:val="20"/>
          <w:color w:val="auto"/>
        </w:rPr>
      </w:pPr>
      <w:r>
        <w:rPr>
          <w:rFonts w:ascii="Arial" w:cs="Arial" w:eastAsia="Arial" w:hAnsi="Arial"/>
          <w:sz w:val="16"/>
          <w:szCs w:val="16"/>
          <w:color w:val="14202A"/>
        </w:rPr>
        <w:t>We are committed to a strong corporate governance structure that promotes long-term value for our shareholders. Our Board believes that having a mix of directors with complementary qualifications, experience and expertise strengthens its oversight ability, provides diverse perspectives, and represents the best interests of our shareholders. The following graphs reflect our expected Board membership following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147320</wp:posOffset>
            </wp:positionV>
            <wp:extent cx="13284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2842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404495</wp:posOffset>
            </wp:positionV>
            <wp:extent cx="5768975" cy="2305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6897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60"/>
        <w:spacing w:after="0"/>
        <w:rPr>
          <w:sz w:val="20"/>
          <w:szCs w:val="20"/>
          <w:color w:val="auto"/>
        </w:rPr>
      </w:pPr>
      <w:r>
        <w:rPr>
          <w:rFonts w:ascii="Arial" w:cs="Arial" w:eastAsia="Arial" w:hAnsi="Arial"/>
          <w:sz w:val="16"/>
          <w:szCs w:val="16"/>
          <w:color w:val="14202A"/>
        </w:rPr>
        <w:t> </w:t>
      </w:r>
    </w:p>
    <w:p>
      <w:pPr>
        <w:spacing w:after="0" w:line="200" w:lineRule="exact"/>
        <w:rPr>
          <w:sz w:val="20"/>
          <w:szCs w:val="20"/>
          <w:color w:val="auto"/>
        </w:rPr>
      </w:pPr>
    </w:p>
    <w:p>
      <w:pPr>
        <w:spacing w:after="0" w:line="277"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DAD490"/>
        </w:rPr>
        <w:t>Corporate Governance Practices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376"/>
        </w:trPr>
        <w:tc>
          <w:tcPr>
            <w:tcW w:w="860" w:type="dxa"/>
            <w:vAlign w:val="bottom"/>
          </w:tcPr>
          <w:p>
            <w:pPr>
              <w:spacing w:after="0"/>
              <w:rPr>
                <w:sz w:val="24"/>
                <w:szCs w:val="24"/>
                <w:color w:val="auto"/>
              </w:rPr>
            </w:pPr>
          </w:p>
        </w:tc>
        <w:tc>
          <w:tcPr>
            <w:tcW w:w="180" w:type="dxa"/>
            <w:vAlign w:val="bottom"/>
            <w:tcBorders>
              <w:top w:val="single" w:sz="8" w:color="14202A"/>
            </w:tcBorders>
            <w:shd w:val="clear" w:color="auto" w:fill="E6E6E6"/>
          </w:tcPr>
          <w:p>
            <w:pPr>
              <w:spacing w:after="0"/>
              <w:rPr>
                <w:sz w:val="24"/>
                <w:szCs w:val="24"/>
                <w:color w:val="auto"/>
              </w:rPr>
            </w:pPr>
          </w:p>
        </w:tc>
        <w:tc>
          <w:tcPr>
            <w:tcW w:w="2800" w:type="dxa"/>
            <w:vAlign w:val="bottom"/>
            <w:tcBorders>
              <w:top w:val="single" w:sz="8" w:color="14202A"/>
            </w:tcBorders>
            <w:shd w:val="clear" w:color="auto" w:fill="E6E6E6"/>
          </w:tcPr>
          <w:p>
            <w:pPr>
              <w:ind w:left="80"/>
              <w:spacing w:after="0"/>
              <w:rPr>
                <w:sz w:val="20"/>
                <w:szCs w:val="20"/>
                <w:color w:val="auto"/>
              </w:rPr>
            </w:pPr>
            <w:r>
              <w:rPr>
                <w:rFonts w:ascii="Arial" w:cs="Arial" w:eastAsia="Arial" w:hAnsi="Arial"/>
                <w:sz w:val="14"/>
                <w:szCs w:val="14"/>
                <w:b w:val="1"/>
                <w:bCs w:val="1"/>
                <w:color w:val="14202A"/>
              </w:rPr>
              <w:t>Independent leadership</w:t>
            </w:r>
          </w:p>
        </w:tc>
        <w:tc>
          <w:tcPr>
            <w:tcW w:w="380" w:type="dxa"/>
            <w:vAlign w:val="bottom"/>
            <w:tcBorders>
              <w:top w:val="single" w:sz="8" w:color="14202A"/>
            </w:tcBorders>
            <w:vMerge w:val="restart"/>
          </w:tcPr>
          <w:p>
            <w:pPr>
              <w:ind w:left="220"/>
              <w:spacing w:after="0"/>
              <w:rPr>
                <w:sz w:val="20"/>
                <w:szCs w:val="20"/>
                <w:color w:val="auto"/>
              </w:rPr>
            </w:pPr>
            <w:r>
              <w:rPr>
                <w:rFonts w:ascii="Arial" w:cs="Arial" w:eastAsia="Arial" w:hAnsi="Arial"/>
                <w:sz w:val="11"/>
                <w:szCs w:val="11"/>
                <w:color w:val="DAD490"/>
              </w:rPr>
              <w:t> </w:t>
            </w:r>
          </w:p>
        </w:tc>
        <w:tc>
          <w:tcPr>
            <w:tcW w:w="5920" w:type="dxa"/>
            <w:vAlign w:val="bottom"/>
            <w:tcBorders>
              <w:top w:val="single" w:sz="8" w:color="14202A"/>
            </w:tcBorders>
            <w:vMerge w:val="restart"/>
          </w:tcPr>
          <w:p>
            <w:pPr>
              <w:ind w:left="40"/>
              <w:spacing w:after="0"/>
              <w:rPr>
                <w:sz w:val="20"/>
                <w:szCs w:val="20"/>
                <w:color w:val="auto"/>
              </w:rPr>
            </w:pPr>
            <w:r>
              <w:rPr>
                <w:rFonts w:ascii="Arial" w:cs="Arial" w:eastAsia="Arial" w:hAnsi="Arial"/>
                <w:sz w:val="14"/>
                <w:szCs w:val="14"/>
                <w:color w:val="14202A"/>
              </w:rPr>
              <w:t>9 of 10 director nominees and continuing directors are independent (all except our Chief</w:t>
            </w:r>
          </w:p>
        </w:tc>
        <w:tc>
          <w:tcPr>
            <w:tcW w:w="8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180" w:type="dxa"/>
            <w:vAlign w:val="bottom"/>
            <w:shd w:val="clear" w:color="auto" w:fill="E6E6E6"/>
          </w:tcPr>
          <w:p>
            <w:pPr>
              <w:spacing w:after="0"/>
              <w:rPr>
                <w:sz w:val="2"/>
                <w:szCs w:val="2"/>
                <w:color w:val="auto"/>
              </w:rPr>
            </w:pPr>
          </w:p>
        </w:tc>
        <w:tc>
          <w:tcPr>
            <w:tcW w:w="2800" w:type="dxa"/>
            <w:vAlign w:val="bottom"/>
            <w:shd w:val="clear" w:color="auto" w:fill="E6E6E6"/>
          </w:tcPr>
          <w:p>
            <w:pPr>
              <w:spacing w:after="0"/>
              <w:rPr>
                <w:sz w:val="2"/>
                <w:szCs w:val="2"/>
                <w:color w:val="auto"/>
              </w:rPr>
            </w:pPr>
          </w:p>
        </w:tc>
        <w:tc>
          <w:tcPr>
            <w:tcW w:w="380" w:type="dxa"/>
            <w:vAlign w:val="bottom"/>
            <w:vMerge w:val="continue"/>
          </w:tcPr>
          <w:p>
            <w:pPr>
              <w:spacing w:after="0"/>
              <w:rPr>
                <w:sz w:val="2"/>
                <w:szCs w:val="2"/>
                <w:color w:val="auto"/>
              </w:rPr>
            </w:pPr>
          </w:p>
        </w:tc>
        <w:tc>
          <w:tcPr>
            <w:tcW w:w="592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60" w:type="dxa"/>
            <w:vAlign w:val="bottom"/>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2800" w:type="dxa"/>
            <w:vAlign w:val="bottom"/>
            <w:shd w:val="clear" w:color="auto" w:fill="E6E6E6"/>
          </w:tcPr>
          <w:p>
            <w:pPr>
              <w:spacing w:after="0"/>
              <w:rPr>
                <w:sz w:val="16"/>
                <w:szCs w:val="16"/>
                <w:color w:val="auto"/>
              </w:rPr>
            </w:pPr>
          </w:p>
        </w:tc>
        <w:tc>
          <w:tcPr>
            <w:tcW w:w="380" w:type="dxa"/>
            <w:vAlign w:val="bottom"/>
          </w:tcPr>
          <w:p>
            <w:pPr>
              <w:spacing w:after="0"/>
              <w:rPr>
                <w:sz w:val="16"/>
                <w:szCs w:val="16"/>
                <w:color w:val="auto"/>
              </w:rPr>
            </w:pP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Executive Officer)</w:t>
            </w:r>
          </w:p>
        </w:tc>
        <w:tc>
          <w:tcPr>
            <w:tcW w:w="0" w:type="dxa"/>
            <w:vAlign w:val="bottom"/>
          </w:tcPr>
          <w:p>
            <w:pPr>
              <w:spacing w:after="0"/>
              <w:rPr>
                <w:sz w:val="1"/>
                <w:szCs w:val="1"/>
                <w:color w:val="auto"/>
              </w:rPr>
            </w:pPr>
          </w:p>
        </w:tc>
      </w:tr>
      <w:tr>
        <w:trPr>
          <w:trHeight w:val="305"/>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Independent non-employee chair</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All Board committee members are independent</w:t>
            </w:r>
          </w:p>
        </w:tc>
        <w:tc>
          <w:tcPr>
            <w:tcW w:w="0" w:type="dxa"/>
            <w:vAlign w:val="bottom"/>
          </w:tcPr>
          <w:p>
            <w:pPr>
              <w:spacing w:after="0"/>
              <w:rPr>
                <w:sz w:val="1"/>
                <w:szCs w:val="1"/>
                <w:color w:val="auto"/>
              </w:rPr>
            </w:pPr>
          </w:p>
        </w:tc>
      </w:tr>
      <w:tr>
        <w:trPr>
          <w:trHeight w:val="274"/>
        </w:trPr>
        <w:tc>
          <w:tcPr>
            <w:tcW w:w="860" w:type="dxa"/>
            <w:vAlign w:val="bottom"/>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2800" w:type="dxa"/>
            <w:vAlign w:val="bottom"/>
            <w:shd w:val="clear" w:color="auto" w:fill="E6E6E6"/>
          </w:tcPr>
          <w:p>
            <w:pPr>
              <w:spacing w:after="0"/>
              <w:rPr>
                <w:sz w:val="23"/>
                <w:szCs w:val="23"/>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Executive sessions of independent directors before and/or after each regular Board</w:t>
            </w:r>
          </w:p>
        </w:tc>
        <w:tc>
          <w:tcPr>
            <w:tcW w:w="0" w:type="dxa"/>
            <w:vAlign w:val="bottom"/>
          </w:tcPr>
          <w:p>
            <w:pPr>
              <w:spacing w:after="0"/>
              <w:rPr>
                <w:sz w:val="1"/>
                <w:szCs w:val="1"/>
                <w:color w:val="auto"/>
              </w:rPr>
            </w:pPr>
          </w:p>
        </w:tc>
      </w:tr>
      <w:tr>
        <w:trPr>
          <w:trHeight w:val="320"/>
        </w:trPr>
        <w:tc>
          <w:tcPr>
            <w:tcW w:w="860" w:type="dxa"/>
            <w:vAlign w:val="bottom"/>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2800" w:type="dxa"/>
            <w:vAlign w:val="bottom"/>
            <w:tcBorders>
              <w:bottom w:val="single" w:sz="8" w:color="14202A"/>
            </w:tcBorders>
            <w:shd w:val="clear" w:color="auto" w:fill="E6E6E6"/>
          </w:tcPr>
          <w:p>
            <w:pPr>
              <w:spacing w:after="0"/>
              <w:rPr>
                <w:sz w:val="24"/>
                <w:szCs w:val="24"/>
                <w:color w:val="auto"/>
              </w:rPr>
            </w:pPr>
          </w:p>
        </w:tc>
        <w:tc>
          <w:tcPr>
            <w:tcW w:w="380" w:type="dxa"/>
            <w:vAlign w:val="bottom"/>
            <w:tcBorders>
              <w:bottom w:val="single" w:sz="8" w:color="14202A"/>
            </w:tcBorders>
          </w:tcPr>
          <w:p>
            <w:pPr>
              <w:spacing w:after="0"/>
              <w:rPr>
                <w:sz w:val="24"/>
                <w:szCs w:val="24"/>
                <w:color w:val="auto"/>
              </w:rPr>
            </w:pPr>
          </w:p>
        </w:tc>
        <w:tc>
          <w:tcPr>
            <w:tcW w:w="5920" w:type="dxa"/>
            <w:vAlign w:val="bottom"/>
            <w:tcBorders>
              <w:bottom w:val="single" w:sz="8" w:color="14202A"/>
            </w:tcBorders>
          </w:tcPr>
          <w:p>
            <w:pPr>
              <w:ind w:left="20"/>
              <w:spacing w:after="0" w:line="320" w:lineRule="exact"/>
              <w:rPr>
                <w:sz w:val="20"/>
                <w:szCs w:val="20"/>
                <w:color w:val="auto"/>
              </w:rPr>
            </w:pPr>
            <w:r>
              <w:rPr>
                <w:rFonts w:ascii="Arial" w:cs="Arial" w:eastAsia="Arial" w:hAnsi="Arial"/>
                <w:sz w:val="28"/>
                <w:szCs w:val="28"/>
                <w:color w:val="14202A"/>
                <w:vertAlign w:val="subscript"/>
              </w:rPr>
              <w:t xml:space="preserve"> </w:t>
            </w:r>
            <w:r>
              <w:rPr>
                <w:rFonts w:ascii="Arial" w:cs="Arial" w:eastAsia="Arial" w:hAnsi="Arial"/>
                <w:sz w:val="14"/>
                <w:szCs w:val="14"/>
                <w:color w:val="14202A"/>
              </w:rPr>
              <w:t>meeting</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ind w:left="80"/>
              <w:spacing w:after="0"/>
              <w:rPr>
                <w:sz w:val="20"/>
                <w:szCs w:val="20"/>
                <w:color w:val="auto"/>
              </w:rPr>
            </w:pPr>
            <w:r>
              <w:rPr>
                <w:rFonts w:ascii="Arial" w:cs="Arial" w:eastAsia="Arial" w:hAnsi="Arial"/>
                <w:sz w:val="14"/>
                <w:szCs w:val="14"/>
                <w:b w:val="1"/>
                <w:bCs w:val="1"/>
                <w:color w:val="14202A"/>
              </w:rPr>
              <w:t>Board refreshment</w:t>
            </w: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Mix of tenure and diversity of directors</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Age limit for directors (72)</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4 directors added in the last 5 years</w:t>
            </w:r>
          </w:p>
        </w:tc>
        <w:tc>
          <w:tcPr>
            <w:tcW w:w="0" w:type="dxa"/>
            <w:vAlign w:val="bottom"/>
          </w:tcPr>
          <w:p>
            <w:pPr>
              <w:spacing w:after="0"/>
              <w:rPr>
                <w:sz w:val="1"/>
                <w:szCs w:val="1"/>
                <w:color w:val="auto"/>
              </w:rPr>
            </w:pPr>
          </w:p>
        </w:tc>
      </w:tr>
      <w:tr>
        <w:trPr>
          <w:trHeight w:val="256"/>
        </w:trPr>
        <w:tc>
          <w:tcPr>
            <w:tcW w:w="860" w:type="dxa"/>
            <w:vAlign w:val="bottom"/>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2800" w:type="dxa"/>
            <w:vAlign w:val="bottom"/>
            <w:shd w:val="clear" w:color="auto" w:fill="E6E6E6"/>
          </w:tcPr>
          <w:p>
            <w:pPr>
              <w:spacing w:after="0"/>
              <w:rPr>
                <w:sz w:val="22"/>
                <w:szCs w:val="22"/>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Annual Board and committee self-evaluations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Borders>
              <w:bottom w:val="single" w:sz="8" w:color="E6E6E6"/>
            </w:tcBorders>
            <w:shd w:val="clear" w:color="auto" w:fill="E6E6E6"/>
          </w:tcPr>
          <w:p>
            <w:pPr>
              <w:spacing w:after="0"/>
              <w:rPr>
                <w:sz w:val="18"/>
                <w:szCs w:val="18"/>
                <w:color w:val="auto"/>
              </w:rPr>
            </w:pPr>
          </w:p>
        </w:tc>
        <w:tc>
          <w:tcPr>
            <w:tcW w:w="2800" w:type="dxa"/>
            <w:vAlign w:val="bottom"/>
            <w:tcBorders>
              <w:bottom w:val="single" w:sz="8" w:color="E6E6E6"/>
            </w:tcBorders>
            <w:shd w:val="clear" w:color="auto" w:fill="E6E6E6"/>
          </w:tcPr>
          <w:p>
            <w:pPr>
              <w:spacing w:after="0"/>
              <w:rPr>
                <w:sz w:val="18"/>
                <w:szCs w:val="18"/>
                <w:color w:val="auto"/>
              </w:rPr>
            </w:pPr>
          </w:p>
        </w:tc>
        <w:tc>
          <w:tcPr>
            <w:tcW w:w="380" w:type="dxa"/>
            <w:vAlign w:val="bottom"/>
          </w:tcPr>
          <w:p>
            <w:pPr>
              <w:ind w:left="220"/>
              <w:spacing w:after="0"/>
              <w:rPr>
                <w:sz w:val="20"/>
                <w:szCs w:val="20"/>
                <w:color w:val="auto"/>
              </w:rPr>
            </w:pPr>
            <w:r>
              <w:rPr>
                <w:rFonts w:ascii="Arial" w:cs="Arial" w:eastAsia="Arial" w:hAnsi="Arial"/>
                <w:sz w:val="14"/>
                <w:szCs w:val="14"/>
                <w:color w:val="14202A"/>
                <w:w w:val="99"/>
              </w:rPr>
              <w:t> </w:t>
            </w:r>
          </w:p>
        </w:tc>
        <w:tc>
          <w:tcPr>
            <w:tcW w:w="5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860" w:type="dxa"/>
            <w:vAlign w:val="bottom"/>
          </w:tcPr>
          <w:p>
            <w:pPr>
              <w:spacing w:after="0"/>
              <w:rPr>
                <w:sz w:val="24"/>
                <w:szCs w:val="24"/>
                <w:color w:val="auto"/>
              </w:rPr>
            </w:pPr>
          </w:p>
        </w:tc>
        <w:tc>
          <w:tcPr>
            <w:tcW w:w="180" w:type="dxa"/>
            <w:vAlign w:val="bottom"/>
            <w:tcBorders>
              <w:top w:val="single" w:sz="8" w:color="E6E6E6"/>
            </w:tcBorders>
            <w:shd w:val="clear" w:color="auto" w:fill="E6E6E6"/>
          </w:tcPr>
          <w:p>
            <w:pPr>
              <w:spacing w:after="0"/>
              <w:rPr>
                <w:sz w:val="24"/>
                <w:szCs w:val="24"/>
                <w:color w:val="auto"/>
              </w:rPr>
            </w:pPr>
          </w:p>
        </w:tc>
        <w:tc>
          <w:tcPr>
            <w:tcW w:w="2800" w:type="dxa"/>
            <w:vAlign w:val="bottom"/>
            <w:tcBorders>
              <w:top w:val="single" w:sz="8" w:color="14202A"/>
            </w:tcBorders>
            <w:shd w:val="clear" w:color="auto" w:fill="E6E6E6"/>
          </w:tcPr>
          <w:p>
            <w:pPr>
              <w:ind w:left="80"/>
              <w:spacing w:after="0"/>
              <w:rPr>
                <w:sz w:val="20"/>
                <w:szCs w:val="20"/>
                <w:color w:val="auto"/>
              </w:rPr>
            </w:pPr>
            <w:r>
              <w:rPr>
                <w:rFonts w:ascii="Arial" w:cs="Arial" w:eastAsia="Arial" w:hAnsi="Arial"/>
                <w:sz w:val="14"/>
                <w:szCs w:val="14"/>
                <w:b w:val="1"/>
                <w:bCs w:val="1"/>
                <w:color w:val="14202A"/>
              </w:rPr>
              <w:t>Other strong governance practices</w:t>
            </w:r>
          </w:p>
        </w:tc>
        <w:tc>
          <w:tcPr>
            <w:tcW w:w="380" w:type="dxa"/>
            <w:vAlign w:val="bottom"/>
            <w:tcBorders>
              <w:top w:val="single" w:sz="8" w:color="14202A"/>
            </w:tcBorders>
          </w:tcPr>
          <w:p>
            <w:pPr>
              <w:ind w:left="220"/>
              <w:spacing w:after="0"/>
              <w:rPr>
                <w:sz w:val="20"/>
                <w:szCs w:val="20"/>
                <w:color w:val="auto"/>
              </w:rPr>
            </w:pPr>
            <w:r>
              <w:rPr>
                <w:rFonts w:ascii="Arial" w:cs="Arial" w:eastAsia="Arial" w:hAnsi="Arial"/>
                <w:sz w:val="11"/>
                <w:szCs w:val="11"/>
                <w:color w:val="DAD490"/>
              </w:rPr>
              <w:t> </w:t>
            </w:r>
          </w:p>
        </w:tc>
        <w:tc>
          <w:tcPr>
            <w:tcW w:w="5920" w:type="dxa"/>
            <w:vAlign w:val="bottom"/>
            <w:tcBorders>
              <w:top w:val="single" w:sz="8" w:color="14202A"/>
            </w:tcBorders>
          </w:tcPr>
          <w:p>
            <w:pPr>
              <w:ind w:left="40"/>
              <w:spacing w:after="0"/>
              <w:rPr>
                <w:sz w:val="20"/>
                <w:szCs w:val="20"/>
                <w:color w:val="auto"/>
              </w:rPr>
            </w:pPr>
            <w:r>
              <w:rPr>
                <w:rFonts w:ascii="Arial" w:cs="Arial" w:eastAsia="Arial" w:hAnsi="Arial"/>
                <w:sz w:val="14"/>
                <w:szCs w:val="14"/>
                <w:color w:val="14202A"/>
              </w:rPr>
              <w:t>Single class of outstanding shares with equal voting rights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860" w:type="dxa"/>
            <w:vAlign w:val="bottom"/>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2800" w:type="dxa"/>
            <w:vAlign w:val="bottom"/>
            <w:shd w:val="clear" w:color="auto" w:fill="E6E6E6"/>
          </w:tcPr>
          <w:p>
            <w:pPr>
              <w:spacing w:after="0"/>
              <w:rPr>
                <w:sz w:val="23"/>
                <w:szCs w:val="23"/>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Proposed phased declassification of the Board beginning in 2027, subject to shareholder</w:t>
            </w:r>
          </w:p>
        </w:tc>
        <w:tc>
          <w:tcPr>
            <w:tcW w:w="0" w:type="dxa"/>
            <w:vAlign w:val="bottom"/>
          </w:tcPr>
          <w:p>
            <w:pPr>
              <w:spacing w:after="0"/>
              <w:rPr>
                <w:sz w:val="1"/>
                <w:szCs w:val="1"/>
                <w:color w:val="auto"/>
              </w:rPr>
            </w:pPr>
          </w:p>
        </w:tc>
      </w:tr>
      <w:tr>
        <w:trPr>
          <w:trHeight w:val="190"/>
        </w:trPr>
        <w:tc>
          <w:tcPr>
            <w:tcW w:w="860" w:type="dxa"/>
            <w:vAlign w:val="bottom"/>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2800" w:type="dxa"/>
            <w:vAlign w:val="bottom"/>
            <w:shd w:val="clear" w:color="auto" w:fill="E6E6E6"/>
          </w:tcPr>
          <w:p>
            <w:pPr>
              <w:spacing w:after="0"/>
              <w:rPr>
                <w:sz w:val="16"/>
                <w:szCs w:val="16"/>
                <w:color w:val="auto"/>
              </w:rPr>
            </w:pPr>
          </w:p>
        </w:tc>
        <w:tc>
          <w:tcPr>
            <w:tcW w:w="380" w:type="dxa"/>
            <w:vAlign w:val="bottom"/>
          </w:tcPr>
          <w:p>
            <w:pPr>
              <w:spacing w:after="0"/>
              <w:rPr>
                <w:sz w:val="16"/>
                <w:szCs w:val="16"/>
                <w:color w:val="auto"/>
              </w:rPr>
            </w:pP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approval</w:t>
            </w:r>
          </w:p>
        </w:tc>
        <w:tc>
          <w:tcPr>
            <w:tcW w:w="0" w:type="dxa"/>
            <w:vAlign w:val="bottom"/>
          </w:tcPr>
          <w:p>
            <w:pPr>
              <w:spacing w:after="0"/>
              <w:rPr>
                <w:sz w:val="1"/>
                <w:szCs w:val="1"/>
                <w:color w:val="auto"/>
              </w:rPr>
            </w:pPr>
          </w:p>
        </w:tc>
      </w:tr>
      <w:tr>
        <w:trPr>
          <w:trHeight w:val="305"/>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Code of Conduct applicable to all directors, officers and employees</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Non-employee director and executive stock ownership guidelines</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All employees and directors prohibited from hedging and pledging Company stock</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Maintain clawback policies applicable to our executive officers’ incentive awards</w:t>
            </w:r>
          </w:p>
        </w:tc>
        <w:tc>
          <w:tcPr>
            <w:tcW w:w="0" w:type="dxa"/>
            <w:vAlign w:val="bottom"/>
          </w:tcPr>
          <w:p>
            <w:pPr>
              <w:spacing w:after="0"/>
              <w:rPr>
                <w:sz w:val="1"/>
                <w:szCs w:val="1"/>
                <w:color w:val="auto"/>
              </w:rPr>
            </w:pPr>
          </w:p>
        </w:tc>
      </w:tr>
      <w:tr>
        <w:trPr>
          <w:trHeight w:val="274"/>
        </w:trPr>
        <w:tc>
          <w:tcPr>
            <w:tcW w:w="860" w:type="dxa"/>
            <w:vAlign w:val="bottom"/>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2800" w:type="dxa"/>
            <w:vAlign w:val="bottom"/>
            <w:shd w:val="clear" w:color="auto" w:fill="E6E6E6"/>
          </w:tcPr>
          <w:p>
            <w:pPr>
              <w:spacing w:after="0"/>
              <w:rPr>
                <w:sz w:val="23"/>
                <w:szCs w:val="23"/>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Director overboarding policy with guidelines and limitations for service on other public</w:t>
            </w:r>
          </w:p>
        </w:tc>
        <w:tc>
          <w:tcPr>
            <w:tcW w:w="0" w:type="dxa"/>
            <w:vAlign w:val="bottom"/>
          </w:tcPr>
          <w:p>
            <w:pPr>
              <w:spacing w:after="0"/>
              <w:rPr>
                <w:sz w:val="1"/>
                <w:szCs w:val="1"/>
                <w:color w:val="auto"/>
              </w:rPr>
            </w:pPr>
          </w:p>
        </w:tc>
      </w:tr>
      <w:tr>
        <w:trPr>
          <w:trHeight w:val="190"/>
        </w:trPr>
        <w:tc>
          <w:tcPr>
            <w:tcW w:w="860" w:type="dxa"/>
            <w:vAlign w:val="bottom"/>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2800" w:type="dxa"/>
            <w:vAlign w:val="bottom"/>
            <w:shd w:val="clear" w:color="auto" w:fill="E6E6E6"/>
          </w:tcPr>
          <w:p>
            <w:pPr>
              <w:spacing w:after="0"/>
              <w:rPr>
                <w:sz w:val="16"/>
                <w:szCs w:val="16"/>
                <w:color w:val="auto"/>
              </w:rPr>
            </w:pPr>
          </w:p>
        </w:tc>
        <w:tc>
          <w:tcPr>
            <w:tcW w:w="380" w:type="dxa"/>
            <w:vAlign w:val="bottom"/>
            <w:vMerge w:val="restart"/>
          </w:tcPr>
          <w:p>
            <w:pPr>
              <w:ind w:left="220"/>
              <w:spacing w:after="0"/>
              <w:rPr>
                <w:sz w:val="20"/>
                <w:szCs w:val="20"/>
                <w:color w:val="auto"/>
              </w:rPr>
            </w:pPr>
            <w:r>
              <w:rPr>
                <w:rFonts w:ascii="Arial" w:cs="Arial" w:eastAsia="Arial" w:hAnsi="Arial"/>
                <w:sz w:val="14"/>
                <w:szCs w:val="14"/>
                <w:color w:val="14202A"/>
                <w:w w:val="99"/>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company boards</w:t>
            </w:r>
          </w:p>
        </w:tc>
        <w:tc>
          <w:tcPr>
            <w:tcW w:w="0" w:type="dxa"/>
            <w:vAlign w:val="bottom"/>
          </w:tcPr>
          <w:p>
            <w:pPr>
              <w:spacing w:after="0"/>
              <w:rPr>
                <w:sz w:val="1"/>
                <w:szCs w:val="1"/>
                <w:color w:val="auto"/>
              </w:rPr>
            </w:pPr>
          </w:p>
        </w:tc>
      </w:tr>
      <w:tr>
        <w:trPr>
          <w:trHeight w:val="96"/>
        </w:trPr>
        <w:tc>
          <w:tcPr>
            <w:tcW w:w="860" w:type="dxa"/>
            <w:vAlign w:val="bottom"/>
          </w:tcPr>
          <w:p>
            <w:pPr>
              <w:spacing w:after="0"/>
              <w:rPr>
                <w:sz w:val="8"/>
                <w:szCs w:val="8"/>
                <w:color w:val="auto"/>
              </w:rPr>
            </w:pPr>
          </w:p>
        </w:tc>
        <w:tc>
          <w:tcPr>
            <w:tcW w:w="180" w:type="dxa"/>
            <w:vAlign w:val="bottom"/>
            <w:tcBorders>
              <w:bottom w:val="single" w:sz="8" w:color="E6E6E6"/>
            </w:tcBorders>
            <w:shd w:val="clear" w:color="auto" w:fill="E6E6E6"/>
          </w:tcPr>
          <w:p>
            <w:pPr>
              <w:spacing w:after="0"/>
              <w:rPr>
                <w:sz w:val="8"/>
                <w:szCs w:val="8"/>
                <w:color w:val="auto"/>
              </w:rPr>
            </w:pPr>
          </w:p>
        </w:tc>
        <w:tc>
          <w:tcPr>
            <w:tcW w:w="2800" w:type="dxa"/>
            <w:vAlign w:val="bottom"/>
            <w:tcBorders>
              <w:bottom w:val="single" w:sz="8" w:color="E6E6E6"/>
            </w:tcBorders>
            <w:shd w:val="clear" w:color="auto" w:fill="E6E6E6"/>
          </w:tcPr>
          <w:p>
            <w:pPr>
              <w:spacing w:after="0"/>
              <w:rPr>
                <w:sz w:val="8"/>
                <w:szCs w:val="8"/>
                <w:color w:val="auto"/>
              </w:rPr>
            </w:pPr>
          </w:p>
        </w:tc>
        <w:tc>
          <w:tcPr>
            <w:tcW w:w="380" w:type="dxa"/>
            <w:vAlign w:val="bottom"/>
            <w:vMerge w:val="continue"/>
          </w:tcPr>
          <w:p>
            <w:pPr>
              <w:spacing w:after="0"/>
              <w:rPr>
                <w:sz w:val="8"/>
                <w:szCs w:val="8"/>
                <w:color w:val="auto"/>
              </w:rPr>
            </w:pPr>
          </w:p>
        </w:tc>
        <w:tc>
          <w:tcPr>
            <w:tcW w:w="5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14202A"/>
          </w:tcPr>
          <w:p>
            <w:pPr>
              <w:spacing w:after="0" w:line="20" w:lineRule="exact"/>
              <w:rPr>
                <w:sz w:val="1"/>
                <w:szCs w:val="1"/>
                <w:color w:val="auto"/>
              </w:rPr>
            </w:pPr>
          </w:p>
        </w:tc>
        <w:tc>
          <w:tcPr>
            <w:tcW w:w="2800" w:type="dxa"/>
            <w:vAlign w:val="bottom"/>
            <w:shd w:val="clear" w:color="auto" w:fill="14202A"/>
          </w:tcPr>
          <w:p>
            <w:pPr>
              <w:spacing w:after="0" w:line="20" w:lineRule="exact"/>
              <w:rPr>
                <w:sz w:val="1"/>
                <w:szCs w:val="1"/>
                <w:color w:val="auto"/>
              </w:rPr>
            </w:pPr>
          </w:p>
        </w:tc>
        <w:tc>
          <w:tcPr>
            <w:tcW w:w="380" w:type="dxa"/>
            <w:vAlign w:val="bottom"/>
            <w:shd w:val="clear" w:color="auto" w:fill="14202A"/>
          </w:tcPr>
          <w:p>
            <w:pPr>
              <w:spacing w:after="0" w:line="20" w:lineRule="exact"/>
              <w:rPr>
                <w:sz w:val="1"/>
                <w:szCs w:val="1"/>
                <w:color w:val="auto"/>
              </w:rPr>
            </w:pPr>
          </w:p>
        </w:tc>
        <w:tc>
          <w:tcPr>
            <w:tcW w:w="5920" w:type="dxa"/>
            <w:vAlign w:val="bottom"/>
            <w:shd w:val="clear" w:color="auto" w:fill="14202A"/>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0" w:type="dxa"/>
            <w:vAlign w:val="bottom"/>
            <w:gridSpan w:val="2"/>
          </w:tcPr>
          <w:p>
            <w:pPr>
              <w:ind w:left="3260"/>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9</w:t>
            </w:r>
          </w:p>
        </w:tc>
        <w:tc>
          <w:tcPr>
            <w:tcW w:w="0" w:type="dxa"/>
            <w:vAlign w:val="bottom"/>
          </w:tcPr>
          <w:p>
            <w:pPr>
              <w:spacing w:after="0"/>
              <w:rPr>
                <w:sz w:val="1"/>
                <w:szCs w:val="1"/>
                <w:color w:val="auto"/>
              </w:rPr>
            </w:pPr>
          </w:p>
        </w:tc>
      </w:tr>
      <w:tr>
        <w:trPr>
          <w:trHeight w:val="231"/>
        </w:trPr>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9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31"/>
          <w:szCs w:val="31"/>
          <w:b w:val="1"/>
          <w:bCs w:val="1"/>
          <w:color w:val="14202A"/>
        </w:rPr>
        <w:t>Corporate Governance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Board Leadership Structure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14202A"/>
        </w:rPr>
        <w:t>The Board is committed to robust corporate governance, which enhances long-term stability and value for all of our shareholders.</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14202A"/>
        </w:rPr>
        <w:t>Our Amended and Restated bylaws, effective as of August 15, 2023 (the “Bylaws”) and corporate governance policy delegate to the Board the right to exercise its discretion to either separate or combine the offices of Board Chair and Chief Executive Officer (“CEO”). This decision is based upon the Board’s determination of what is in the best interests of the Company and our shareholders, in light of then-current and anticipated future circumstances and taking into consideration succession planning, the skills and experience of the individual(s) filling those positions, and other relevant factors.</w:t>
      </w:r>
    </w:p>
    <w:p>
      <w:pPr>
        <w:spacing w:after="0" w:line="72"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14202A"/>
        </w:rPr>
        <w:t>The Board, as part of its continuing obligation to determine the appropriate role for the Chair, has concluded that at this time the Company will have an independent Chair. The Board concluded that this structure provides us with a strong governance and leadership structure that is designed to exercise independent oversight of members of our management team and key issues related to strategy and risk. Mr. John M. Murabito, an independent director, has served as Chair since December 2025.</w:t>
      </w:r>
    </w:p>
    <w:p>
      <w:pPr>
        <w:spacing w:after="0" w:line="70"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14202A"/>
        </w:rPr>
        <w:t>The Board recognizes that, depending on the specific characteristics and circumstances of the Company, other leadership structures might also be appropriate. We are committed to reviewing this determination on an annual basis.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Skills and Experiences</w:t>
      </w:r>
    </w:p>
    <w:p>
      <w:pPr>
        <w:spacing w:after="0" w:line="112" w:lineRule="exact"/>
        <w:rPr>
          <w:sz w:val="20"/>
          <w:szCs w:val="20"/>
          <w:color w:val="auto"/>
        </w:rPr>
      </w:pPr>
    </w:p>
    <w:p>
      <w:pPr>
        <w:ind w:right="480"/>
        <w:spacing w:after="0" w:line="259" w:lineRule="auto"/>
        <w:rPr>
          <w:sz w:val="20"/>
          <w:szCs w:val="20"/>
          <w:color w:val="auto"/>
        </w:rPr>
      </w:pPr>
      <w:r>
        <w:rPr>
          <w:rFonts w:ascii="Arial" w:cs="Arial" w:eastAsia="Arial" w:hAnsi="Arial"/>
          <w:sz w:val="16"/>
          <w:szCs w:val="16"/>
          <w:color w:val="14202A"/>
        </w:rPr>
        <w:t>The following chart shows the specific experiences and skills the Board currently believes are important for our directors to collectively possess for effective governance of Winnebago Industries. The chart also provides a high-level summary of the important experiences and skills of each of our directors. We seek to achieve a balance of knowledge, experience and perspective on the Board to contribute to the sound governance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207645</wp:posOffset>
            </wp:positionV>
            <wp:extent cx="5391785" cy="3600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91785"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Executive Leadership</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Experience Criteria: Definitions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160" w:type="dxa"/>
            <w:vAlign w:val="bottom"/>
            <w:shd w:val="clear" w:color="auto" w:fill="14202A"/>
          </w:tcPr>
          <w:p>
            <w:pPr>
              <w:ind w:left="160"/>
              <w:spacing w:after="0"/>
              <w:rPr>
                <w:sz w:val="20"/>
                <w:szCs w:val="20"/>
                <w:color w:val="auto"/>
              </w:rPr>
            </w:pPr>
            <w:r>
              <w:rPr>
                <w:rFonts w:ascii="Arial" w:cs="Arial" w:eastAsia="Arial" w:hAnsi="Arial"/>
                <w:sz w:val="13"/>
                <w:szCs w:val="13"/>
                <w:b w:val="1"/>
                <w:bCs w:val="1"/>
                <w:color w:val="FFFFFF"/>
              </w:rPr>
              <w:t>Area of Expertise</w:t>
            </w:r>
          </w:p>
        </w:tc>
        <w:tc>
          <w:tcPr>
            <w:tcW w:w="7120" w:type="dxa"/>
            <w:vAlign w:val="bottom"/>
            <w:gridSpan w:val="3"/>
            <w:shd w:val="clear" w:color="auto" w:fill="14202A"/>
          </w:tcPr>
          <w:p>
            <w:pPr>
              <w:ind w:left="100"/>
              <w:spacing w:after="0"/>
              <w:rPr>
                <w:sz w:val="20"/>
                <w:szCs w:val="20"/>
                <w:color w:val="auto"/>
              </w:rPr>
            </w:pPr>
            <w:r>
              <w:rPr>
                <w:rFonts w:ascii="Arial" w:cs="Arial" w:eastAsia="Arial" w:hAnsi="Arial"/>
                <w:sz w:val="13"/>
                <w:szCs w:val="13"/>
                <w:b w:val="1"/>
                <w:bCs w:val="1"/>
                <w:color w:val="FFFFFF"/>
              </w:rPr>
              <w:t>Description</w:t>
            </w:r>
          </w:p>
        </w:tc>
      </w:tr>
      <w:tr>
        <w:trPr>
          <w:trHeight w:val="62"/>
        </w:trPr>
        <w:tc>
          <w:tcPr>
            <w:tcW w:w="2160" w:type="dxa"/>
            <w:vAlign w:val="bottom"/>
            <w:shd w:val="clear" w:color="auto" w:fill="14202A"/>
          </w:tcPr>
          <w:p>
            <w:pPr>
              <w:spacing w:after="0"/>
              <w:rPr>
                <w:sz w:val="5"/>
                <w:szCs w:val="5"/>
                <w:color w:val="auto"/>
              </w:rPr>
            </w:pPr>
          </w:p>
        </w:tc>
        <w:tc>
          <w:tcPr>
            <w:tcW w:w="280" w:type="dxa"/>
            <w:vAlign w:val="bottom"/>
            <w:shd w:val="clear" w:color="auto" w:fill="14202A"/>
          </w:tcPr>
          <w:p>
            <w:pPr>
              <w:spacing w:after="0"/>
              <w:rPr>
                <w:sz w:val="5"/>
                <w:szCs w:val="5"/>
                <w:color w:val="auto"/>
              </w:rPr>
            </w:pPr>
          </w:p>
        </w:tc>
        <w:tc>
          <w:tcPr>
            <w:tcW w:w="120" w:type="dxa"/>
            <w:vAlign w:val="bottom"/>
            <w:shd w:val="clear" w:color="auto" w:fill="14202A"/>
          </w:tcPr>
          <w:p>
            <w:pPr>
              <w:spacing w:after="0"/>
              <w:rPr>
                <w:sz w:val="5"/>
                <w:szCs w:val="5"/>
                <w:color w:val="auto"/>
              </w:rPr>
            </w:pPr>
          </w:p>
        </w:tc>
        <w:tc>
          <w:tcPr>
            <w:tcW w:w="6720" w:type="dxa"/>
            <w:vAlign w:val="bottom"/>
            <w:shd w:val="clear" w:color="auto" w:fill="14202A"/>
          </w:tcPr>
          <w:p>
            <w:pPr>
              <w:spacing w:after="0"/>
              <w:rPr>
                <w:sz w:val="5"/>
                <w:szCs w:val="5"/>
                <w:color w:val="auto"/>
              </w:rPr>
            </w:pPr>
          </w:p>
        </w:tc>
      </w:tr>
      <w:tr>
        <w:trPr>
          <w:trHeight w:val="23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Public/Private</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Current or recently retired public/private CEO of organization with comparable scale and complexity,</w:t>
            </w:r>
          </w:p>
        </w:tc>
      </w:tr>
      <w:tr>
        <w:trPr>
          <w:trHeight w:val="20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Company CEO</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preferably with a strong manufacturing base</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27"/>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Financial Expert</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Strong financial acumen through experience in a senior financial leadership role (e.g., CFO, audit,</w:t>
            </w:r>
          </w:p>
        </w:tc>
      </w:tr>
      <w:tr>
        <w:trPr>
          <w:trHeight w:val="176"/>
        </w:trPr>
        <w:tc>
          <w:tcPr>
            <w:tcW w:w="2160" w:type="dxa"/>
            <w:vAlign w:val="bottom"/>
            <w:shd w:val="clear" w:color="auto" w:fill="E6E6E6"/>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treasurer, accounting), preferably public company CFO experience or as an audit partner in an</w:t>
            </w:r>
          </w:p>
        </w:tc>
      </w:tr>
      <w:tr>
        <w:trPr>
          <w:trHeight w:val="190"/>
        </w:trPr>
        <w:tc>
          <w:tcPr>
            <w:tcW w:w="2160" w:type="dxa"/>
            <w:vAlign w:val="bottom"/>
            <w:shd w:val="clear" w:color="auto" w:fill="E6E6E6"/>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accounting firm</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27"/>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Global Experience</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Senior experience in a multinational business; understanding of new market entry, navigating</w:t>
            </w:r>
          </w:p>
        </w:tc>
      </w:tr>
      <w:tr>
        <w:trPr>
          <w:trHeight w:val="190"/>
        </w:trPr>
        <w:tc>
          <w:tcPr>
            <w:tcW w:w="2160" w:type="dxa"/>
            <w:vAlign w:val="bottom"/>
            <w:shd w:val="clear" w:color="auto" w:fill="E6E6E6"/>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complexities of local and regional geopolitical and cultural sensitivities</w:t>
            </w:r>
          </w:p>
        </w:tc>
      </w:tr>
      <w:tr>
        <w:trPr>
          <w:trHeight w:val="75"/>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1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Technology Leader/</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Leadership in businesses focused on disruption or technology-driven change leveraging innovative</w:t>
            </w:r>
          </w:p>
        </w:tc>
      </w:tr>
      <w:tr>
        <w:trPr>
          <w:trHeight w:val="20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Data &amp; Analytics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digital technologies and data analytics, focusing on customer experience and connectivity solutions</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27"/>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Mobility Ecosystem</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Leadership within on or off-highway transportation and/or mobility ecosystem; understanding of</w:t>
            </w:r>
          </w:p>
        </w:tc>
      </w:tr>
      <w:tr>
        <w:trPr>
          <w:trHeight w:val="190"/>
        </w:trPr>
        <w:tc>
          <w:tcPr>
            <w:tcW w:w="2160" w:type="dxa"/>
            <w:vAlign w:val="bottom"/>
            <w:shd w:val="clear" w:color="auto" w:fill="E6E6E6"/>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technology-driven advancements in relevant markets</w:t>
            </w:r>
          </w:p>
        </w:tc>
      </w:tr>
      <w:tr>
        <w:trPr>
          <w:trHeight w:val="75"/>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1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Marketing/Sales/</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Marketing/managing a portfolio of brands with a focus on data and digital competencies; leadership in</w:t>
            </w:r>
          </w:p>
        </w:tc>
      </w:tr>
      <w:tr>
        <w:trPr>
          <w:trHeight w:val="20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Branding</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customer or user experience within a business-to-business and/or business-to-consumer environment</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27"/>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Strategic Transformation</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Executive experience creating and driving enterprise-wide strategic transformation at scale including</w:t>
            </w:r>
          </w:p>
        </w:tc>
      </w:tr>
      <w:tr>
        <w:trPr>
          <w:trHeight w:val="190"/>
        </w:trPr>
        <w:tc>
          <w:tcPr>
            <w:tcW w:w="2160" w:type="dxa"/>
            <w:vAlign w:val="bottom"/>
            <w:shd w:val="clear" w:color="auto" w:fill="E6E6E6"/>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experience with development of a strategic acquisition pipeline and business integration</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27"/>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Operations Optimization</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Operations optimization experience including continuous improvement, operational automation relevant</w:t>
            </w:r>
          </w:p>
        </w:tc>
      </w:tr>
      <w:tr>
        <w:trPr>
          <w:trHeight w:val="190"/>
        </w:trPr>
        <w:tc>
          <w:tcPr>
            <w:tcW w:w="2160" w:type="dxa"/>
            <w:vAlign w:val="bottom"/>
            <w:shd w:val="clear" w:color="auto" w:fill="E6E6E6"/>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to factory operations and supply chain</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1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Human Capital Mgmt/</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Senior experience in recruiting, developing and retaining an inclusive workforce with a strong track</w:t>
            </w:r>
          </w:p>
        </w:tc>
      </w:tr>
      <w:tr>
        <w:trPr>
          <w:trHeight w:val="20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Compensation</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record of driving a high-performing culture</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27"/>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Channel Development</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Experience working with independent dealers and/or complex go-to-market models including</w:t>
            </w:r>
          </w:p>
        </w:tc>
      </w:tr>
      <w:tr>
        <w:trPr>
          <w:trHeight w:val="175"/>
        </w:trPr>
        <w:tc>
          <w:tcPr>
            <w:tcW w:w="2160" w:type="dxa"/>
            <w:vAlign w:val="bottom"/>
            <w:shd w:val="clear" w:color="auto" w:fill="E6E6E6"/>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leadership in a business with significant aftermarket parts and service and omnichannel market</w:t>
            </w:r>
          </w:p>
        </w:tc>
      </w:tr>
      <w:tr>
        <w:trPr>
          <w:trHeight w:val="190"/>
        </w:trPr>
        <w:tc>
          <w:tcPr>
            <w:tcW w:w="2160" w:type="dxa"/>
            <w:vAlign w:val="bottom"/>
            <w:shd w:val="clear" w:color="auto" w:fill="E6E6E6"/>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development</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1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Public Affairs/</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Experience in public sector/industry associations/investor community, including venture capital and</w:t>
            </w:r>
          </w:p>
        </w:tc>
      </w:tr>
      <w:tr>
        <w:trPr>
          <w:trHeight w:val="232"/>
        </w:trPr>
        <w:tc>
          <w:tcPr>
            <w:tcW w:w="216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b w:val="1"/>
                <w:bCs w:val="1"/>
                <w:color w:val="14202A"/>
              </w:rPr>
              <w:t>Stakeholder Mgmt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private equity (as relevant)</w:t>
            </w:r>
          </w:p>
        </w:tc>
      </w:tr>
      <w:tr>
        <w:trPr>
          <w:trHeight w:val="20"/>
        </w:trPr>
        <w:tc>
          <w:tcPr>
            <w:tcW w:w="2160" w:type="dxa"/>
            <w:vAlign w:val="bottom"/>
            <w:shd w:val="clear" w:color="auto" w:fill="14202A"/>
          </w:tcPr>
          <w:p>
            <w:pPr>
              <w:spacing w:after="0" w:line="20" w:lineRule="exact"/>
              <w:rPr>
                <w:sz w:val="1"/>
                <w:szCs w:val="1"/>
                <w:color w:val="auto"/>
              </w:rPr>
            </w:pPr>
          </w:p>
        </w:tc>
        <w:tc>
          <w:tcPr>
            <w:tcW w:w="280" w:type="dxa"/>
            <w:vAlign w:val="bottom"/>
            <w:shd w:val="clear" w:color="auto" w:fill="14202A"/>
          </w:tcPr>
          <w:p>
            <w:pPr>
              <w:spacing w:after="0" w:line="20" w:lineRule="exact"/>
              <w:rPr>
                <w:sz w:val="1"/>
                <w:szCs w:val="1"/>
                <w:color w:val="auto"/>
              </w:rPr>
            </w:pPr>
          </w:p>
        </w:tc>
        <w:tc>
          <w:tcPr>
            <w:tcW w:w="120" w:type="dxa"/>
            <w:vAlign w:val="bottom"/>
            <w:shd w:val="clear" w:color="auto" w:fill="14202A"/>
          </w:tcPr>
          <w:p>
            <w:pPr>
              <w:spacing w:after="0" w:line="20" w:lineRule="exact"/>
              <w:rPr>
                <w:sz w:val="1"/>
                <w:szCs w:val="1"/>
                <w:color w:val="auto"/>
              </w:rPr>
            </w:pPr>
          </w:p>
        </w:tc>
        <w:tc>
          <w:tcPr>
            <w:tcW w:w="6720" w:type="dxa"/>
            <w:vAlign w:val="bottom"/>
            <w:shd w:val="clear" w:color="auto" w:fill="14202A"/>
          </w:tcPr>
          <w:p>
            <w:pPr>
              <w:spacing w:after="0" w:line="20" w:lineRule="exact"/>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Board and Shareholder Meeting Attendance; Executive Sessions</w:t>
      </w:r>
    </w:p>
    <w:p>
      <w:pPr>
        <w:spacing w:after="0" w:line="180"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14202A"/>
        </w:rPr>
        <w:t>During Fiscal 2026, the Board met eight times. Each director who served on the Board during Fiscal 2026 attended at least 75% of the meetings of the Board and the committees on which he or she served that were held during his or her tenure on the Board or relevant committee. It is the Board’s policy that directors are encouraged, but are not required, to attend the annual meeting of shareholders. All of our then-serving directors attended the 2025 annual meeting of shareholders. During the year, our independent directors held executive sessions without the CEO or other management as a routinely scheduled agenda item for every regular Board meeting.</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Board Committees</w:t>
      </w:r>
    </w:p>
    <w:p>
      <w:pPr>
        <w:spacing w:after="0" w:line="180" w:lineRule="exact"/>
        <w:rPr>
          <w:sz w:val="20"/>
          <w:szCs w:val="20"/>
          <w:color w:val="auto"/>
        </w:rPr>
      </w:pPr>
    </w:p>
    <w:p>
      <w:pPr>
        <w:spacing w:after="0" w:line="250" w:lineRule="auto"/>
        <w:rPr>
          <w:sz w:val="20"/>
          <w:szCs w:val="20"/>
          <w:color w:val="auto"/>
        </w:rPr>
      </w:pPr>
      <w:r>
        <w:rPr>
          <w:rFonts w:ascii="Arial" w:cs="Arial" w:eastAsia="Arial" w:hAnsi="Arial"/>
          <w:sz w:val="16"/>
          <w:szCs w:val="16"/>
          <w:color w:val="14202A"/>
        </w:rPr>
        <w:t xml:space="preserve">The Board has established the Audit and Finance, Human Resources, Nominating and Governance, and Technology and Innovation Committees to assist it in discharging its responsibilities. On October 22, 2026, pursuant to the Cooperation Agreement described under “Cooperation Agreement with Vision One” on page 18 of this Proxy Statement, the Board renamed the Audit Committee the “Audit and Finance Committee” and amended its charter to provide additional clarity regarding the committee’s oversight of the Company’s capital structure, investments, uses of cash and capital allocation. The Cooperation Agreement also provides for Mr. Johnson’s appointment to the Audit and Finance Committee following his election to the Board at the Annual Meeting, subject to applicable qualification requirements. Each committee operates under a written charter, each of which is available under “Corporate Governance” in the “Investors” section of our website at </w:t>
      </w:r>
      <w:r>
        <w:rPr>
          <w:rFonts w:ascii="Arial" w:cs="Arial" w:eastAsia="Arial" w:hAnsi="Arial"/>
          <w:sz w:val="16"/>
          <w:szCs w:val="16"/>
          <w:b w:val="1"/>
          <w:bCs w:val="1"/>
          <w:color w:val="14202A"/>
        </w:rPr>
        <w:t>www.winnebagoind.com</w:t>
      </w:r>
      <w:r>
        <w:rPr>
          <w:rFonts w:ascii="Arial" w:cs="Arial" w:eastAsia="Arial" w:hAnsi="Arial"/>
          <w:sz w:val="16"/>
          <w:szCs w:val="16"/>
          <w:color w:val="14202A"/>
        </w:rPr>
        <w:t>. The current membership of each committee and its primary responsibilities, as well as the number of meetings held by each of these committees during Fiscal 2026, are described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920" w:type="dxa"/>
            <w:vAlign w:val="bottom"/>
            <w:shd w:val="clear" w:color="auto" w:fill="14202A"/>
          </w:tcPr>
          <w:p>
            <w:pPr>
              <w:spacing w:after="0"/>
              <w:rPr>
                <w:sz w:val="22"/>
                <w:szCs w:val="22"/>
                <w:color w:val="auto"/>
              </w:rPr>
            </w:pPr>
          </w:p>
        </w:tc>
        <w:tc>
          <w:tcPr>
            <w:tcW w:w="1540" w:type="dxa"/>
            <w:vAlign w:val="bottom"/>
            <w:shd w:val="clear" w:color="auto" w:fill="14202A"/>
          </w:tcPr>
          <w:p>
            <w:pPr>
              <w:spacing w:after="0"/>
              <w:rPr>
                <w:sz w:val="22"/>
                <w:szCs w:val="22"/>
                <w:color w:val="auto"/>
              </w:rPr>
            </w:pPr>
          </w:p>
        </w:tc>
        <w:tc>
          <w:tcPr>
            <w:tcW w:w="3240" w:type="dxa"/>
            <w:vAlign w:val="bottom"/>
            <w:gridSpan w:val="2"/>
            <w:shd w:val="clear" w:color="auto" w:fill="14202A"/>
          </w:tcPr>
          <w:p>
            <w:pPr>
              <w:ind w:left="1120"/>
              <w:spacing w:after="0"/>
              <w:rPr>
                <w:sz w:val="20"/>
                <w:szCs w:val="20"/>
                <w:color w:val="auto"/>
              </w:rPr>
            </w:pPr>
            <w:r>
              <w:rPr>
                <w:rFonts w:ascii="Arial" w:cs="Arial" w:eastAsia="Arial" w:hAnsi="Arial"/>
                <w:sz w:val="13"/>
                <w:szCs w:val="13"/>
                <w:b w:val="1"/>
                <w:bCs w:val="1"/>
                <w:color w:val="FFFFFF"/>
              </w:rPr>
              <w:t>Board Committees</w:t>
            </w:r>
          </w:p>
        </w:tc>
        <w:tc>
          <w:tcPr>
            <w:tcW w:w="158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920" w:type="dxa"/>
            <w:vAlign w:val="bottom"/>
            <w:shd w:val="clear" w:color="auto" w:fill="14202A"/>
          </w:tcPr>
          <w:p>
            <w:pPr>
              <w:spacing w:after="0"/>
              <w:rPr>
                <w:sz w:val="17"/>
                <w:szCs w:val="17"/>
                <w:color w:val="auto"/>
              </w:rPr>
            </w:pPr>
          </w:p>
        </w:tc>
        <w:tc>
          <w:tcPr>
            <w:tcW w:w="1540" w:type="dxa"/>
            <w:vAlign w:val="bottom"/>
            <w:vMerge w:val="restart"/>
            <w:shd w:val="clear" w:color="auto" w:fill="14202A"/>
          </w:tcPr>
          <w:p>
            <w:pPr>
              <w:jc w:val="center"/>
              <w:ind w:left="33"/>
              <w:spacing w:after="0"/>
              <w:rPr>
                <w:sz w:val="20"/>
                <w:szCs w:val="20"/>
                <w:color w:val="auto"/>
              </w:rPr>
            </w:pPr>
            <w:r>
              <w:rPr>
                <w:rFonts w:ascii="Arial" w:cs="Arial" w:eastAsia="Arial" w:hAnsi="Arial"/>
                <w:sz w:val="13"/>
                <w:szCs w:val="13"/>
                <w:b w:val="1"/>
                <w:bCs w:val="1"/>
                <w:color w:val="FFFFFF"/>
                <w:w w:val="95"/>
              </w:rPr>
              <w:t>Audit and Finance</w:t>
            </w:r>
          </w:p>
        </w:tc>
        <w:tc>
          <w:tcPr>
            <w:tcW w:w="1580" w:type="dxa"/>
            <w:vAlign w:val="bottom"/>
            <w:vMerge w:val="restart"/>
            <w:shd w:val="clear" w:color="auto" w:fill="14202A"/>
          </w:tcPr>
          <w:p>
            <w:pPr>
              <w:jc w:val="center"/>
              <w:ind w:right="94"/>
              <w:spacing w:after="0"/>
              <w:rPr>
                <w:sz w:val="20"/>
                <w:szCs w:val="20"/>
                <w:color w:val="auto"/>
              </w:rPr>
            </w:pPr>
            <w:r>
              <w:rPr>
                <w:rFonts w:ascii="Arial" w:cs="Arial" w:eastAsia="Arial" w:hAnsi="Arial"/>
                <w:sz w:val="13"/>
                <w:szCs w:val="13"/>
                <w:b w:val="1"/>
                <w:bCs w:val="1"/>
                <w:color w:val="FFFFFF"/>
                <w:w w:val="96"/>
              </w:rPr>
              <w:t>Human Resources</w:t>
            </w:r>
          </w:p>
        </w:tc>
        <w:tc>
          <w:tcPr>
            <w:tcW w:w="16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Nominating and</w:t>
            </w:r>
          </w:p>
        </w:tc>
        <w:tc>
          <w:tcPr>
            <w:tcW w:w="1580" w:type="dxa"/>
            <w:vAlign w:val="bottom"/>
            <w:shd w:val="clear" w:color="auto" w:fill="14202A"/>
          </w:tcPr>
          <w:p>
            <w:pPr>
              <w:jc w:val="center"/>
              <w:ind w:left="74"/>
              <w:spacing w:after="0"/>
              <w:rPr>
                <w:sz w:val="20"/>
                <w:szCs w:val="20"/>
                <w:color w:val="auto"/>
              </w:rPr>
            </w:pPr>
            <w:r>
              <w:rPr>
                <w:rFonts w:ascii="Arial" w:cs="Arial" w:eastAsia="Arial" w:hAnsi="Arial"/>
                <w:sz w:val="13"/>
                <w:szCs w:val="13"/>
                <w:b w:val="1"/>
                <w:bCs w:val="1"/>
                <w:color w:val="FFFFFF"/>
                <w:w w:val="96"/>
              </w:rPr>
              <w:t>Technology and</w:t>
            </w:r>
          </w:p>
        </w:tc>
        <w:tc>
          <w:tcPr>
            <w:tcW w:w="0" w:type="dxa"/>
            <w:vAlign w:val="bottom"/>
          </w:tcPr>
          <w:p>
            <w:pPr>
              <w:spacing w:after="0"/>
              <w:rPr>
                <w:sz w:val="1"/>
                <w:szCs w:val="1"/>
                <w:color w:val="auto"/>
              </w:rPr>
            </w:pPr>
          </w:p>
        </w:tc>
      </w:tr>
      <w:tr>
        <w:trPr>
          <w:trHeight w:val="187"/>
        </w:trPr>
        <w:tc>
          <w:tcPr>
            <w:tcW w:w="2920" w:type="dxa"/>
            <w:vAlign w:val="bottom"/>
            <w:tcBorders>
              <w:bottom w:val="single" w:sz="8" w:color="14202A"/>
            </w:tcBorders>
            <w:shd w:val="clear" w:color="auto" w:fill="14202A"/>
          </w:tcPr>
          <w:p>
            <w:pPr>
              <w:spacing w:after="0"/>
              <w:rPr>
                <w:sz w:val="16"/>
                <w:szCs w:val="16"/>
                <w:color w:val="auto"/>
              </w:rPr>
            </w:pPr>
          </w:p>
        </w:tc>
        <w:tc>
          <w:tcPr>
            <w:tcW w:w="1540" w:type="dxa"/>
            <w:vAlign w:val="bottom"/>
            <w:tcBorders>
              <w:bottom w:val="single" w:sz="8" w:color="14202A"/>
            </w:tcBorders>
            <w:vMerge w:val="continue"/>
            <w:shd w:val="clear" w:color="auto" w:fill="14202A"/>
          </w:tcPr>
          <w:p>
            <w:pPr>
              <w:spacing w:after="0"/>
              <w:rPr>
                <w:sz w:val="16"/>
                <w:szCs w:val="16"/>
                <w:color w:val="auto"/>
              </w:rPr>
            </w:pPr>
          </w:p>
        </w:tc>
        <w:tc>
          <w:tcPr>
            <w:tcW w:w="1580" w:type="dxa"/>
            <w:vAlign w:val="bottom"/>
            <w:tcBorders>
              <w:bottom w:val="single" w:sz="8" w:color="14202A"/>
            </w:tcBorders>
            <w:vMerge w:val="continue"/>
            <w:shd w:val="clear" w:color="auto" w:fill="14202A"/>
          </w:tcPr>
          <w:p>
            <w:pPr>
              <w:spacing w:after="0"/>
              <w:rPr>
                <w:sz w:val="16"/>
                <w:szCs w:val="16"/>
                <w:color w:val="auto"/>
              </w:rPr>
            </w:pPr>
          </w:p>
        </w:tc>
        <w:tc>
          <w:tcPr>
            <w:tcW w:w="166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Governance</w:t>
            </w:r>
          </w:p>
        </w:tc>
        <w:tc>
          <w:tcPr>
            <w:tcW w:w="1580" w:type="dxa"/>
            <w:vAlign w:val="bottom"/>
            <w:tcBorders>
              <w:bottom w:val="single" w:sz="8" w:color="14202A"/>
            </w:tcBorders>
            <w:shd w:val="clear" w:color="auto" w:fill="14202A"/>
          </w:tcPr>
          <w:p>
            <w:pPr>
              <w:jc w:val="center"/>
              <w:ind w:left="74"/>
              <w:spacing w:after="0"/>
              <w:rPr>
                <w:sz w:val="20"/>
                <w:szCs w:val="20"/>
                <w:color w:val="auto"/>
              </w:rPr>
            </w:pPr>
            <w:r>
              <w:rPr>
                <w:rFonts w:ascii="Arial" w:cs="Arial" w:eastAsia="Arial" w:hAnsi="Arial"/>
                <w:sz w:val="13"/>
                <w:szCs w:val="13"/>
                <w:b w:val="1"/>
                <w:bCs w:val="1"/>
                <w:color w:val="FFFFFF"/>
                <w:w w:val="97"/>
              </w:rPr>
              <w:t>Innovation</w:t>
            </w:r>
          </w:p>
        </w:tc>
        <w:tc>
          <w:tcPr>
            <w:tcW w:w="0" w:type="dxa"/>
            <w:vAlign w:val="bottom"/>
          </w:tcPr>
          <w:p>
            <w:pPr>
              <w:spacing w:after="0"/>
              <w:rPr>
                <w:sz w:val="1"/>
                <w:szCs w:val="1"/>
                <w:color w:val="auto"/>
              </w:rPr>
            </w:pPr>
          </w:p>
        </w:tc>
      </w:tr>
      <w:tr>
        <w:trPr>
          <w:trHeight w:val="263"/>
        </w:trPr>
        <w:tc>
          <w:tcPr>
            <w:tcW w:w="292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rPr>
              <w:t>Sara E. Armbruster</w:t>
            </w:r>
          </w:p>
        </w:tc>
        <w:tc>
          <w:tcPr>
            <w:tcW w:w="1540" w:type="dxa"/>
            <w:vAlign w:val="bottom"/>
            <w:tcBorders>
              <w:bottom w:val="single" w:sz="8" w:color="14202A"/>
            </w:tcBorders>
          </w:tcPr>
          <w:p>
            <w:pPr>
              <w:spacing w:after="0"/>
              <w:rPr>
                <w:sz w:val="22"/>
                <w:szCs w:val="22"/>
                <w:color w:val="auto"/>
              </w:rPr>
            </w:pPr>
          </w:p>
        </w:tc>
        <w:tc>
          <w:tcPr>
            <w:tcW w:w="1580" w:type="dxa"/>
            <w:vAlign w:val="bottom"/>
            <w:tcBorders>
              <w:bottom w:val="single" w:sz="8" w:color="14202A"/>
            </w:tcBorders>
          </w:tcPr>
          <w:p>
            <w:pPr>
              <w:jc w:val="center"/>
              <w:ind w:right="94"/>
              <w:spacing w:after="0"/>
              <w:rPr>
                <w:sz w:val="20"/>
                <w:szCs w:val="20"/>
                <w:color w:val="auto"/>
              </w:rPr>
            </w:pPr>
            <w:r>
              <w:rPr>
                <w:rFonts w:ascii="Arial" w:cs="Arial" w:eastAsia="Arial" w:hAnsi="Arial"/>
                <w:sz w:val="14"/>
                <w:szCs w:val="14"/>
                <w:b w:val="1"/>
                <w:bCs w:val="1"/>
                <w:color w:val="14202A"/>
                <w:w w:val="98"/>
              </w:rPr>
              <w:t>C</w:t>
            </w:r>
          </w:p>
        </w:tc>
        <w:tc>
          <w:tcPr>
            <w:tcW w:w="1660" w:type="dxa"/>
            <w:vAlign w:val="bottom"/>
            <w:tcBorders>
              <w:bottom w:val="single" w:sz="8" w:color="14202A"/>
            </w:tcBorders>
          </w:tcPr>
          <w:p>
            <w:pPr>
              <w:spacing w:after="0"/>
              <w:rPr>
                <w:sz w:val="22"/>
                <w:szCs w:val="22"/>
                <w:color w:val="auto"/>
              </w:rPr>
            </w:pPr>
          </w:p>
        </w:tc>
        <w:tc>
          <w:tcPr>
            <w:tcW w:w="1580" w:type="dxa"/>
            <w:vAlign w:val="bottom"/>
            <w:tcBorders>
              <w:bottom w:val="single" w:sz="8" w:color="14202A"/>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160"/>
              <w:spacing w:after="0"/>
              <w:rPr>
                <w:sz w:val="20"/>
                <w:szCs w:val="20"/>
                <w:color w:val="auto"/>
              </w:rPr>
            </w:pPr>
            <w:r>
              <w:rPr>
                <w:rFonts w:ascii="Arial" w:cs="Arial" w:eastAsia="Arial" w:hAnsi="Arial"/>
                <w:sz w:val="14"/>
                <w:szCs w:val="14"/>
                <w:color w:val="14202A"/>
              </w:rPr>
              <w:t>Christopher J. Braun</w:t>
            </w: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920" w:type="dxa"/>
            <w:vAlign w:val="bottom"/>
            <w:tcBorders>
              <w:bottom w:val="single" w:sz="8" w:color="14202A"/>
            </w:tcBorders>
          </w:tcPr>
          <w:p>
            <w:pPr>
              <w:spacing w:after="0"/>
              <w:rPr>
                <w:sz w:val="3"/>
                <w:szCs w:val="3"/>
                <w:color w:val="auto"/>
              </w:rPr>
            </w:pPr>
          </w:p>
        </w:tc>
        <w:tc>
          <w:tcPr>
            <w:tcW w:w="154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166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rPr>
              <w:t>Kevin E. Bryant*</w:t>
            </w:r>
          </w:p>
        </w:tc>
        <w:tc>
          <w:tcPr>
            <w:tcW w:w="1540" w:type="dxa"/>
            <w:vAlign w:val="bottom"/>
            <w:tcBorders>
              <w:bottom w:val="single" w:sz="8" w:color="14202A"/>
            </w:tcBorders>
          </w:tcPr>
          <w:p>
            <w:pPr>
              <w:jc w:val="center"/>
              <w:ind w:left="33"/>
              <w:spacing w:after="0"/>
              <w:rPr>
                <w:sz w:val="20"/>
                <w:szCs w:val="20"/>
                <w:color w:val="auto"/>
              </w:rPr>
            </w:pPr>
            <w:r>
              <w:rPr>
                <w:rFonts w:ascii="Arial" w:cs="Arial" w:eastAsia="Arial" w:hAnsi="Arial"/>
                <w:sz w:val="14"/>
                <w:szCs w:val="14"/>
                <w:b w:val="1"/>
                <w:bCs w:val="1"/>
                <w:color w:val="14202A"/>
              </w:rPr>
              <w:t>C</w:t>
            </w:r>
          </w:p>
        </w:tc>
        <w:tc>
          <w:tcPr>
            <w:tcW w:w="1580" w:type="dxa"/>
            <w:vAlign w:val="bottom"/>
            <w:tcBorders>
              <w:bottom w:val="single" w:sz="8" w:color="14202A"/>
            </w:tcBorders>
          </w:tcPr>
          <w:p>
            <w:pPr>
              <w:spacing w:after="0"/>
              <w:rPr>
                <w:sz w:val="21"/>
                <w:szCs w:val="21"/>
                <w:color w:val="auto"/>
              </w:rPr>
            </w:pPr>
          </w:p>
        </w:tc>
        <w:tc>
          <w:tcPr>
            <w:tcW w:w="1660" w:type="dxa"/>
            <w:vAlign w:val="bottom"/>
            <w:tcBorders>
              <w:bottom w:val="single" w:sz="8" w:color="14202A"/>
            </w:tcBorders>
          </w:tcPr>
          <w:p>
            <w:pPr>
              <w:spacing w:after="0"/>
              <w:rPr>
                <w:sz w:val="21"/>
                <w:szCs w:val="21"/>
                <w:color w:val="auto"/>
              </w:rPr>
            </w:pPr>
          </w:p>
        </w:tc>
        <w:tc>
          <w:tcPr>
            <w:tcW w:w="1580" w:type="dxa"/>
            <w:vAlign w:val="bottom"/>
            <w:tcBorders>
              <w:bottom w:val="single" w:sz="8" w:color="14202A"/>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160"/>
              <w:spacing w:after="0"/>
              <w:rPr>
                <w:sz w:val="20"/>
                <w:szCs w:val="20"/>
                <w:color w:val="auto"/>
              </w:rPr>
            </w:pPr>
            <w:r>
              <w:rPr>
                <w:rFonts w:ascii="Arial" w:cs="Arial" w:eastAsia="Arial" w:hAnsi="Arial"/>
                <w:sz w:val="14"/>
                <w:szCs w:val="14"/>
                <w:color w:val="14202A"/>
              </w:rPr>
              <w:t>William C. Fisher†</w:t>
            </w: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920" w:type="dxa"/>
            <w:vAlign w:val="bottom"/>
            <w:tcBorders>
              <w:bottom w:val="single" w:sz="8" w:color="14202A"/>
            </w:tcBorders>
          </w:tcPr>
          <w:p>
            <w:pPr>
              <w:spacing w:after="0"/>
              <w:rPr>
                <w:sz w:val="3"/>
                <w:szCs w:val="3"/>
                <w:color w:val="auto"/>
              </w:rPr>
            </w:pPr>
          </w:p>
        </w:tc>
        <w:tc>
          <w:tcPr>
            <w:tcW w:w="154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166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160"/>
              <w:spacing w:after="0"/>
              <w:rPr>
                <w:sz w:val="20"/>
                <w:szCs w:val="20"/>
                <w:color w:val="auto"/>
              </w:rPr>
            </w:pPr>
            <w:r>
              <w:rPr>
                <w:rFonts w:ascii="Arial" w:cs="Arial" w:eastAsia="Arial" w:hAnsi="Arial"/>
                <w:sz w:val="14"/>
                <w:szCs w:val="14"/>
                <w:color w:val="14202A"/>
              </w:rPr>
              <w:t>Michael J. Happe</w:t>
            </w: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920" w:type="dxa"/>
            <w:vAlign w:val="bottom"/>
            <w:tcBorders>
              <w:bottom w:val="single" w:sz="8" w:color="14202A"/>
            </w:tcBorders>
          </w:tcPr>
          <w:p>
            <w:pPr>
              <w:spacing w:after="0" w:line="20" w:lineRule="exact"/>
              <w:rPr>
                <w:sz w:val="1"/>
                <w:szCs w:val="1"/>
                <w:color w:val="auto"/>
              </w:rPr>
            </w:pPr>
          </w:p>
        </w:tc>
        <w:tc>
          <w:tcPr>
            <w:tcW w:w="1540" w:type="dxa"/>
            <w:vAlign w:val="bottom"/>
            <w:tcBorders>
              <w:bottom w:val="single" w:sz="8" w:color="14202A"/>
            </w:tcBorders>
          </w:tcPr>
          <w:p>
            <w:pPr>
              <w:spacing w:after="0" w:line="20" w:lineRule="exact"/>
              <w:rPr>
                <w:sz w:val="1"/>
                <w:szCs w:val="1"/>
                <w:color w:val="auto"/>
              </w:rPr>
            </w:pPr>
          </w:p>
        </w:tc>
        <w:tc>
          <w:tcPr>
            <w:tcW w:w="1580" w:type="dxa"/>
            <w:vAlign w:val="bottom"/>
            <w:tcBorders>
              <w:bottom w:val="single" w:sz="8" w:color="14202A"/>
            </w:tcBorders>
          </w:tcPr>
          <w:p>
            <w:pPr>
              <w:spacing w:after="0" w:line="20" w:lineRule="exact"/>
              <w:rPr>
                <w:sz w:val="1"/>
                <w:szCs w:val="1"/>
                <w:color w:val="auto"/>
              </w:rPr>
            </w:pPr>
          </w:p>
        </w:tc>
        <w:tc>
          <w:tcPr>
            <w:tcW w:w="1660" w:type="dxa"/>
            <w:vAlign w:val="bottom"/>
            <w:tcBorders>
              <w:bottom w:val="single" w:sz="8" w:color="14202A"/>
            </w:tcBorders>
          </w:tcPr>
          <w:p>
            <w:pPr>
              <w:spacing w:after="0" w:line="20" w:lineRule="exact"/>
              <w:rPr>
                <w:sz w:val="1"/>
                <w:szCs w:val="1"/>
                <w:color w:val="auto"/>
              </w:rPr>
            </w:pPr>
          </w:p>
        </w:tc>
        <w:tc>
          <w:tcPr>
            <w:tcW w:w="158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92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rPr>
              <w:t>Staci L. Kroon</w:t>
            </w:r>
          </w:p>
        </w:tc>
        <w:tc>
          <w:tcPr>
            <w:tcW w:w="1540" w:type="dxa"/>
            <w:vAlign w:val="bottom"/>
            <w:tcBorders>
              <w:bottom w:val="single" w:sz="8" w:color="14202A"/>
            </w:tcBorders>
          </w:tcPr>
          <w:p>
            <w:pPr>
              <w:spacing w:after="0"/>
              <w:rPr>
                <w:sz w:val="21"/>
                <w:szCs w:val="21"/>
                <w:color w:val="auto"/>
              </w:rPr>
            </w:pPr>
          </w:p>
        </w:tc>
        <w:tc>
          <w:tcPr>
            <w:tcW w:w="1580" w:type="dxa"/>
            <w:vAlign w:val="bottom"/>
            <w:tcBorders>
              <w:bottom w:val="single" w:sz="8" w:color="14202A"/>
            </w:tcBorders>
          </w:tcPr>
          <w:p>
            <w:pPr>
              <w:spacing w:after="0"/>
              <w:rPr>
                <w:sz w:val="21"/>
                <w:szCs w:val="21"/>
                <w:color w:val="auto"/>
              </w:rPr>
            </w:pPr>
          </w:p>
        </w:tc>
        <w:tc>
          <w:tcPr>
            <w:tcW w:w="1660" w:type="dxa"/>
            <w:vAlign w:val="bottom"/>
            <w:tcBorders>
              <w:bottom w:val="single" w:sz="8" w:color="14202A"/>
            </w:tcBorders>
          </w:tcPr>
          <w:p>
            <w:pPr>
              <w:spacing w:after="0"/>
              <w:rPr>
                <w:sz w:val="21"/>
                <w:szCs w:val="21"/>
                <w:color w:val="auto"/>
              </w:rPr>
            </w:pPr>
          </w:p>
        </w:tc>
        <w:tc>
          <w:tcPr>
            <w:tcW w:w="1580" w:type="dxa"/>
            <w:vAlign w:val="bottom"/>
            <w:tcBorders>
              <w:bottom w:val="single" w:sz="8" w:color="14202A"/>
            </w:tcBorders>
          </w:tcPr>
          <w:p>
            <w:pPr>
              <w:jc w:val="center"/>
              <w:ind w:left="74"/>
              <w:spacing w:after="0"/>
              <w:rPr>
                <w:sz w:val="20"/>
                <w:szCs w:val="20"/>
                <w:color w:val="auto"/>
              </w:rPr>
            </w:pPr>
            <w:r>
              <w:rPr>
                <w:rFonts w:ascii="Arial" w:cs="Arial" w:eastAsia="Arial" w:hAnsi="Arial"/>
                <w:sz w:val="14"/>
                <w:szCs w:val="14"/>
                <w:b w:val="1"/>
                <w:bCs w:val="1"/>
                <w:color w:val="14202A"/>
              </w:rPr>
              <w:t>C</w:t>
            </w:r>
          </w:p>
        </w:tc>
        <w:tc>
          <w:tcPr>
            <w:tcW w:w="0" w:type="dxa"/>
            <w:vAlign w:val="bottom"/>
          </w:tcPr>
          <w:p>
            <w:pPr>
              <w:spacing w:after="0"/>
              <w:rPr>
                <w:sz w:val="1"/>
                <w:szCs w:val="1"/>
                <w:color w:val="auto"/>
              </w:rPr>
            </w:pPr>
          </w:p>
        </w:tc>
      </w:tr>
      <w:tr>
        <w:trPr>
          <w:trHeight w:val="221"/>
        </w:trPr>
        <w:tc>
          <w:tcPr>
            <w:tcW w:w="2920" w:type="dxa"/>
            <w:vAlign w:val="bottom"/>
          </w:tcPr>
          <w:p>
            <w:pPr>
              <w:ind w:left="160"/>
              <w:spacing w:after="0"/>
              <w:rPr>
                <w:sz w:val="20"/>
                <w:szCs w:val="20"/>
                <w:color w:val="auto"/>
              </w:rPr>
            </w:pPr>
            <w:r>
              <w:rPr>
                <w:rFonts w:ascii="Arial" w:cs="Arial" w:eastAsia="Arial" w:hAnsi="Arial"/>
                <w:sz w:val="14"/>
                <w:szCs w:val="14"/>
                <w:color w:val="14202A"/>
              </w:rPr>
              <w:t>David W. Miles*</w:t>
            </w: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920" w:type="dxa"/>
            <w:vAlign w:val="bottom"/>
            <w:tcBorders>
              <w:bottom w:val="single" w:sz="8" w:color="14202A"/>
            </w:tcBorders>
          </w:tcPr>
          <w:p>
            <w:pPr>
              <w:spacing w:after="0"/>
              <w:rPr>
                <w:sz w:val="3"/>
                <w:szCs w:val="3"/>
                <w:color w:val="auto"/>
              </w:rPr>
            </w:pPr>
          </w:p>
        </w:tc>
        <w:tc>
          <w:tcPr>
            <w:tcW w:w="154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166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92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rPr>
              <w:t>John M. Murabito (Chair)</w:t>
            </w:r>
          </w:p>
        </w:tc>
        <w:tc>
          <w:tcPr>
            <w:tcW w:w="1540" w:type="dxa"/>
            <w:vAlign w:val="bottom"/>
            <w:tcBorders>
              <w:bottom w:val="single" w:sz="8" w:color="14202A"/>
            </w:tcBorders>
          </w:tcPr>
          <w:p>
            <w:pPr>
              <w:spacing w:after="0"/>
              <w:rPr>
                <w:sz w:val="21"/>
                <w:szCs w:val="21"/>
                <w:color w:val="auto"/>
              </w:rPr>
            </w:pPr>
          </w:p>
        </w:tc>
        <w:tc>
          <w:tcPr>
            <w:tcW w:w="1580" w:type="dxa"/>
            <w:vAlign w:val="bottom"/>
            <w:tcBorders>
              <w:bottom w:val="single" w:sz="8" w:color="14202A"/>
            </w:tcBorders>
          </w:tcPr>
          <w:p>
            <w:pPr>
              <w:spacing w:after="0"/>
              <w:rPr>
                <w:sz w:val="21"/>
                <w:szCs w:val="21"/>
                <w:color w:val="auto"/>
              </w:rPr>
            </w:pPr>
          </w:p>
        </w:tc>
        <w:tc>
          <w:tcPr>
            <w:tcW w:w="1660" w:type="dxa"/>
            <w:vAlign w:val="bottom"/>
            <w:tcBorders>
              <w:bottom w:val="single" w:sz="8" w:color="14202A"/>
            </w:tcBorders>
          </w:tcPr>
          <w:p>
            <w:pPr>
              <w:jc w:val="center"/>
              <w:spacing w:after="0"/>
              <w:rPr>
                <w:sz w:val="20"/>
                <w:szCs w:val="20"/>
                <w:color w:val="auto"/>
              </w:rPr>
            </w:pPr>
            <w:r>
              <w:rPr>
                <w:rFonts w:ascii="Arial" w:cs="Arial" w:eastAsia="Arial" w:hAnsi="Arial"/>
                <w:sz w:val="14"/>
                <w:szCs w:val="14"/>
                <w:b w:val="1"/>
                <w:bCs w:val="1"/>
                <w:color w:val="14202A"/>
                <w:w w:val="98"/>
              </w:rPr>
              <w:t>C</w:t>
            </w:r>
          </w:p>
        </w:tc>
        <w:tc>
          <w:tcPr>
            <w:tcW w:w="1580" w:type="dxa"/>
            <w:vAlign w:val="bottom"/>
            <w:tcBorders>
              <w:bottom w:val="single" w:sz="8" w:color="14202A"/>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920" w:type="dxa"/>
            <w:vAlign w:val="bottom"/>
          </w:tcPr>
          <w:p>
            <w:pPr>
              <w:ind w:left="160"/>
              <w:spacing w:after="0"/>
              <w:rPr>
                <w:sz w:val="20"/>
                <w:szCs w:val="20"/>
                <w:color w:val="auto"/>
              </w:rPr>
            </w:pPr>
            <w:r>
              <w:rPr>
                <w:rFonts w:ascii="Arial" w:cs="Arial" w:eastAsia="Arial" w:hAnsi="Arial"/>
                <w:sz w:val="14"/>
                <w:szCs w:val="14"/>
                <w:color w:val="14202A"/>
              </w:rPr>
              <w:t>Michael E. Pack*</w:t>
            </w: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920" w:type="dxa"/>
            <w:vAlign w:val="bottom"/>
            <w:tcBorders>
              <w:bottom w:val="single" w:sz="8" w:color="14202A"/>
            </w:tcBorders>
          </w:tcPr>
          <w:p>
            <w:pPr>
              <w:spacing w:after="0"/>
              <w:rPr>
                <w:sz w:val="3"/>
                <w:szCs w:val="3"/>
                <w:color w:val="auto"/>
              </w:rPr>
            </w:pPr>
          </w:p>
        </w:tc>
        <w:tc>
          <w:tcPr>
            <w:tcW w:w="154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166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160"/>
              <w:spacing w:after="0"/>
              <w:rPr>
                <w:sz w:val="20"/>
                <w:szCs w:val="20"/>
                <w:color w:val="auto"/>
              </w:rPr>
            </w:pPr>
            <w:r>
              <w:rPr>
                <w:rFonts w:ascii="Arial" w:cs="Arial" w:eastAsia="Arial" w:hAnsi="Arial"/>
                <w:sz w:val="14"/>
                <w:szCs w:val="14"/>
                <w:color w:val="14202A"/>
              </w:rPr>
              <w:t>Emily R. Silver</w:t>
            </w: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2920" w:type="dxa"/>
            <w:vAlign w:val="bottom"/>
            <w:tcBorders>
              <w:bottom w:val="single" w:sz="8" w:color="14202A"/>
            </w:tcBorders>
          </w:tcPr>
          <w:p>
            <w:pPr>
              <w:spacing w:after="0"/>
              <w:rPr>
                <w:sz w:val="3"/>
                <w:szCs w:val="3"/>
                <w:color w:val="auto"/>
              </w:rPr>
            </w:pPr>
          </w:p>
        </w:tc>
        <w:tc>
          <w:tcPr>
            <w:tcW w:w="154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166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-1953895</wp:posOffset>
            </wp:positionV>
            <wp:extent cx="39776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977640" cy="8890"/>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-1679575</wp:posOffset>
            </wp:positionV>
            <wp:extent cx="111125" cy="111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-1508125</wp:posOffset>
            </wp:positionV>
            <wp:extent cx="111760" cy="111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-1508125</wp:posOffset>
            </wp:positionV>
            <wp:extent cx="111125" cy="1111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-1336675</wp:posOffset>
            </wp:positionV>
            <wp:extent cx="111125" cy="1111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-1165225</wp:posOffset>
            </wp:positionV>
            <wp:extent cx="111760" cy="1111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-1165225</wp:posOffset>
            </wp:positionV>
            <wp:extent cx="111125" cy="1111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-831215</wp:posOffset>
            </wp:positionV>
            <wp:extent cx="111125" cy="111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-659765</wp:posOffset>
            </wp:positionV>
            <wp:extent cx="111760" cy="1111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-659765</wp:posOffset>
            </wp:positionV>
            <wp:extent cx="111125" cy="1111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-488315</wp:posOffset>
            </wp:positionV>
            <wp:extent cx="111125" cy="1111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-316865</wp:posOffset>
            </wp:positionV>
            <wp:extent cx="111760" cy="1111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-316865</wp:posOffset>
            </wp:positionV>
            <wp:extent cx="111125" cy="1111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-145415</wp:posOffset>
            </wp:positionV>
            <wp:extent cx="111125" cy="1111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-145415</wp:posOffset>
            </wp:positionV>
            <wp:extent cx="111125" cy="1111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70" w:lineRule="exact"/>
        <w:rPr>
          <w:sz w:val="20"/>
          <w:szCs w:val="20"/>
          <w:color w:val="auto"/>
        </w:rPr>
      </w:pPr>
    </w:p>
    <w:p>
      <w:pPr>
        <w:ind w:left="360" w:hanging="360"/>
        <w:spacing w:after="0"/>
        <w:tabs>
          <w:tab w:leader="none" w:pos="360" w:val="left"/>
        </w:tabs>
        <w:numPr>
          <w:ilvl w:val="0"/>
          <w:numId w:val="6"/>
        </w:numPr>
        <w:rPr>
          <w:rFonts w:ascii="Arial" w:cs="Arial" w:eastAsia="Arial" w:hAnsi="Arial"/>
          <w:sz w:val="13"/>
          <w:szCs w:val="13"/>
          <w:b w:val="1"/>
          <w:bCs w:val="1"/>
          <w:color w:val="14202A"/>
        </w:rPr>
      </w:pPr>
      <w:r>
        <w:rPr>
          <w:rFonts w:ascii="Arial" w:cs="Arial" w:eastAsia="Arial" w:hAnsi="Arial"/>
          <w:sz w:val="13"/>
          <w:szCs w:val="13"/>
          <w:color w:val="14202A"/>
        </w:rPr>
        <w:t>Chair</w:t>
      </w:r>
    </w:p>
    <w:p>
      <w:pPr>
        <w:spacing w:after="0" w:line="22" w:lineRule="exact"/>
        <w:rPr>
          <w:rFonts w:ascii="Arial" w:cs="Arial" w:eastAsia="Arial" w:hAnsi="Arial"/>
          <w:sz w:val="13"/>
          <w:szCs w:val="13"/>
          <w:b w:val="1"/>
          <w:bCs w:val="1"/>
          <w:color w:val="14202A"/>
        </w:rPr>
      </w:pPr>
    </w:p>
    <w:p>
      <w:pPr>
        <w:spacing w:after="0" w:line="238" w:lineRule="auto"/>
        <w:rPr>
          <w:rFonts w:ascii="Arial" w:cs="Arial" w:eastAsia="Arial" w:hAnsi="Arial"/>
          <w:sz w:val="13"/>
          <w:szCs w:val="13"/>
          <w:b w:val="1"/>
          <w:bCs w:val="1"/>
          <w:color w:val="14202A"/>
        </w:rPr>
      </w:pPr>
      <w:r>
        <w:rPr>
          <w:rFonts w:ascii="Arial" w:cs="Arial" w:eastAsia="Arial" w:hAnsi="Arial"/>
          <w:sz w:val="1"/>
          <w:szCs w:val="1"/>
          <w:b w:val="1"/>
          <w:bCs w:val="1"/>
          <w:color w:val="14202A"/>
        </w:rPr>
        <w:drawing>
          <wp:inline distT="0" distB="0" distL="0" distR="0">
            <wp:extent cx="111760" cy="11112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760" cy="111125"/>
                    </a:xfrm>
                    <a:prstGeom prst="rect">
                      <a:avLst/>
                    </a:prstGeom>
                    <a:noFill/>
                    <a:ln>
                      <a:noFill/>
                    </a:ln>
                  </pic:spPr>
                </pic:pic>
              </a:graphicData>
            </a:graphic>
          </wp:inline>
        </w:drawing>
      </w:r>
      <w:r>
        <w:rPr>
          <w:rFonts w:ascii="Arial" w:cs="Arial" w:eastAsia="Arial" w:hAnsi="Arial"/>
          <w:sz w:val="25"/>
          <w:szCs w:val="25"/>
          <w:color w:val="14202A"/>
          <w:vertAlign w:val="superscript"/>
        </w:rPr>
        <w:t xml:space="preserve">   </w:t>
      </w:r>
      <w:r>
        <w:rPr>
          <w:rFonts w:ascii="Arial" w:cs="Arial" w:eastAsia="Arial" w:hAnsi="Arial"/>
          <w:sz w:val="25"/>
          <w:szCs w:val="25"/>
          <w:color w:val="14202A"/>
        </w:rPr>
        <w:t>Member</w:t>
      </w:r>
    </w:p>
    <w:p>
      <w:pPr>
        <w:ind w:left="360" w:hanging="360"/>
        <w:spacing w:after="0"/>
        <w:tabs>
          <w:tab w:leader="none" w:pos="360" w:val="left"/>
        </w:tabs>
        <w:numPr>
          <w:ilvl w:val="0"/>
          <w:numId w:val="7"/>
        </w:numPr>
        <w:rPr>
          <w:rFonts w:ascii="Arial" w:cs="Arial" w:eastAsia="Arial" w:hAnsi="Arial"/>
          <w:sz w:val="13"/>
          <w:szCs w:val="13"/>
          <w:color w:val="14202A"/>
        </w:rPr>
      </w:pPr>
      <w:r>
        <w:rPr>
          <w:rFonts w:ascii="Arial" w:cs="Arial" w:eastAsia="Arial" w:hAnsi="Arial"/>
          <w:sz w:val="13"/>
          <w:szCs w:val="13"/>
          <w:color w:val="14202A"/>
        </w:rPr>
        <w:t>Designated as an “audit committee financial expert” as that term has been defined by the SEC.</w:t>
      </w:r>
    </w:p>
    <w:p>
      <w:pPr>
        <w:spacing w:after="0" w:line="28" w:lineRule="exact"/>
        <w:rPr>
          <w:sz w:val="20"/>
          <w:szCs w:val="20"/>
          <w:color w:val="auto"/>
        </w:rPr>
      </w:pPr>
    </w:p>
    <w:p>
      <w:pPr>
        <w:ind w:left="360" w:right="260" w:hanging="360"/>
        <w:spacing w:after="0" w:line="243" w:lineRule="auto"/>
        <w:tabs>
          <w:tab w:leader="none" w:pos="360" w:val="left"/>
        </w:tabs>
        <w:numPr>
          <w:ilvl w:val="0"/>
          <w:numId w:val="8"/>
        </w:numPr>
        <w:rPr>
          <w:rFonts w:ascii="Arial" w:cs="Arial" w:eastAsia="Arial" w:hAnsi="Arial"/>
          <w:sz w:val="13"/>
          <w:szCs w:val="13"/>
          <w:color w:val="14202A"/>
        </w:rPr>
      </w:pPr>
      <w:r>
        <w:rPr>
          <w:rFonts w:ascii="Arial" w:cs="Arial" w:eastAsia="Arial" w:hAnsi="Arial"/>
          <w:sz w:val="13"/>
          <w:szCs w:val="13"/>
          <w:color w:val="14202A"/>
        </w:rPr>
        <w:t>In accordance with the Company’s Corporate Governance Policy, the Nominating and Governance Committee determined not to nominate Mr. Fisher for re-election at the Annual Meeting, as Mr. Fisher has reached the mandatory retirement age of 72.</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1577340" cy="29146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77340" cy="2914650"/>
                    </a:xfrm>
                    <a:prstGeom prst="rect">
                      <a:avLst/>
                    </a:prstGeom>
                    <a:noFill/>
                  </pic:spPr>
                </pic:pic>
              </a:graphicData>
            </a:graphic>
          </wp:anchor>
        </w:drawing>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rPr>
        <w:t>Audit and Finance</w:t>
      </w:r>
    </w:p>
    <w:p>
      <w:pPr>
        <w:ind w:left="320"/>
        <w:spacing w:after="0" w:line="184" w:lineRule="auto"/>
        <w:rPr>
          <w:sz w:val="20"/>
          <w:szCs w:val="20"/>
          <w:color w:val="auto"/>
        </w:rPr>
      </w:pPr>
      <w:r>
        <w:rPr>
          <w:rFonts w:ascii="Arial" w:cs="Arial" w:eastAsia="Arial" w:hAnsi="Arial"/>
          <w:sz w:val="22"/>
          <w:szCs w:val="22"/>
          <w:b w:val="1"/>
          <w:bCs w:val="1"/>
          <w:color w:val="FFFFFF"/>
        </w:rPr>
        <w:t>Committee</w:t>
      </w:r>
      <w:r>
        <w:rPr>
          <w:rFonts w:ascii="Arial" w:cs="Arial" w:eastAsia="Arial" w:hAnsi="Arial"/>
          <w:sz w:val="35"/>
          <w:szCs w:val="35"/>
          <w:b w:val="1"/>
          <w:bCs w:val="1"/>
          <w:color w:val="FFFFFF"/>
          <w:vertAlign w:val="superscript"/>
        </w:rPr>
        <w:t>1</w:t>
      </w:r>
    </w:p>
    <w:p>
      <w:pPr>
        <w:ind w:left="320"/>
        <w:spacing w:after="0" w:line="236" w:lineRule="auto"/>
        <w:rPr>
          <w:sz w:val="20"/>
          <w:szCs w:val="20"/>
          <w:color w:val="auto"/>
        </w:rPr>
      </w:pPr>
      <w:r>
        <w:rPr>
          <w:rFonts w:ascii="Arial" w:cs="Arial" w:eastAsia="Arial" w:hAnsi="Arial"/>
          <w:sz w:val="22"/>
          <w:szCs w:val="22"/>
          <w:b w:val="1"/>
          <w:bCs w:val="1"/>
          <w:color w:val="FFFFFF"/>
        </w:rPr>
        <w:t> </w:t>
      </w:r>
    </w:p>
    <w:p>
      <w:pPr>
        <w:ind w:left="320"/>
        <w:spacing w:after="0" w:line="235" w:lineRule="auto"/>
        <w:rPr>
          <w:sz w:val="20"/>
          <w:szCs w:val="20"/>
          <w:color w:val="auto"/>
        </w:rPr>
      </w:pPr>
      <w:r>
        <w:rPr>
          <w:rFonts w:ascii="Arial" w:cs="Arial" w:eastAsia="Arial" w:hAnsi="Arial"/>
          <w:sz w:val="18"/>
          <w:szCs w:val="18"/>
          <w:color w:val="FFFFFF"/>
        </w:rPr>
        <w:t>Members</w:t>
      </w:r>
    </w:p>
    <w:p>
      <w:pPr>
        <w:ind w:left="320" w:right="40"/>
        <w:spacing w:after="0"/>
        <w:rPr>
          <w:sz w:val="20"/>
          <w:szCs w:val="20"/>
          <w:color w:val="auto"/>
        </w:rPr>
      </w:pPr>
      <w:r>
        <w:rPr>
          <w:rFonts w:ascii="Arial" w:cs="Arial" w:eastAsia="Arial" w:hAnsi="Arial"/>
          <w:sz w:val="18"/>
          <w:szCs w:val="18"/>
          <w:color w:val="FFFFFF"/>
        </w:rPr>
        <w:t>Kevin E. Bryant (</w:t>
      </w:r>
      <w:r>
        <w:rPr>
          <w:rFonts w:ascii="Arial" w:cs="Arial" w:eastAsia="Arial" w:hAnsi="Arial"/>
          <w:sz w:val="18"/>
          <w:szCs w:val="18"/>
          <w:i w:val="1"/>
          <w:iCs w:val="1"/>
          <w:color w:val="FFFFFF"/>
        </w:rPr>
        <w:t>Chair</w:t>
      </w:r>
      <w:r>
        <w:rPr>
          <w:rFonts w:ascii="Arial" w:cs="Arial" w:eastAsia="Arial" w:hAnsi="Arial"/>
          <w:sz w:val="18"/>
          <w:szCs w:val="18"/>
          <w:color w:val="FFFFFF"/>
        </w:rPr>
        <w:t>) Christopher J. Braun William C. Fisher David W. Miles Michael E. Pack  </w:t>
      </w:r>
    </w:p>
    <w:p>
      <w:pPr>
        <w:spacing w:after="0" w:line="180" w:lineRule="exact"/>
        <w:rPr>
          <w:sz w:val="20"/>
          <w:szCs w:val="20"/>
          <w:color w:val="auto"/>
        </w:rPr>
      </w:pPr>
    </w:p>
    <w:p>
      <w:pPr>
        <w:ind w:left="320" w:right="140"/>
        <w:spacing w:after="0" w:line="247" w:lineRule="auto"/>
        <w:rPr>
          <w:sz w:val="20"/>
          <w:szCs w:val="20"/>
          <w:color w:val="auto"/>
        </w:rPr>
      </w:pPr>
      <w:r>
        <w:rPr>
          <w:rFonts w:ascii="Arial" w:cs="Arial" w:eastAsia="Arial" w:hAnsi="Arial"/>
          <w:sz w:val="18"/>
          <w:szCs w:val="18"/>
          <w:b w:val="1"/>
          <w:bCs w:val="1"/>
          <w:color w:val="FFFFFF"/>
        </w:rPr>
        <w:t>Number of meetings during Fiscal 2026: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1060450</wp:posOffset>
            </wp:positionV>
            <wp:extent cx="1577340" cy="30346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77340" cy="30346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Each year, the Audit and Finance Committee appoints the independent registered public accountant to examine our financial statements. It reviews with representatives of the independent registered public accountant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 regarding internal controls. The Audit and Finance Committee also has oversight responsibilities relating to financial management including in the areas of financial returns, liquidity metrics, and total shareholder return performance; credit positioning, capital structure, and capital allocation; financial aspects of mergers and acquisitions; and tax strategy and risk management. Pursuant to the charter amendments adopted in connection with the Cooperation Agreement, the Audit and Finance Committee also reviews at least annually the Company’s capital allocation framework and priorities and its investment criteria and return thresholds, and reviews the performance of completed material acquisitions and investments against the financial projections and return objectives presented when they were approved.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-1895475</wp:posOffset>
            </wp:positionV>
            <wp:extent cx="4320540" cy="29146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20540" cy="2914650"/>
                    </a:xfrm>
                    <a:prstGeom prst="rect">
                      <a:avLst/>
                    </a:prstGeom>
                    <a:noFill/>
                  </pic:spPr>
                </pic:pic>
              </a:graphicData>
            </a:graphic>
          </wp:anchor>
        </w:drawing>
      </w:r>
    </w:p>
    <w:p>
      <w:pPr>
        <w:spacing w:after="0" w:line="168"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Those in regular attendance for part of the committee meeting typically include: the Board Chair; the CEO; the Chief Financial Officer (“CFO”); the Chief Legal Officer; the Chief Compliance Officer; and the Corporate Controller. The Audit and Finance Committee meets at least annually with the CFO, the internal auditors and the independent auditors in separate executive sessions. The committee is also prepared to meet privately at any time at the request of the independent registered public accountant or members of our management to review any special situation arising on any of the above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93345</wp:posOffset>
            </wp:positionV>
            <wp:extent cx="4320540" cy="30346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20540" cy="30346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400"/>
            <w:col w:w="6680"/>
          </w:cols>
          <w:pgMar w:left="1300" w:top="114" w:right="1319" w:bottom="1440" w:gutter="0" w:footer="0" w:header="0"/>
        </w:sectPr>
      </w:pPr>
    </w:p>
    <w:p>
      <w:pPr>
        <w:spacing w:after="0" w:line="67" w:lineRule="exact"/>
        <w:rPr>
          <w:sz w:val="20"/>
          <w:szCs w:val="20"/>
          <w:color w:val="auto"/>
        </w:rPr>
      </w:pPr>
    </w:p>
    <w:p>
      <w:pPr>
        <w:ind w:left="320"/>
        <w:spacing w:after="0" w:line="239" w:lineRule="auto"/>
        <w:rPr>
          <w:sz w:val="20"/>
          <w:szCs w:val="20"/>
          <w:color w:val="auto"/>
        </w:rPr>
      </w:pPr>
      <w:r>
        <w:rPr>
          <w:rFonts w:ascii="Arial" w:cs="Arial" w:eastAsia="Arial" w:hAnsi="Arial"/>
          <w:sz w:val="22"/>
          <w:szCs w:val="22"/>
          <w:b w:val="1"/>
          <w:bCs w:val="1"/>
          <w:color w:val="FFFFFF"/>
        </w:rPr>
        <w:t>Human Resources Committee  </w:t>
      </w:r>
    </w:p>
    <w:p>
      <w:pPr>
        <w:ind w:left="320"/>
        <w:spacing w:after="0" w:line="235" w:lineRule="auto"/>
        <w:rPr>
          <w:sz w:val="20"/>
          <w:szCs w:val="20"/>
          <w:color w:val="auto"/>
        </w:rPr>
      </w:pPr>
      <w:r>
        <w:rPr>
          <w:rFonts w:ascii="Arial" w:cs="Arial" w:eastAsia="Arial" w:hAnsi="Arial"/>
          <w:sz w:val="18"/>
          <w:szCs w:val="18"/>
          <w:color w:val="FFFFFF"/>
        </w:rPr>
        <w:t>Members</w:t>
      </w:r>
    </w:p>
    <w:p>
      <w:pPr>
        <w:spacing w:after="0" w:line="1" w:lineRule="exact"/>
        <w:rPr>
          <w:sz w:val="20"/>
          <w:szCs w:val="20"/>
          <w:color w:val="auto"/>
        </w:rPr>
      </w:pPr>
    </w:p>
    <w:p>
      <w:pPr>
        <w:ind w:left="320" w:right="360"/>
        <w:spacing w:after="0" w:line="234" w:lineRule="auto"/>
        <w:rPr>
          <w:sz w:val="20"/>
          <w:szCs w:val="20"/>
          <w:color w:val="auto"/>
        </w:rPr>
      </w:pPr>
      <w:r>
        <w:rPr>
          <w:rFonts w:ascii="Arial" w:cs="Arial" w:eastAsia="Arial" w:hAnsi="Arial"/>
          <w:sz w:val="18"/>
          <w:szCs w:val="18"/>
          <w:color w:val="FFFFFF"/>
        </w:rPr>
        <w:t>Sara E. Armbruster (</w:t>
      </w:r>
      <w:r>
        <w:rPr>
          <w:rFonts w:ascii="Arial" w:cs="Arial" w:eastAsia="Arial" w:hAnsi="Arial"/>
          <w:sz w:val="18"/>
          <w:szCs w:val="18"/>
          <w:i w:val="1"/>
          <w:iCs w:val="1"/>
          <w:color w:val="FFFFFF"/>
        </w:rPr>
        <w:t>Chair</w:t>
      </w:r>
      <w:r>
        <w:rPr>
          <w:rFonts w:ascii="Arial" w:cs="Arial" w:eastAsia="Arial" w:hAnsi="Arial"/>
          <w:sz w:val="18"/>
          <w:szCs w:val="18"/>
          <w:color w:val="FFFFFF"/>
        </w:rPr>
        <w:t>)</w:t>
      </w:r>
    </w:p>
    <w:p>
      <w:pPr>
        <w:spacing w:after="0" w:line="1" w:lineRule="exact"/>
        <w:rPr>
          <w:sz w:val="20"/>
          <w:szCs w:val="20"/>
          <w:color w:val="auto"/>
        </w:rPr>
      </w:pPr>
    </w:p>
    <w:p>
      <w:pPr>
        <w:ind w:left="320" w:right="500"/>
        <w:spacing w:after="0" w:line="234" w:lineRule="auto"/>
        <w:rPr>
          <w:sz w:val="20"/>
          <w:szCs w:val="20"/>
          <w:color w:val="auto"/>
        </w:rPr>
      </w:pPr>
      <w:r>
        <w:rPr>
          <w:rFonts w:ascii="Arial" w:cs="Arial" w:eastAsia="Arial" w:hAnsi="Arial"/>
          <w:sz w:val="18"/>
          <w:szCs w:val="18"/>
          <w:color w:val="FFFFFF"/>
        </w:rPr>
        <w:t>Staci L. Kroon John M. Murabito Emily R. Silver  </w:t>
      </w:r>
    </w:p>
    <w:p>
      <w:pPr>
        <w:spacing w:after="0" w:line="3" w:lineRule="exact"/>
        <w:rPr>
          <w:sz w:val="20"/>
          <w:szCs w:val="20"/>
          <w:color w:val="auto"/>
        </w:rPr>
      </w:pPr>
    </w:p>
    <w:p>
      <w:pPr>
        <w:ind w:left="320" w:right="160"/>
        <w:spacing w:after="0" w:line="247" w:lineRule="auto"/>
        <w:rPr>
          <w:sz w:val="20"/>
          <w:szCs w:val="20"/>
          <w:color w:val="auto"/>
        </w:rPr>
      </w:pPr>
      <w:r>
        <w:rPr>
          <w:rFonts w:ascii="Arial" w:cs="Arial" w:eastAsia="Arial" w:hAnsi="Arial"/>
          <w:sz w:val="18"/>
          <w:szCs w:val="18"/>
          <w:b w:val="1"/>
          <w:bCs w:val="1"/>
          <w:color w:val="FFFFFF"/>
        </w:rPr>
        <w:t>Number of meetings during Fiscal 2026: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1206500</wp:posOffset>
            </wp:positionV>
            <wp:extent cx="8229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8" w:right="100"/>
        <w:spacing w:after="0" w:line="247" w:lineRule="auto"/>
        <w:rPr>
          <w:sz w:val="20"/>
          <w:szCs w:val="20"/>
          <w:color w:val="auto"/>
        </w:rPr>
      </w:pPr>
      <w:r>
        <w:rPr>
          <w:rFonts w:ascii="Arial" w:cs="Arial" w:eastAsia="Arial" w:hAnsi="Arial"/>
          <w:sz w:val="16"/>
          <w:szCs w:val="16"/>
          <w:color w:val="auto"/>
        </w:rPr>
        <w:t>The Human Resources Committee is responsible for: (1) reviewing and approving corporate goals and objectives relevant to compensation of our CEO, evaluating performance and compensation of our CEO in light of such goals and objectives and establishing compensation levels for other executive officers; (2) overseeing the evaluation of our executive officers (other than the CEO) and approving the general compensation program and salary structure of such executive officers; (3) administering and approving awards under our incentive compensation and equity-based plan; (4) reviewing and approving all executive officer compensation, including any executive employment agreements, severance agreements, and change in control agreements; (5) reviewing the list of peer group companies used for compensation purposes when deemed necessary; (6) reviewing and approving Board retainer fees, attendance fees, and other compensation, if any, to be paid to non-employee directors; (7) reviewing and discussing with management the Compensation Discussion and Analysis section and certain other disclosures, including those relating to compensation advisors, compensation risk and the “say on pay” vote, as applicable for our Form 10-K and proxy statement; (8) preparing the committee’s annual report on executive compensation for our Form 10-K and proxy statement; and</w:t>
      </w:r>
    </w:p>
    <w:p>
      <w:pPr>
        <w:spacing w:after="0" w:line="10" w:lineRule="exact"/>
        <w:rPr>
          <w:sz w:val="20"/>
          <w:szCs w:val="20"/>
          <w:color w:val="auto"/>
        </w:rPr>
      </w:pPr>
    </w:p>
    <w:p>
      <w:pPr>
        <w:ind w:left="8" w:right="620" w:hanging="8"/>
        <w:spacing w:after="0" w:line="246" w:lineRule="auto"/>
        <w:tabs>
          <w:tab w:leader="none" w:pos="251" w:val="left"/>
        </w:tabs>
        <w:numPr>
          <w:ilvl w:val="0"/>
          <w:numId w:val="9"/>
        </w:numPr>
        <w:rPr>
          <w:rFonts w:ascii="Arial" w:cs="Arial" w:eastAsia="Arial" w:hAnsi="Arial"/>
          <w:sz w:val="16"/>
          <w:szCs w:val="16"/>
          <w:color w:val="auto"/>
        </w:rPr>
      </w:pPr>
      <w:r>
        <w:rPr>
          <w:rFonts w:ascii="Arial" w:cs="Arial" w:eastAsia="Arial" w:hAnsi="Arial"/>
          <w:sz w:val="16"/>
          <w:szCs w:val="16"/>
          <w:color w:val="auto"/>
        </w:rPr>
        <w:t>overseeing policies and strategies relating to corporate culture and human capital management.</w:t>
      </w:r>
    </w:p>
    <w:p>
      <w:pPr>
        <w:ind w:left="8"/>
        <w:spacing w:after="0"/>
        <w:rPr>
          <w:rFonts w:ascii="Arial" w:cs="Arial" w:eastAsia="Arial" w:hAnsi="Arial"/>
          <w:sz w:val="16"/>
          <w:szCs w:val="16"/>
          <w:color w:val="auto"/>
        </w:rPr>
      </w:pPr>
      <w:r>
        <w:rPr>
          <w:rFonts w:ascii="Arial" w:cs="Arial" w:eastAsia="Arial" w:hAnsi="Arial"/>
          <w:sz w:val="16"/>
          <w:szCs w:val="16"/>
          <w:color w:val="auto"/>
        </w:rPr>
        <w:t> </w:t>
      </w:r>
    </w:p>
    <w:p>
      <w:pPr>
        <w:spacing w:after="0" w:line="5" w:lineRule="exact"/>
        <w:rPr>
          <w:rFonts w:ascii="Arial" w:cs="Arial" w:eastAsia="Arial" w:hAnsi="Arial"/>
          <w:sz w:val="16"/>
          <w:szCs w:val="16"/>
          <w:color w:val="auto"/>
        </w:rPr>
      </w:pPr>
    </w:p>
    <w:p>
      <w:pPr>
        <w:ind w:left="8" w:right="280"/>
        <w:spacing w:after="0" w:line="251" w:lineRule="auto"/>
        <w:rPr>
          <w:rFonts w:ascii="Arial" w:cs="Arial" w:eastAsia="Arial" w:hAnsi="Arial"/>
          <w:sz w:val="16"/>
          <w:szCs w:val="16"/>
          <w:color w:val="auto"/>
        </w:rPr>
      </w:pPr>
      <w:r>
        <w:rPr>
          <w:rFonts w:ascii="Arial" w:cs="Arial" w:eastAsia="Arial" w:hAnsi="Arial"/>
          <w:sz w:val="16"/>
          <w:szCs w:val="16"/>
          <w:color w:val="auto"/>
        </w:rPr>
        <w:t>The Human Resources Committee is authorized to retain an outside compensation consultant for matters relating to executive compensation. For Fiscal 2026, the committee retained Semler Brossy Consulting Group LLC (“Semler Brossy”) to advise on certain executive compensation-related matters, as further described in the Compensation Discussion and Analysis section of this Proxy Statement.</w:t>
      </w:r>
    </w:p>
    <w:p>
      <w:pPr>
        <w:spacing w:after="0" w:line="181" w:lineRule="exact"/>
        <w:rPr>
          <w:sz w:val="20"/>
          <w:szCs w:val="20"/>
          <w:color w:val="auto"/>
        </w:rPr>
      </w:pPr>
    </w:p>
    <w:p>
      <w:pPr>
        <w:sectPr>
          <w:pgSz w:w="11900" w:h="16838" w:orient="portrait"/>
          <w:cols w:equalWidth="0" w:num="2">
            <w:col w:w="2220" w:space="372"/>
            <w:col w:w="6688"/>
          </w:cols>
          <w:pgMar w:left="1300" w:top="114" w:right="1319" w:bottom="1440" w:gutter="0" w:footer="0" w:header="0"/>
          <w:type w:val="continuous"/>
        </w:sectPr>
      </w:pPr>
    </w:p>
    <w:p>
      <w:pPr>
        <w:ind w:left="360" w:right="40" w:hanging="360"/>
        <w:spacing w:after="0"/>
        <w:tabs>
          <w:tab w:leader="none" w:pos="360" w:val="left"/>
        </w:tabs>
        <w:numPr>
          <w:ilvl w:val="0"/>
          <w:numId w:val="10"/>
        </w:numPr>
        <w:rPr>
          <w:rFonts w:ascii="Arial" w:cs="Arial" w:eastAsia="Arial" w:hAnsi="Arial"/>
          <w:sz w:val="13"/>
          <w:szCs w:val="13"/>
          <w:color w:val="14202A"/>
        </w:rPr>
      </w:pPr>
      <w:r>
        <w:rPr>
          <w:rFonts w:ascii="Arial" w:cs="Arial" w:eastAsia="Arial" w:hAnsi="Arial"/>
          <w:sz w:val="13"/>
          <w:szCs w:val="13"/>
          <w:i w:val="1"/>
          <w:iCs w:val="1"/>
          <w:color w:val="14202A"/>
        </w:rPr>
        <w:t>All members of the Audit and Finance Committee are non-employee directors who have been determined to be “independent” under applicable listing standards of the New York Stock Exchange (“NYSE”).</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1577340" cy="19545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77340" cy="1954530"/>
                    </a:xfrm>
                    <a:prstGeom prst="rect">
                      <a:avLst/>
                    </a:prstGeom>
                    <a:noFill/>
                  </pic:spPr>
                </pic:pic>
              </a:graphicData>
            </a:graphic>
          </wp:anchor>
        </w:drawing>
      </w:r>
    </w:p>
    <w:p>
      <w:pPr>
        <w:spacing w:after="0" w:line="262" w:lineRule="exact"/>
        <w:rPr>
          <w:sz w:val="20"/>
          <w:szCs w:val="20"/>
          <w:color w:val="auto"/>
        </w:rPr>
      </w:pPr>
    </w:p>
    <w:p>
      <w:pPr>
        <w:ind w:left="320" w:right="360"/>
        <w:spacing w:after="0" w:line="237" w:lineRule="auto"/>
        <w:rPr>
          <w:sz w:val="20"/>
          <w:szCs w:val="20"/>
          <w:color w:val="auto"/>
        </w:rPr>
      </w:pPr>
      <w:r>
        <w:rPr>
          <w:rFonts w:ascii="Arial" w:cs="Arial" w:eastAsia="Arial" w:hAnsi="Arial"/>
          <w:sz w:val="22"/>
          <w:szCs w:val="22"/>
          <w:b w:val="1"/>
          <w:bCs w:val="1"/>
          <w:color w:val="FFFFFF"/>
        </w:rPr>
        <w:t>Nominating and Governance Committee  </w:t>
      </w:r>
    </w:p>
    <w:p>
      <w:pPr>
        <w:ind w:left="320"/>
        <w:spacing w:after="0" w:line="235" w:lineRule="auto"/>
        <w:rPr>
          <w:sz w:val="20"/>
          <w:szCs w:val="20"/>
          <w:color w:val="auto"/>
        </w:rPr>
      </w:pPr>
      <w:r>
        <w:rPr>
          <w:rFonts w:ascii="Arial" w:cs="Arial" w:eastAsia="Arial" w:hAnsi="Arial"/>
          <w:sz w:val="18"/>
          <w:szCs w:val="18"/>
          <w:color w:val="FFFFFF"/>
        </w:rPr>
        <w:t>Members</w:t>
      </w:r>
    </w:p>
    <w:p>
      <w:pPr>
        <w:ind w:left="320"/>
        <w:spacing w:after="0"/>
        <w:rPr>
          <w:sz w:val="20"/>
          <w:szCs w:val="20"/>
          <w:color w:val="auto"/>
        </w:rPr>
      </w:pPr>
      <w:r>
        <w:rPr>
          <w:rFonts w:ascii="Arial" w:cs="Arial" w:eastAsia="Arial" w:hAnsi="Arial"/>
          <w:sz w:val="18"/>
          <w:szCs w:val="18"/>
          <w:color w:val="FFFFFF"/>
        </w:rPr>
        <w:t>John M. Murabito (</w:t>
      </w:r>
      <w:r>
        <w:rPr>
          <w:rFonts w:ascii="Arial" w:cs="Arial" w:eastAsia="Arial" w:hAnsi="Arial"/>
          <w:sz w:val="18"/>
          <w:szCs w:val="18"/>
          <w:i w:val="1"/>
          <w:iCs w:val="1"/>
          <w:color w:val="FFFFFF"/>
        </w:rPr>
        <w:t>Chair</w:t>
      </w:r>
      <w:r>
        <w:rPr>
          <w:rFonts w:ascii="Arial" w:cs="Arial" w:eastAsia="Arial" w:hAnsi="Arial"/>
          <w:sz w:val="18"/>
          <w:szCs w:val="18"/>
          <w:color w:val="FFFFFF"/>
        </w:rPr>
        <w:t>) Sara E. Armbruster Christopher J. Braun David W. Miles  </w:t>
      </w:r>
    </w:p>
    <w:p>
      <w:pPr>
        <w:spacing w:after="0" w:line="185" w:lineRule="exact"/>
        <w:rPr>
          <w:sz w:val="20"/>
          <w:szCs w:val="20"/>
          <w:color w:val="auto"/>
        </w:rPr>
      </w:pPr>
    </w:p>
    <w:p>
      <w:pPr>
        <w:ind w:left="320" w:right="260"/>
        <w:spacing w:after="0" w:line="247" w:lineRule="auto"/>
        <w:rPr>
          <w:sz w:val="20"/>
          <w:szCs w:val="20"/>
          <w:color w:val="auto"/>
        </w:rPr>
      </w:pPr>
      <w:r>
        <w:rPr>
          <w:rFonts w:ascii="Arial" w:cs="Arial" w:eastAsia="Arial" w:hAnsi="Arial"/>
          <w:sz w:val="18"/>
          <w:szCs w:val="18"/>
          <w:b w:val="1"/>
          <w:bCs w:val="1"/>
          <w:color w:val="FFFFFF"/>
        </w:rPr>
        <w:t>Number of meetings during Fiscal 2026: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1577340" cy="1920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77340" cy="192024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320" w:right="360"/>
        <w:spacing w:after="0"/>
        <w:rPr>
          <w:sz w:val="20"/>
          <w:szCs w:val="20"/>
          <w:color w:val="auto"/>
        </w:rPr>
      </w:pPr>
      <w:r>
        <w:rPr>
          <w:rFonts w:ascii="Arial" w:cs="Arial" w:eastAsia="Arial" w:hAnsi="Arial"/>
          <w:sz w:val="22"/>
          <w:szCs w:val="22"/>
          <w:b w:val="1"/>
          <w:bCs w:val="1"/>
          <w:color w:val="FFFFFF"/>
        </w:rPr>
        <w:t>Technology and Innovation Committee  </w:t>
      </w:r>
    </w:p>
    <w:p>
      <w:pPr>
        <w:spacing w:after="0" w:line="241" w:lineRule="exact"/>
        <w:rPr>
          <w:sz w:val="20"/>
          <w:szCs w:val="20"/>
          <w:color w:val="auto"/>
        </w:rPr>
      </w:pPr>
    </w:p>
    <w:p>
      <w:pPr>
        <w:ind w:left="320" w:right="260"/>
        <w:spacing w:after="0"/>
        <w:rPr>
          <w:sz w:val="20"/>
          <w:szCs w:val="20"/>
          <w:color w:val="auto"/>
        </w:rPr>
      </w:pPr>
      <w:r>
        <w:rPr>
          <w:rFonts w:ascii="Arial" w:cs="Arial" w:eastAsia="Arial" w:hAnsi="Arial"/>
          <w:sz w:val="18"/>
          <w:szCs w:val="18"/>
          <w:color w:val="FFFFFF"/>
        </w:rPr>
        <w:t>Staci L. Kroon (</w:t>
      </w:r>
      <w:r>
        <w:rPr>
          <w:rFonts w:ascii="Arial" w:cs="Arial" w:eastAsia="Arial" w:hAnsi="Arial"/>
          <w:sz w:val="18"/>
          <w:szCs w:val="18"/>
          <w:i w:val="1"/>
          <w:iCs w:val="1"/>
          <w:color w:val="FFFFFF"/>
        </w:rPr>
        <w:t>Chair</w:t>
      </w:r>
      <w:r>
        <w:rPr>
          <w:rFonts w:ascii="Arial" w:cs="Arial" w:eastAsia="Arial" w:hAnsi="Arial"/>
          <w:sz w:val="18"/>
          <w:szCs w:val="18"/>
          <w:color w:val="FFFFFF"/>
        </w:rPr>
        <w:t>) Kevin E. Bryant William C. Fisher Michael E. Pack Emily R. Silver  </w:t>
      </w:r>
    </w:p>
    <w:p>
      <w:pPr>
        <w:spacing w:after="0" w:line="180" w:lineRule="exact"/>
        <w:rPr>
          <w:sz w:val="20"/>
          <w:szCs w:val="20"/>
          <w:color w:val="auto"/>
        </w:rPr>
      </w:pPr>
    </w:p>
    <w:p>
      <w:pPr>
        <w:ind w:left="320" w:right="260"/>
        <w:spacing w:after="0" w:line="247" w:lineRule="auto"/>
        <w:rPr>
          <w:sz w:val="20"/>
          <w:szCs w:val="20"/>
          <w:color w:val="auto"/>
        </w:rPr>
      </w:pPr>
      <w:r>
        <w:rPr>
          <w:rFonts w:ascii="Arial" w:cs="Arial" w:eastAsia="Arial" w:hAnsi="Arial"/>
          <w:sz w:val="18"/>
          <w:szCs w:val="18"/>
          <w:b w:val="1"/>
          <w:bCs w:val="1"/>
          <w:color w:val="FFFFFF"/>
        </w:rPr>
        <w:t>Number of meetings during Fiscal 2026: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8" w:right="120"/>
        <w:spacing w:after="0" w:line="249" w:lineRule="auto"/>
        <w:rPr>
          <w:sz w:val="20"/>
          <w:szCs w:val="20"/>
          <w:color w:val="auto"/>
        </w:rPr>
      </w:pPr>
      <w:r>
        <w:rPr>
          <w:rFonts w:ascii="Arial" w:cs="Arial" w:eastAsia="Arial" w:hAnsi="Arial"/>
          <w:sz w:val="16"/>
          <w:szCs w:val="16"/>
          <w:color w:val="auto"/>
        </w:rPr>
        <w:t>The Nominating and Governance Committee is primarily responsible for: (1) adopting policies and procedures for identifying and evaluating director nominees, including nominees recommended by shareholders; (2) identifying and evaluating individuals qualified to become Board members, considering director candidates recommended by shareholders and recommending that the Board select the director nominees for the next annual meeting of shareholders; (3) establishing a process by which shareholders and other interested parties are able to communicate with members of the Board; (4) developing and recommending to the Board a corporate governance policy applicable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-1054100</wp:posOffset>
            </wp:positionV>
            <wp:extent cx="4320540" cy="19545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20540" cy="1954530"/>
                    </a:xfrm>
                    <a:prstGeom prst="rect">
                      <a:avLst/>
                    </a:prstGeom>
                    <a:noFill/>
                  </pic:spPr>
                </pic:pic>
              </a:graphicData>
            </a:graphic>
          </wp:anchor>
        </w:drawing>
      </w:r>
    </w:p>
    <w:p>
      <w:pPr>
        <w:ind w:left="8" w:right="120" w:hanging="8"/>
        <w:spacing w:after="0" w:line="246" w:lineRule="auto"/>
        <w:tabs>
          <w:tab w:leader="none" w:pos="251"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reviewing and approving related person transactions; and (6) overseeing the Company’s commitment to corporate responsibility matters, including sustainability matters.</w:t>
      </w:r>
    </w:p>
    <w:p>
      <w:pPr>
        <w:ind w:left="8"/>
        <w:spacing w:after="0"/>
        <w:rPr>
          <w:rFonts w:ascii="Arial" w:cs="Arial" w:eastAsia="Arial" w:hAnsi="Arial"/>
          <w:sz w:val="16"/>
          <w:szCs w:val="16"/>
          <w:color w:val="auto"/>
        </w:rPr>
      </w:pPr>
      <w:r>
        <w:rPr>
          <w:rFonts w:ascii="Arial" w:cs="Arial" w:eastAsia="Arial" w:hAnsi="Arial"/>
          <w:sz w:val="16"/>
          <w:szCs w:val="16"/>
          <w:color w:val="auto"/>
        </w:rPr>
        <w:t> </w:t>
      </w:r>
    </w:p>
    <w:p>
      <w:pPr>
        <w:spacing w:after="0" w:line="5" w:lineRule="exact"/>
        <w:rPr>
          <w:rFonts w:ascii="Arial" w:cs="Arial" w:eastAsia="Arial" w:hAnsi="Arial"/>
          <w:sz w:val="16"/>
          <w:szCs w:val="16"/>
          <w:color w:val="auto"/>
        </w:rPr>
      </w:pPr>
    </w:p>
    <w:p>
      <w:pPr>
        <w:ind w:left="8" w:right="400"/>
        <w:spacing w:after="0" w:line="252" w:lineRule="auto"/>
        <w:rPr>
          <w:rFonts w:ascii="Arial" w:cs="Arial" w:eastAsia="Arial" w:hAnsi="Arial"/>
          <w:sz w:val="16"/>
          <w:szCs w:val="16"/>
          <w:color w:val="auto"/>
        </w:rPr>
      </w:pPr>
      <w:r>
        <w:rPr>
          <w:rFonts w:ascii="Arial" w:cs="Arial" w:eastAsia="Arial" w:hAnsi="Arial"/>
          <w:sz w:val="16"/>
          <w:szCs w:val="16"/>
          <w:color w:val="auto"/>
        </w:rPr>
        <w:t>The Nominating and Governance Committee recommended to the Board the director nominees proposed in this Proxy Statement for election by the shareholders. The committee reviews the qualifications of, and recommends to the Board, candidates to fill Board vacancies as they may occur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236855</wp:posOffset>
            </wp:positionV>
            <wp:extent cx="4320540" cy="1920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20540" cy="192024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both"/>
        <w:ind w:left="8" w:right="200"/>
        <w:spacing w:after="0" w:line="253" w:lineRule="auto"/>
        <w:rPr>
          <w:sz w:val="20"/>
          <w:szCs w:val="20"/>
          <w:color w:val="auto"/>
        </w:rPr>
      </w:pPr>
      <w:r>
        <w:rPr>
          <w:rFonts w:ascii="Arial" w:cs="Arial" w:eastAsia="Arial" w:hAnsi="Arial"/>
          <w:sz w:val="16"/>
          <w:szCs w:val="16"/>
          <w:color w:val="auto"/>
        </w:rPr>
        <w:t>The Technology and Innovation Committee is primarily responsible for providing oversight with respect to the Company’s use of technology to enable customers, optimize operations and transform products, including sub-systems, accessories and on-board software.</w:t>
      </w:r>
    </w:p>
    <w:p>
      <w:pPr>
        <w:spacing w:after="0" w:line="1" w:lineRule="exact"/>
        <w:rPr>
          <w:sz w:val="20"/>
          <w:szCs w:val="20"/>
          <w:color w:val="auto"/>
        </w:rPr>
      </w:pPr>
    </w:p>
    <w:p>
      <w:pPr>
        <w:ind w:left="8" w:right="200"/>
        <w:spacing w:after="0" w:line="251" w:lineRule="auto"/>
        <w:rPr>
          <w:sz w:val="20"/>
          <w:szCs w:val="20"/>
          <w:color w:val="auto"/>
        </w:rPr>
      </w:pPr>
      <w:r>
        <w:rPr>
          <w:rFonts w:ascii="Arial" w:cs="Arial" w:eastAsia="Arial" w:hAnsi="Arial"/>
          <w:sz w:val="16"/>
          <w:szCs w:val="16"/>
          <w:color w:val="auto"/>
        </w:rPr>
        <w:t>Specifically, the committee is responsible for: (1) assisting the Board in identifying new and emerging technology trends, opportunities and threats that may impact the Company’s overall business strategy; (2) providing oversight over the Company’s technology-based innovation strategy and the effectiveness of its research and development programs; and (3) reviewing risks associated with major innovation and technology investments.</w:t>
      </w:r>
    </w:p>
    <w:p>
      <w:pPr>
        <w:spacing w:after="0" w:line="1494" w:lineRule="exact"/>
        <w:rPr>
          <w:sz w:val="20"/>
          <w:szCs w:val="20"/>
          <w:color w:val="auto"/>
        </w:rPr>
      </w:pPr>
    </w:p>
    <w:p>
      <w:pPr>
        <w:sectPr>
          <w:pgSz w:w="11900" w:h="16838" w:orient="portrait"/>
          <w:cols w:equalWidth="0" w:num="2">
            <w:col w:w="2320" w:space="272"/>
            <w:col w:w="6688"/>
          </w:cols>
          <w:pgMar w:left="1300" w:top="114" w:right="131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 Independence</w:t>
      </w:r>
    </w:p>
    <w:p>
      <w:pPr>
        <w:spacing w:after="0" w:line="19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14202A"/>
        </w:rPr>
        <w:t>Under our corporate governance policy and NYSE rules, the Board must have a majority of directors who meet the standards for independence. The Board must determine, based on a review of the relevant facts and circumstances, whether each director satisfies the criteria for independence. The Board undertook an annual review of director and director nominee independence. The Board process was designed to identify any transactions and relationships between each director and director nominee or any member of his or her immediate family and the Company and its subsidiaries and affiliates known to the Company. The Board also considered whether there were any transactions or relationships between directors, director nominees or any member of their immediate family (or any entity of which a director, director nominee or an immediate family member is an executive officer, general partner or significant equity holder). Based on this review, the Board affirmatively determined that all non-employee directors and director nominees, including Mr. Johnson, are independent. Mr. Happe is the only employee director and is not independent. As part of the Board’s independence assessment and determination, the Board specifically considered</w:t>
      </w:r>
    </w:p>
    <w:p>
      <w:pPr>
        <w:spacing w:after="0" w:line="5" w:lineRule="exact"/>
        <w:rPr>
          <w:sz w:val="20"/>
          <w:szCs w:val="20"/>
          <w:color w:val="auto"/>
        </w:rPr>
      </w:pPr>
    </w:p>
    <w:p>
      <w:pPr>
        <w:spacing w:after="0" w:line="249" w:lineRule="auto"/>
        <w:rPr>
          <w:sz w:val="20"/>
          <w:szCs w:val="20"/>
          <w:color w:val="auto"/>
        </w:rPr>
      </w:pPr>
      <w:r>
        <w:rPr>
          <w:rFonts w:ascii="Arial" w:cs="Arial" w:eastAsia="Arial" w:hAnsi="Arial"/>
          <w:sz w:val="16"/>
          <w:szCs w:val="16"/>
          <w:color w:val="14202A"/>
        </w:rPr>
        <w:t>Ms. Kroon’s appointment as an executive officer of TouchPoint, Inc., from which the Company purchased various components in Fiscal 2026, and Mr. Pack’s appointment as an executive officer of Oshkosh Corporation, that purchases our Lithionics batteries through an unrelated supplier. Because the amounts involved in these transactions were less than 1% of both the Company’s and the applicable other company’s annual revenues, neither Ms. Kroon nor Mr. Pack were personally involved in these transactions, the transactions were in the ordinary course of business on terms customarily available to unrelated third parties, and neither Ms. Kroon nor Mr. Pack received any particular benefit related to these transactions, the Board concluded that these transactions did not impair the independence of either Ms. Kroon or Mr. Pack.</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Risk Oversight</w:t>
      </w:r>
    </w:p>
    <w:p>
      <w:pPr>
        <w:spacing w:after="0" w:line="18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14202A"/>
        </w:rPr>
        <w:t>The Board has responsibility for overseeing Winnebago Industries’ overall approach to risk management and is actively engaged in addressing the most significant risks facing the Company, including financial, technological, operational, strategic and competitive risks. The Board manages its risk oversight function both as a full Board and through delegation to Board committees, which meet regularly and report back to the Board. The Board and its committees receive information used in fulfilling their oversight responsibilities through our executive officers and other advisors, including our legal counsel, our independent registered public accounting firm, our consulting firm for internal controls over financial reporting, and the compensation consultants we engage from time to time.</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4202A"/>
        </w:rPr>
        <w:t>Following committee meetings, the Board receives reports by each committee chair regarding the committee’s considerations and actions. In this way, the Board also receives additional information regarding the risk oversight functions performed by each of the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203200</wp:posOffset>
            </wp:positionV>
            <wp:extent cx="5837555" cy="55892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37555" cy="558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14202A"/>
        </w:rPr>
        <w:t xml:space="preserve">  </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Board Refreshment</w:t>
      </w:r>
    </w:p>
    <w:p>
      <w:pPr>
        <w:spacing w:after="0" w:line="180"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14202A"/>
        </w:rPr>
        <w:t xml:space="preserve">The Nominating and Governance Committee is responsible for identifying individuals qualified to become Board members and making recommendations on director nominees to the Board. The committee considers potential new candidates that may be proposed by current directors, management, professional search firms, and shareholders. The committee retains third-party search firms from time to time to assist in identifying potential Board members who have expertise and experience that would complement the current Board. Shareholders wishing to recommend director candidates to the Nominating and Governance Committee may submit their recommendations in accordance with the procedures described under “Communications with Directors” on page </w:t>
      </w:r>
      <w:r>
        <w:rPr>
          <w:rFonts w:ascii="Arial" w:cs="Arial" w:eastAsia="Arial" w:hAnsi="Arial"/>
          <w:sz w:val="16"/>
          <w:szCs w:val="16"/>
          <w:u w:val="single" w:color="auto"/>
          <w:color w:val="0000EE"/>
        </w:rPr>
        <w:t>17</w:t>
      </w:r>
      <w:r>
        <w:rPr>
          <w:rFonts w:ascii="Arial" w:cs="Arial" w:eastAsia="Arial" w:hAnsi="Arial"/>
          <w:sz w:val="16"/>
          <w:szCs w:val="16"/>
          <w:color w:val="14202A"/>
        </w:rPr>
        <w:t xml:space="preserve"> of this Proxy Statement.</w:t>
      </w:r>
    </w:p>
    <w:p>
      <w:pPr>
        <w:spacing w:after="0" w:line="14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14202A"/>
        </w:rPr>
        <w:t>The Nominating and Governance Committee considers the then-current composition of the Board, the operating requirements of the Company and the long-term interests of all shareholders in its assessment of potential director candidates. The committee seeks directors who have the skills and experience to guide management in the operation of the Company’s business given the then-current and anticipated future needs of the Board and the Company while maintaining a balance of perspectives, qualifications, qualities and skills on the Board. The Board does not have a specific diversity policy but believes that having a mix of directors with complementary qualifications, experience and expertise strengthens its oversight ability, provides diverse perspectives, and represents the best interests of our shareholders.</w:t>
      </w:r>
    </w:p>
    <w:p>
      <w:pPr>
        <w:spacing w:after="0" w:line="15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14202A"/>
        </w:rPr>
        <w:t>Emily R. Silver was appointed to the Board effective May 1, 2026. The Nominating and Governance Committee led the process for identifying director candidates, selecting Ms. Silver as a director nominee and recommending her selection to the Board. A third-party search firm assisted the committee with its recruitment efforts and identified Ms. Silver as a candidate. Ms. Silver was identified and recommended as a director candidate due to a number of factors, including her extensive expertise in modern marketing, brand leadership and data-driven customer engagement.</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14202A"/>
        </w:rPr>
        <w:t xml:space="preserve">Jay L. Johnson has been nominated for election to the Board at the Annual Meeting, pursuant to the Cooperation Agreement with Vision One described under “Cooperation Agreement with Vision One” on page </w:t>
      </w:r>
      <w:r>
        <w:rPr>
          <w:rFonts w:ascii="Arial" w:cs="Arial" w:eastAsia="Arial" w:hAnsi="Arial"/>
          <w:sz w:val="16"/>
          <w:szCs w:val="16"/>
          <w:u w:val="single" w:color="auto"/>
          <w:color w:val="0000EE"/>
        </w:rPr>
        <w:t>18</w:t>
      </w:r>
      <w:r>
        <w:rPr>
          <w:rFonts w:ascii="Arial" w:cs="Arial" w:eastAsia="Arial" w:hAnsi="Arial"/>
          <w:sz w:val="16"/>
          <w:szCs w:val="16"/>
          <w:color w:val="14202A"/>
        </w:rPr>
        <w:t xml:space="preserve"> of this Proxy Statement. In connection with his nomination, the Nominating and Governance Committee considered Mr. Johnson’s qualifications, skills and experience in the context of the Board’s current composition and the Company’s needs and recommended his nomination to the Board.</w:t>
      </w:r>
    </w:p>
    <w:p>
      <w:pPr>
        <w:spacing w:after="0" w:line="2" w:lineRule="exact"/>
        <w:rPr>
          <w:sz w:val="20"/>
          <w:szCs w:val="20"/>
          <w:color w:val="auto"/>
        </w:rPr>
      </w:pPr>
    </w:p>
    <w:p>
      <w:pPr>
        <w:ind w:right="500"/>
        <w:spacing w:after="0" w:line="265" w:lineRule="auto"/>
        <w:rPr>
          <w:sz w:val="20"/>
          <w:szCs w:val="20"/>
          <w:color w:val="auto"/>
        </w:rPr>
      </w:pPr>
      <w:r>
        <w:rPr>
          <w:rFonts w:ascii="Arial" w:cs="Arial" w:eastAsia="Arial" w:hAnsi="Arial"/>
          <w:sz w:val="16"/>
          <w:szCs w:val="16"/>
          <w:color w:val="14202A"/>
        </w:rPr>
        <w:t>Mr. Johnson was identified and recommended as a director candidate due to a number of factors, including his expertise in financial management, capital allocation and capital markets.</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14202A"/>
        </w:rPr>
        <w:t>To promote Board refreshment and effectiveness, the Board and its committees engage in an annual self-assessment process. The Nominating and Governance Committee leads the Board’s annual self-evaluation to assess the performance of the Board and its committees. The assessment focuses on the Board’s contribution to the Company and specifically focuses on areas where the Board or management believes that the Board could improve.</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Board Commitments</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To ensure that each director does not have other board commitments that would impair a director’s ability to fulfill his or her duties on the Board, the Board has adopted limitations on the number of public company boards on which a director may serve. Any director who serves as an executive officer of a public company may serve on one other public company board of directors approved by the Board, and any director who does not serve in such capacity may serve on the board of directors of up to three other public companies. No director may join another board of directors without first obtaining approval from the Board Chair.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Code of Conduct and Corporate Governance Documents</w:t>
      </w:r>
    </w:p>
    <w:p>
      <w:pPr>
        <w:spacing w:after="0" w:line="180"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14202A"/>
        </w:rPr>
        <w:t>We have adopted a Code of Conduct applicable to all of our directors, officers, employees and business partners. Our Human Rights Policy, which applies to all of our directors, officers, employees and business partners, describes our commitment to upholding and promoting fundamental human rights, including with respect to maintaining a safe and healthy workplace, a respectful work environment, diversity and inclusion, and fair labor practices. Our</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14202A"/>
        </w:rPr>
        <w:t xml:space="preserve">Code of Conduct, Human Rights Policy, committee charters, supplier code of conduct, and other governance documents are available under “Corporate Governance” in the “Investors” section of our website at </w:t>
      </w:r>
      <w:r>
        <w:rPr>
          <w:rFonts w:ascii="Arial" w:cs="Arial" w:eastAsia="Arial" w:hAnsi="Arial"/>
          <w:sz w:val="16"/>
          <w:szCs w:val="16"/>
          <w:b w:val="1"/>
          <w:bCs w:val="1"/>
          <w:color w:val="14202A"/>
        </w:rPr>
        <w:t>www.winnebagoind.com</w:t>
      </w:r>
      <w:r>
        <w:rPr>
          <w:rFonts w:ascii="Arial" w:cs="Arial" w:eastAsia="Arial" w:hAnsi="Arial"/>
          <w:sz w:val="16"/>
          <w:szCs w:val="16"/>
          <w:color w:val="14202A"/>
        </w:rPr>
        <w:t>. This website and the materials available through it are not incorporated by reference into this Proxy Statement.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Policy on Transactions with Related Persons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6"/>
          <w:szCs w:val="16"/>
          <w:color w:val="14202A"/>
        </w:rPr>
        <w:t>We have adopted a written policy for review of transactions involving more than $120,000 in any calendar year in which Winnebago Industries is a participant and in which any executive officer, director, director nominee, greater than 5% shareholder or any immediate family member of any of these persons has a direct or indirect material interest. Our Nominating and Governance Committee must review and approve any such transaction before it is entered into, except that the Human Resources Committee reviews and approves the compensation of any employee who is an immediate family member of a director or executive officer and whose compensation exceeds $120,000. If advance approval by the Nominating and Governance Committee is not possible, then the related-party transaction will be considered and, if the committee determines it to be appropriate, ratified by the committee.</w:t>
      </w:r>
    </w:p>
    <w:p>
      <w:pPr>
        <w:spacing w:after="0" w:line="335" w:lineRule="exact"/>
        <w:rPr>
          <w:sz w:val="20"/>
          <w:szCs w:val="20"/>
          <w:color w:val="auto"/>
        </w:rPr>
      </w:pPr>
    </w:p>
    <w:p>
      <w:pPr>
        <w:spacing w:after="0" w:line="254" w:lineRule="auto"/>
        <w:rPr>
          <w:sz w:val="20"/>
          <w:szCs w:val="20"/>
          <w:color w:val="auto"/>
        </w:rPr>
      </w:pPr>
      <w:r>
        <w:rPr>
          <w:rFonts w:ascii="Arial" w:cs="Arial" w:eastAsia="Arial" w:hAnsi="Arial"/>
          <w:sz w:val="16"/>
          <w:szCs w:val="16"/>
          <w:color w:val="14202A"/>
        </w:rPr>
        <w:t>In determining whether to approve or ratify any potential related-party transaction, the Nominating and Governance Committee considers the relevant facts and circumstances, including (if applicable) but not limited to: whether the transaction is on terms no less favorable to the Company than terms generally available to unrelated parties and the extent of the related person’s interest in the transaction. No director may participate in any review, approval, or ratification of any transaction if the director, or the director’s immediate family member, has a direct or indirect material interest in the transaction. The committee will not approve any related person transaction that is inconsistent with the interests of the Company and its shareholders.</w:t>
      </w:r>
    </w:p>
    <w:p>
      <w:pPr>
        <w:spacing w:after="0" w:line="14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14202A"/>
        </w:rPr>
        <w:t>During Fiscal 2026, the only related party transactions involved Donald Clark, one of our executive officers. Mr. Clark has a 20% ownership interest in Three Oaks, LLC (“Three Oaks”), an entity which owns certain land and buildings that Grand Design RV, LLC (“Grand Design”) leases in order to operate its business. Grand Design paid $2,382,120 to Three Oaks under its lease with Three Oaks, which was entered into on October 2, 2016 and most recently amended on March 12, 2024. The transaction with Three Oaks was approved by the Nominating and Governance Committee. In addition, during Fiscal 2026, three of Mr. Clark’s relatives were employed by Grand Design and received the following total compensation for Fiscal 2026: (i) his brother, Ray Clark, is a sales representative with total compensation of $281,157, (ii) his son, Austin Clark, is a sales representative with total compensation of $385,703, and (iii) his son-in-law, Matt Eppers, is a product manager with total compensation of $548,614. None of Mr. Clark’s relatives that are employed by Grand Design report directly to Mr. Clark. The compensation of Mr. Clark’s relatives was approved by the Human Resources Committee.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Communications with Directors</w:t>
      </w:r>
    </w:p>
    <w:p>
      <w:pPr>
        <w:spacing w:after="0" w:line="193"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14202A"/>
        </w:rPr>
        <w:t>Shareholders and other interested parties seeking to communicate with our directors or a particular director may write to: Winnebago Industries, Inc., Attn: Senior Vice President — Chief Legal Officer, Corporate Secretary, Corporate Responsibility, 13200 Pioneer Trail, Eden Prairie, MN 55347 or email: SLBogart@winnebagoind.com. All communications received from shareholders and other interested parties will be reviewed by the Senior Vice President — Chief Legal Officer, Corporate Secretary, Corporate Responsibility, or such other person designated by all non-employee directors of the Board, and if they are relevant and appropriate, they will be forwarded to the Board Chair or applicable Board member or members as soon as reasonably practicable.</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Insider Trading Policy; Anti-Hedging and Anti-Pledging Policy</w:t>
      </w:r>
    </w:p>
    <w:p>
      <w:pPr>
        <w:spacing w:after="0" w:line="18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14202A"/>
        </w:rPr>
        <w:t>The Company’s insider trading policy prohibits the unauthorized disclosure of any nonpublic information acquired in the workplace and the misuse of material nonpublic information (as defined in the policy) in securities trading. The policy applies to the Company’s directors, officers and employees, as well as certain of their family members and related parties. The policy prohibits covered persons from engaging in transactions in the Company’s securities when aware of material nonpublic information, and also prohibits “tipping” such information. Additionally, our insider trading policy prohibits employees and directors from engaging in transactions intended to hedge or offset the market value of any Winnebago Industries securities owned by them. This policy also prohibits employees and directors from holding Winnebago Industries securities in a margin account or otherwise pledging Winnebago Industries securities as collateral for a loan. Under the policy, certain persons are subject to trading windows and</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14202A"/>
        </w:rPr>
        <w:t>pre-clearance requirements. The policy also requires the Company to comply with securities laws when transacting in its own securities. In addition, our insider trading policy and Code of Conduct restrict covered persons from participating in prediction markets or similar platforms in connection with the Company’s securities, business operations, or other Company-specific events, or where confidential or nonpublic information obtained through work for the Company could be used or involved.</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Cooperation Agreement with Vision One</w:t>
      </w:r>
    </w:p>
    <w:p>
      <w:pPr>
        <w:spacing w:after="0" w:line="180" w:lineRule="exact"/>
        <w:rPr>
          <w:sz w:val="20"/>
          <w:szCs w:val="20"/>
          <w:color w:val="auto"/>
        </w:rPr>
      </w:pPr>
    </w:p>
    <w:p>
      <w:pPr>
        <w:spacing w:after="0" w:line="250" w:lineRule="auto"/>
        <w:rPr>
          <w:sz w:val="20"/>
          <w:szCs w:val="20"/>
          <w:color w:val="auto"/>
        </w:rPr>
      </w:pPr>
      <w:r>
        <w:rPr>
          <w:rFonts w:ascii="Arial" w:cs="Arial" w:eastAsia="Arial" w:hAnsi="Arial"/>
          <w:sz w:val="16"/>
          <w:szCs w:val="16"/>
          <w:color w:val="14202A"/>
        </w:rPr>
        <w:t>On October 22, 2026, the Company entered into a cooperation agreement (the “Cooperation Agreement”) with Vision One Fund, LP and certain of its affiliates (collectively, “Vision One”). Pursuant to the Cooperation Agreement, the Board agreed to nominate Jay L. Johnson (the “New Director”) for election as a Class III director at the Annual Meeting for a term expiring at the Company’s 2029 annual meeting of shareholders (the “2029 Annual Meeting”), include him in the Board’s slate of director nominees, recommend his election and solicit proxies in favor of his election. Following his election to the Board, the New Director will be appointed to the Board’s Audit and Finance Committee, subject to applicable qualifications and other conditions. The Cooperation Agreement also provides Vision One with certain rights to select a mutually agreed replacement director if the New Director becomes unable or unwilling to serve or ceases to serve on the Board, subject to specified conditions, including a minimum beneficial ownership requirement. In addition, the Company agreed that the size of the Board will not exceed ten directors following the Annual Meeting until the termination of the Cooperation Agreement.</w:t>
      </w:r>
    </w:p>
    <w:p>
      <w:pPr>
        <w:spacing w:after="0" w:line="14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14202A"/>
        </w:rPr>
        <w:t>Under the Cooperation Agreement, the Company also agreed to submit for shareholder approval at the Annual Meeting (i) an amendment to our Articles of Incorporation and (ii) conforming amendments to our Bylaws to phase out the classified Board over a three-year period. The Declassification Amendments (as defined in Proposal 5) are described in greater detail under Proposals 5 and 6 of this Proxy Statement. The Board also agreed to rename the Audit Committee the “Audit and Finance Committee” and amend its charter to provide additional clarity regarding the Committee’s oversight responsibilities relating to the Company’s capital allocation framework and priorities, investment criteria and return thresholds, and the performance of completed material acquisitions and investments.</w:t>
      </w:r>
    </w:p>
    <w:p>
      <w:pPr>
        <w:spacing w:after="0" w:line="154"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14202A"/>
        </w:rPr>
        <w:t>Under the Cooperation Agreement, Vision One agreed to certain voting commitments and customary standstill restrictions, including restrictions on director nominations, shareholder proposals, proxy solicitations and acquisitions of Company shares above a specified ownership threshold. The Cooperation Agreement also contains customary mutual non-disparagement, litigation and other provisions.</w:t>
      </w:r>
    </w:p>
    <w:p>
      <w:pPr>
        <w:spacing w:after="0" w:line="137"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14202A"/>
        </w:rPr>
        <w:t>The Cooperation Agreement will terminate on the earlier of (i) the date that is 30 calendar days prior to the deadline under the Bylaws for the submission of shareholder nominations of director candidates for election at the Company’s 2027 annual meeting of shareholders and (ii) the date that is 120 calendar days prior to the first anniversary of the Annual Meeting, subject to earlier termination in accordance with its terms.</w:t>
      </w:r>
    </w:p>
    <w:p>
      <w:pPr>
        <w:spacing w:after="0" w:line="13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14202A"/>
        </w:rPr>
        <w:t>The foregoing description is qualified in its entirety by reference to the Cooperation Agreement, which was filed as Exhibit 10.1 to the Company’s Current Report on Form 8-K filed with the Securities and Exchange Commission (the “SEC”) on October 23, 2026.</w:t>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Proposal 1 – Election of Directors</w:t>
      </w:r>
    </w:p>
    <w:p>
      <w:pPr>
        <w:spacing w:after="0" w:line="204"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14202A"/>
        </w:rPr>
        <w:t>Our Bylaws provide that our Board is comprised of between three and fifteen directors. Ms. Emily R. Silver was appointed as a Class I director on May 1, 2026, at which time the size of the Board was increased to ten. In accordance with the Company’s Corporate Governance Policy, the Nominating and Governance Committee determined not to nominate Mr. William C. Fisher for re-election at the Annual Meeting, as Mr. Fisher has reached the mandatory retirement age of 72. Pursuant to the Cooperation Agreement, the Board has nominated Mr. Jay L. Johnson, who does not currently serve on the Board, for election as a Class III director at the Annual Meeting. As of the conclusion of the Annual Meeting, the size of the Board will remain at ten members.</w:t>
      </w:r>
    </w:p>
    <w:p>
      <w:pPr>
        <w:spacing w:after="0" w:line="141" w:lineRule="exact"/>
        <w:rPr>
          <w:sz w:val="20"/>
          <w:szCs w:val="20"/>
          <w:color w:val="auto"/>
        </w:rPr>
      </w:pPr>
    </w:p>
    <w:p>
      <w:pPr>
        <w:spacing w:after="0" w:line="253" w:lineRule="auto"/>
        <w:rPr>
          <w:sz w:val="20"/>
          <w:szCs w:val="20"/>
          <w:color w:val="auto"/>
        </w:rPr>
      </w:pPr>
      <w:r>
        <w:rPr>
          <w:rFonts w:ascii="Arial" w:cs="Arial" w:eastAsia="Arial" w:hAnsi="Arial"/>
          <w:sz w:val="16"/>
          <w:szCs w:val="16"/>
          <w:color w:val="14202A"/>
        </w:rPr>
        <w:t>The Board adopted a majority voting policy for the election of directors in uncontested elections. Under this policy, in any uncontested election of directors, if any nominee receives less than a majority of the votes cast for the nominee, that nominee will still be elected, but must tender his or her resignation to the full Board for consideration at the next regularly scheduled meeting of the Board. The Board will only not accept the tendered resignation for, in its judgment, a compelling reason. If the Board, with the affected director not participating, does not accept the resignation at the regularly scheduled meeting following the election, then the nominee will be considered elected and may serve out the term to which he or she was elected. In any contested election of directors where the number of nominees exceeds the number of available positions, strict plurality voting will apply.</w:t>
      </w:r>
    </w:p>
    <w:p>
      <w:pPr>
        <w:spacing w:after="0" w:line="14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Based on the recommendation of the Nominating and Governance Committee, our Board has nominated Ms. Sara E. Armbruster, Mr. Michael J. Happe, Mr. Jay L. Johnson and Ms. Staci L. Kroon for election to serve as Class III directors for three-year terms expiring at the 2029 annual meeting of shareholders and Ms. Emily R. Silver for election to serve as a Class I director for a one-year term expiring at the 2027 annual meeting of shareholders to coincide with the expiration of the term of the other Class I directors.</w:t>
      </w:r>
    </w:p>
    <w:p>
      <w:pPr>
        <w:spacing w:after="0" w:line="153"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14202A"/>
        </w:rPr>
        <w:t>As described in Proposals 5 and 6, the Board is proposing amendments to our Articles and Bylaws to phase out the classified Board. Approval and implementation of those proposals will not change the terms for which the nominees are standing for election at this Annual Meeting: the Class III nominees will be elected for three-year terms expiring at the 2029 annual meeting, and Ms. Silver will be elected for a one-year term expiring at the 2027 annual meeting. Beginning at the 2027 annual meeting, directors elected by shareholders will be elected for terms expiring at the next annual meeting as the existing terms expire. The Class I seats will be subject to annual election beginning in 2027, the Class II seats will become subject to annual election beginning in 2028, and the Class III seats will become subject to annual election beginning in 2029, at which time the classification of the Board will terminate. Neither proposal requires any director to resign or be reappointed. If either proposal is not approved, neither amendment will be implemented and the Board will remain classified under the existing Articles and Bylaws.</w:t>
      </w:r>
    </w:p>
    <w:p>
      <w:pPr>
        <w:spacing w:after="0" w:line="149"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14202A"/>
        </w:rPr>
        <w:t>Each nominee has consented to serving as a nominee, being named as a nominee in this Proxy Statement and serving as a director if elected. The Board is not aware of any reason why any nominee would be unable or unwilling to serve. If a nominee becomes unable to serve or for good cause will not serve, the persons named as proxies may vote for a substitute nominee designated by the Board to the extent permitted by the proxy rules, or the Board may reduce the number of directors to be elected, subject to applicable law.</w:t>
      </w:r>
    </w:p>
    <w:p>
      <w:pPr>
        <w:spacing w:after="0" w:line="139"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14202A"/>
        </w:rPr>
        <w:t>Unless a contrary choice is specified, proxies solicited by the Board will be voted “</w:t>
      </w:r>
      <w:r>
        <w:rPr>
          <w:rFonts w:ascii="Arial" w:cs="Arial" w:eastAsia="Arial" w:hAnsi="Arial"/>
          <w:sz w:val="16"/>
          <w:szCs w:val="16"/>
          <w:b w:val="1"/>
          <w:bCs w:val="1"/>
          <w:color w:val="14202A"/>
        </w:rPr>
        <w:t>FOR</w:t>
      </w:r>
      <w:r>
        <w:rPr>
          <w:rFonts w:ascii="Arial" w:cs="Arial" w:eastAsia="Arial" w:hAnsi="Arial"/>
          <w:sz w:val="16"/>
          <w:szCs w:val="16"/>
          <w:color w:val="14202A"/>
        </w:rPr>
        <w:t>” the election of each of the director nominees named in this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19685</wp:posOffset>
            </wp:positionV>
            <wp:extent cx="5078730" cy="6470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078730" cy="64706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480" w:right="1100" w:hanging="630"/>
        <w:spacing w:after="0" w:line="184" w:lineRule="auto"/>
        <w:tabs>
          <w:tab w:leader="none" w:pos="1480" w:val="left"/>
        </w:tabs>
        <w:numPr>
          <w:ilvl w:val="0"/>
          <w:numId w:val="12"/>
        </w:numPr>
        <w:rPr>
          <w:rFonts w:ascii="MS PGothic" w:cs="MS PGothic" w:eastAsia="MS PGothic" w:hAnsi="MS PGothic"/>
          <w:sz w:val="50"/>
          <w:szCs w:val="50"/>
          <w:color w:val="FFFFFF"/>
          <w:shd w:val="clear" w:color="auto" w:fill="2E3F4C"/>
        </w:rPr>
      </w:pPr>
      <w:r>
        <w:rPr>
          <w:rFonts w:ascii="Arial" w:cs="Arial" w:eastAsia="Arial" w:hAnsi="Arial"/>
          <w:sz w:val="20"/>
          <w:szCs w:val="20"/>
          <w:b w:val="1"/>
          <w:bCs w:val="1"/>
          <w:color w:val="FFFFFF"/>
        </w:rPr>
        <w:t>The Board unanimously recommends that you vote FOR the election of each of the director nominees.</w:t>
      </w:r>
    </w:p>
    <w:p>
      <w:pPr>
        <w:spacing w:after="0"/>
        <w:rPr>
          <w:sz w:val="20"/>
          <w:szCs w:val="20"/>
          <w:color w:val="auto"/>
        </w:rPr>
      </w:pPr>
      <w:r>
        <w:rPr>
          <w:rFonts w:ascii="Arial" w:cs="Arial" w:eastAsia="Arial" w:hAnsi="Arial"/>
          <w:sz w:val="20"/>
          <w:szCs w:val="20"/>
          <w:color w:val="FFFFFF"/>
        </w:rPr>
        <w:t>     </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color w:val="DAD490"/>
        </w:rPr>
        <w:t>Director Nominees — Class III (Term Ending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8978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-1487170</wp:posOffset>
            </wp:positionV>
            <wp:extent cx="1122680" cy="13798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22680" cy="1379855"/>
                    </a:xfrm>
                    <a:prstGeom prst="rect">
                      <a:avLst/>
                    </a:prstGeom>
                    <a:noFill/>
                  </pic:spPr>
                </pic:pic>
              </a:graphicData>
            </a:graphic>
          </wp:anchor>
        </w:drawing>
      </w:r>
    </w:p>
    <w:p>
      <w:pPr>
        <w:spacing w:after="0" w:line="79"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auto"/>
        </w:rPr>
        <w:t>Sara E. Armbruster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121920</wp:posOffset>
            </wp:positionV>
            <wp:extent cx="14401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Class: </w:t>
      </w:r>
      <w:r>
        <w:rPr>
          <w:rFonts w:ascii="Arial" w:cs="Arial" w:eastAsia="Arial" w:hAnsi="Arial"/>
          <w:sz w:val="16"/>
          <w:szCs w:val="16"/>
          <w:color w:val="auto"/>
        </w:rPr>
        <w:t>III</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120" w:right="240"/>
        <w:spacing w:after="0" w:line="229" w:lineRule="auto"/>
        <w:rPr>
          <w:sz w:val="20"/>
          <w:szCs w:val="20"/>
          <w:color w:val="auto"/>
        </w:rPr>
      </w:pPr>
      <w:r>
        <w:rPr>
          <w:rFonts w:ascii="Arial" w:cs="Arial" w:eastAsia="Arial" w:hAnsi="Arial"/>
          <w:sz w:val="16"/>
          <w:szCs w:val="16"/>
          <w:color w:val="auto"/>
        </w:rPr>
        <w:t>Sara E. Armbruster is a seasoned executive with more than two decades of experience in growth strategy development, manufacturing innovation, information technology and business transformation. She provides important expertise with respect to growth opportunities for the Company and areas of critical business innovation across segments and geographies. Her knowledge of business strategy, M&amp;A, design research and global operations contributes to Board oversight of transformative growth and focused execution towards sustained value.</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429450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945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80" w:type="dxa"/>
            <w:vAlign w:val="bottom"/>
            <w:gridSpan w:val="2"/>
          </w:tcPr>
          <w:p>
            <w:pPr>
              <w:ind w:left="120"/>
              <w:spacing w:after="0"/>
              <w:rPr>
                <w:sz w:val="20"/>
                <w:szCs w:val="20"/>
                <w:color w:val="auto"/>
              </w:rPr>
            </w:pPr>
            <w:r>
              <w:rPr>
                <w:rFonts w:ascii="Arial" w:cs="Arial" w:eastAsia="Arial" w:hAnsi="Arial"/>
                <w:sz w:val="16"/>
                <w:szCs w:val="16"/>
                <w:b w:val="1"/>
                <w:bCs w:val="1"/>
                <w:color w:val="auto"/>
              </w:rPr>
              <w:t>Skills and Qualifications</w:t>
            </w:r>
          </w:p>
        </w:tc>
        <w:tc>
          <w:tcPr>
            <w:tcW w:w="3780" w:type="dxa"/>
            <w:vAlign w:val="bottom"/>
          </w:tcPr>
          <w:p>
            <w:pPr>
              <w:spacing w:after="0"/>
              <w:rPr>
                <w:sz w:val="19"/>
                <w:szCs w:val="19"/>
                <w:color w:val="auto"/>
              </w:rPr>
            </w:pPr>
          </w:p>
        </w:tc>
      </w:tr>
      <w:tr>
        <w:trPr>
          <w:trHeight w:val="329"/>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700" w:type="dxa"/>
            <w:vAlign w:val="bottom"/>
          </w:tcPr>
          <w:p>
            <w:pPr>
              <w:ind w:left="60"/>
              <w:spacing w:after="0"/>
              <w:rPr>
                <w:sz w:val="20"/>
                <w:szCs w:val="20"/>
                <w:color w:val="auto"/>
              </w:rPr>
            </w:pPr>
            <w:r>
              <w:rPr>
                <w:rFonts w:ascii="Arial" w:cs="Arial" w:eastAsia="Arial" w:hAnsi="Arial"/>
                <w:sz w:val="16"/>
                <w:szCs w:val="16"/>
                <w:color w:val="auto"/>
              </w:rPr>
              <w:t>Global Experience</w:t>
            </w:r>
          </w:p>
        </w:tc>
        <w:tc>
          <w:tcPr>
            <w:tcW w:w="3780" w:type="dxa"/>
            <w:vAlign w:val="bottom"/>
          </w:tcPr>
          <w:p>
            <w:pPr>
              <w:ind w:left="50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Strategic Transformation</w:t>
            </w:r>
          </w:p>
        </w:tc>
      </w:tr>
      <w:tr>
        <w:trPr>
          <w:trHeight w:val="286"/>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700" w:type="dxa"/>
            <w:vAlign w:val="bottom"/>
          </w:tcPr>
          <w:p>
            <w:pPr>
              <w:ind w:left="60"/>
              <w:spacing w:after="0"/>
              <w:rPr>
                <w:sz w:val="20"/>
                <w:szCs w:val="20"/>
                <w:color w:val="auto"/>
              </w:rPr>
            </w:pPr>
            <w:r>
              <w:rPr>
                <w:rFonts w:ascii="Arial" w:cs="Arial" w:eastAsia="Arial" w:hAnsi="Arial"/>
                <w:sz w:val="16"/>
                <w:szCs w:val="16"/>
                <w:color w:val="auto"/>
              </w:rPr>
              <w:t>Public/Private Company CEO</w:t>
            </w:r>
          </w:p>
        </w:tc>
        <w:tc>
          <w:tcPr>
            <w:tcW w:w="3780" w:type="dxa"/>
            <w:vAlign w:val="bottom"/>
          </w:tcPr>
          <w:p>
            <w:pPr>
              <w:ind w:left="500"/>
              <w:spacing w:after="0"/>
              <w:rPr>
                <w:sz w:val="20"/>
                <w:szCs w:val="20"/>
                <w:color w:val="auto"/>
              </w:rPr>
            </w:pPr>
            <w:r>
              <w:rPr>
                <w:rFonts w:ascii="Arial" w:cs="Arial" w:eastAsia="Arial" w:hAnsi="Arial"/>
                <w:sz w:val="16"/>
                <w:szCs w:val="16"/>
                <w:color w:val="auto"/>
              </w:rPr>
              <w:t> </w:t>
            </w:r>
          </w:p>
        </w:tc>
      </w:tr>
      <w:tr>
        <w:trPr>
          <w:trHeight w:val="210"/>
        </w:trPr>
        <w:tc>
          <w:tcPr>
            <w:tcW w:w="280" w:type="dxa"/>
            <w:vAlign w:val="bottom"/>
            <w:tcBorders>
              <w:bottom w:val="single" w:sz="8" w:color="A5B7C2"/>
            </w:tcBorders>
          </w:tcPr>
          <w:p>
            <w:pPr>
              <w:spacing w:after="0"/>
              <w:rPr>
                <w:sz w:val="18"/>
                <w:szCs w:val="18"/>
                <w:color w:val="auto"/>
              </w:rPr>
            </w:pPr>
          </w:p>
        </w:tc>
        <w:tc>
          <w:tcPr>
            <w:tcW w:w="2700" w:type="dxa"/>
            <w:vAlign w:val="bottom"/>
            <w:tcBorders>
              <w:bottom w:val="single" w:sz="8" w:color="A5B7C2"/>
            </w:tcBorders>
          </w:tcPr>
          <w:p>
            <w:pPr>
              <w:spacing w:after="0"/>
              <w:rPr>
                <w:sz w:val="18"/>
                <w:szCs w:val="18"/>
                <w:color w:val="auto"/>
              </w:rPr>
            </w:pPr>
          </w:p>
        </w:tc>
        <w:tc>
          <w:tcPr>
            <w:tcW w:w="3780" w:type="dxa"/>
            <w:vAlign w:val="bottom"/>
            <w:tcBorders>
              <w:bottom w:val="single" w:sz="8" w:color="A5B7C2"/>
            </w:tcBorders>
          </w:tcPr>
          <w:p>
            <w:pPr>
              <w:ind w:left="500"/>
              <w:spacing w:after="0"/>
              <w:rPr>
                <w:sz w:val="20"/>
                <w:szCs w:val="20"/>
                <w:color w:val="auto"/>
              </w:rPr>
            </w:pPr>
            <w:r>
              <w:rPr>
                <w:rFonts w:ascii="Arial" w:cs="Arial" w:eastAsia="Arial" w:hAnsi="Arial"/>
                <w:sz w:val="16"/>
                <w:szCs w:val="16"/>
                <w:color w:val="auto"/>
              </w:rPr>
              <w:t> </w:t>
            </w: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Career Highlights</w:t>
      </w:r>
    </w:p>
    <w:p>
      <w:pPr>
        <w:spacing w:after="0" w:line="151" w:lineRule="exact"/>
        <w:rPr>
          <w:sz w:val="20"/>
          <w:szCs w:val="20"/>
          <w:color w:val="auto"/>
        </w:rPr>
      </w:pPr>
    </w:p>
    <w:p>
      <w:pPr>
        <w:sectPr>
          <w:pgSz w:w="11900" w:h="16838" w:orient="portrait"/>
          <w:cols w:equalWidth="0" w:num="2">
            <w:col w:w="2120" w:space="400"/>
            <w:col w:w="6760"/>
          </w:cols>
          <w:pgMar w:left="1300" w:top="114" w:right="1319" w:bottom="1440" w:gutter="0" w:footer="0" w:header="0"/>
          <w:type w:val="continuous"/>
        </w:sectPr>
      </w:pPr>
    </w:p>
    <w:tbl>
      <w:tblPr>
        <w:tblLayout w:type="fixed"/>
        <w:tblInd w:w="140" w:type="dxa"/>
        <w:tblCellMar>
          <w:top w:w="0" w:type="dxa"/>
          <w:left w:w="0" w:type="dxa"/>
          <w:bottom w:w="0" w:type="dxa"/>
          <w:right w:w="0" w:type="dxa"/>
        </w:tblCellMar>
      </w:tblPr>
      <w:tr>
        <w:trPr>
          <w:trHeight w:val="178"/>
        </w:trPr>
        <w:tc>
          <w:tcPr>
            <w:tcW w:w="160" w:type="dxa"/>
            <w:vAlign w:val="bottom"/>
          </w:tcPr>
          <w:p>
            <w:pPr>
              <w:spacing w:after="0" w:line="178" w:lineRule="exact"/>
              <w:rPr>
                <w:sz w:val="20"/>
                <w:szCs w:val="20"/>
                <w:color w:val="auto"/>
              </w:rPr>
            </w:pPr>
            <w:r>
              <w:rPr>
                <w:rFonts w:ascii="Arial" w:cs="Arial" w:eastAsia="Arial" w:hAnsi="Arial"/>
                <w:sz w:val="16"/>
                <w:szCs w:val="16"/>
                <w:color w:val="auto"/>
                <w:w w:val="87"/>
              </w:rPr>
              <w:t> </w:t>
            </w:r>
          </w:p>
        </w:tc>
        <w:tc>
          <w:tcPr>
            <w:tcW w:w="2180" w:type="dxa"/>
            <w:vAlign w:val="bottom"/>
          </w:tcPr>
          <w:p>
            <w:pPr>
              <w:spacing w:after="0"/>
              <w:rPr>
                <w:sz w:val="15"/>
                <w:szCs w:val="15"/>
                <w:color w:val="auto"/>
              </w:rPr>
            </w:pPr>
          </w:p>
        </w:tc>
        <w:tc>
          <w:tcPr>
            <w:tcW w:w="6700" w:type="dxa"/>
            <w:vAlign w:val="bottom"/>
          </w:tcPr>
          <w:p>
            <w:pPr>
              <w:ind w:left="160"/>
              <w:spacing w:after="0" w:line="178" w:lineRule="exact"/>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President and Chief Executive Officer of Steelcase Inc. (former NYSE: SCS) (2021-</w:t>
            </w:r>
          </w:p>
        </w:tc>
        <w:tc>
          <w:tcPr>
            <w:tcW w:w="0" w:type="dxa"/>
            <w:vAlign w:val="bottom"/>
          </w:tcPr>
          <w:p>
            <w:pPr>
              <w:spacing w:after="0"/>
              <w:rPr>
                <w:sz w:val="1"/>
                <w:szCs w:val="1"/>
                <w:color w:val="auto"/>
              </w:rPr>
            </w:pPr>
          </w:p>
        </w:tc>
      </w:tr>
      <w:tr>
        <w:trPr>
          <w:trHeight w:val="189"/>
        </w:trPr>
        <w:tc>
          <w:tcPr>
            <w:tcW w:w="234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55</w:t>
            </w:r>
          </w:p>
        </w:tc>
        <w:tc>
          <w:tcPr>
            <w:tcW w:w="6700" w:type="dxa"/>
            <w:vAlign w:val="bottom"/>
          </w:tcPr>
          <w:p>
            <w:pPr>
              <w:ind w:left="380"/>
              <w:spacing w:after="0"/>
              <w:rPr>
                <w:sz w:val="20"/>
                <w:szCs w:val="20"/>
                <w:color w:val="auto"/>
              </w:rPr>
            </w:pPr>
            <w:r>
              <w:rPr>
                <w:rFonts w:ascii="Arial" w:cs="Arial" w:eastAsia="Arial" w:hAnsi="Arial"/>
                <w:sz w:val="16"/>
                <w:szCs w:val="16"/>
                <w:color w:val="auto"/>
              </w:rPr>
              <w:t>2025), a global commercial furnishings manufacturer, Ms. Armbruster led the company’s</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20"/>
                <w:szCs w:val="20"/>
                <w:color w:val="auto"/>
              </w:rPr>
            </w:pPr>
            <w:r>
              <w:rPr>
                <w:rFonts w:ascii="Arial" w:cs="Arial" w:eastAsia="Arial" w:hAnsi="Arial"/>
                <w:sz w:val="16"/>
                <w:szCs w:val="16"/>
                <w:color w:val="auto"/>
                <w:w w:val="87"/>
              </w:rPr>
              <w:t> </w:t>
            </w:r>
          </w:p>
        </w:tc>
        <w:tc>
          <w:tcPr>
            <w:tcW w:w="2180" w:type="dxa"/>
            <w:vAlign w:val="bottom"/>
          </w:tcPr>
          <w:p>
            <w:pPr>
              <w:spacing w:after="0"/>
              <w:rPr>
                <w:sz w:val="16"/>
                <w:szCs w:val="16"/>
                <w:color w:val="auto"/>
              </w:rPr>
            </w:pPr>
          </w:p>
        </w:tc>
        <w:tc>
          <w:tcPr>
            <w:tcW w:w="6700" w:type="dxa"/>
            <w:vAlign w:val="bottom"/>
          </w:tcPr>
          <w:p>
            <w:pPr>
              <w:ind w:left="380"/>
              <w:spacing w:after="0"/>
              <w:rPr>
                <w:sz w:val="20"/>
                <w:szCs w:val="20"/>
                <w:color w:val="auto"/>
              </w:rPr>
            </w:pPr>
            <w:r>
              <w:rPr>
                <w:rFonts w:ascii="Arial" w:cs="Arial" w:eastAsia="Arial" w:hAnsi="Arial"/>
                <w:sz w:val="16"/>
                <w:szCs w:val="16"/>
                <w:color w:val="auto"/>
              </w:rPr>
              <w:t>enterprise-wide and operational initiatives, including the implementation of new</w:t>
            </w:r>
          </w:p>
        </w:tc>
        <w:tc>
          <w:tcPr>
            <w:tcW w:w="0" w:type="dxa"/>
            <w:vAlign w:val="bottom"/>
          </w:tcPr>
          <w:p>
            <w:pPr>
              <w:spacing w:after="0"/>
              <w:rPr>
                <w:sz w:val="1"/>
                <w:szCs w:val="1"/>
                <w:color w:val="auto"/>
              </w:rPr>
            </w:pPr>
          </w:p>
        </w:tc>
      </w:tr>
      <w:tr>
        <w:trPr>
          <w:trHeight w:val="189"/>
        </w:trPr>
        <w:tc>
          <w:tcPr>
            <w:tcW w:w="2340" w:type="dxa"/>
            <w:vAlign w:val="bottom"/>
            <w:gridSpan w:val="2"/>
          </w:tcPr>
          <w:p>
            <w:pPr>
              <w:spacing w:after="0"/>
              <w:rPr>
                <w:sz w:val="20"/>
                <w:szCs w:val="20"/>
                <w:color w:val="auto"/>
              </w:rPr>
            </w:pPr>
            <w:r>
              <w:rPr>
                <w:rFonts w:ascii="Arial" w:cs="Arial" w:eastAsia="Arial" w:hAnsi="Arial"/>
                <w:sz w:val="16"/>
                <w:szCs w:val="16"/>
                <w:b w:val="1"/>
                <w:bCs w:val="1"/>
                <w:color w:val="auto"/>
              </w:rPr>
              <w:t>Committees:</w:t>
            </w:r>
          </w:p>
        </w:tc>
        <w:tc>
          <w:tcPr>
            <w:tcW w:w="6700" w:type="dxa"/>
            <w:vAlign w:val="bottom"/>
          </w:tcPr>
          <w:p>
            <w:pPr>
              <w:ind w:left="380"/>
              <w:spacing w:after="0"/>
              <w:rPr>
                <w:sz w:val="20"/>
                <w:szCs w:val="20"/>
                <w:color w:val="auto"/>
              </w:rPr>
            </w:pPr>
            <w:r>
              <w:rPr>
                <w:rFonts w:ascii="Arial" w:cs="Arial" w:eastAsia="Arial" w:hAnsi="Arial"/>
                <w:sz w:val="16"/>
                <w:szCs w:val="16"/>
                <w:color w:val="auto"/>
              </w:rPr>
              <w:t>business models and development of growth opportunities through partnerships and</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180" w:type="dxa"/>
            <w:vAlign w:val="bottom"/>
          </w:tcPr>
          <w:p>
            <w:pPr>
              <w:ind w:left="60"/>
              <w:spacing w:after="0"/>
              <w:rPr>
                <w:sz w:val="20"/>
                <w:szCs w:val="20"/>
                <w:color w:val="auto"/>
              </w:rPr>
            </w:pPr>
            <w:r>
              <w:rPr>
                <w:rFonts w:ascii="Arial" w:cs="Arial" w:eastAsia="Arial" w:hAnsi="Arial"/>
                <w:sz w:val="16"/>
                <w:szCs w:val="16"/>
                <w:color w:val="auto"/>
              </w:rPr>
              <w:t>Human Resources (Chair)</w:t>
            </w:r>
          </w:p>
        </w:tc>
        <w:tc>
          <w:tcPr>
            <w:tcW w:w="6700" w:type="dxa"/>
            <w:vAlign w:val="bottom"/>
          </w:tcPr>
          <w:p>
            <w:pPr>
              <w:ind w:left="380"/>
              <w:spacing w:after="0"/>
              <w:rPr>
                <w:sz w:val="20"/>
                <w:szCs w:val="20"/>
                <w:color w:val="auto"/>
              </w:rPr>
            </w:pPr>
            <w:r>
              <w:rPr>
                <w:rFonts w:ascii="Arial" w:cs="Arial" w:eastAsia="Arial" w:hAnsi="Arial"/>
                <w:sz w:val="16"/>
                <w:szCs w:val="16"/>
                <w:color w:val="auto"/>
              </w:rPr>
              <w:t>strategic transactions, successfully positioning Steelcase for its acquisition by HNI</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180" w:type="dxa"/>
            <w:vAlign w:val="bottom"/>
          </w:tcPr>
          <w:p>
            <w:pPr>
              <w:ind w:left="60"/>
              <w:spacing w:after="0"/>
              <w:rPr>
                <w:sz w:val="20"/>
                <w:szCs w:val="20"/>
                <w:color w:val="auto"/>
              </w:rPr>
            </w:pPr>
            <w:r>
              <w:rPr>
                <w:rFonts w:ascii="Arial" w:cs="Arial" w:eastAsia="Arial" w:hAnsi="Arial"/>
                <w:sz w:val="16"/>
                <w:szCs w:val="16"/>
                <w:color w:val="auto"/>
              </w:rPr>
              <w:t>Nominating and</w:t>
            </w:r>
          </w:p>
        </w:tc>
        <w:tc>
          <w:tcPr>
            <w:tcW w:w="6700" w:type="dxa"/>
            <w:vAlign w:val="bottom"/>
          </w:tcPr>
          <w:p>
            <w:pPr>
              <w:ind w:left="380"/>
              <w:spacing w:after="0"/>
              <w:rPr>
                <w:sz w:val="20"/>
                <w:szCs w:val="20"/>
                <w:color w:val="auto"/>
              </w:rPr>
            </w:pPr>
            <w:r>
              <w:rPr>
                <w:rFonts w:ascii="Arial" w:cs="Arial" w:eastAsia="Arial" w:hAnsi="Arial"/>
                <w:sz w:val="16"/>
                <w:szCs w:val="16"/>
                <w:color w:val="auto"/>
              </w:rPr>
              <w:t>Corporation (NYSE: HNI) in 2025.</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180" w:type="dxa"/>
            <w:vAlign w:val="bottom"/>
          </w:tcPr>
          <w:p>
            <w:pPr>
              <w:ind w:left="60"/>
              <w:spacing w:after="0"/>
              <w:rPr>
                <w:sz w:val="20"/>
                <w:szCs w:val="20"/>
                <w:color w:val="auto"/>
              </w:rPr>
            </w:pPr>
            <w:r>
              <w:rPr>
                <w:rFonts w:ascii="Arial" w:cs="Arial" w:eastAsia="Arial" w:hAnsi="Arial"/>
                <w:sz w:val="16"/>
                <w:szCs w:val="16"/>
                <w:color w:val="auto"/>
              </w:rPr>
              <w:t>Governance</w:t>
            </w:r>
          </w:p>
        </w:tc>
        <w:tc>
          <w:tcPr>
            <w:tcW w:w="6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180" w:type="dxa"/>
            <w:vAlign w:val="bottom"/>
          </w:tcPr>
          <w:p>
            <w:pPr>
              <w:ind w:left="80"/>
              <w:spacing w:after="0"/>
              <w:rPr>
                <w:sz w:val="20"/>
                <w:szCs w:val="20"/>
                <w:color w:val="auto"/>
              </w:rPr>
            </w:pPr>
            <w:r>
              <w:rPr>
                <w:rFonts w:ascii="Arial" w:cs="Arial" w:eastAsia="Arial" w:hAnsi="Arial"/>
                <w:sz w:val="16"/>
                <w:szCs w:val="16"/>
                <w:color w:val="auto"/>
              </w:rPr>
              <w:t> </w:t>
            </w:r>
          </w:p>
        </w:tc>
        <w:tc>
          <w:tcPr>
            <w:tcW w:w="6700" w:type="dxa"/>
            <w:vAlign w:val="bottom"/>
          </w:tcPr>
          <w:p>
            <w:pPr>
              <w:ind w:left="16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During her 18-year career at Steelcase (2007-2025), Ms. Armbruster held leadership</w:t>
            </w:r>
          </w:p>
        </w:tc>
        <w:tc>
          <w:tcPr>
            <w:tcW w:w="0" w:type="dxa"/>
            <w:vAlign w:val="bottom"/>
          </w:tcPr>
          <w:p>
            <w:pPr>
              <w:spacing w:after="0"/>
              <w:rPr>
                <w:sz w:val="1"/>
                <w:szCs w:val="1"/>
                <w:color w:val="auto"/>
              </w:rPr>
            </w:pPr>
          </w:p>
        </w:tc>
      </w:tr>
      <w:tr>
        <w:trPr>
          <w:trHeight w:val="189"/>
        </w:trPr>
        <w:tc>
          <w:tcPr>
            <w:tcW w:w="2340" w:type="dxa"/>
            <w:vAlign w:val="bottom"/>
            <w:gridSpan w:val="2"/>
          </w:tcPr>
          <w:p>
            <w:pPr>
              <w:spacing w:after="0"/>
              <w:rPr>
                <w:sz w:val="20"/>
                <w:szCs w:val="20"/>
                <w:color w:val="auto"/>
              </w:rPr>
            </w:pPr>
            <w:r>
              <w:rPr>
                <w:rFonts w:ascii="Arial" w:cs="Arial" w:eastAsia="Arial" w:hAnsi="Arial"/>
                <w:sz w:val="16"/>
                <w:szCs w:val="16"/>
                <w:b w:val="1"/>
                <w:bCs w:val="1"/>
                <w:color w:val="auto"/>
              </w:rPr>
              <w:t>Other Public Company</w:t>
            </w:r>
          </w:p>
        </w:tc>
        <w:tc>
          <w:tcPr>
            <w:tcW w:w="6700" w:type="dxa"/>
            <w:vAlign w:val="bottom"/>
          </w:tcPr>
          <w:p>
            <w:pPr>
              <w:ind w:left="380"/>
              <w:spacing w:after="0"/>
              <w:rPr>
                <w:sz w:val="20"/>
                <w:szCs w:val="20"/>
                <w:color w:val="auto"/>
              </w:rPr>
            </w:pPr>
            <w:r>
              <w:rPr>
                <w:rFonts w:ascii="Arial" w:cs="Arial" w:eastAsia="Arial" w:hAnsi="Arial"/>
                <w:sz w:val="16"/>
                <w:szCs w:val="16"/>
                <w:color w:val="auto"/>
              </w:rPr>
              <w:t>roles spanning technology, strategy and digital transformation. She led the company’s</w:t>
            </w:r>
          </w:p>
        </w:tc>
        <w:tc>
          <w:tcPr>
            <w:tcW w:w="0" w:type="dxa"/>
            <w:vAlign w:val="bottom"/>
          </w:tcPr>
          <w:p>
            <w:pPr>
              <w:spacing w:after="0"/>
              <w:rPr>
                <w:sz w:val="1"/>
                <w:szCs w:val="1"/>
                <w:color w:val="auto"/>
              </w:rPr>
            </w:pPr>
          </w:p>
        </w:tc>
      </w:tr>
      <w:tr>
        <w:trPr>
          <w:trHeight w:val="189"/>
        </w:trPr>
        <w:tc>
          <w:tcPr>
            <w:tcW w:w="2340" w:type="dxa"/>
            <w:vAlign w:val="bottom"/>
            <w:gridSpan w:val="2"/>
          </w:tcPr>
          <w:p>
            <w:pPr>
              <w:spacing w:after="0"/>
              <w:rPr>
                <w:sz w:val="20"/>
                <w:szCs w:val="20"/>
                <w:color w:val="auto"/>
              </w:rPr>
            </w:pPr>
            <w:r>
              <w:rPr>
                <w:rFonts w:ascii="Arial" w:cs="Arial" w:eastAsia="Arial" w:hAnsi="Arial"/>
                <w:sz w:val="16"/>
                <w:szCs w:val="16"/>
                <w:b w:val="1"/>
                <w:bCs w:val="1"/>
                <w:color w:val="auto"/>
              </w:rPr>
              <w:t>Boards:</w:t>
            </w:r>
          </w:p>
        </w:tc>
        <w:tc>
          <w:tcPr>
            <w:tcW w:w="6700" w:type="dxa"/>
            <w:vAlign w:val="bottom"/>
          </w:tcPr>
          <w:p>
            <w:pPr>
              <w:ind w:left="380"/>
              <w:spacing w:after="0"/>
              <w:rPr>
                <w:sz w:val="20"/>
                <w:szCs w:val="20"/>
                <w:color w:val="auto"/>
              </w:rPr>
            </w:pPr>
            <w:r>
              <w:rPr>
                <w:rFonts w:ascii="Arial" w:cs="Arial" w:eastAsia="Arial" w:hAnsi="Arial"/>
                <w:sz w:val="16"/>
                <w:szCs w:val="16"/>
                <w:color w:val="auto"/>
              </w:rPr>
              <w:t>innovation strategy, including the establishment of its innovation center and global</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180" w:type="dxa"/>
            <w:vAlign w:val="bottom"/>
          </w:tcPr>
          <w:p>
            <w:pPr>
              <w:ind w:left="60"/>
              <w:spacing w:after="0"/>
              <w:rPr>
                <w:sz w:val="20"/>
                <w:szCs w:val="20"/>
                <w:color w:val="auto"/>
              </w:rPr>
            </w:pPr>
            <w:r>
              <w:rPr>
                <w:rFonts w:ascii="Arial" w:cs="Arial" w:eastAsia="Arial" w:hAnsi="Arial"/>
                <w:sz w:val="16"/>
                <w:szCs w:val="16"/>
                <w:color w:val="auto"/>
              </w:rPr>
              <w:t>Steelcase Inc. (2021-2025)</w:t>
            </w:r>
          </w:p>
        </w:tc>
        <w:tc>
          <w:tcPr>
            <w:tcW w:w="6700" w:type="dxa"/>
            <w:vAlign w:val="bottom"/>
          </w:tcPr>
          <w:p>
            <w:pPr>
              <w:ind w:left="380"/>
              <w:spacing w:after="0"/>
              <w:rPr>
                <w:sz w:val="20"/>
                <w:szCs w:val="20"/>
                <w:color w:val="auto"/>
              </w:rPr>
            </w:pPr>
            <w:r>
              <w:rPr>
                <w:rFonts w:ascii="Arial" w:cs="Arial" w:eastAsia="Arial" w:hAnsi="Arial"/>
                <w:sz w:val="16"/>
                <w:szCs w:val="16"/>
                <w:color w:val="auto"/>
              </w:rPr>
              <w:t>design research, while overseeing multiple business units with P&amp;L responsibility and</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180" w:type="dxa"/>
            <w:vAlign w:val="bottom"/>
          </w:tcPr>
          <w:p>
            <w:pPr>
              <w:ind w:left="80"/>
              <w:spacing w:after="0"/>
              <w:rPr>
                <w:sz w:val="20"/>
                <w:szCs w:val="20"/>
                <w:color w:val="auto"/>
              </w:rPr>
            </w:pPr>
            <w:r>
              <w:rPr>
                <w:rFonts w:ascii="Arial" w:cs="Arial" w:eastAsia="Arial" w:hAnsi="Arial"/>
                <w:sz w:val="16"/>
                <w:szCs w:val="16"/>
                <w:color w:val="auto"/>
              </w:rPr>
              <w:t> </w:t>
            </w:r>
          </w:p>
        </w:tc>
        <w:tc>
          <w:tcPr>
            <w:tcW w:w="6700" w:type="dxa"/>
            <w:vAlign w:val="bottom"/>
          </w:tcPr>
          <w:p>
            <w:pPr>
              <w:ind w:left="380"/>
              <w:spacing w:after="0"/>
              <w:rPr>
                <w:sz w:val="20"/>
                <w:szCs w:val="20"/>
                <w:color w:val="auto"/>
              </w:rPr>
            </w:pPr>
            <w:r>
              <w:rPr>
                <w:rFonts w:ascii="Arial" w:cs="Arial" w:eastAsia="Arial" w:hAnsi="Arial"/>
                <w:sz w:val="16"/>
                <w:szCs w:val="16"/>
                <w:color w:val="auto"/>
              </w:rPr>
              <w:t>expanding AI and data capabilities across manufacturing and commercial operations.</w:t>
            </w:r>
          </w:p>
        </w:tc>
        <w:tc>
          <w:tcPr>
            <w:tcW w:w="0" w:type="dxa"/>
            <w:vAlign w:val="bottom"/>
          </w:tcPr>
          <w:p>
            <w:pPr>
              <w:spacing w:after="0"/>
              <w:rPr>
                <w:sz w:val="1"/>
                <w:szCs w:val="1"/>
                <w:color w:val="auto"/>
              </w:rPr>
            </w:pPr>
          </w:p>
        </w:tc>
      </w:tr>
      <w:tr>
        <w:trPr>
          <w:trHeight w:val="189"/>
        </w:trPr>
        <w:tc>
          <w:tcPr>
            <w:tcW w:w="2340" w:type="dxa"/>
            <w:vAlign w:val="bottom"/>
            <w:gridSpan w:val="2"/>
          </w:tcPr>
          <w:p>
            <w:pPr>
              <w:spacing w:after="0"/>
              <w:rPr>
                <w:sz w:val="20"/>
                <w:szCs w:val="20"/>
                <w:color w:val="auto"/>
              </w:rPr>
            </w:pPr>
            <w:r>
              <w:rPr>
                <w:rFonts w:ascii="Arial" w:cs="Arial" w:eastAsia="Arial" w:hAnsi="Arial"/>
                <w:sz w:val="16"/>
                <w:szCs w:val="16"/>
                <w:b w:val="1"/>
                <w:bCs w:val="1"/>
                <w:color w:val="auto"/>
              </w:rPr>
              <w:t>Education:</w:t>
            </w:r>
          </w:p>
        </w:tc>
        <w:tc>
          <w:tcPr>
            <w:tcW w:w="6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40" w:type="dxa"/>
            <w:vAlign w:val="bottom"/>
            <w:gridSpan w:val="2"/>
          </w:tcPr>
          <w:p>
            <w:pPr>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B.A., Yale University</w:t>
            </w:r>
          </w:p>
        </w:tc>
        <w:tc>
          <w:tcPr>
            <w:tcW w:w="6700" w:type="dxa"/>
            <w:vAlign w:val="bottom"/>
            <w:vMerge w:val="restart"/>
          </w:tcPr>
          <w:p>
            <w:pPr>
              <w:ind w:left="16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Prior to joining Steelcase, Ms. Armbruster led corporate strategy and M&amp;A initiatives at</w:t>
            </w:r>
          </w:p>
        </w:tc>
        <w:tc>
          <w:tcPr>
            <w:tcW w:w="0" w:type="dxa"/>
            <w:vAlign w:val="bottom"/>
          </w:tcPr>
          <w:p>
            <w:pPr>
              <w:spacing w:after="0"/>
              <w:rPr>
                <w:sz w:val="1"/>
                <w:szCs w:val="1"/>
                <w:color w:val="auto"/>
              </w:rPr>
            </w:pPr>
          </w:p>
        </w:tc>
      </w:tr>
      <w:tr>
        <w:trPr>
          <w:trHeight w:val="175"/>
        </w:trPr>
        <w:tc>
          <w:tcPr>
            <w:tcW w:w="160" w:type="dxa"/>
            <w:vAlign w:val="bottom"/>
          </w:tcPr>
          <w:p>
            <w:pPr>
              <w:spacing w:after="0" w:line="175" w:lineRule="exact"/>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180" w:type="dxa"/>
            <w:vAlign w:val="bottom"/>
          </w:tcPr>
          <w:p>
            <w:pPr>
              <w:ind w:left="60"/>
              <w:spacing w:after="0" w:line="175" w:lineRule="exact"/>
              <w:rPr>
                <w:sz w:val="20"/>
                <w:szCs w:val="20"/>
                <w:color w:val="auto"/>
              </w:rPr>
            </w:pPr>
            <w:r>
              <w:rPr>
                <w:rFonts w:ascii="Arial" w:cs="Arial" w:eastAsia="Arial" w:hAnsi="Arial"/>
                <w:sz w:val="16"/>
                <w:szCs w:val="16"/>
                <w:color w:val="auto"/>
              </w:rPr>
              <w:t>M.A., Johns Hopkins</w:t>
            </w:r>
          </w:p>
        </w:tc>
        <w:tc>
          <w:tcPr>
            <w:tcW w:w="6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180" w:type="dxa"/>
            <w:vAlign w:val="bottom"/>
          </w:tcPr>
          <w:p>
            <w:pPr>
              <w:ind w:left="60"/>
              <w:spacing w:after="0"/>
              <w:rPr>
                <w:sz w:val="20"/>
                <w:szCs w:val="20"/>
                <w:color w:val="auto"/>
              </w:rPr>
            </w:pPr>
            <w:r>
              <w:rPr>
                <w:rFonts w:ascii="Arial" w:cs="Arial" w:eastAsia="Arial" w:hAnsi="Arial"/>
                <w:sz w:val="16"/>
                <w:szCs w:val="16"/>
                <w:color w:val="auto"/>
              </w:rPr>
              <w:t>University</w:t>
            </w:r>
          </w:p>
        </w:tc>
        <w:tc>
          <w:tcPr>
            <w:tcW w:w="6700" w:type="dxa"/>
            <w:vAlign w:val="bottom"/>
          </w:tcPr>
          <w:p>
            <w:pPr>
              <w:ind w:left="380"/>
              <w:spacing w:after="0"/>
              <w:rPr>
                <w:sz w:val="20"/>
                <w:szCs w:val="20"/>
                <w:color w:val="auto"/>
              </w:rPr>
            </w:pPr>
            <w:r>
              <w:rPr>
                <w:rFonts w:ascii="Arial" w:cs="Arial" w:eastAsia="Arial" w:hAnsi="Arial"/>
                <w:sz w:val="16"/>
                <w:szCs w:val="16"/>
                <w:color w:val="auto"/>
              </w:rPr>
              <w:t>Banta Corporation (former NYSE: BN) (2003-2007), which included leading a successful</w:t>
            </w:r>
          </w:p>
        </w:tc>
        <w:tc>
          <w:tcPr>
            <w:tcW w:w="0" w:type="dxa"/>
            <w:vAlign w:val="bottom"/>
          </w:tcPr>
          <w:p>
            <w:pPr>
              <w:spacing w:after="0"/>
              <w:rPr>
                <w:sz w:val="1"/>
                <w:szCs w:val="1"/>
                <w:color w:val="auto"/>
              </w:rPr>
            </w:pPr>
          </w:p>
        </w:tc>
      </w:tr>
      <w:tr>
        <w:trPr>
          <w:trHeight w:val="203"/>
        </w:trPr>
        <w:tc>
          <w:tcPr>
            <w:tcW w:w="2340" w:type="dxa"/>
            <w:vAlign w:val="bottom"/>
            <w:gridSpan w:val="2"/>
          </w:tcPr>
          <w:p>
            <w:pPr>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MBA, Tuck School of</w:t>
            </w:r>
          </w:p>
        </w:tc>
        <w:tc>
          <w:tcPr>
            <w:tcW w:w="6700" w:type="dxa"/>
            <w:vAlign w:val="bottom"/>
          </w:tcPr>
          <w:p>
            <w:pPr>
              <w:ind w:left="380"/>
              <w:spacing w:after="0"/>
              <w:rPr>
                <w:sz w:val="20"/>
                <w:szCs w:val="20"/>
                <w:color w:val="auto"/>
              </w:rPr>
            </w:pPr>
            <w:r>
              <w:rPr>
                <w:rFonts w:ascii="Arial" w:cs="Arial" w:eastAsia="Arial" w:hAnsi="Arial"/>
                <w:sz w:val="16"/>
                <w:szCs w:val="16"/>
                <w:color w:val="auto"/>
              </w:rPr>
              <w:t>proposal to consolidate Banta’s businesses and improve asset utilization.</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2180" w:type="dxa"/>
            <w:vAlign w:val="bottom"/>
          </w:tcPr>
          <w:p>
            <w:pPr>
              <w:ind w:left="60"/>
              <w:spacing w:after="0"/>
              <w:rPr>
                <w:sz w:val="20"/>
                <w:szCs w:val="20"/>
                <w:color w:val="auto"/>
              </w:rPr>
            </w:pPr>
            <w:r>
              <w:rPr>
                <w:rFonts w:ascii="Arial" w:cs="Arial" w:eastAsia="Arial" w:hAnsi="Arial"/>
                <w:sz w:val="16"/>
                <w:szCs w:val="16"/>
                <w:color w:val="auto"/>
              </w:rPr>
              <w:t>Business at Dartmouth</w:t>
            </w:r>
          </w:p>
        </w:tc>
        <w:tc>
          <w:tcPr>
            <w:tcW w:w="6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232410</wp:posOffset>
            </wp:positionV>
            <wp:extent cx="58978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0350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500"/>
          </w:cols>
          <w:pgMar w:left="1300" w:top="11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-1487170</wp:posOffset>
            </wp:positionV>
            <wp:extent cx="1122680" cy="13798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22680" cy="1379855"/>
                    </a:xfrm>
                    <a:prstGeom prst="rect">
                      <a:avLst/>
                    </a:prstGeom>
                    <a:noFill/>
                  </pic:spPr>
                </pic:pic>
              </a:graphicData>
            </a:graphic>
          </wp:anchor>
        </w:drawing>
      </w:r>
    </w:p>
    <w:p>
      <w:pPr>
        <w:spacing w:after="0" w:line="7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114935</wp:posOffset>
            </wp:positionV>
            <wp:extent cx="144018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Class: </w:t>
      </w:r>
      <w:r>
        <w:rPr>
          <w:rFonts w:ascii="Arial" w:cs="Arial" w:eastAsia="Arial" w:hAnsi="Arial"/>
          <w:sz w:val="16"/>
          <w:szCs w:val="16"/>
          <w:color w:val="auto"/>
        </w:rPr>
        <w:t>III</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55</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right="400"/>
        <w:spacing w:after="0" w:line="246" w:lineRule="auto"/>
        <w:rPr>
          <w:sz w:val="20"/>
          <w:szCs w:val="20"/>
          <w:color w:val="auto"/>
        </w:rPr>
      </w:pPr>
      <w:r>
        <w:rPr>
          <w:rFonts w:ascii="Arial" w:cs="Arial" w:eastAsia="Arial" w:hAnsi="Arial"/>
          <w:sz w:val="16"/>
          <w:szCs w:val="16"/>
          <w:b w:val="1"/>
          <w:bCs w:val="1"/>
          <w:color w:val="auto"/>
        </w:rPr>
        <w:t>Other Public Company Boards: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H.B. Fuller Company</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(NYSE: FUL) (since 2021)</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Education:</w:t>
      </w:r>
    </w:p>
    <w:p>
      <w:pPr>
        <w:spacing w:after="0" w:line="5" w:lineRule="exact"/>
        <w:rPr>
          <w:sz w:val="20"/>
          <w:szCs w:val="20"/>
          <w:color w:val="auto"/>
        </w:rPr>
      </w:pPr>
    </w:p>
    <w:p>
      <w:pPr>
        <w:ind w:left="140" w:right="60"/>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B.S., University of Kansas</w:t>
      </w:r>
      <w:r>
        <w:rPr>
          <w:rFonts w:ascii="Arial" w:cs="Arial" w:eastAsia="Arial" w:hAnsi="Arial"/>
          <w:sz w:val="16"/>
          <w:szCs w:val="16"/>
          <w:color w:val="DAD490"/>
        </w:rPr>
        <w:t xml:space="preserve"> •</w:t>
      </w:r>
      <w:r>
        <w:rPr>
          <w:rFonts w:ascii="Arial" w:cs="Arial" w:eastAsia="Arial" w:hAnsi="Arial"/>
          <w:sz w:val="16"/>
          <w:szCs w:val="16"/>
          <w:color w:val="000000"/>
        </w:rPr>
        <w:t xml:space="preserve">  MBA, Carlson School of</w:t>
      </w:r>
    </w:p>
    <w:p>
      <w:pPr>
        <w:spacing w:after="0" w:line="1" w:lineRule="exact"/>
        <w:rPr>
          <w:sz w:val="20"/>
          <w:szCs w:val="20"/>
          <w:color w:val="auto"/>
        </w:rPr>
      </w:pPr>
    </w:p>
    <w:p>
      <w:pPr>
        <w:ind w:left="360"/>
        <w:spacing w:after="0" w:line="265" w:lineRule="auto"/>
        <w:rPr>
          <w:sz w:val="20"/>
          <w:szCs w:val="20"/>
          <w:color w:val="auto"/>
        </w:rPr>
      </w:pPr>
      <w:r>
        <w:rPr>
          <w:rFonts w:ascii="Arial" w:cs="Arial" w:eastAsia="Arial" w:hAnsi="Arial"/>
          <w:sz w:val="16"/>
          <w:szCs w:val="16"/>
          <w:color w:val="auto"/>
        </w:rPr>
        <w:t>Management, University of Minnesota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left="120" w:right="380"/>
        <w:spacing w:after="0" w:line="226" w:lineRule="auto"/>
        <w:rPr>
          <w:sz w:val="20"/>
          <w:szCs w:val="20"/>
          <w:color w:val="auto"/>
        </w:rPr>
      </w:pPr>
      <w:r>
        <w:rPr>
          <w:rFonts w:ascii="Arial" w:cs="Arial" w:eastAsia="Arial" w:hAnsi="Arial"/>
          <w:sz w:val="16"/>
          <w:szCs w:val="16"/>
          <w:color w:val="auto"/>
        </w:rPr>
        <w:t>Michael J. Happe brings to the Board extensive leadership experience driving growth, strategic portfolio transformation and operational excellence. As President and Chief Executive Officer of Winnebago Industries, he provides valuable insight into the Company’s businesses, brands and strategic priorities. His expertise in product innovation, global operations, channel strategy and M&amp;A enhances the Board’s oversight of long-term growth, financial performance and shareholder value creation.</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4260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60215" cy="17145"/>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40" w:type="dxa"/>
            <w:vAlign w:val="bottom"/>
            <w:gridSpan w:val="2"/>
          </w:tcPr>
          <w:p>
            <w:pPr>
              <w:ind w:left="120"/>
              <w:spacing w:after="0"/>
              <w:rPr>
                <w:sz w:val="20"/>
                <w:szCs w:val="20"/>
                <w:color w:val="auto"/>
              </w:rPr>
            </w:pPr>
            <w:r>
              <w:rPr>
                <w:rFonts w:ascii="Arial" w:cs="Arial" w:eastAsia="Arial" w:hAnsi="Arial"/>
                <w:sz w:val="16"/>
                <w:szCs w:val="16"/>
                <w:b w:val="1"/>
                <w:bCs w:val="1"/>
                <w:color w:val="auto"/>
              </w:rPr>
              <w:t>Skills and Qualifications</w:t>
            </w:r>
          </w:p>
        </w:tc>
        <w:tc>
          <w:tcPr>
            <w:tcW w:w="80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329"/>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560" w:type="dxa"/>
            <w:vAlign w:val="bottom"/>
          </w:tcPr>
          <w:p>
            <w:pPr>
              <w:ind w:left="60"/>
              <w:spacing w:after="0"/>
              <w:rPr>
                <w:sz w:val="20"/>
                <w:szCs w:val="20"/>
                <w:color w:val="auto"/>
              </w:rPr>
            </w:pPr>
            <w:r>
              <w:rPr>
                <w:rFonts w:ascii="Arial" w:cs="Arial" w:eastAsia="Arial" w:hAnsi="Arial"/>
                <w:sz w:val="16"/>
                <w:szCs w:val="16"/>
                <w:color w:val="auto"/>
              </w:rPr>
              <w:t>Channel Development</w:t>
            </w:r>
          </w:p>
        </w:tc>
        <w:tc>
          <w:tcPr>
            <w:tcW w:w="800" w:type="dxa"/>
            <w:vAlign w:val="bottom"/>
          </w:tcPr>
          <w:p>
            <w:pPr>
              <w:ind w:left="6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3340" w:type="dxa"/>
            <w:vAlign w:val="bottom"/>
          </w:tcPr>
          <w:p>
            <w:pPr>
              <w:ind w:left="60"/>
              <w:spacing w:after="0"/>
              <w:rPr>
                <w:sz w:val="20"/>
                <w:szCs w:val="20"/>
                <w:color w:val="auto"/>
              </w:rPr>
            </w:pPr>
            <w:r>
              <w:rPr>
                <w:rFonts w:ascii="Arial" w:cs="Arial" w:eastAsia="Arial" w:hAnsi="Arial"/>
                <w:sz w:val="16"/>
                <w:szCs w:val="16"/>
                <w:color w:val="auto"/>
              </w:rPr>
              <w:t>Public/Private Company CEO</w:t>
            </w:r>
          </w:p>
        </w:tc>
      </w:tr>
      <w:tr>
        <w:trPr>
          <w:trHeight w:val="338"/>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560" w:type="dxa"/>
            <w:vAlign w:val="bottom"/>
          </w:tcPr>
          <w:p>
            <w:pPr>
              <w:ind w:left="60"/>
              <w:spacing w:after="0"/>
              <w:rPr>
                <w:sz w:val="20"/>
                <w:szCs w:val="20"/>
                <w:color w:val="auto"/>
              </w:rPr>
            </w:pPr>
            <w:r>
              <w:rPr>
                <w:rFonts w:ascii="Arial" w:cs="Arial" w:eastAsia="Arial" w:hAnsi="Arial"/>
                <w:sz w:val="16"/>
                <w:szCs w:val="16"/>
                <w:color w:val="auto"/>
              </w:rPr>
              <w:t>Global Experience</w:t>
            </w:r>
          </w:p>
        </w:tc>
        <w:tc>
          <w:tcPr>
            <w:tcW w:w="800" w:type="dxa"/>
            <w:vAlign w:val="bottom"/>
          </w:tcPr>
          <w:p>
            <w:pPr>
              <w:ind w:left="6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3340" w:type="dxa"/>
            <w:vAlign w:val="bottom"/>
          </w:tcPr>
          <w:p>
            <w:pPr>
              <w:ind w:left="60"/>
              <w:spacing w:after="0"/>
              <w:rPr>
                <w:sz w:val="20"/>
                <w:szCs w:val="20"/>
                <w:color w:val="auto"/>
              </w:rPr>
            </w:pPr>
            <w:r>
              <w:rPr>
                <w:rFonts w:ascii="Arial" w:cs="Arial" w:eastAsia="Arial" w:hAnsi="Arial"/>
                <w:sz w:val="16"/>
                <w:szCs w:val="16"/>
                <w:color w:val="auto"/>
              </w:rPr>
              <w:t>Strategic Transformation</w:t>
            </w:r>
          </w:p>
        </w:tc>
      </w:tr>
      <w:tr>
        <w:trPr>
          <w:trHeight w:val="286"/>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560" w:type="dxa"/>
            <w:vAlign w:val="bottom"/>
          </w:tcPr>
          <w:p>
            <w:pPr>
              <w:ind w:left="60"/>
              <w:spacing w:after="0"/>
              <w:rPr>
                <w:sz w:val="20"/>
                <w:szCs w:val="20"/>
                <w:color w:val="auto"/>
              </w:rPr>
            </w:pPr>
            <w:r>
              <w:rPr>
                <w:rFonts w:ascii="Arial" w:cs="Arial" w:eastAsia="Arial" w:hAnsi="Arial"/>
                <w:sz w:val="16"/>
                <w:szCs w:val="16"/>
                <w:color w:val="auto"/>
              </w:rPr>
              <w:t>Marketing/Sales/Branding</w:t>
            </w:r>
          </w:p>
        </w:tc>
        <w:tc>
          <w:tcPr>
            <w:tcW w:w="800" w:type="dxa"/>
            <w:vAlign w:val="bottom"/>
          </w:tcPr>
          <w:p>
            <w:pPr>
              <w:ind w:left="640"/>
              <w:spacing w:after="0"/>
              <w:rPr>
                <w:sz w:val="20"/>
                <w:szCs w:val="20"/>
                <w:color w:val="auto"/>
              </w:rPr>
            </w:pPr>
            <w:r>
              <w:rPr>
                <w:rFonts w:ascii="Arial" w:cs="Arial" w:eastAsia="Arial" w:hAnsi="Arial"/>
                <w:sz w:val="16"/>
                <w:szCs w:val="16"/>
                <w:color w:val="auto"/>
                <w:w w:val="87"/>
              </w:rPr>
              <w:t> </w:t>
            </w:r>
          </w:p>
        </w:tc>
        <w:tc>
          <w:tcPr>
            <w:tcW w:w="3340" w:type="dxa"/>
            <w:vAlign w:val="bottom"/>
          </w:tcPr>
          <w:p>
            <w:pPr>
              <w:spacing w:after="0"/>
              <w:rPr>
                <w:sz w:val="24"/>
                <w:szCs w:val="24"/>
                <w:color w:val="auto"/>
              </w:rPr>
            </w:pPr>
          </w:p>
        </w:tc>
      </w:tr>
      <w:tr>
        <w:trPr>
          <w:trHeight w:val="209"/>
        </w:trPr>
        <w:tc>
          <w:tcPr>
            <w:tcW w:w="280" w:type="dxa"/>
            <w:vAlign w:val="bottom"/>
            <w:tcBorders>
              <w:bottom w:val="single" w:sz="8" w:color="A5B7C2"/>
            </w:tcBorders>
          </w:tcPr>
          <w:p>
            <w:pPr>
              <w:spacing w:after="0"/>
              <w:rPr>
                <w:sz w:val="18"/>
                <w:szCs w:val="18"/>
                <w:color w:val="auto"/>
              </w:rPr>
            </w:pPr>
          </w:p>
        </w:tc>
        <w:tc>
          <w:tcPr>
            <w:tcW w:w="2560" w:type="dxa"/>
            <w:vAlign w:val="bottom"/>
            <w:tcBorders>
              <w:bottom w:val="single" w:sz="8" w:color="A5B7C2"/>
            </w:tcBorders>
          </w:tcPr>
          <w:p>
            <w:pPr>
              <w:spacing w:after="0"/>
              <w:rPr>
                <w:sz w:val="18"/>
                <w:szCs w:val="18"/>
                <w:color w:val="auto"/>
              </w:rPr>
            </w:pPr>
          </w:p>
        </w:tc>
        <w:tc>
          <w:tcPr>
            <w:tcW w:w="800" w:type="dxa"/>
            <w:vAlign w:val="bottom"/>
            <w:tcBorders>
              <w:bottom w:val="single" w:sz="8" w:color="A5B7C2"/>
            </w:tcBorders>
          </w:tcPr>
          <w:p>
            <w:pPr>
              <w:ind w:left="640"/>
              <w:spacing w:after="0"/>
              <w:rPr>
                <w:sz w:val="20"/>
                <w:szCs w:val="20"/>
                <w:color w:val="auto"/>
              </w:rPr>
            </w:pPr>
            <w:r>
              <w:rPr>
                <w:rFonts w:ascii="Arial" w:cs="Arial" w:eastAsia="Arial" w:hAnsi="Arial"/>
                <w:sz w:val="16"/>
                <w:szCs w:val="16"/>
                <w:color w:val="auto"/>
                <w:w w:val="87"/>
              </w:rPr>
              <w:t> </w:t>
            </w:r>
          </w:p>
        </w:tc>
        <w:tc>
          <w:tcPr>
            <w:tcW w:w="3340" w:type="dxa"/>
            <w:vAlign w:val="bottom"/>
            <w:tcBorders>
              <w:bottom w:val="single" w:sz="8" w:color="A5B7C2"/>
            </w:tcBorders>
          </w:tcPr>
          <w:p>
            <w:pPr>
              <w:spacing w:after="0"/>
              <w:rPr>
                <w:sz w:val="18"/>
                <w:szCs w:val="18"/>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Career Highlights</w:t>
      </w:r>
    </w:p>
    <w:p>
      <w:pPr>
        <w:spacing w:after="0" w:line="154" w:lineRule="exact"/>
        <w:rPr>
          <w:sz w:val="20"/>
          <w:szCs w:val="20"/>
          <w:color w:val="auto"/>
        </w:rPr>
      </w:pPr>
    </w:p>
    <w:p>
      <w:pPr>
        <w:ind w:left="340" w:right="380" w:hanging="218"/>
        <w:spacing w:after="0" w:line="251"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President and Chief Executive Officer of Winnebago Industries (since 2016), leading</w:t>
      </w:r>
      <w:r>
        <w:rPr>
          <w:rFonts w:ascii="Arial" w:cs="Arial" w:eastAsia="Arial" w:hAnsi="Arial"/>
          <w:sz w:val="16"/>
          <w:szCs w:val="16"/>
          <w:color w:val="DAD490"/>
        </w:rPr>
        <w:t xml:space="preserve"> </w:t>
      </w:r>
      <w:r>
        <w:rPr>
          <w:rFonts w:ascii="Arial" w:cs="Arial" w:eastAsia="Arial" w:hAnsi="Arial"/>
          <w:sz w:val="16"/>
          <w:szCs w:val="16"/>
          <w:color w:val="000000"/>
        </w:rPr>
        <w:t>the Company’s evolution into a premier manufacturer of outdoor recreation products, during which annual revenue increased from approximately $975 million in 2016 to $2.7 billion in 2026.</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42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Under Mr. Happe’s leadership, the Company expanded its portfolio beyond the flagship</w:t>
      </w:r>
      <w:r>
        <w:rPr>
          <w:rFonts w:ascii="Arial" w:cs="Arial" w:eastAsia="Arial" w:hAnsi="Arial"/>
          <w:sz w:val="16"/>
          <w:szCs w:val="16"/>
          <w:color w:val="DAD490"/>
        </w:rPr>
        <w:t xml:space="preserve"> </w:t>
      </w:r>
      <w:r>
        <w:rPr>
          <w:rFonts w:ascii="Arial" w:cs="Arial" w:eastAsia="Arial" w:hAnsi="Arial"/>
          <w:sz w:val="16"/>
          <w:szCs w:val="16"/>
          <w:color w:val="000000"/>
        </w:rPr>
        <w:t>Winnebago brand through a series of five strategic acquisitions, including Grand Design RV, Newmar, Chris-Craft and Barletta Boats, creating a leading outdoor recreation platform spanning RV, motorhome and marine brands. Most recently, the Company acquired Lithionics Battery, an innovative lithium-ion battery solutions provider, adding a differentiated, higher-margin growth platform.</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500" w:hanging="218"/>
        <w:spacing w:after="0" w:line="250"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Nearly two decades of leadership at The Toro Company (NYSE: TTC) (1996-2015), a</w:t>
      </w:r>
      <w:r>
        <w:rPr>
          <w:rFonts w:ascii="Arial" w:cs="Arial" w:eastAsia="Arial" w:hAnsi="Arial"/>
          <w:sz w:val="16"/>
          <w:szCs w:val="16"/>
          <w:color w:val="DAD490"/>
        </w:rPr>
        <w:t xml:space="preserve"> </w:t>
      </w:r>
      <w:r>
        <w:rPr>
          <w:rFonts w:ascii="Arial" w:cs="Arial" w:eastAsia="Arial" w:hAnsi="Arial"/>
          <w:sz w:val="16"/>
          <w:szCs w:val="16"/>
          <w:color w:val="000000"/>
        </w:rPr>
        <w:t>global manufacturer of turf and landscape maintenance equipment, serving in executive roles across product management, marketing and commercial operations in domestic and international markets, culminating as Executive Officer and Group Vice President, Residential &amp; Contractor Business (2012-2015), with extensive experience across dealer, retail and distribution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228600</wp:posOffset>
            </wp:positionV>
            <wp:extent cx="60350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220"/>
            <w:col w:w="6980"/>
          </w:cols>
          <w:pgMar w:left="1300" w:top="114" w:right="109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500"/>
          </w:cols>
          <w:pgMar w:left="1300" w:top="114" w:right="10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58978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-1513205</wp:posOffset>
            </wp:positionV>
            <wp:extent cx="1122680" cy="13798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22680" cy="1379855"/>
                    </a:xfrm>
                    <a:prstGeom prst="rect">
                      <a:avLst/>
                    </a:prstGeom>
                    <a:noFill/>
                  </pic:spPr>
                </pic:pic>
              </a:graphicData>
            </a:graphic>
          </wp:anchor>
        </w:drawing>
      </w:r>
    </w:p>
    <w:p>
      <w:pPr>
        <w:spacing w:after="0" w:line="5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114935</wp:posOffset>
            </wp:positionV>
            <wp:extent cx="144018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Class: </w:t>
      </w:r>
      <w:r>
        <w:rPr>
          <w:rFonts w:ascii="Arial" w:cs="Arial" w:eastAsia="Arial" w:hAnsi="Arial"/>
          <w:sz w:val="16"/>
          <w:szCs w:val="16"/>
          <w:color w:val="auto"/>
        </w:rPr>
        <w:t>III</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N/A</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50</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N/A</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right="520"/>
        <w:spacing w:after="0" w:line="246" w:lineRule="auto"/>
        <w:rPr>
          <w:sz w:val="20"/>
          <w:szCs w:val="20"/>
          <w:color w:val="auto"/>
        </w:rPr>
      </w:pPr>
      <w:r>
        <w:rPr>
          <w:rFonts w:ascii="Arial" w:cs="Arial" w:eastAsia="Arial" w:hAnsi="Arial"/>
          <w:sz w:val="16"/>
          <w:szCs w:val="16"/>
          <w:b w:val="1"/>
          <w:bCs w:val="1"/>
          <w:color w:val="auto"/>
        </w:rPr>
        <w:t>Other Public Company Boards: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SBA Communications</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Corporation (Nasdaq:</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SBAC) (since 2022)</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Newell Brands Inc.</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(Nasdaq: NWL) (2020-2024)</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Education:</w:t>
      </w:r>
    </w:p>
    <w:p>
      <w:pPr>
        <w:spacing w:after="0" w:line="5" w:lineRule="exact"/>
        <w:rPr>
          <w:sz w:val="20"/>
          <w:szCs w:val="20"/>
          <w:color w:val="auto"/>
        </w:rPr>
      </w:pPr>
    </w:p>
    <w:p>
      <w:pPr>
        <w:ind w:left="140" w:right="260"/>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B.A., Morehouse College</w:t>
      </w:r>
      <w:r>
        <w:rPr>
          <w:rFonts w:ascii="Arial" w:cs="Arial" w:eastAsia="Arial" w:hAnsi="Arial"/>
          <w:sz w:val="16"/>
          <w:szCs w:val="16"/>
          <w:color w:val="DAD490"/>
        </w:rPr>
        <w:t xml:space="preserve"> •</w:t>
      </w:r>
      <w:r>
        <w:rPr>
          <w:rFonts w:ascii="Arial" w:cs="Arial" w:eastAsia="Arial" w:hAnsi="Arial"/>
          <w:sz w:val="16"/>
          <w:szCs w:val="16"/>
          <w:color w:val="000000"/>
        </w:rPr>
        <w:t xml:space="preserve">  MBA, Harvard Business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School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left="120" w:right="140"/>
        <w:spacing w:after="0" w:line="226" w:lineRule="auto"/>
        <w:rPr>
          <w:sz w:val="20"/>
          <w:szCs w:val="20"/>
          <w:color w:val="auto"/>
        </w:rPr>
      </w:pPr>
      <w:r>
        <w:rPr>
          <w:rFonts w:ascii="Arial" w:cs="Arial" w:eastAsia="Arial" w:hAnsi="Arial"/>
          <w:sz w:val="16"/>
          <w:szCs w:val="16"/>
          <w:color w:val="auto"/>
        </w:rPr>
        <w:t>Jay​ L. Johnson is a seasoned finance executive with more than two decades of experience guiding financial strategy, capital allocation and growth across the advertising, real estate, hospitality and financial services sectors. His deep expertise in consumer-facing industries, combined with experience in investment banking, capital markets and complex financing, provides the Board with valuable perspective on long-term investment priorities and enterprise risk management.</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199390</wp:posOffset>
            </wp:positionV>
            <wp:extent cx="429450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94505" cy="171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Skills and Qualifications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300" w:type="dxa"/>
            <w:vAlign w:val="bottom"/>
          </w:tcPr>
          <w:p>
            <w:pPr>
              <w:ind w:left="60"/>
              <w:spacing w:after="0"/>
              <w:rPr>
                <w:sz w:val="20"/>
                <w:szCs w:val="20"/>
                <w:color w:val="auto"/>
              </w:rPr>
            </w:pPr>
            <w:r>
              <w:rPr>
                <w:rFonts w:ascii="Arial" w:cs="Arial" w:eastAsia="Arial" w:hAnsi="Arial"/>
                <w:sz w:val="16"/>
                <w:szCs w:val="16"/>
                <w:color w:val="auto"/>
              </w:rPr>
              <w:t>Financial Expert</w:t>
            </w:r>
          </w:p>
        </w:tc>
        <w:tc>
          <w:tcPr>
            <w:tcW w:w="4180" w:type="dxa"/>
            <w:vAlign w:val="bottom"/>
          </w:tcPr>
          <w:p>
            <w:pPr>
              <w:spacing w:after="0"/>
              <w:rPr>
                <w:sz w:val="18"/>
                <w:szCs w:val="18"/>
                <w:color w:val="auto"/>
              </w:rPr>
            </w:pPr>
          </w:p>
        </w:tc>
      </w:tr>
      <w:tr>
        <w:trPr>
          <w:trHeight w:val="286"/>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300" w:type="dxa"/>
            <w:vAlign w:val="bottom"/>
          </w:tcPr>
          <w:p>
            <w:pPr>
              <w:ind w:left="60"/>
              <w:spacing w:after="0"/>
              <w:rPr>
                <w:sz w:val="20"/>
                <w:szCs w:val="20"/>
                <w:color w:val="auto"/>
              </w:rPr>
            </w:pPr>
            <w:r>
              <w:rPr>
                <w:rFonts w:ascii="Arial" w:cs="Arial" w:eastAsia="Arial" w:hAnsi="Arial"/>
                <w:sz w:val="16"/>
                <w:szCs w:val="16"/>
                <w:color w:val="auto"/>
              </w:rPr>
              <w:t>Global Experience</w:t>
            </w:r>
          </w:p>
        </w:tc>
        <w:tc>
          <w:tcPr>
            <w:tcW w:w="4180" w:type="dxa"/>
            <w:vAlign w:val="bottom"/>
          </w:tcPr>
          <w:p>
            <w:pPr>
              <w:ind w:left="920"/>
              <w:spacing w:after="0"/>
              <w:rPr>
                <w:sz w:val="20"/>
                <w:szCs w:val="20"/>
                <w:color w:val="auto"/>
              </w:rPr>
            </w:pPr>
            <w:r>
              <w:rPr>
                <w:rFonts w:ascii="Arial" w:cs="Arial" w:eastAsia="Arial" w:hAnsi="Arial"/>
                <w:sz w:val="16"/>
                <w:szCs w:val="16"/>
                <w:color w:val="auto"/>
              </w:rPr>
              <w:t> </w:t>
            </w:r>
          </w:p>
        </w:tc>
      </w:tr>
      <w:tr>
        <w:trPr>
          <w:trHeight w:val="210"/>
        </w:trPr>
        <w:tc>
          <w:tcPr>
            <w:tcW w:w="280" w:type="dxa"/>
            <w:vAlign w:val="bottom"/>
            <w:tcBorders>
              <w:bottom w:val="single" w:sz="8" w:color="A5B7C2"/>
            </w:tcBorders>
          </w:tcPr>
          <w:p>
            <w:pPr>
              <w:spacing w:after="0"/>
              <w:rPr>
                <w:sz w:val="18"/>
                <w:szCs w:val="18"/>
                <w:color w:val="auto"/>
              </w:rPr>
            </w:pPr>
          </w:p>
        </w:tc>
        <w:tc>
          <w:tcPr>
            <w:tcW w:w="2300" w:type="dxa"/>
            <w:vAlign w:val="bottom"/>
            <w:tcBorders>
              <w:bottom w:val="single" w:sz="8" w:color="A5B7C2"/>
            </w:tcBorders>
          </w:tcPr>
          <w:p>
            <w:pPr>
              <w:spacing w:after="0"/>
              <w:rPr>
                <w:sz w:val="18"/>
                <w:szCs w:val="18"/>
                <w:color w:val="auto"/>
              </w:rPr>
            </w:pPr>
          </w:p>
        </w:tc>
        <w:tc>
          <w:tcPr>
            <w:tcW w:w="4180" w:type="dxa"/>
            <w:vAlign w:val="bottom"/>
            <w:tcBorders>
              <w:bottom w:val="single" w:sz="8" w:color="A5B7C2"/>
            </w:tcBorders>
          </w:tcPr>
          <w:p>
            <w:pPr>
              <w:ind w:left="920"/>
              <w:spacing w:after="0"/>
              <w:rPr>
                <w:sz w:val="20"/>
                <w:szCs w:val="20"/>
                <w:color w:val="auto"/>
              </w:rPr>
            </w:pPr>
            <w:r>
              <w:rPr>
                <w:rFonts w:ascii="Arial" w:cs="Arial" w:eastAsia="Arial" w:hAnsi="Arial"/>
                <w:sz w:val="16"/>
                <w:szCs w:val="16"/>
                <w:color w:val="auto"/>
              </w:rPr>
              <w:t> </w:t>
            </w: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Career Highlights</w:t>
      </w:r>
    </w:p>
    <w:p>
      <w:pPr>
        <w:spacing w:after="0" w:line="154" w:lineRule="exact"/>
        <w:rPr>
          <w:sz w:val="20"/>
          <w:szCs w:val="20"/>
          <w:color w:val="auto"/>
        </w:rPr>
      </w:pPr>
    </w:p>
    <w:p>
      <w:pPr>
        <w:jc w:val="both"/>
        <w:ind w:left="340" w:right="140" w:hanging="218"/>
        <w:spacing w:after="0" w:line="259"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Executive Vice President, Chief Financial Officer and Treasurer of Lamar Advertising</w:t>
      </w:r>
      <w:r>
        <w:rPr>
          <w:rFonts w:ascii="Arial" w:cs="Arial" w:eastAsia="Arial" w:hAnsi="Arial"/>
          <w:sz w:val="16"/>
          <w:szCs w:val="16"/>
          <w:color w:val="DAD490"/>
        </w:rPr>
        <w:t xml:space="preserve"> </w:t>
      </w:r>
      <w:r>
        <w:rPr>
          <w:rFonts w:ascii="Arial" w:cs="Arial" w:eastAsia="Arial" w:hAnsi="Arial"/>
          <w:sz w:val="16"/>
          <w:szCs w:val="16"/>
          <w:color w:val="000000"/>
        </w:rPr>
        <w:t>Company (Nasdaq: LAMR) (since 2019), Mr. Johnson oversees the financial strategy of one of North America’s largest outdoor advertising companies, with more than 360,000 displays.</w:t>
      </w:r>
    </w:p>
    <w:p>
      <w:pPr>
        <w:spacing w:after="0" w:line="124" w:lineRule="exact"/>
        <w:rPr>
          <w:sz w:val="20"/>
          <w:szCs w:val="20"/>
          <w:color w:val="auto"/>
        </w:rPr>
      </w:pPr>
    </w:p>
    <w:p>
      <w:pPr>
        <w:jc w:val="both"/>
        <w:ind w:left="340" w:right="180" w:hanging="218"/>
        <w:spacing w:after="0" w:line="259"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Previously, Mr. Johnson served as Executive Vice President and Chief Financial Officer</w:t>
      </w:r>
      <w:r>
        <w:rPr>
          <w:rFonts w:ascii="Arial" w:cs="Arial" w:eastAsia="Arial" w:hAnsi="Arial"/>
          <w:sz w:val="16"/>
          <w:szCs w:val="16"/>
          <w:color w:val="DAD490"/>
        </w:rPr>
        <w:t xml:space="preserve"> </w:t>
      </w:r>
      <w:r>
        <w:rPr>
          <w:rFonts w:ascii="Arial" w:cs="Arial" w:eastAsia="Arial" w:hAnsi="Arial"/>
          <w:sz w:val="16"/>
          <w:szCs w:val="16"/>
          <w:color w:val="000000"/>
        </w:rPr>
        <w:t>of DiamondRock Hospitality Company (Nasdaq: DRH) (2018-2019), where he oversaw financial operations, including treasury, investor relations, tax, risk management, capital raising, financial reporting and analysis.</w:t>
      </w:r>
    </w:p>
    <w:p>
      <w:pPr>
        <w:spacing w:after="0" w:line="124" w:lineRule="exact"/>
        <w:rPr>
          <w:sz w:val="20"/>
          <w:szCs w:val="20"/>
          <w:color w:val="auto"/>
        </w:rPr>
      </w:pPr>
    </w:p>
    <w:p>
      <w:pPr>
        <w:ind w:left="340" w:right="160" w:hanging="218"/>
        <w:spacing w:after="0" w:line="259"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Mr. Johnson previously served as Senior Vice President and Treasurer of Host Hotels &amp;</w:t>
      </w:r>
      <w:r>
        <w:rPr>
          <w:rFonts w:ascii="Arial" w:cs="Arial" w:eastAsia="Arial" w:hAnsi="Arial"/>
          <w:sz w:val="16"/>
          <w:szCs w:val="16"/>
          <w:color w:val="DAD490"/>
        </w:rPr>
        <w:t xml:space="preserve"> </w:t>
      </w:r>
      <w:r>
        <w:rPr>
          <w:rFonts w:ascii="Arial" w:cs="Arial" w:eastAsia="Arial" w:hAnsi="Arial"/>
          <w:sz w:val="16"/>
          <w:szCs w:val="16"/>
          <w:color w:val="000000"/>
        </w:rPr>
        <w:t>Resorts, Inc. (Nasdaq: HST) (2015-2018), where he was responsible for the company’s global financing activities and completed over $14 billion in debt and equity capital transactions across 12 countries.</w:t>
      </w:r>
    </w:p>
    <w:p>
      <w:pPr>
        <w:spacing w:after="0" w:line="124" w:lineRule="exact"/>
        <w:rPr>
          <w:sz w:val="20"/>
          <w:szCs w:val="20"/>
          <w:color w:val="auto"/>
        </w:rPr>
      </w:pPr>
    </w:p>
    <w:p>
      <w:pPr>
        <w:ind w:left="340" w:right="240" w:hanging="218"/>
        <w:spacing w:after="0" w:line="259"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He began his career in various banking roles at KeyBank Real Estate Capital</w:t>
      </w:r>
      <w:r>
        <w:rPr>
          <w:rFonts w:ascii="Arial" w:cs="Arial" w:eastAsia="Arial" w:hAnsi="Arial"/>
          <w:sz w:val="16"/>
          <w:szCs w:val="16"/>
          <w:color w:val="DAD490"/>
        </w:rPr>
        <w:t xml:space="preserve"> </w:t>
      </w:r>
      <w:r>
        <w:rPr>
          <w:rFonts w:ascii="Arial" w:cs="Arial" w:eastAsia="Arial" w:hAnsi="Arial"/>
          <w:sz w:val="16"/>
          <w:szCs w:val="16"/>
          <w:color w:val="000000"/>
        </w:rPr>
        <w:t>(NYSE:KEY) and Bank of America (NYSE: BAC), and has previously worked in the management consulting practice of Deloitte &amp; Touche LLP and the investment banking group at Prudential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318770</wp:posOffset>
            </wp:positionV>
            <wp:extent cx="58978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2420" w:space="100"/>
            <w:col w:w="6760"/>
          </w:cols>
          <w:pgMar w:left="1300" w:top="114" w:right="131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58978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-1487170</wp:posOffset>
            </wp:positionV>
            <wp:extent cx="1122680" cy="13798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22680" cy="1379855"/>
                    </a:xfrm>
                    <a:prstGeom prst="rect">
                      <a:avLst/>
                    </a:prstGeom>
                    <a:noFill/>
                  </pic:spPr>
                </pic:pic>
              </a:graphicData>
            </a:graphic>
          </wp:anchor>
        </w:drawing>
      </w:r>
    </w:p>
    <w:p>
      <w:pPr>
        <w:spacing w:after="0" w:line="7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Staci L. Kroon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114935</wp:posOffset>
            </wp:positionV>
            <wp:extent cx="144018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Class: </w:t>
      </w:r>
      <w:r>
        <w:rPr>
          <w:rFonts w:ascii="Arial" w:cs="Arial" w:eastAsia="Arial" w:hAnsi="Arial"/>
          <w:sz w:val="16"/>
          <w:szCs w:val="16"/>
          <w:color w:val="auto"/>
        </w:rPr>
        <w:t>III</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2023</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53</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Technology and Innovation</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(Chair)</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Human Resources</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Education:</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B.S., University of</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Pennsylvania</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B.S., The Wharton School</w:t>
      </w:r>
    </w:p>
    <w:p>
      <w:pPr>
        <w:spacing w:after="0" w:line="5" w:lineRule="exact"/>
        <w:rPr>
          <w:sz w:val="20"/>
          <w:szCs w:val="20"/>
          <w:color w:val="auto"/>
        </w:rPr>
      </w:pPr>
    </w:p>
    <w:p>
      <w:pPr>
        <w:jc w:val="right"/>
        <w:ind w:left="140" w:right="380"/>
        <w:spacing w:after="0" w:line="265"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Postgraduate degree,</w:t>
      </w:r>
      <w:r>
        <w:rPr>
          <w:rFonts w:ascii="Arial" w:cs="Arial" w:eastAsia="Arial" w:hAnsi="Arial"/>
          <w:sz w:val="16"/>
          <w:szCs w:val="16"/>
          <w:color w:val="DAD490"/>
        </w:rPr>
        <w:t xml:space="preserve"> </w:t>
      </w:r>
      <w:r>
        <w:rPr>
          <w:rFonts w:ascii="Arial" w:cs="Arial" w:eastAsia="Arial" w:hAnsi="Arial"/>
          <w:sz w:val="16"/>
          <w:szCs w:val="16"/>
          <w:color w:val="000000"/>
        </w:rPr>
        <w:t>Cambridge University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left="120" w:right="220"/>
        <w:spacing w:after="0" w:line="222" w:lineRule="auto"/>
        <w:rPr>
          <w:sz w:val="20"/>
          <w:szCs w:val="20"/>
          <w:color w:val="auto"/>
        </w:rPr>
      </w:pPr>
      <w:r>
        <w:rPr>
          <w:rFonts w:ascii="Arial" w:cs="Arial" w:eastAsia="Arial" w:hAnsi="Arial"/>
          <w:sz w:val="16"/>
          <w:szCs w:val="16"/>
          <w:color w:val="auto"/>
        </w:rPr>
        <w:t>Staci L. Kroon is a global industrial and manufacturing executive with more than 25 years of leadership experience across automotive and mobility business operations and product innovation. Her track record of profitable growth, operational excellence, technology leadership and portfolio transformation across industrial sectors contributes to the Board’s oversight of customer-focused innovation.</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96520</wp:posOffset>
            </wp:positionV>
            <wp:extent cx="429450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294505" cy="17145"/>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80" w:type="dxa"/>
            <w:vAlign w:val="bottom"/>
            <w:gridSpan w:val="2"/>
          </w:tcPr>
          <w:p>
            <w:pPr>
              <w:ind w:left="120"/>
              <w:spacing w:after="0"/>
              <w:rPr>
                <w:sz w:val="20"/>
                <w:szCs w:val="20"/>
                <w:color w:val="auto"/>
              </w:rPr>
            </w:pPr>
            <w:r>
              <w:rPr>
                <w:rFonts w:ascii="Arial" w:cs="Arial" w:eastAsia="Arial" w:hAnsi="Arial"/>
                <w:sz w:val="16"/>
                <w:szCs w:val="16"/>
                <w:b w:val="1"/>
                <w:bCs w:val="1"/>
                <w:color w:val="auto"/>
              </w:rPr>
              <w:t>Skills and Qualifications</w:t>
            </w:r>
          </w:p>
        </w:tc>
        <w:tc>
          <w:tcPr>
            <w:tcW w:w="3980" w:type="dxa"/>
            <w:vAlign w:val="bottom"/>
          </w:tcPr>
          <w:p>
            <w:pPr>
              <w:spacing w:after="0"/>
              <w:rPr>
                <w:sz w:val="19"/>
                <w:szCs w:val="19"/>
                <w:color w:val="auto"/>
              </w:rPr>
            </w:pPr>
          </w:p>
        </w:tc>
      </w:tr>
      <w:tr>
        <w:trPr>
          <w:trHeight w:val="329"/>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500" w:type="dxa"/>
            <w:vAlign w:val="bottom"/>
          </w:tcPr>
          <w:p>
            <w:pPr>
              <w:ind w:left="60"/>
              <w:spacing w:after="0"/>
              <w:rPr>
                <w:sz w:val="20"/>
                <w:szCs w:val="20"/>
                <w:color w:val="auto"/>
              </w:rPr>
            </w:pPr>
            <w:r>
              <w:rPr>
                <w:rFonts w:ascii="Arial" w:cs="Arial" w:eastAsia="Arial" w:hAnsi="Arial"/>
                <w:sz w:val="16"/>
                <w:szCs w:val="16"/>
                <w:color w:val="auto"/>
              </w:rPr>
              <w:t>Mobility Ecosystem</w:t>
            </w:r>
          </w:p>
        </w:tc>
        <w:tc>
          <w:tcPr>
            <w:tcW w:w="3980" w:type="dxa"/>
            <w:vAlign w:val="bottom"/>
          </w:tcPr>
          <w:p>
            <w:pPr>
              <w:ind w:left="70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Public/Private Company CEO</w:t>
            </w:r>
          </w:p>
        </w:tc>
      </w:tr>
      <w:tr>
        <w:trPr>
          <w:trHeight w:val="286"/>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500" w:type="dxa"/>
            <w:vAlign w:val="bottom"/>
          </w:tcPr>
          <w:p>
            <w:pPr>
              <w:ind w:left="60"/>
              <w:spacing w:after="0"/>
              <w:rPr>
                <w:sz w:val="20"/>
                <w:szCs w:val="20"/>
                <w:color w:val="auto"/>
              </w:rPr>
            </w:pPr>
            <w:r>
              <w:rPr>
                <w:rFonts w:ascii="Arial" w:cs="Arial" w:eastAsia="Arial" w:hAnsi="Arial"/>
                <w:sz w:val="16"/>
                <w:szCs w:val="16"/>
                <w:color w:val="auto"/>
              </w:rPr>
              <w:t>Operations Optimization</w:t>
            </w:r>
          </w:p>
        </w:tc>
        <w:tc>
          <w:tcPr>
            <w:tcW w:w="3980" w:type="dxa"/>
            <w:vAlign w:val="bottom"/>
          </w:tcPr>
          <w:p>
            <w:pPr>
              <w:ind w:left="70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Technology Leader/Data &amp; Analytics</w:t>
            </w:r>
          </w:p>
        </w:tc>
      </w:tr>
      <w:tr>
        <w:trPr>
          <w:trHeight w:val="210"/>
        </w:trPr>
        <w:tc>
          <w:tcPr>
            <w:tcW w:w="280" w:type="dxa"/>
            <w:vAlign w:val="bottom"/>
            <w:tcBorders>
              <w:bottom w:val="single" w:sz="8" w:color="A5B7C2"/>
            </w:tcBorders>
          </w:tcPr>
          <w:p>
            <w:pPr>
              <w:spacing w:after="0"/>
              <w:rPr>
                <w:sz w:val="18"/>
                <w:szCs w:val="18"/>
                <w:color w:val="auto"/>
              </w:rPr>
            </w:pPr>
          </w:p>
        </w:tc>
        <w:tc>
          <w:tcPr>
            <w:tcW w:w="2500" w:type="dxa"/>
            <w:vAlign w:val="bottom"/>
            <w:tcBorders>
              <w:bottom w:val="single" w:sz="8" w:color="A5B7C2"/>
            </w:tcBorders>
          </w:tcPr>
          <w:p>
            <w:pPr>
              <w:spacing w:after="0"/>
              <w:rPr>
                <w:sz w:val="18"/>
                <w:szCs w:val="18"/>
                <w:color w:val="auto"/>
              </w:rPr>
            </w:pPr>
          </w:p>
        </w:tc>
        <w:tc>
          <w:tcPr>
            <w:tcW w:w="3980" w:type="dxa"/>
            <w:vAlign w:val="bottom"/>
            <w:tcBorders>
              <w:bottom w:val="single" w:sz="8" w:color="A5B7C2"/>
            </w:tcBorders>
          </w:tcPr>
          <w:p>
            <w:pPr>
              <w:ind w:left="700"/>
              <w:spacing w:after="0"/>
              <w:rPr>
                <w:sz w:val="20"/>
                <w:szCs w:val="20"/>
                <w:color w:val="auto"/>
              </w:rPr>
            </w:pPr>
            <w:r>
              <w:rPr>
                <w:rFonts w:ascii="Arial" w:cs="Arial" w:eastAsia="Arial" w:hAnsi="Arial"/>
                <w:sz w:val="16"/>
                <w:szCs w:val="16"/>
                <w:color w:val="auto"/>
              </w:rPr>
              <w:t> </w:t>
            </w: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Career Highlights</w:t>
      </w:r>
    </w:p>
    <w:p>
      <w:pPr>
        <w:spacing w:after="0" w:line="154" w:lineRule="exact"/>
        <w:rPr>
          <w:sz w:val="20"/>
          <w:szCs w:val="20"/>
          <w:color w:val="auto"/>
        </w:rPr>
      </w:pPr>
    </w:p>
    <w:p>
      <w:pPr>
        <w:ind w:left="340" w:right="120" w:hanging="218"/>
        <w:spacing w:after="0" w:line="251"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President and Chief Executive Officer of TouchPoint (since 2025), a global</w:t>
      </w:r>
      <w:r>
        <w:rPr>
          <w:rFonts w:ascii="Arial" w:cs="Arial" w:eastAsia="Arial" w:hAnsi="Arial"/>
          <w:sz w:val="16"/>
          <w:szCs w:val="16"/>
          <w:color w:val="DAD490"/>
        </w:rPr>
        <w:t xml:space="preserve"> </w:t>
      </w:r>
      <w:r>
        <w:rPr>
          <w:rFonts w:ascii="Arial" w:cs="Arial" w:eastAsia="Arial" w:hAnsi="Arial"/>
          <w:sz w:val="16"/>
          <w:szCs w:val="16"/>
          <w:color w:val="000000"/>
        </w:rPr>
        <w:t>engineering and manufacturing company, Ms. Kroon leads the acquisition and scaling of high-growth businesses across hardware, intelligent inventory management and medical technology, overseeing more than 4,500 employees across 27 countries.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24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Ms. Kroon previously served as President and Chief Executive Officer of BraunAbility</w:t>
      </w:r>
      <w:r>
        <w:rPr>
          <w:rFonts w:ascii="Arial" w:cs="Arial" w:eastAsia="Arial" w:hAnsi="Arial"/>
          <w:sz w:val="16"/>
          <w:szCs w:val="16"/>
          <w:color w:val="DAD490"/>
        </w:rPr>
        <w:t xml:space="preserve"> </w:t>
      </w:r>
      <w:r>
        <w:rPr>
          <w:rFonts w:ascii="Arial" w:cs="Arial" w:eastAsia="Arial" w:hAnsi="Arial"/>
          <w:sz w:val="16"/>
          <w:szCs w:val="16"/>
          <w:color w:val="000000"/>
        </w:rPr>
        <w:t>(2017-2024), a global leader in mobility transportation solutions, where she helped double the company size and delivered record financial performance in 2023. During her tenure, she successfully led the company through the pandemic and guided efforts to diversify its business model through six acquisitions and a majority-stake joint venture, strengthening the business strategically, operationally and organizationally.</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120" w:hanging="218"/>
        <w:spacing w:after="0" w:line="251"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In her various senior leadership roles at Eaton Corporation (NYSE: ETN) (1996-2017), a</w:t>
      </w:r>
      <w:r>
        <w:rPr>
          <w:rFonts w:ascii="Arial" w:cs="Arial" w:eastAsia="Arial" w:hAnsi="Arial"/>
          <w:sz w:val="16"/>
          <w:szCs w:val="16"/>
          <w:color w:val="DAD490"/>
        </w:rPr>
        <w:t xml:space="preserve"> </w:t>
      </w:r>
      <w:r>
        <w:rPr>
          <w:rFonts w:ascii="Arial" w:cs="Arial" w:eastAsia="Arial" w:hAnsi="Arial"/>
          <w:sz w:val="16"/>
          <w:szCs w:val="16"/>
          <w:color w:val="000000"/>
        </w:rPr>
        <w:t>power management company, Ms. Kroon held significant operating and business leadership responsibilities across global business development, safety, product quality and lean manufacturing, including serving as Executive Vice President of the Eaton Business System and President of Automotive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356870</wp:posOffset>
            </wp:positionV>
            <wp:extent cx="58978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413" w:lineRule="exact"/>
        <w:rPr>
          <w:sz w:val="20"/>
          <w:szCs w:val="20"/>
          <w:color w:val="auto"/>
        </w:rPr>
      </w:pPr>
    </w:p>
    <w:p>
      <w:pPr>
        <w:sectPr>
          <w:pgSz w:w="11900" w:h="16838" w:orient="portrait"/>
          <w:cols w:equalWidth="0" w:num="2">
            <w:col w:w="2300" w:space="220"/>
            <w:col w:w="6760"/>
          </w:cols>
          <w:pgMar w:left="1300" w:top="114" w:right="131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 Nominee — Class I (Term Ending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58978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2640" w:right="160"/>
        <w:spacing w:after="0" w:line="229" w:lineRule="auto"/>
        <w:rPr>
          <w:sz w:val="20"/>
          <w:szCs w:val="20"/>
          <w:color w:val="auto"/>
        </w:rPr>
      </w:pPr>
      <w:r>
        <w:rPr>
          <w:rFonts w:ascii="Arial" w:cs="Arial" w:eastAsia="Arial" w:hAnsi="Arial"/>
          <w:sz w:val="16"/>
          <w:szCs w:val="16"/>
          <w:color w:val="auto"/>
        </w:rPr>
        <w:t>Emily R. Silver is a marketing and digital commerce executive with more than two decades of leadership experience driving brand growth, customer engagement and business transformation across leading consumer companies. Her proven ability to translate consumer insights and data into differentiated products and brand strategies, coupled with her experience leading large-scale e-commerce transformations, strengthens the Board’s oversight of Winnebago Industries’ premium brand portfolio, innovation strategy and long-term growth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-770890</wp:posOffset>
            </wp:positionV>
            <wp:extent cx="1122680" cy="13798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22680" cy="1379855"/>
                    </a:xfrm>
                    <a:prstGeom prst="rect">
                      <a:avLst/>
                    </a:prstGeom>
                    <a:noFill/>
                  </pic:spPr>
                </pic:pic>
              </a:graphicData>
            </a:graphic>
          </wp:anchor>
        </w:drawing>
      </w:r>
    </w:p>
    <w:p>
      <w:pPr>
        <w:ind w:left="264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1602740</wp:posOffset>
            </wp:positionH>
            <wp:positionV relativeFrom="paragraph">
              <wp:posOffset>53340</wp:posOffset>
            </wp:positionV>
            <wp:extent cx="429450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94505" cy="17145"/>
                    </a:xfrm>
                    <a:prstGeom prst="rect">
                      <a:avLst/>
                    </a:prstGeom>
                    <a:noFill/>
                  </pic:spPr>
                </pic:pic>
              </a:graphicData>
            </a:graphic>
          </wp:anchor>
        </w:drawing>
      </w:r>
    </w:p>
    <w:p>
      <w:pPr>
        <w:spacing w:after="0" w:line="253"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Skills and Qualifications</w:t>
      </w:r>
    </w:p>
    <w:p>
      <w:pPr>
        <w:spacing w:after="0" w:line="134" w:lineRule="exact"/>
        <w:rPr>
          <w:sz w:val="20"/>
          <w:szCs w:val="20"/>
          <w:color w:val="auto"/>
        </w:rPr>
      </w:pPr>
    </w:p>
    <w:p>
      <w:pPr>
        <w:ind w:left="2640"/>
        <w:spacing w:after="0"/>
        <w:tabs>
          <w:tab w:leader="none" w:pos="6000" w:val="left"/>
        </w:tabs>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Marketing/Sales/Branding</w:t>
      </w:r>
      <w:r>
        <w:rPr>
          <w:sz w:val="20"/>
          <w:szCs w:val="20"/>
          <w:color w:val="auto"/>
        </w:rPr>
        <w:tab/>
      </w:r>
      <w:r>
        <w:rPr>
          <w:rFonts w:ascii="Arial" w:cs="Arial" w:eastAsia="Arial" w:hAnsi="Arial"/>
          <w:sz w:val="16"/>
          <w:szCs w:val="16"/>
          <w:color w:val="DAD490"/>
        </w:rPr>
        <w:t>•</w:t>
      </w:r>
      <w:r>
        <w:rPr>
          <w:rFonts w:ascii="Arial" w:cs="Arial" w:eastAsia="Arial" w:hAnsi="Arial"/>
          <w:sz w:val="16"/>
          <w:szCs w:val="16"/>
          <w:color w:val="000000"/>
        </w:rPr>
        <w:t xml:space="preserve">   Strategic Transformation</w:t>
      </w:r>
    </w:p>
    <w:p>
      <w:pPr>
        <w:ind w:left="140"/>
        <w:spacing w:after="0"/>
        <w:rPr>
          <w:sz w:val="20"/>
          <w:szCs w:val="20"/>
          <w:color w:val="auto"/>
        </w:rPr>
      </w:pPr>
      <w:r>
        <w:rPr>
          <w:rFonts w:ascii="Arial" w:cs="Arial" w:eastAsia="Arial" w:hAnsi="Arial"/>
          <w:sz w:val="16"/>
          <w:szCs w:val="16"/>
          <w:color w:val="auto"/>
        </w:rPr>
        <w:t xml:space="preserve">  </w:t>
      </w:r>
    </w:p>
    <w:p>
      <w:pPr>
        <w:sectPr>
          <w:pgSz w:w="11900" w:h="16838" w:orient="portrait"/>
          <w:cols w:equalWidth="0" w:num="1">
            <w:col w:w="9280"/>
          </w:cols>
          <w:pgMar w:left="1300" w:top="114" w:right="1319" w:bottom="1440" w:gutter="0" w:footer="0" w:header="0"/>
        </w:sectPr>
      </w:pPr>
    </w:p>
    <w:p>
      <w:pPr>
        <w:spacing w:after="0" w:line="83"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Emily R.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114935</wp:posOffset>
            </wp:positionV>
            <wp:extent cx="144018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Class: </w:t>
      </w:r>
      <w:r>
        <w:rPr>
          <w:rFonts w:ascii="Arial" w:cs="Arial" w:eastAsia="Arial" w:hAnsi="Arial"/>
          <w:sz w:val="16"/>
          <w:szCs w:val="16"/>
          <w:color w:val="auto"/>
        </w:rPr>
        <w:t>I</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2026</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47</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Human Resources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Technology and Innovation</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Education:</w:t>
      </w:r>
    </w:p>
    <w:p>
      <w:pPr>
        <w:spacing w:after="0" w:line="5" w:lineRule="exact"/>
        <w:rPr>
          <w:sz w:val="20"/>
          <w:szCs w:val="20"/>
          <w:color w:val="auto"/>
        </w:rPr>
      </w:pPr>
    </w:p>
    <w:p>
      <w:pPr>
        <w:ind w:left="140" w:right="140"/>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B.A., Brandeis University</w:t>
      </w:r>
      <w:r>
        <w:rPr>
          <w:rFonts w:ascii="Arial" w:cs="Arial" w:eastAsia="Arial" w:hAnsi="Arial"/>
          <w:sz w:val="16"/>
          <w:szCs w:val="16"/>
          <w:color w:val="DAD490"/>
        </w:rPr>
        <w:t xml:space="preserve"> •</w:t>
      </w:r>
      <w:r>
        <w:rPr>
          <w:rFonts w:ascii="Arial" w:cs="Arial" w:eastAsia="Arial" w:hAnsi="Arial"/>
          <w:sz w:val="16"/>
          <w:szCs w:val="16"/>
          <w:color w:val="000000"/>
        </w:rPr>
        <w:t xml:space="preserve">  MBA, Yale School of</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Management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3220" w:type="dxa"/>
            <w:vAlign w:val="bottom"/>
          </w:tcPr>
          <w:p>
            <w:pPr>
              <w:ind w:left="120"/>
              <w:spacing w:after="0" w:line="152" w:lineRule="exact"/>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Technology Leader/Data &amp; Analytics</w:t>
            </w:r>
          </w:p>
        </w:tc>
        <w:tc>
          <w:tcPr>
            <w:tcW w:w="3540" w:type="dxa"/>
            <w:vAlign w:val="bottom"/>
          </w:tcPr>
          <w:p>
            <w:pPr>
              <w:ind w:left="280"/>
              <w:spacing w:after="0" w:line="152" w:lineRule="exact"/>
              <w:rPr>
                <w:sz w:val="20"/>
                <w:szCs w:val="20"/>
                <w:color w:val="auto"/>
              </w:rPr>
            </w:pPr>
            <w:r>
              <w:rPr>
                <w:rFonts w:ascii="Arial" w:cs="Arial" w:eastAsia="Arial" w:hAnsi="Arial"/>
                <w:sz w:val="16"/>
                <w:szCs w:val="16"/>
                <w:color w:val="auto"/>
              </w:rPr>
              <w:t> </w:t>
            </w:r>
          </w:p>
        </w:tc>
      </w:tr>
      <w:tr>
        <w:trPr>
          <w:trHeight w:val="210"/>
        </w:trPr>
        <w:tc>
          <w:tcPr>
            <w:tcW w:w="3220" w:type="dxa"/>
            <w:vAlign w:val="bottom"/>
            <w:tcBorders>
              <w:bottom w:val="single" w:sz="8" w:color="A5B7C2"/>
            </w:tcBorders>
          </w:tcPr>
          <w:p>
            <w:pPr>
              <w:spacing w:after="0"/>
              <w:rPr>
                <w:sz w:val="18"/>
                <w:szCs w:val="18"/>
                <w:color w:val="auto"/>
              </w:rPr>
            </w:pPr>
          </w:p>
        </w:tc>
        <w:tc>
          <w:tcPr>
            <w:tcW w:w="3540" w:type="dxa"/>
            <w:vAlign w:val="bottom"/>
            <w:tcBorders>
              <w:bottom w:val="single" w:sz="8" w:color="A5B7C2"/>
            </w:tcBorders>
          </w:tcPr>
          <w:p>
            <w:pPr>
              <w:ind w:left="280"/>
              <w:spacing w:after="0"/>
              <w:rPr>
                <w:sz w:val="20"/>
                <w:szCs w:val="20"/>
                <w:color w:val="auto"/>
              </w:rPr>
            </w:pPr>
            <w:r>
              <w:rPr>
                <w:rFonts w:ascii="Arial" w:cs="Arial" w:eastAsia="Arial" w:hAnsi="Arial"/>
                <w:sz w:val="16"/>
                <w:szCs w:val="16"/>
                <w:color w:val="auto"/>
              </w:rPr>
              <w:t> </w:t>
            </w: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Career Highlights</w:t>
      </w:r>
    </w:p>
    <w:p>
      <w:pPr>
        <w:spacing w:after="0" w:line="154" w:lineRule="exact"/>
        <w:rPr>
          <w:sz w:val="20"/>
          <w:szCs w:val="20"/>
          <w:color w:val="auto"/>
        </w:rPr>
      </w:pPr>
    </w:p>
    <w:p>
      <w:pPr>
        <w:ind w:left="340" w:right="140" w:hanging="218"/>
        <w:spacing w:after="0" w:line="250"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Senior Vice President, Chief Marketing, E-Commerce and Athlete Experience Officer</w:t>
      </w:r>
      <w:r>
        <w:rPr>
          <w:rFonts w:ascii="Arial" w:cs="Arial" w:eastAsia="Arial" w:hAnsi="Arial"/>
          <w:sz w:val="16"/>
          <w:szCs w:val="16"/>
          <w:color w:val="DAD490"/>
        </w:rPr>
        <w:t xml:space="preserve"> </w:t>
      </w:r>
      <w:r>
        <w:rPr>
          <w:rFonts w:ascii="Arial" w:cs="Arial" w:eastAsia="Arial" w:hAnsi="Arial"/>
          <w:sz w:val="16"/>
          <w:szCs w:val="16"/>
          <w:color w:val="000000"/>
        </w:rPr>
        <w:t>of DICK’S Sporting Goods (NYSE: DKS) (since 2025), Ms. Silver leads the company’s marketing strategy and e-commerce business, overseeing digital transformation and omni-channel growth initiatives, in addition to cross-functional athlete experience initiatives and the DICK’S Media Network. She joined DICK’S Sporting Goods in 2023 as Senior Vice President and Chief Marketing Officer.</w:t>
      </w: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12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During her 16-year career at PepsiCo (Nasdaq: PEP) (2007-2023), including as Senior</w:t>
      </w:r>
      <w:r>
        <w:rPr>
          <w:rFonts w:ascii="Arial" w:cs="Arial" w:eastAsia="Arial" w:hAnsi="Arial"/>
          <w:sz w:val="16"/>
          <w:szCs w:val="16"/>
          <w:color w:val="DAD490"/>
        </w:rPr>
        <w:t xml:space="preserve"> </w:t>
      </w:r>
      <w:r>
        <w:rPr>
          <w:rFonts w:ascii="Arial" w:cs="Arial" w:eastAsia="Arial" w:hAnsi="Arial"/>
          <w:sz w:val="16"/>
          <w:szCs w:val="16"/>
          <w:color w:val="000000"/>
        </w:rPr>
        <w:t>Vice President of Portfolio Marketing (2022-2023), Ms. Silver held leadership roles across brand management, portfolio transformation, data analytics capabilities and commercial execution. She led the team responsible for launching Mountain Dew Kickstart, which generated more than $100 million in first-year sales, and served as Vice President and General Manager of PepsiCo’s strategic joint venture with Unilever’s (NYSE: UL) Lipton tea brand and PepsiCo Hive, the company’s emerging brands platform.</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140" w:hanging="218"/>
        <w:spacing w:after="0" w:line="251"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Vice President of Innovation &amp; Capabilities for PepsiCo Beverages North America</w:t>
      </w:r>
      <w:r>
        <w:rPr>
          <w:rFonts w:ascii="Arial" w:cs="Arial" w:eastAsia="Arial" w:hAnsi="Arial"/>
          <w:sz w:val="16"/>
          <w:szCs w:val="16"/>
          <w:color w:val="DAD490"/>
        </w:rPr>
        <w:t xml:space="preserve"> </w:t>
      </w:r>
      <w:r>
        <w:rPr>
          <w:rFonts w:ascii="Arial" w:cs="Arial" w:eastAsia="Arial" w:hAnsi="Arial"/>
          <w:sz w:val="16"/>
          <w:szCs w:val="16"/>
          <w:color w:val="000000"/>
        </w:rPr>
        <w:t>(2019-2022), Ms. Silver oversaw the company’s innovation strategy, translating evolving consumer preferences into new products and growth opportunities. She led the launch of Driftwell, expanding PepsiCo into a new beverage category and bringing the product from concept to market in less than a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227965</wp:posOffset>
            </wp:positionV>
            <wp:extent cx="58978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220"/>
            <w:col w:w="6760"/>
          </w:cols>
          <w:pgMar w:left="1300" w:top="114" w:right="131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color w:val="DAD490"/>
        </w:rPr>
        <w:t>Directors Continuing in Office — Class I (Term Ending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8978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-1487170</wp:posOffset>
            </wp:positionV>
            <wp:extent cx="1122680" cy="13798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22680" cy="1379855"/>
                    </a:xfrm>
                    <a:prstGeom prst="rect">
                      <a:avLst/>
                    </a:prstGeom>
                    <a:noFill/>
                  </pic:spPr>
                </pic:pic>
              </a:graphicData>
            </a:graphic>
          </wp:anchor>
        </w:drawing>
      </w:r>
    </w:p>
    <w:p>
      <w:pPr>
        <w:spacing w:after="0" w:line="7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Christopher J. Braun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114935</wp:posOffset>
            </wp:positionV>
            <wp:extent cx="144018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Class: </w:t>
      </w:r>
      <w:r>
        <w:rPr>
          <w:rFonts w:ascii="Arial" w:cs="Arial" w:eastAsia="Arial" w:hAnsi="Arial"/>
          <w:sz w:val="16"/>
          <w:szCs w:val="16"/>
          <w:color w:val="auto"/>
        </w:rPr>
        <w:t>I</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140" w:right="700"/>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Audit and Finance</w:t>
      </w:r>
      <w:r>
        <w:rPr>
          <w:rFonts w:ascii="Arial" w:cs="Arial" w:eastAsia="Arial" w:hAnsi="Arial"/>
          <w:sz w:val="16"/>
          <w:szCs w:val="16"/>
          <w:color w:val="DAD490"/>
        </w:rPr>
        <w:t xml:space="preserve"> •</w:t>
      </w:r>
      <w:r>
        <w:rPr>
          <w:rFonts w:ascii="Arial" w:cs="Arial" w:eastAsia="Arial" w:hAnsi="Arial"/>
          <w:sz w:val="16"/>
          <w:szCs w:val="16"/>
          <w:color w:val="000000"/>
        </w:rPr>
        <w:t xml:space="preserve">  Nominating and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Governance</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Education:</w:t>
      </w:r>
    </w:p>
    <w:p>
      <w:pPr>
        <w:spacing w:after="0" w:line="5" w:lineRule="exact"/>
        <w:rPr>
          <w:sz w:val="20"/>
          <w:szCs w:val="20"/>
          <w:color w:val="auto"/>
        </w:rPr>
      </w:pPr>
    </w:p>
    <w:p>
      <w:pPr>
        <w:jc w:val="cente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University of Wisconsin-Eau</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Claire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120" w:right="180"/>
        <w:spacing w:after="0" w:line="226" w:lineRule="auto"/>
        <w:rPr>
          <w:sz w:val="20"/>
          <w:szCs w:val="20"/>
          <w:color w:val="auto"/>
        </w:rPr>
      </w:pPr>
      <w:r>
        <w:rPr>
          <w:rFonts w:ascii="Arial" w:cs="Arial" w:eastAsia="Arial" w:hAnsi="Arial"/>
          <w:sz w:val="16"/>
          <w:szCs w:val="16"/>
          <w:color w:val="auto"/>
        </w:rPr>
        <w:t>As an accomplished RV industry executive, Christopher J. Braun brings to the Board more than 30 years of experience leading manufacturing and consumer businesses. His deep understanding of operational execution, cost management, product strategy, dealer relationships and customer-focused innovation strengthens the Board’s oversight of strategic execution, operational performance, marketing and distribution strategies and sustainable profitable growth.</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429450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94505" cy="17145"/>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40" w:type="dxa"/>
            <w:vAlign w:val="bottom"/>
            <w:gridSpan w:val="2"/>
          </w:tcPr>
          <w:p>
            <w:pPr>
              <w:ind w:left="120"/>
              <w:spacing w:after="0"/>
              <w:rPr>
                <w:sz w:val="20"/>
                <w:szCs w:val="20"/>
                <w:color w:val="auto"/>
              </w:rPr>
            </w:pPr>
            <w:r>
              <w:rPr>
                <w:rFonts w:ascii="Arial" w:cs="Arial" w:eastAsia="Arial" w:hAnsi="Arial"/>
                <w:sz w:val="16"/>
                <w:szCs w:val="16"/>
                <w:b w:val="1"/>
                <w:bCs w:val="1"/>
                <w:color w:val="auto"/>
              </w:rPr>
              <w:t>Skills and Qualifications</w:t>
            </w:r>
          </w:p>
        </w:tc>
        <w:tc>
          <w:tcPr>
            <w:tcW w:w="4020" w:type="dxa"/>
            <w:vAlign w:val="bottom"/>
          </w:tcPr>
          <w:p>
            <w:pPr>
              <w:spacing w:after="0"/>
              <w:rPr>
                <w:sz w:val="19"/>
                <w:szCs w:val="19"/>
                <w:color w:val="auto"/>
              </w:rPr>
            </w:pPr>
          </w:p>
        </w:tc>
      </w:tr>
      <w:tr>
        <w:trPr>
          <w:trHeight w:val="329"/>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460" w:type="dxa"/>
            <w:vAlign w:val="bottom"/>
          </w:tcPr>
          <w:p>
            <w:pPr>
              <w:ind w:left="60"/>
              <w:spacing w:after="0"/>
              <w:rPr>
                <w:sz w:val="20"/>
                <w:szCs w:val="20"/>
                <w:color w:val="auto"/>
              </w:rPr>
            </w:pPr>
            <w:r>
              <w:rPr>
                <w:rFonts w:ascii="Arial" w:cs="Arial" w:eastAsia="Arial" w:hAnsi="Arial"/>
                <w:sz w:val="16"/>
                <w:szCs w:val="16"/>
                <w:color w:val="auto"/>
              </w:rPr>
              <w:t>Channel Development</w:t>
            </w:r>
          </w:p>
        </w:tc>
        <w:tc>
          <w:tcPr>
            <w:tcW w:w="4020" w:type="dxa"/>
            <w:vAlign w:val="bottom"/>
          </w:tcPr>
          <w:p>
            <w:pPr>
              <w:ind w:left="7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Operations Optimization</w:t>
            </w:r>
          </w:p>
        </w:tc>
      </w:tr>
      <w:tr>
        <w:trPr>
          <w:trHeight w:val="286"/>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460" w:type="dxa"/>
            <w:vAlign w:val="bottom"/>
          </w:tcPr>
          <w:p>
            <w:pPr>
              <w:ind w:left="60"/>
              <w:spacing w:after="0"/>
              <w:rPr>
                <w:sz w:val="20"/>
                <w:szCs w:val="20"/>
                <w:color w:val="auto"/>
              </w:rPr>
            </w:pPr>
            <w:r>
              <w:rPr>
                <w:rFonts w:ascii="Arial" w:cs="Arial" w:eastAsia="Arial" w:hAnsi="Arial"/>
                <w:sz w:val="16"/>
                <w:szCs w:val="16"/>
                <w:color w:val="auto"/>
              </w:rPr>
              <w:t>Global Experience</w:t>
            </w:r>
          </w:p>
        </w:tc>
        <w:tc>
          <w:tcPr>
            <w:tcW w:w="4020" w:type="dxa"/>
            <w:vAlign w:val="bottom"/>
          </w:tcPr>
          <w:p>
            <w:pPr>
              <w:ind w:left="740"/>
              <w:spacing w:after="0"/>
              <w:rPr>
                <w:sz w:val="20"/>
                <w:szCs w:val="20"/>
                <w:color w:val="auto"/>
              </w:rPr>
            </w:pPr>
            <w:r>
              <w:rPr>
                <w:rFonts w:ascii="Arial" w:cs="Arial" w:eastAsia="Arial" w:hAnsi="Arial"/>
                <w:sz w:val="16"/>
                <w:szCs w:val="16"/>
                <w:color w:val="auto"/>
              </w:rPr>
              <w:t> </w:t>
            </w:r>
          </w:p>
        </w:tc>
      </w:tr>
      <w:tr>
        <w:trPr>
          <w:trHeight w:val="209"/>
        </w:trPr>
        <w:tc>
          <w:tcPr>
            <w:tcW w:w="280" w:type="dxa"/>
            <w:vAlign w:val="bottom"/>
            <w:tcBorders>
              <w:bottom w:val="single" w:sz="8" w:color="A5B7C2"/>
            </w:tcBorders>
          </w:tcPr>
          <w:p>
            <w:pPr>
              <w:spacing w:after="0"/>
              <w:rPr>
                <w:sz w:val="18"/>
                <w:szCs w:val="18"/>
                <w:color w:val="auto"/>
              </w:rPr>
            </w:pPr>
          </w:p>
        </w:tc>
        <w:tc>
          <w:tcPr>
            <w:tcW w:w="2460" w:type="dxa"/>
            <w:vAlign w:val="bottom"/>
            <w:tcBorders>
              <w:bottom w:val="single" w:sz="8" w:color="A5B7C2"/>
            </w:tcBorders>
          </w:tcPr>
          <w:p>
            <w:pPr>
              <w:spacing w:after="0"/>
              <w:rPr>
                <w:sz w:val="18"/>
                <w:szCs w:val="18"/>
                <w:color w:val="auto"/>
              </w:rPr>
            </w:pPr>
          </w:p>
        </w:tc>
        <w:tc>
          <w:tcPr>
            <w:tcW w:w="4020" w:type="dxa"/>
            <w:vAlign w:val="bottom"/>
            <w:tcBorders>
              <w:bottom w:val="single" w:sz="8" w:color="A5B7C2"/>
            </w:tcBorders>
          </w:tcPr>
          <w:p>
            <w:pPr>
              <w:ind w:left="740"/>
              <w:spacing w:after="0"/>
              <w:rPr>
                <w:sz w:val="20"/>
                <w:szCs w:val="20"/>
                <w:color w:val="auto"/>
              </w:rPr>
            </w:pPr>
            <w:r>
              <w:rPr>
                <w:rFonts w:ascii="Arial" w:cs="Arial" w:eastAsia="Arial" w:hAnsi="Arial"/>
                <w:sz w:val="16"/>
                <w:szCs w:val="16"/>
                <w:color w:val="auto"/>
              </w:rPr>
              <w:t> </w:t>
            </w: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Career Highlights</w:t>
      </w:r>
    </w:p>
    <w:p>
      <w:pPr>
        <w:spacing w:after="0" w:line="154" w:lineRule="exact"/>
        <w:rPr>
          <w:sz w:val="20"/>
          <w:szCs w:val="20"/>
          <w:color w:val="auto"/>
        </w:rPr>
      </w:pPr>
    </w:p>
    <w:p>
      <w:pPr>
        <w:ind w:left="340" w:right="160" w:hanging="218"/>
        <w:spacing w:after="0" w:line="251"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Founder and Chief Executive Officer of Teton Buildings (2008-2013), a manufacturer</w:t>
      </w:r>
      <w:r>
        <w:rPr>
          <w:rFonts w:ascii="Arial" w:cs="Arial" w:eastAsia="Arial" w:hAnsi="Arial"/>
          <w:sz w:val="16"/>
          <w:szCs w:val="16"/>
          <w:color w:val="DAD490"/>
        </w:rPr>
        <w:t xml:space="preserve"> </w:t>
      </w:r>
      <w:r>
        <w:rPr>
          <w:rFonts w:ascii="Arial" w:cs="Arial" w:eastAsia="Arial" w:hAnsi="Arial"/>
          <w:sz w:val="16"/>
          <w:szCs w:val="16"/>
          <w:color w:val="000000"/>
        </w:rPr>
        <w:t>of customized remote workforce and semi-permanent facilities, Mr. Braun led the company’s growth and expanded its manufacturing footprint across the U.S. and Colombia.</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66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Mr. Braun also served as Chief Executive Officer of Teton Homes (2007-2008), a</w:t>
      </w:r>
      <w:r>
        <w:rPr>
          <w:rFonts w:ascii="Arial" w:cs="Arial" w:eastAsia="Arial" w:hAnsi="Arial"/>
          <w:sz w:val="16"/>
          <w:szCs w:val="16"/>
          <w:color w:val="DAD490"/>
        </w:rPr>
        <w:t xml:space="preserve"> </w:t>
      </w:r>
      <w:r>
        <w:rPr>
          <w:rFonts w:ascii="Arial" w:cs="Arial" w:eastAsia="Arial" w:hAnsi="Arial"/>
          <w:sz w:val="16"/>
          <w:szCs w:val="16"/>
          <w:color w:val="000000"/>
        </w:rPr>
        <w:t>manufacturer of premium fifth-wheel recreation vehicles.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jc w:val="both"/>
        <w:ind w:left="340" w:right="26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Executive Vice President of Fleetwood Enterprises’ RV Group (2003-2007), he had</w:t>
      </w:r>
      <w:r>
        <w:rPr>
          <w:rFonts w:ascii="Arial" w:cs="Arial" w:eastAsia="Arial" w:hAnsi="Arial"/>
          <w:sz w:val="16"/>
          <w:szCs w:val="16"/>
          <w:color w:val="DAD490"/>
        </w:rPr>
        <w:t xml:space="preserve"> </w:t>
      </w:r>
      <w:r>
        <w:rPr>
          <w:rFonts w:ascii="Arial" w:cs="Arial" w:eastAsia="Arial" w:hAnsi="Arial"/>
          <w:sz w:val="16"/>
          <w:szCs w:val="16"/>
          <w:color w:val="000000"/>
        </w:rPr>
        <w:t>full P&amp;L responsibility for the over $1.5 billion recreational vehicle group, including the folding trailer, travel trailer and motor home divisions.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18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During his 16-year career at PACCAR, Inc. (Nasdaq: PCAR) (1987-2003), Mr. Braun</w:t>
      </w:r>
      <w:r>
        <w:rPr>
          <w:rFonts w:ascii="Arial" w:cs="Arial" w:eastAsia="Arial" w:hAnsi="Arial"/>
          <w:sz w:val="16"/>
          <w:szCs w:val="16"/>
          <w:color w:val="DAD490"/>
        </w:rPr>
        <w:t xml:space="preserve"> </w:t>
      </w:r>
      <w:r>
        <w:rPr>
          <w:rFonts w:ascii="Arial" w:cs="Arial" w:eastAsia="Arial" w:hAnsi="Arial"/>
          <w:sz w:val="16"/>
          <w:szCs w:val="16"/>
          <w:color w:val="000000"/>
        </w:rPr>
        <w:t>held senior leadership positions across finance, plant operations and sales and marketing, culminating in his role as Vice President of Sales and Marketing of the Kenworth Truck Division (2002-2003), where he oversaw sales and marketing of one of North America’s leading heavy-duty truck manufacturers.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Mr. Braun served as a management consultant (2014-2020).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241935</wp:posOffset>
            </wp:positionV>
            <wp:extent cx="58978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140"/>
            <w:col w:w="6760"/>
          </w:cols>
          <w:pgMar w:left="1300" w:top="114" w:right="131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58978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-1487170</wp:posOffset>
            </wp:positionV>
            <wp:extent cx="1122680" cy="13798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22680" cy="1379855"/>
                    </a:xfrm>
                    <a:prstGeom prst="rect">
                      <a:avLst/>
                    </a:prstGeom>
                    <a:noFill/>
                  </pic:spPr>
                </pic:pic>
              </a:graphicData>
            </a:graphic>
          </wp:anchor>
        </w:drawing>
      </w:r>
    </w:p>
    <w:p>
      <w:pPr>
        <w:spacing w:after="0" w:line="7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David W.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114935</wp:posOffset>
            </wp:positionV>
            <wp:extent cx="144018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Class: </w:t>
      </w:r>
      <w:r>
        <w:rPr>
          <w:rFonts w:ascii="Arial" w:cs="Arial" w:eastAsia="Arial" w:hAnsi="Arial"/>
          <w:sz w:val="16"/>
          <w:szCs w:val="16"/>
          <w:color w:val="auto"/>
        </w:rPr>
        <w:t>I</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69</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140" w:right="520"/>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Audit and Finance</w:t>
      </w:r>
      <w:r>
        <w:rPr>
          <w:rFonts w:ascii="Arial" w:cs="Arial" w:eastAsia="Arial" w:hAnsi="Arial"/>
          <w:sz w:val="16"/>
          <w:szCs w:val="16"/>
          <w:color w:val="DAD490"/>
        </w:rPr>
        <w:t xml:space="preserve"> •</w:t>
      </w:r>
      <w:r>
        <w:rPr>
          <w:rFonts w:ascii="Arial" w:cs="Arial" w:eastAsia="Arial" w:hAnsi="Arial"/>
          <w:sz w:val="16"/>
          <w:szCs w:val="16"/>
          <w:color w:val="000000"/>
        </w:rPr>
        <w:t xml:space="preserve">  Nominating and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Governance</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Education:</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B.A., Drake University</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M.P.P., Harvard Kennedy</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School</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J.D., Harvard Law School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right="180"/>
        <w:spacing w:after="0" w:line="229" w:lineRule="auto"/>
        <w:rPr>
          <w:sz w:val="20"/>
          <w:szCs w:val="20"/>
          <w:color w:val="auto"/>
        </w:rPr>
      </w:pPr>
      <w:r>
        <w:rPr>
          <w:rFonts w:ascii="Arial" w:cs="Arial" w:eastAsia="Arial" w:hAnsi="Arial"/>
          <w:sz w:val="16"/>
          <w:szCs w:val="16"/>
          <w:color w:val="auto"/>
        </w:rPr>
        <w:t>David W. Miles is a financial services executive, investor and entrepreneur with deep experience in capital allocation and business operations. His track record evaluating investment opportunities across public and private markets, together with his expertise in financial oversight and strategic planning, strengthens the Board’s oversight of Winnebago Industries’ disciplined capital deployment while bringing an important investor perspective to the evaluation of future growth opportunities. Mr. Miles qualifies as an SEC Audit Committee Financial Expert.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53340</wp:posOffset>
            </wp:positionV>
            <wp:extent cx="429450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94505" cy="1714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154" w:lineRule="exact"/>
        <w:rPr>
          <w:sz w:val="20"/>
          <w:szCs w:val="20"/>
          <w:color w:val="auto"/>
        </w:rPr>
      </w:pPr>
    </w:p>
    <w:p>
      <w:pPr>
        <w:spacing w:after="0"/>
        <w:tabs>
          <w:tab w:leader="none" w:pos="3340" w:val="left"/>
        </w:tabs>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Public Affairs/Stakeholder Management</w:t>
      </w:r>
      <w:r>
        <w:rPr>
          <w:sz w:val="20"/>
          <w:szCs w:val="20"/>
          <w:color w:val="auto"/>
        </w:rPr>
        <w:tab/>
      </w:r>
      <w:r>
        <w:rPr>
          <w:rFonts w:ascii="Arial" w:cs="Arial" w:eastAsia="Arial" w:hAnsi="Arial"/>
          <w:sz w:val="16"/>
          <w:szCs w:val="16"/>
          <w:color w:val="DAD490"/>
        </w:rPr>
        <w:t>•</w:t>
      </w:r>
      <w:r>
        <w:rPr>
          <w:rFonts w:ascii="Arial" w:cs="Arial" w:eastAsia="Arial" w:hAnsi="Arial"/>
          <w:sz w:val="16"/>
          <w:szCs w:val="16"/>
          <w:color w:val="000000"/>
        </w:rPr>
        <w:t xml:space="preserve">   Strategic Transformation</w:t>
      </w:r>
    </w:p>
    <w:p>
      <w:pPr>
        <w:spacing w:after="0" w:line="343" w:lineRule="exact"/>
        <w:rPr>
          <w:sz w:val="20"/>
          <w:szCs w:val="20"/>
          <w:color w:val="auto"/>
        </w:rPr>
      </w:pPr>
    </w:p>
    <w:p>
      <w:pPr>
        <w:spacing w:after="0"/>
        <w:tabs>
          <w:tab w:leader="none" w:pos="3340" w:val="left"/>
        </w:tabs>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Public/Private Company CEO</w:t>
      </w:r>
      <w:r>
        <w:rPr>
          <w:sz w:val="20"/>
          <w:szCs w:val="20"/>
          <w:color w:val="auto"/>
        </w:rPr>
        <w:tab/>
      </w:r>
      <w:r>
        <w:rPr>
          <w:rFonts w:ascii="Arial" w:cs="Arial" w:eastAsia="Arial" w:hAnsi="Arial"/>
          <w:sz w:val="15"/>
          <w:szCs w:val="15"/>
          <w:color w:val="DAD490"/>
        </w:rPr>
        <w:t>•</w:t>
      </w:r>
      <w:r>
        <w:rPr>
          <w:rFonts w:ascii="Arial" w:cs="Arial" w:eastAsia="Arial" w:hAnsi="Arial"/>
          <w:sz w:val="15"/>
          <w:szCs w:val="15"/>
          <w:color w:val="000000"/>
        </w:rPr>
        <w:t xml:space="preserve">   Technology Leader/Data &amp; Analytics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175260</wp:posOffset>
            </wp:positionV>
            <wp:extent cx="429450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94505"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154" w:lineRule="exact"/>
        <w:rPr>
          <w:sz w:val="20"/>
          <w:szCs w:val="20"/>
          <w:color w:val="auto"/>
        </w:rPr>
      </w:pPr>
    </w:p>
    <w:p>
      <w:pPr>
        <w:ind w:left="220" w:right="220" w:hanging="218"/>
        <w:spacing w:after="0" w:line="250"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Founding Partner of ManchesterStory Group (since 2017), Mr. Miles has helped</w:t>
      </w:r>
      <w:r>
        <w:rPr>
          <w:rFonts w:ascii="Arial" w:cs="Arial" w:eastAsia="Arial" w:hAnsi="Arial"/>
          <w:sz w:val="16"/>
          <w:szCs w:val="16"/>
          <w:color w:val="DAD490"/>
        </w:rPr>
        <w:t xml:space="preserve"> </w:t>
      </w:r>
      <w:r>
        <w:rPr>
          <w:rFonts w:ascii="Arial" w:cs="Arial" w:eastAsia="Arial" w:hAnsi="Arial"/>
          <w:sz w:val="16"/>
          <w:szCs w:val="16"/>
          <w:color w:val="000000"/>
        </w:rPr>
        <w:t>build a venture capital platform comprising 50 portfolio companies across three funds. ManchesterStory has invested approximately 75% of the firm’s capital as lead investor, providing him with extensive experience evaluating emerging technologies and identifying scalable growth opportunities.</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20" w:right="28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Chairman and principal owner of Miles Capital, Inc. (2010-2020), a multi-asset</w:t>
      </w:r>
      <w:r>
        <w:rPr>
          <w:rFonts w:ascii="Arial" w:cs="Arial" w:eastAsia="Arial" w:hAnsi="Arial"/>
          <w:sz w:val="16"/>
          <w:szCs w:val="16"/>
          <w:color w:val="DAD490"/>
        </w:rPr>
        <w:t xml:space="preserve"> </w:t>
      </w:r>
      <w:r>
        <w:rPr>
          <w:rFonts w:ascii="Arial" w:cs="Arial" w:eastAsia="Arial" w:hAnsi="Arial"/>
          <w:sz w:val="16"/>
          <w:szCs w:val="16"/>
          <w:color w:val="000000"/>
        </w:rPr>
        <w:t>institutional asset management firm, Mr. Miles oversaw the growth of the business to approximately $1.7 billion in assets under management prior to its acquisition by PMA Financial Network in 2020.</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20" w:right="220" w:hanging="218"/>
        <w:spacing w:after="0" w:line="251"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Earlier in his career, Mr. Miles held senior leadership positions across the banking and</w:t>
      </w:r>
      <w:r>
        <w:rPr>
          <w:rFonts w:ascii="Arial" w:cs="Arial" w:eastAsia="Arial" w:hAnsi="Arial"/>
          <w:sz w:val="16"/>
          <w:szCs w:val="16"/>
          <w:color w:val="DAD490"/>
        </w:rPr>
        <w:t xml:space="preserve"> </w:t>
      </w:r>
      <w:r>
        <w:rPr>
          <w:rFonts w:ascii="Arial" w:cs="Arial" w:eastAsia="Arial" w:hAnsi="Arial"/>
          <w:sz w:val="16"/>
          <w:szCs w:val="16"/>
          <w:color w:val="000000"/>
        </w:rPr>
        <w:t>financial services industry, including as Chief Operating Officer of AMCORE Financial Inc. (2001-2003), a holding company with approximately $4.5 billion in consolidated assets, where he oversaw day-to-day operations and supported the execution of the company’s strategic expansion, operating growth and financial management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-1675765</wp:posOffset>
            </wp:positionH>
            <wp:positionV relativeFrom="paragraph">
              <wp:posOffset>227965</wp:posOffset>
            </wp:positionV>
            <wp:extent cx="58978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440"/>
            <w:col w:w="6640"/>
          </w:cols>
          <w:pgMar w:left="1300" w:top="114" w:right="131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Directors Continuing in Office — Class II (Term Ending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58978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2640" w:right="520"/>
        <w:spacing w:after="0" w:line="226" w:lineRule="auto"/>
        <w:rPr>
          <w:sz w:val="20"/>
          <w:szCs w:val="20"/>
          <w:color w:val="auto"/>
        </w:rPr>
      </w:pPr>
      <w:r>
        <w:rPr>
          <w:rFonts w:ascii="Arial" w:cs="Arial" w:eastAsia="Arial" w:hAnsi="Arial"/>
          <w:sz w:val="16"/>
          <w:szCs w:val="16"/>
          <w:color w:val="auto"/>
        </w:rPr>
        <w:t>Kevin E. Bryant is a finance, operations and strategy executive with extensive experience leading complex organizations through transformation and growth. His expertise in capital allocation, enterprise risk management and operational leadership strengthens the Board’s oversight of financial discipline, capital deployment and business performance. Mr. Bryant qualifies as an SEC 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-650240</wp:posOffset>
            </wp:positionV>
            <wp:extent cx="1122680" cy="13798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22680" cy="1379855"/>
                    </a:xfrm>
                    <a:prstGeom prst="rect">
                      <a:avLst/>
                    </a:prstGeom>
                    <a:noFill/>
                  </pic:spPr>
                </pic:pic>
              </a:graphicData>
            </a:graphic>
          </wp:anchor>
        </w:drawing>
      </w:r>
    </w:p>
    <w:p>
      <w:pPr>
        <w:ind w:left="264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1602740</wp:posOffset>
            </wp:positionH>
            <wp:positionV relativeFrom="paragraph">
              <wp:posOffset>53340</wp:posOffset>
            </wp:positionV>
            <wp:extent cx="405447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054475" cy="17145"/>
                    </a:xfrm>
                    <a:prstGeom prst="rect">
                      <a:avLst/>
                    </a:prstGeom>
                    <a:noFill/>
                  </pic:spPr>
                </pic:pic>
              </a:graphicData>
            </a:graphic>
          </wp:anchor>
        </w:drawing>
      </w:r>
    </w:p>
    <w:p>
      <w:pPr>
        <w:spacing w:after="0" w:line="253"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Skills and Qualifications</w:t>
      </w:r>
    </w:p>
    <w:p>
      <w:pPr>
        <w:spacing w:after="0" w:line="154" w:lineRule="exact"/>
        <w:rPr>
          <w:sz w:val="20"/>
          <w:szCs w:val="20"/>
          <w:color w:val="auto"/>
        </w:rPr>
      </w:pPr>
    </w:p>
    <w:p>
      <w:pPr>
        <w:ind w:left="2640"/>
        <w:spacing w:after="0"/>
        <w:tabs>
          <w:tab w:leader="none" w:pos="5800" w:val="left"/>
        </w:tabs>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Financial Expert</w:t>
      </w:r>
      <w:r>
        <w:rPr>
          <w:sz w:val="20"/>
          <w:szCs w:val="20"/>
          <w:color w:val="auto"/>
        </w:rPr>
        <w:tab/>
      </w:r>
      <w:r>
        <w:rPr>
          <w:rFonts w:ascii="Arial" w:cs="Arial" w:eastAsia="Arial" w:hAnsi="Arial"/>
          <w:sz w:val="16"/>
          <w:szCs w:val="16"/>
          <w:color w:val="DAD490"/>
        </w:rPr>
        <w:t>•</w:t>
      </w:r>
      <w:r>
        <w:rPr>
          <w:rFonts w:ascii="Arial" w:cs="Arial" w:eastAsia="Arial" w:hAnsi="Arial"/>
          <w:sz w:val="16"/>
          <w:szCs w:val="16"/>
          <w:color w:val="000000"/>
        </w:rPr>
        <w:t xml:space="preserve">   Strategic Transformation</w:t>
      </w:r>
    </w:p>
    <w:p>
      <w:pPr>
        <w:spacing w:after="0" w:line="67" w:lineRule="exact"/>
        <w:rPr>
          <w:sz w:val="20"/>
          <w:szCs w:val="20"/>
          <w:color w:val="auto"/>
        </w:rPr>
      </w:pPr>
    </w:p>
    <w:p>
      <w:pPr>
        <w:ind w:left="140"/>
        <w:spacing w:after="0"/>
        <w:tabs>
          <w:tab w:leader="none" w:pos="2620" w:val="left"/>
          <w:tab w:leader="none" w:pos="580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DAD490"/>
        </w:rPr>
        <w:t>•</w:t>
      </w:r>
      <w:r>
        <w:rPr>
          <w:rFonts w:ascii="Arial" w:cs="Arial" w:eastAsia="Arial" w:hAnsi="Arial"/>
          <w:sz w:val="16"/>
          <w:szCs w:val="16"/>
          <w:color w:val="000000"/>
        </w:rPr>
        <w:t xml:space="preserve">   Operations Optimization</w:t>
      </w:r>
      <w:r>
        <w:rPr>
          <w:sz w:val="20"/>
          <w:szCs w:val="20"/>
          <w:color w:val="auto"/>
        </w:rPr>
        <w:tab/>
      </w:r>
      <w:r>
        <w:rPr>
          <w:rFonts w:ascii="Arial" w:cs="Arial" w:eastAsia="Arial" w:hAnsi="Arial"/>
          <w:sz w:val="4"/>
          <w:szCs w:val="4"/>
          <w:color w:val="auto"/>
        </w:rPr>
        <w:t> </w:t>
      </w:r>
    </w:p>
    <w:p>
      <w:pPr>
        <w:ind w:left="5820"/>
        <w:spacing w:after="0"/>
        <w:rPr>
          <w:sz w:val="20"/>
          <w:szCs w:val="20"/>
          <w:color w:val="auto"/>
        </w:rPr>
      </w:pPr>
      <w:r>
        <w:rPr>
          <w:rFonts w:ascii="Arial" w:cs="Arial" w:eastAsia="Arial" w:hAnsi="Arial"/>
          <w:sz w:val="16"/>
          <w:szCs w:val="16"/>
          <w:color w:val="auto"/>
        </w:rPr>
        <w:t> </w:t>
      </w:r>
    </w:p>
    <w:p>
      <w:pPr>
        <w:sectPr>
          <w:pgSz w:w="11900" w:h="16838" w:orient="portrait"/>
          <w:cols w:equalWidth="0" w:num="1">
            <w:col w:w="9280"/>
          </w:cols>
          <w:pgMar w:left="1300" w:top="114" w:right="1319" w:bottom="1440" w:gutter="0" w:footer="0" w:header="0"/>
        </w:sectPr>
      </w:pPr>
    </w:p>
    <w:p>
      <w:pPr>
        <w:spacing w:after="0" w:line="1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Kevin E.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106680</wp:posOffset>
            </wp:positionV>
            <wp:extent cx="144018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Class: </w:t>
      </w:r>
      <w:r>
        <w:rPr>
          <w:rFonts w:ascii="Arial" w:cs="Arial" w:eastAsia="Arial" w:hAnsi="Arial"/>
          <w:sz w:val="16"/>
          <w:szCs w:val="16"/>
          <w:color w:val="auto"/>
        </w:rPr>
        <w:t>II</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51</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140"/>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Audit and Finance (Chair)</w:t>
      </w:r>
      <w:r>
        <w:rPr>
          <w:rFonts w:ascii="Arial" w:cs="Arial" w:eastAsia="Arial" w:hAnsi="Arial"/>
          <w:sz w:val="16"/>
          <w:szCs w:val="16"/>
          <w:color w:val="DAD490"/>
        </w:rPr>
        <w:t xml:space="preserve"> •</w:t>
      </w:r>
      <w:r>
        <w:rPr>
          <w:rFonts w:ascii="Arial" w:cs="Arial" w:eastAsia="Arial" w:hAnsi="Arial"/>
          <w:sz w:val="16"/>
          <w:szCs w:val="16"/>
          <w:color w:val="000000"/>
        </w:rPr>
        <w:t xml:space="preserve">  Technology and Innovation</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right="400"/>
        <w:spacing w:after="0" w:line="246" w:lineRule="auto"/>
        <w:rPr>
          <w:sz w:val="20"/>
          <w:szCs w:val="20"/>
          <w:color w:val="auto"/>
        </w:rPr>
      </w:pPr>
      <w:r>
        <w:rPr>
          <w:rFonts w:ascii="Arial" w:cs="Arial" w:eastAsia="Arial" w:hAnsi="Arial"/>
          <w:sz w:val="16"/>
          <w:szCs w:val="16"/>
          <w:b w:val="1"/>
          <w:bCs w:val="1"/>
          <w:color w:val="auto"/>
        </w:rPr>
        <w:t>Other Public Company Boards:</w:t>
      </w:r>
    </w:p>
    <w:p>
      <w:pPr>
        <w:spacing w:after="0" w:line="1" w:lineRule="exact"/>
        <w:rPr>
          <w:sz w:val="20"/>
          <w:szCs w:val="20"/>
          <w:color w:val="auto"/>
        </w:rPr>
      </w:pPr>
    </w:p>
    <w:p>
      <w:pPr>
        <w:ind w:left="380" w:right="500" w:hanging="236"/>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Ralliant Corporation</w:t>
      </w:r>
      <w:r>
        <w:rPr>
          <w:rFonts w:ascii="Arial" w:cs="Arial" w:eastAsia="Arial" w:hAnsi="Arial"/>
          <w:sz w:val="16"/>
          <w:szCs w:val="16"/>
          <w:color w:val="DAD490"/>
        </w:rPr>
        <w:t xml:space="preserve"> </w:t>
      </w:r>
      <w:r>
        <w:rPr>
          <w:rFonts w:ascii="Arial" w:cs="Arial" w:eastAsia="Arial" w:hAnsi="Arial"/>
          <w:sz w:val="16"/>
          <w:szCs w:val="16"/>
          <w:color w:val="000000"/>
        </w:rPr>
        <w:t>(NYSE: RAL) (since 2025)</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Education:</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BSBA, University of</w:t>
      </w:r>
    </w:p>
    <w:p>
      <w:pPr>
        <w:spacing w:after="0" w:line="5" w:lineRule="exact"/>
        <w:rPr>
          <w:sz w:val="20"/>
          <w:szCs w:val="20"/>
          <w:color w:val="auto"/>
        </w:rPr>
      </w:pPr>
    </w:p>
    <w:p>
      <w:pPr>
        <w:ind w:left="360" w:right="40"/>
        <w:spacing w:after="0" w:line="246" w:lineRule="auto"/>
        <w:rPr>
          <w:sz w:val="20"/>
          <w:szCs w:val="20"/>
          <w:color w:val="auto"/>
        </w:rPr>
      </w:pPr>
      <w:r>
        <w:rPr>
          <w:rFonts w:ascii="Arial" w:cs="Arial" w:eastAsia="Arial" w:hAnsi="Arial"/>
          <w:sz w:val="16"/>
          <w:szCs w:val="16"/>
          <w:color w:val="auto"/>
        </w:rPr>
        <w:t>Missouri, Trulaske College of Business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MBA, Stanford University</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-235585</wp:posOffset>
            </wp:positionV>
            <wp:extent cx="405447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054475" cy="17145"/>
                    </a:xfrm>
                    <a:prstGeom prst="rect">
                      <a:avLst/>
                    </a:prstGeom>
                    <a:noFill/>
                  </pic:spPr>
                </pic:pic>
              </a:graphicData>
            </a:graphic>
          </wp:anchor>
        </w:drawing>
      </w:r>
    </w:p>
    <w:p>
      <w:pPr>
        <w:spacing w:after="0" w:line="134" w:lineRule="exact"/>
        <w:rPr>
          <w:sz w:val="20"/>
          <w:szCs w:val="20"/>
          <w:color w:val="auto"/>
        </w:rPr>
      </w:pPr>
    </w:p>
    <w:p>
      <w:pPr>
        <w:ind w:left="220" w:right="140" w:hanging="218"/>
        <w:spacing w:after="0" w:line="250"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the Executive Vice President of Stakeholder Affairs and the Chief Strategy</w:t>
      </w:r>
      <w:r>
        <w:rPr>
          <w:rFonts w:ascii="Arial" w:cs="Arial" w:eastAsia="Arial" w:hAnsi="Arial"/>
          <w:sz w:val="16"/>
          <w:szCs w:val="16"/>
          <w:color w:val="DAD490"/>
        </w:rPr>
        <w:t xml:space="preserve"> </w:t>
      </w:r>
      <w:r>
        <w:rPr>
          <w:rFonts w:ascii="Arial" w:cs="Arial" w:eastAsia="Arial" w:hAnsi="Arial"/>
          <w:sz w:val="16"/>
          <w:szCs w:val="16"/>
          <w:color w:val="000000"/>
        </w:rPr>
        <w:t>Officer of Southwest Power Pool (2025-2026), a regional transmission organization, Mr. Bryant guided the development and execution of the company’s corporate strategy, stakeholder engagement and operating service territory expansion initiatives.</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2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During Mr. Bryant’s tenure as Executive Vice President and Chief Operating Officer</w:t>
      </w:r>
      <w:r>
        <w:rPr>
          <w:rFonts w:ascii="Arial" w:cs="Arial" w:eastAsia="Arial" w:hAnsi="Arial"/>
          <w:sz w:val="16"/>
          <w:szCs w:val="16"/>
          <w:color w:val="DAD490"/>
        </w:rPr>
        <w:t xml:space="preserve"> </w:t>
      </w:r>
      <w:r>
        <w:rPr>
          <w:rFonts w:ascii="Arial" w:cs="Arial" w:eastAsia="Arial" w:hAnsi="Arial"/>
          <w:sz w:val="16"/>
          <w:szCs w:val="16"/>
          <w:color w:val="000000"/>
        </w:rPr>
        <w:t>at Evergy, Inc. (Nasdaq: EVRG) (2018-2024) and its predecessor company, Great Plains Energy (former NYSE: GXP) (2011-2018), he oversaw generation, transmission, distribution and customer operations, as well as the company’s resource planning, integrations and employee safety and training initiatives.</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20" w:right="2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the Chief Financial Officer and Senior Vice President of Finance and Strategy</w:t>
      </w:r>
      <w:r>
        <w:rPr>
          <w:rFonts w:ascii="Arial" w:cs="Arial" w:eastAsia="Arial" w:hAnsi="Arial"/>
          <w:sz w:val="16"/>
          <w:szCs w:val="16"/>
          <w:color w:val="DAD490"/>
        </w:rPr>
        <w:t xml:space="preserve"> </w:t>
      </w:r>
      <w:r>
        <w:rPr>
          <w:rFonts w:ascii="Arial" w:cs="Arial" w:eastAsia="Arial" w:hAnsi="Arial"/>
          <w:sz w:val="16"/>
          <w:szCs w:val="16"/>
          <w:color w:val="000000"/>
        </w:rPr>
        <w:t>of Great Plains Energy (2015-2018), he was responsible for guiding the company’s financial planning, capital raising, M&amp;A, reporting and compliance, including leading the financial and overall strategy surrounding its historic merger with Westar Energy, a ~$15 billion equity value transaction.</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20" w:right="100" w:hanging="218"/>
        <w:spacing w:after="0" w:line="249"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Mr. Bryant previously held leadership positions spanning strategy and risk</w:t>
      </w:r>
      <w:r>
        <w:rPr>
          <w:rFonts w:ascii="Arial" w:cs="Arial" w:eastAsia="Arial" w:hAnsi="Arial"/>
          <w:sz w:val="16"/>
          <w:szCs w:val="16"/>
          <w:color w:val="DAD490"/>
        </w:rPr>
        <w:t xml:space="preserve"> </w:t>
      </w:r>
      <w:r>
        <w:rPr>
          <w:rFonts w:ascii="Arial" w:cs="Arial" w:eastAsia="Arial" w:hAnsi="Arial"/>
          <w:sz w:val="16"/>
          <w:szCs w:val="16"/>
          <w:color w:val="000000"/>
        </w:rPr>
        <w:t>management, investor relations and treasury at Great Plains Energy (2011-2015), where he oversaw financing, managed investor engagement, and supported the evaluation of strategic growth and investment opportunities, leveraging his prior experience in corporate finance roles, including at THQ (former Nasdaq: THQ) (2002-2003), UBS Investment Bank (NYSE: UBS) (1998-2000) and Hallmark Cards (1997-1998).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-1675765</wp:posOffset>
            </wp:positionH>
            <wp:positionV relativeFrom="paragraph">
              <wp:posOffset>230505</wp:posOffset>
            </wp:positionV>
            <wp:extent cx="58978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4"/>
          <w:szCs w:val="4"/>
          <w:color w:val="auto"/>
        </w:rPr>
        <w:t> </w:t>
      </w:r>
    </w:p>
    <w:p>
      <w:pPr>
        <w:spacing w:after="0" w:line="51" w:lineRule="exact"/>
        <w:rPr>
          <w:sz w:val="20"/>
          <w:szCs w:val="20"/>
          <w:color w:val="auto"/>
        </w:rPr>
      </w:pPr>
    </w:p>
    <w:p>
      <w:pPr>
        <w:spacing w:after="0"/>
        <w:rPr>
          <w:sz w:val="20"/>
          <w:szCs w:val="20"/>
          <w:color w:val="auto"/>
        </w:rPr>
      </w:pPr>
      <w:r>
        <w:rPr>
          <w:rFonts w:ascii="Arial" w:cs="Arial" w:eastAsia="Arial" w:hAnsi="Arial"/>
          <w:sz w:val="4"/>
          <w:szCs w:val="4"/>
          <w:color w:val="auto"/>
        </w:rPr>
        <w:t> </w:t>
      </w:r>
    </w:p>
    <w:p>
      <w:pPr>
        <w:spacing w:after="0" w:line="5256" w:lineRule="exact"/>
        <w:rPr>
          <w:sz w:val="20"/>
          <w:szCs w:val="20"/>
          <w:color w:val="auto"/>
        </w:rPr>
      </w:pPr>
    </w:p>
    <w:p>
      <w:pPr>
        <w:sectPr>
          <w:pgSz w:w="11900" w:h="16838" w:orient="portrait"/>
          <w:cols w:equalWidth="0" w:num="3">
            <w:col w:w="2300" w:space="340"/>
            <w:col w:w="6160" w:space="220"/>
            <w:col w:w="260"/>
          </w:cols>
          <w:pgMar w:left="1300" w:top="114" w:right="131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58978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-1487170</wp:posOffset>
            </wp:positionV>
            <wp:extent cx="1122680" cy="13798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22680" cy="1379855"/>
                    </a:xfrm>
                    <a:prstGeom prst="rect">
                      <a:avLst/>
                    </a:prstGeom>
                    <a:noFill/>
                  </pic:spPr>
                </pic:pic>
              </a:graphicData>
            </a:graphic>
          </wp:anchor>
        </w:drawing>
      </w:r>
    </w:p>
    <w:p>
      <w:pPr>
        <w:spacing w:after="0" w:line="79"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auto"/>
        </w:rPr>
        <w:t xml:space="preserve">John M. Murabito </w:t>
      </w:r>
      <w:r>
        <w:rPr>
          <w:rFonts w:ascii="Arial" w:cs="Arial" w:eastAsia="Arial" w:hAnsi="Arial"/>
          <w:sz w:val="15"/>
          <w:szCs w:val="15"/>
          <w:i w:val="1"/>
          <w:iCs w:val="1"/>
          <w:color w:val="auto"/>
        </w:rPr>
        <w:t>Chair</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104775</wp:posOffset>
            </wp:positionV>
            <wp:extent cx="144018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Class: </w:t>
      </w:r>
      <w:r>
        <w:rPr>
          <w:rFonts w:ascii="Arial" w:cs="Arial" w:eastAsia="Arial" w:hAnsi="Arial"/>
          <w:sz w:val="16"/>
          <w:szCs w:val="16"/>
          <w:color w:val="auto"/>
        </w:rPr>
        <w:t>II</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2017</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Nominating and</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Governance (Chair)</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Human Resources</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Education:</w:t>
      </w:r>
    </w:p>
    <w:p>
      <w:pPr>
        <w:spacing w:after="0" w:line="5" w:lineRule="exact"/>
        <w:rPr>
          <w:sz w:val="20"/>
          <w:szCs w:val="20"/>
          <w:color w:val="auto"/>
        </w:rPr>
      </w:pPr>
    </w:p>
    <w:p>
      <w:pPr>
        <w:ind w:left="140" w:right="240"/>
        <w:spacing w:after="0" w:line="265"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B.A., Augustana College</w:t>
      </w:r>
      <w:r>
        <w:rPr>
          <w:rFonts w:ascii="Arial" w:cs="Arial" w:eastAsia="Arial" w:hAnsi="Arial"/>
          <w:sz w:val="16"/>
          <w:szCs w:val="16"/>
          <w:color w:val="DAD490"/>
        </w:rPr>
        <w:t xml:space="preserve"> •</w:t>
      </w:r>
      <w:r>
        <w:rPr>
          <w:rFonts w:ascii="Arial" w:cs="Arial" w:eastAsia="Arial" w:hAnsi="Arial"/>
          <w:sz w:val="16"/>
          <w:szCs w:val="16"/>
          <w:color w:val="000000"/>
        </w:rPr>
        <w:t xml:space="preserve">  M.A., University of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left="120" w:right="160"/>
        <w:spacing w:after="0" w:line="251" w:lineRule="auto"/>
        <w:rPr>
          <w:sz w:val="20"/>
          <w:szCs w:val="20"/>
          <w:color w:val="auto"/>
        </w:rPr>
      </w:pPr>
      <w:r>
        <w:rPr>
          <w:rFonts w:ascii="Arial" w:cs="Arial" w:eastAsia="Arial" w:hAnsi="Arial"/>
          <w:sz w:val="16"/>
          <w:szCs w:val="16"/>
          <w:color w:val="auto"/>
        </w:rPr>
        <w:t>John M. Murabito is a seasoned executive with more than 40 years of experience leading organization transformations, enterprise operations and strategic transactions. His experience guiding companies through periods of growth and change, while developing leadership capabilities and organizational effectiveness, enhances the Board’s oversight of</w:t>
      </w:r>
    </w:p>
    <w:p>
      <w:pPr>
        <w:spacing w:after="0" w:line="2" w:lineRule="exact"/>
        <w:rPr>
          <w:sz w:val="20"/>
          <w:szCs w:val="20"/>
          <w:color w:val="auto"/>
        </w:rPr>
      </w:pPr>
    </w:p>
    <w:p>
      <w:pPr>
        <w:ind w:left="120" w:right="240"/>
        <w:spacing w:after="0" w:line="182" w:lineRule="auto"/>
        <w:rPr>
          <w:sz w:val="20"/>
          <w:szCs w:val="20"/>
          <w:color w:val="auto"/>
        </w:rPr>
      </w:pPr>
      <w:r>
        <w:rPr>
          <w:rFonts w:ascii="Arial" w:cs="Arial" w:eastAsia="Arial" w:hAnsi="Arial"/>
          <w:sz w:val="16"/>
          <w:szCs w:val="16"/>
          <w:color w:val="auto"/>
        </w:rPr>
        <w:t>Winnebago Industries’ long-term strategy, talent strategy and organizational performance.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429450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294505" cy="1714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60" w:type="dxa"/>
            <w:vAlign w:val="bottom"/>
            <w:gridSpan w:val="2"/>
          </w:tcPr>
          <w:p>
            <w:pPr>
              <w:ind w:left="120"/>
              <w:spacing w:after="0"/>
              <w:rPr>
                <w:sz w:val="20"/>
                <w:szCs w:val="20"/>
                <w:color w:val="auto"/>
              </w:rPr>
            </w:pPr>
            <w:r>
              <w:rPr>
                <w:rFonts w:ascii="Arial" w:cs="Arial" w:eastAsia="Arial" w:hAnsi="Arial"/>
                <w:sz w:val="16"/>
                <w:szCs w:val="16"/>
                <w:b w:val="1"/>
                <w:bCs w:val="1"/>
                <w:color w:val="auto"/>
              </w:rPr>
              <w:t>Skills and Qualifications</w:t>
            </w:r>
          </w:p>
        </w:tc>
        <w:tc>
          <w:tcPr>
            <w:tcW w:w="3800" w:type="dxa"/>
            <w:vAlign w:val="bottom"/>
          </w:tcPr>
          <w:p>
            <w:pPr>
              <w:spacing w:after="0"/>
              <w:rPr>
                <w:sz w:val="19"/>
                <w:szCs w:val="19"/>
                <w:color w:val="auto"/>
              </w:rPr>
            </w:pPr>
          </w:p>
        </w:tc>
      </w:tr>
      <w:tr>
        <w:trPr>
          <w:trHeight w:val="329"/>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680" w:type="dxa"/>
            <w:vAlign w:val="bottom"/>
          </w:tcPr>
          <w:p>
            <w:pPr>
              <w:ind w:left="60"/>
              <w:spacing w:after="0"/>
              <w:rPr>
                <w:sz w:val="20"/>
                <w:szCs w:val="20"/>
                <w:color w:val="auto"/>
              </w:rPr>
            </w:pPr>
            <w:r>
              <w:rPr>
                <w:rFonts w:ascii="Arial" w:cs="Arial" w:eastAsia="Arial" w:hAnsi="Arial"/>
                <w:sz w:val="16"/>
                <w:szCs w:val="16"/>
                <w:color w:val="auto"/>
              </w:rPr>
              <w:t>Global Experience</w:t>
            </w:r>
          </w:p>
        </w:tc>
        <w:tc>
          <w:tcPr>
            <w:tcW w:w="3800" w:type="dxa"/>
            <w:vAlign w:val="bottom"/>
          </w:tcPr>
          <w:p>
            <w:pPr>
              <w:ind w:left="5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Strategic Transformation</w:t>
            </w:r>
          </w:p>
        </w:tc>
      </w:tr>
      <w:tr>
        <w:trPr>
          <w:trHeight w:val="312"/>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680" w:type="dxa"/>
            <w:vAlign w:val="bottom"/>
          </w:tcPr>
          <w:p>
            <w:pPr>
              <w:ind w:left="60"/>
              <w:spacing w:after="0"/>
              <w:rPr>
                <w:sz w:val="20"/>
                <w:szCs w:val="20"/>
                <w:color w:val="auto"/>
              </w:rPr>
            </w:pPr>
            <w:r>
              <w:rPr>
                <w:rFonts w:ascii="Arial" w:cs="Arial" w:eastAsia="Arial" w:hAnsi="Arial"/>
                <w:sz w:val="16"/>
                <w:szCs w:val="16"/>
                <w:color w:val="auto"/>
              </w:rPr>
              <w:t>Human Capital Management/</w:t>
            </w:r>
          </w:p>
        </w:tc>
        <w:tc>
          <w:tcPr>
            <w:tcW w:w="3800" w:type="dxa"/>
            <w:vAlign w:val="bottom"/>
          </w:tcPr>
          <w:p>
            <w:pPr>
              <w:ind w:left="520"/>
              <w:spacing w:after="0"/>
              <w:rPr>
                <w:sz w:val="20"/>
                <w:szCs w:val="20"/>
                <w:color w:val="auto"/>
              </w:rPr>
            </w:pPr>
            <w:r>
              <w:rPr>
                <w:rFonts w:ascii="Arial" w:cs="Arial" w:eastAsia="Arial" w:hAnsi="Arial"/>
                <w:sz w:val="16"/>
                <w:szCs w:val="16"/>
                <w:color w:val="auto"/>
              </w:rPr>
              <w:t> </w:t>
            </w:r>
          </w:p>
        </w:tc>
      </w:tr>
      <w:tr>
        <w:trPr>
          <w:trHeight w:val="163"/>
        </w:trPr>
        <w:tc>
          <w:tcPr>
            <w:tcW w:w="280" w:type="dxa"/>
            <w:vAlign w:val="bottom"/>
          </w:tcPr>
          <w:p>
            <w:pPr>
              <w:spacing w:after="0"/>
              <w:rPr>
                <w:sz w:val="14"/>
                <w:szCs w:val="14"/>
                <w:color w:val="auto"/>
              </w:rPr>
            </w:pPr>
          </w:p>
        </w:tc>
        <w:tc>
          <w:tcPr>
            <w:tcW w:w="2680" w:type="dxa"/>
            <w:vAlign w:val="bottom"/>
          </w:tcPr>
          <w:p>
            <w:pPr>
              <w:ind w:left="60"/>
              <w:spacing w:after="0" w:line="163" w:lineRule="exact"/>
              <w:rPr>
                <w:sz w:val="20"/>
                <w:szCs w:val="20"/>
                <w:color w:val="auto"/>
              </w:rPr>
            </w:pPr>
            <w:r>
              <w:rPr>
                <w:rFonts w:ascii="Arial" w:cs="Arial" w:eastAsia="Arial" w:hAnsi="Arial"/>
                <w:sz w:val="16"/>
                <w:szCs w:val="16"/>
                <w:color w:val="auto"/>
              </w:rPr>
              <w:t>Compensation</w:t>
            </w:r>
          </w:p>
        </w:tc>
        <w:tc>
          <w:tcPr>
            <w:tcW w:w="3800" w:type="dxa"/>
            <w:vAlign w:val="bottom"/>
          </w:tcPr>
          <w:p>
            <w:pPr>
              <w:ind w:left="520"/>
              <w:spacing w:after="0" w:line="163" w:lineRule="exact"/>
              <w:rPr>
                <w:sz w:val="20"/>
                <w:szCs w:val="20"/>
                <w:color w:val="auto"/>
              </w:rPr>
            </w:pPr>
            <w:r>
              <w:rPr>
                <w:rFonts w:ascii="Arial" w:cs="Arial" w:eastAsia="Arial" w:hAnsi="Arial"/>
                <w:sz w:val="16"/>
                <w:szCs w:val="16"/>
                <w:color w:val="auto"/>
              </w:rPr>
              <w:t> </w:t>
            </w:r>
          </w:p>
        </w:tc>
      </w:tr>
      <w:tr>
        <w:trPr>
          <w:trHeight w:val="210"/>
        </w:trPr>
        <w:tc>
          <w:tcPr>
            <w:tcW w:w="280" w:type="dxa"/>
            <w:vAlign w:val="bottom"/>
            <w:tcBorders>
              <w:bottom w:val="single" w:sz="8" w:color="A5B7C2"/>
            </w:tcBorders>
          </w:tcPr>
          <w:p>
            <w:pPr>
              <w:spacing w:after="0"/>
              <w:rPr>
                <w:sz w:val="18"/>
                <w:szCs w:val="18"/>
                <w:color w:val="auto"/>
              </w:rPr>
            </w:pPr>
          </w:p>
        </w:tc>
        <w:tc>
          <w:tcPr>
            <w:tcW w:w="2680" w:type="dxa"/>
            <w:vAlign w:val="bottom"/>
            <w:tcBorders>
              <w:bottom w:val="single" w:sz="8" w:color="A5B7C2"/>
            </w:tcBorders>
          </w:tcPr>
          <w:p>
            <w:pPr>
              <w:spacing w:after="0"/>
              <w:rPr>
                <w:sz w:val="18"/>
                <w:szCs w:val="18"/>
                <w:color w:val="auto"/>
              </w:rPr>
            </w:pPr>
          </w:p>
        </w:tc>
        <w:tc>
          <w:tcPr>
            <w:tcW w:w="3800" w:type="dxa"/>
            <w:vAlign w:val="bottom"/>
            <w:tcBorders>
              <w:bottom w:val="single" w:sz="8" w:color="A5B7C2"/>
            </w:tcBorders>
          </w:tcPr>
          <w:p>
            <w:pPr>
              <w:ind w:left="520"/>
              <w:spacing w:after="0"/>
              <w:rPr>
                <w:sz w:val="20"/>
                <w:szCs w:val="20"/>
                <w:color w:val="auto"/>
              </w:rPr>
            </w:pPr>
            <w:r>
              <w:rPr>
                <w:rFonts w:ascii="Arial" w:cs="Arial" w:eastAsia="Arial" w:hAnsi="Arial"/>
                <w:sz w:val="16"/>
                <w:szCs w:val="16"/>
                <w:color w:val="auto"/>
              </w:rPr>
              <w:t> </w:t>
            </w: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Career Highlights</w:t>
      </w:r>
    </w:p>
    <w:p>
      <w:pPr>
        <w:spacing w:after="0" w:line="154" w:lineRule="exact"/>
        <w:rPr>
          <w:sz w:val="20"/>
          <w:szCs w:val="20"/>
          <w:color w:val="auto"/>
        </w:rPr>
      </w:pPr>
    </w:p>
    <w:p>
      <w:pPr>
        <w:ind w:left="340" w:right="300" w:hanging="218"/>
        <w:spacing w:after="0" w:line="250"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Mr. Murabito served on the Enterprise Leadership Team of Cigna Corporation (NYSE:</w:t>
      </w:r>
      <w:r>
        <w:rPr>
          <w:rFonts w:ascii="Arial" w:cs="Arial" w:eastAsia="Arial" w:hAnsi="Arial"/>
          <w:sz w:val="16"/>
          <w:szCs w:val="16"/>
          <w:color w:val="DAD490"/>
        </w:rPr>
        <w:t xml:space="preserve"> </w:t>
      </w:r>
      <w:r>
        <w:rPr>
          <w:rFonts w:ascii="Arial" w:cs="Arial" w:eastAsia="Arial" w:hAnsi="Arial"/>
          <w:sz w:val="16"/>
          <w:szCs w:val="16"/>
          <w:color w:val="000000"/>
        </w:rPr>
        <w:t>CI) for nearly 20 years. As Executive Vice President and Chief Administrative Officer (2021-2022), Mr. Murabito oversaw human resources, enterprise marketing and other key corporate operations, and helped shape leadership development and executive succession to support the Company’s long-term business strategy.</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32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Having served as Chief Human Resources Officer (2003-2021) of Cigna for 18 years,</w:t>
      </w:r>
      <w:r>
        <w:rPr>
          <w:rFonts w:ascii="Arial" w:cs="Arial" w:eastAsia="Arial" w:hAnsi="Arial"/>
          <w:sz w:val="16"/>
          <w:szCs w:val="16"/>
          <w:color w:val="DAD490"/>
        </w:rPr>
        <w:t xml:space="preserve"> </w:t>
      </w:r>
      <w:r>
        <w:rPr>
          <w:rFonts w:ascii="Arial" w:cs="Arial" w:eastAsia="Arial" w:hAnsi="Arial"/>
          <w:sz w:val="16"/>
          <w:szCs w:val="16"/>
          <w:color w:val="000000"/>
        </w:rPr>
        <w:t>Mr. Murabito was a central leader in the strategic planning and execution of multiple corporate transactions, including the $54 billion acquisition of Express Scripts (former Nasdaq: ESRX), overseeing organizational integration, leadership alignment and workforce planning to position the combined enterprise for long-term growth.</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22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Previously, Mr. Murabito held key leadership positions at the Monsanto Company</w:t>
      </w:r>
      <w:r>
        <w:rPr>
          <w:rFonts w:ascii="Arial" w:cs="Arial" w:eastAsia="Arial" w:hAnsi="Arial"/>
          <w:sz w:val="16"/>
          <w:szCs w:val="16"/>
          <w:color w:val="DAD490"/>
        </w:rPr>
        <w:t xml:space="preserve"> </w:t>
      </w:r>
      <w:r>
        <w:rPr>
          <w:rFonts w:ascii="Arial" w:cs="Arial" w:eastAsia="Arial" w:hAnsi="Arial"/>
          <w:sz w:val="16"/>
          <w:szCs w:val="16"/>
          <w:color w:val="000000"/>
        </w:rPr>
        <w:t>(former NYSE: MON), an ag biotech company, including as Chief Human Resources Officer (2000-2003), where he helped guide the organization through its transformation into an independent public company following its separation from Pharmacia, aligning talent strategy and organizational capability building with the company’s long-term growth.</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120" w:hanging="218"/>
        <w:spacing w:after="0" w:line="252"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Earlier in his career, Mr. Murabito held human resources leadership roles with PepsiCo’s</w:t>
      </w:r>
      <w:r>
        <w:rPr>
          <w:rFonts w:ascii="Arial" w:cs="Arial" w:eastAsia="Arial" w:hAnsi="Arial"/>
          <w:sz w:val="16"/>
          <w:szCs w:val="16"/>
          <w:color w:val="DAD490"/>
        </w:rPr>
        <w:t xml:space="preserve"> </w:t>
      </w:r>
      <w:r>
        <w:rPr>
          <w:rFonts w:ascii="Arial" w:cs="Arial" w:eastAsia="Arial" w:hAnsi="Arial"/>
          <w:sz w:val="16"/>
          <w:szCs w:val="16"/>
          <w:color w:val="000000"/>
        </w:rPr>
        <w:t>(Nasdaq: PEP) Frito-Lay division, Symbion, Inc. (Nasdaq: SYM), and The Trane Company (NYSE: TT), building expertise in workforce strategy, labor relations and organizational leadership across consumer-facing brands and manufacturing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347980</wp:posOffset>
            </wp:positionV>
            <wp:extent cx="58978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140"/>
            <w:col w:w="6760"/>
          </w:cols>
          <w:pgMar w:left="1300" w:top="114"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58978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-1487170</wp:posOffset>
            </wp:positionV>
            <wp:extent cx="1122680" cy="13798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22680" cy="1379855"/>
                    </a:xfrm>
                    <a:prstGeom prst="rect">
                      <a:avLst/>
                    </a:prstGeom>
                    <a:noFill/>
                  </pic:spPr>
                </pic:pic>
              </a:graphicData>
            </a:graphic>
          </wp:anchor>
        </w:drawing>
      </w:r>
    </w:p>
    <w:p>
      <w:pPr>
        <w:spacing w:after="0" w:line="7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Michael E.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114935</wp:posOffset>
            </wp:positionV>
            <wp:extent cx="144018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Class: </w:t>
      </w:r>
      <w:r>
        <w:rPr>
          <w:rFonts w:ascii="Arial" w:cs="Arial" w:eastAsia="Arial" w:hAnsi="Arial"/>
          <w:sz w:val="16"/>
          <w:szCs w:val="16"/>
          <w:color w:val="auto"/>
        </w:rPr>
        <w:t>II</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2025</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52</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Audit and Finance</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Technology and Innovation</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Education:</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BBA, University of</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Wisconsin-Madison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left="120" w:right="200"/>
        <w:spacing w:after="0" w:line="226" w:lineRule="auto"/>
        <w:rPr>
          <w:sz w:val="20"/>
          <w:szCs w:val="20"/>
          <w:color w:val="auto"/>
        </w:rPr>
      </w:pPr>
      <w:r>
        <w:rPr>
          <w:rFonts w:ascii="Arial" w:cs="Arial" w:eastAsia="Arial" w:hAnsi="Arial"/>
          <w:sz w:val="16"/>
          <w:szCs w:val="16"/>
          <w:color w:val="auto"/>
        </w:rPr>
        <w:t>Michael E. Pack is an industrial technology and financial leader with two decades of experience driving capital allocation strategy, operational performance, product innovation and manufacturing modernization across a global vehicle and equipment business. His track record guiding strategic investments, together with his deep financial oversight expertise, supports the Board’s oversight of disciplined operational execution and financial planning. Mr. Pack qualifies as an SEC Audit Committee Financial Expert.</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429450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294505" cy="17145"/>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40" w:type="dxa"/>
            <w:vAlign w:val="bottom"/>
            <w:gridSpan w:val="2"/>
          </w:tcPr>
          <w:p>
            <w:pPr>
              <w:ind w:left="120"/>
              <w:spacing w:after="0"/>
              <w:rPr>
                <w:sz w:val="20"/>
                <w:szCs w:val="20"/>
                <w:color w:val="auto"/>
              </w:rPr>
            </w:pPr>
            <w:r>
              <w:rPr>
                <w:rFonts w:ascii="Arial" w:cs="Arial" w:eastAsia="Arial" w:hAnsi="Arial"/>
                <w:sz w:val="16"/>
                <w:szCs w:val="16"/>
                <w:b w:val="1"/>
                <w:bCs w:val="1"/>
                <w:color w:val="auto"/>
              </w:rPr>
              <w:t>Skills and Qualifications</w:t>
            </w:r>
          </w:p>
        </w:tc>
        <w:tc>
          <w:tcPr>
            <w:tcW w:w="4020" w:type="dxa"/>
            <w:vAlign w:val="bottom"/>
          </w:tcPr>
          <w:p>
            <w:pPr>
              <w:spacing w:after="0"/>
              <w:rPr>
                <w:sz w:val="19"/>
                <w:szCs w:val="19"/>
                <w:color w:val="auto"/>
              </w:rPr>
            </w:pPr>
          </w:p>
        </w:tc>
      </w:tr>
      <w:tr>
        <w:trPr>
          <w:trHeight w:val="329"/>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460" w:type="dxa"/>
            <w:vAlign w:val="bottom"/>
          </w:tcPr>
          <w:p>
            <w:pPr>
              <w:ind w:left="60"/>
              <w:spacing w:after="0"/>
              <w:rPr>
                <w:sz w:val="20"/>
                <w:szCs w:val="20"/>
                <w:color w:val="auto"/>
              </w:rPr>
            </w:pPr>
            <w:r>
              <w:rPr>
                <w:rFonts w:ascii="Arial" w:cs="Arial" w:eastAsia="Arial" w:hAnsi="Arial"/>
                <w:sz w:val="16"/>
                <w:szCs w:val="16"/>
                <w:color w:val="auto"/>
              </w:rPr>
              <w:t>Financial Expert</w:t>
            </w:r>
          </w:p>
        </w:tc>
        <w:tc>
          <w:tcPr>
            <w:tcW w:w="4020" w:type="dxa"/>
            <w:vAlign w:val="bottom"/>
          </w:tcPr>
          <w:p>
            <w:pPr>
              <w:ind w:left="7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Global Experience</w:t>
            </w:r>
          </w:p>
        </w:tc>
      </w:tr>
      <w:tr>
        <w:trPr>
          <w:trHeight w:val="286"/>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460" w:type="dxa"/>
            <w:vAlign w:val="bottom"/>
          </w:tcPr>
          <w:p>
            <w:pPr>
              <w:ind w:left="60"/>
              <w:spacing w:after="0"/>
              <w:rPr>
                <w:sz w:val="20"/>
                <w:szCs w:val="20"/>
                <w:color w:val="auto"/>
              </w:rPr>
            </w:pPr>
            <w:r>
              <w:rPr>
                <w:rFonts w:ascii="Arial" w:cs="Arial" w:eastAsia="Arial" w:hAnsi="Arial"/>
                <w:sz w:val="16"/>
                <w:szCs w:val="16"/>
                <w:color w:val="auto"/>
              </w:rPr>
              <w:t>Mobility Ecosystem</w:t>
            </w:r>
          </w:p>
        </w:tc>
        <w:tc>
          <w:tcPr>
            <w:tcW w:w="4020" w:type="dxa"/>
            <w:vAlign w:val="bottom"/>
          </w:tcPr>
          <w:p>
            <w:pPr>
              <w:ind w:left="740"/>
              <w:spacing w:after="0"/>
              <w:rPr>
                <w:sz w:val="20"/>
                <w:szCs w:val="20"/>
                <w:color w:val="auto"/>
              </w:rPr>
            </w:pPr>
            <w:r>
              <w:rPr>
                <w:rFonts w:ascii="Arial" w:cs="Arial" w:eastAsia="Arial" w:hAnsi="Arial"/>
                <w:sz w:val="16"/>
                <w:szCs w:val="16"/>
                <w:color w:val="auto"/>
              </w:rPr>
              <w:t> </w:t>
            </w:r>
          </w:p>
        </w:tc>
      </w:tr>
      <w:tr>
        <w:trPr>
          <w:trHeight w:val="210"/>
        </w:trPr>
        <w:tc>
          <w:tcPr>
            <w:tcW w:w="280" w:type="dxa"/>
            <w:vAlign w:val="bottom"/>
            <w:tcBorders>
              <w:bottom w:val="single" w:sz="8" w:color="A5B7C2"/>
            </w:tcBorders>
          </w:tcPr>
          <w:p>
            <w:pPr>
              <w:spacing w:after="0"/>
              <w:rPr>
                <w:sz w:val="18"/>
                <w:szCs w:val="18"/>
                <w:color w:val="auto"/>
              </w:rPr>
            </w:pPr>
          </w:p>
        </w:tc>
        <w:tc>
          <w:tcPr>
            <w:tcW w:w="2460" w:type="dxa"/>
            <w:vAlign w:val="bottom"/>
            <w:tcBorders>
              <w:bottom w:val="single" w:sz="8" w:color="A5B7C2"/>
            </w:tcBorders>
          </w:tcPr>
          <w:p>
            <w:pPr>
              <w:spacing w:after="0"/>
              <w:rPr>
                <w:sz w:val="18"/>
                <w:szCs w:val="18"/>
                <w:color w:val="auto"/>
              </w:rPr>
            </w:pPr>
          </w:p>
        </w:tc>
        <w:tc>
          <w:tcPr>
            <w:tcW w:w="4020" w:type="dxa"/>
            <w:vAlign w:val="bottom"/>
            <w:tcBorders>
              <w:bottom w:val="single" w:sz="8" w:color="A5B7C2"/>
            </w:tcBorders>
          </w:tcPr>
          <w:p>
            <w:pPr>
              <w:ind w:left="740"/>
              <w:spacing w:after="0"/>
              <w:rPr>
                <w:sz w:val="20"/>
                <w:szCs w:val="20"/>
                <w:color w:val="auto"/>
              </w:rPr>
            </w:pPr>
            <w:r>
              <w:rPr>
                <w:rFonts w:ascii="Arial" w:cs="Arial" w:eastAsia="Arial" w:hAnsi="Arial"/>
                <w:sz w:val="16"/>
                <w:szCs w:val="16"/>
                <w:color w:val="auto"/>
              </w:rPr>
              <w:t> </w:t>
            </w: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Career Highlights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Throughout his tenure at Oshkosh Corporation (NYSE: OSK) (since 2006),</w:t>
      </w:r>
    </w:p>
    <w:p>
      <w:pPr>
        <w:spacing w:after="0" w:line="21" w:lineRule="exact"/>
        <w:rPr>
          <w:sz w:val="20"/>
          <w:szCs w:val="20"/>
          <w:color w:val="auto"/>
        </w:rPr>
      </w:pPr>
    </w:p>
    <w:p>
      <w:pPr>
        <w:ind w:left="340" w:right="440"/>
        <w:spacing w:after="0" w:line="246" w:lineRule="auto"/>
        <w:rPr>
          <w:sz w:val="20"/>
          <w:szCs w:val="20"/>
          <w:color w:val="auto"/>
        </w:rPr>
      </w:pPr>
      <w:r>
        <w:rPr>
          <w:rFonts w:ascii="Arial" w:cs="Arial" w:eastAsia="Arial" w:hAnsi="Arial"/>
          <w:sz w:val="16"/>
          <w:szCs w:val="16"/>
          <w:color w:val="auto"/>
        </w:rPr>
        <w:t>Mr. Pack has held domestic and international leadership roles spanning finance and operations. Currently, as Executive Vice President and President of</w:t>
      </w:r>
    </w:p>
    <w:p>
      <w:pPr>
        <w:spacing w:after="0" w:line="1" w:lineRule="exact"/>
        <w:rPr>
          <w:sz w:val="20"/>
          <w:szCs w:val="20"/>
          <w:color w:val="auto"/>
        </w:rPr>
      </w:pPr>
    </w:p>
    <w:p>
      <w:pPr>
        <w:ind w:left="340" w:right="320"/>
        <w:spacing w:after="0" w:line="265" w:lineRule="auto"/>
        <w:rPr>
          <w:sz w:val="20"/>
          <w:szCs w:val="20"/>
          <w:color w:val="auto"/>
        </w:rPr>
      </w:pPr>
      <w:r>
        <w:rPr>
          <w:rFonts w:ascii="Arial" w:cs="Arial" w:eastAsia="Arial" w:hAnsi="Arial"/>
          <w:sz w:val="16"/>
          <w:szCs w:val="16"/>
          <w:color w:val="auto"/>
        </w:rPr>
        <w:t>Oshkosh Corporation’s Vocational segment (since 2024), Mr. Pack leads a diversified portfolio of purpose-built vehicles and equipment manufactured and sold globally.</w:t>
      </w:r>
    </w:p>
    <w:p>
      <w:pPr>
        <w:spacing w:after="0" w:line="320" w:lineRule="exact"/>
        <w:rPr>
          <w:sz w:val="20"/>
          <w:szCs w:val="20"/>
          <w:color w:val="auto"/>
        </w:rPr>
      </w:pPr>
    </w:p>
    <w:p>
      <w:pPr>
        <w:ind w:left="340" w:right="240" w:hanging="218"/>
        <w:spacing w:after="0" w:line="248"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Executive Vice President and Chief Financial Officer of Oshkosh (2020-2024),</w:t>
      </w:r>
      <w:r>
        <w:rPr>
          <w:rFonts w:ascii="Arial" w:cs="Arial" w:eastAsia="Arial" w:hAnsi="Arial"/>
          <w:sz w:val="16"/>
          <w:szCs w:val="16"/>
          <w:color w:val="DAD490"/>
        </w:rPr>
        <w:t xml:space="preserve"> </w:t>
      </w:r>
      <w:r>
        <w:rPr>
          <w:rFonts w:ascii="Arial" w:cs="Arial" w:eastAsia="Arial" w:hAnsi="Arial"/>
          <w:sz w:val="16"/>
          <w:szCs w:val="16"/>
          <w:color w:val="000000"/>
        </w:rPr>
        <w:t>Mr. Pack oversaw the company’s financial planning, reporting, corporate strategy and treasury functions, as well as capital allocation initiatives to expand manufacturing capacity, advance technology-enabled production capabilities and broaden the company’s end markets. These investments included a multi-year modernization initiative launched in 2022 at Pierce, the company’s fire-apparatus business, which by 2025 had added 500,000 square feet of manufacturing space and 800 new employees to increase manufacturing capacity and reduce customer lead times. Mr. Pack also helped lead the $800 million acquisition of Oshkosh AeroTech in 2023, expanding the company into airport ground-support equipment and services.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440" w:hanging="218"/>
        <w:spacing w:after="0" w:line="251"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Mr. Pack began his career at Grant Thornton LLP (1997-2006) where he became a</w:t>
      </w:r>
      <w:r>
        <w:rPr>
          <w:rFonts w:ascii="Arial" w:cs="Arial" w:eastAsia="Arial" w:hAnsi="Arial"/>
          <w:sz w:val="16"/>
          <w:szCs w:val="16"/>
          <w:color w:val="DAD490"/>
        </w:rPr>
        <w:t xml:space="preserve"> </w:t>
      </w:r>
      <w:r>
        <w:rPr>
          <w:rFonts w:ascii="Arial" w:cs="Arial" w:eastAsia="Arial" w:hAnsi="Arial"/>
          <w:sz w:val="16"/>
          <w:szCs w:val="16"/>
          <w:color w:val="000000"/>
        </w:rPr>
        <w:t>Senior Audit Manager and developed a strong foundation in financial reporting, accounting and internal controls. He is a Certified Public Accountant, providing the Board with rigorous financial oversight to support the Company’s long-term financial health and stability.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227965</wp:posOffset>
            </wp:positionV>
            <wp:extent cx="58978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220"/>
            <w:col w:w="6760"/>
          </w:cols>
          <w:pgMar w:left="1300" w:top="114" w:right="131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Director Compensation</w:t>
      </w:r>
    </w:p>
    <w:p>
      <w:pPr>
        <w:spacing w:after="0" w:line="20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14202A"/>
        </w:rPr>
        <w:t>The Board approves non-employee director compensation based on recommendations of the Human Resources Committee. The Human Resources Committee has engaged Semler Brossy to analyze the total compensation paid to the Board. Semler Brossy assisted the committee in reviewing the market data and made recommendations regarding the types and amounts of compensation we pay our non-employee directors.</w:t>
      </w:r>
    </w:p>
    <w:p>
      <w:pPr>
        <w:spacing w:after="0" w:line="137"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14202A"/>
        </w:rPr>
        <w:t>Employee directors receive no additional compensation for serving on the Board or its committees. For Fiscal 2026, non-employee directors received the following compensation for their service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5897880" cy="685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97880" cy="68580"/>
                    </a:xfrm>
                    <a:prstGeom prst="rect">
                      <a:avLst/>
                    </a:prstGeom>
                    <a:noFill/>
                  </pic:spPr>
                </pic:pic>
              </a:graphicData>
            </a:graphic>
          </wp:anchor>
        </w:drawing>
      </w:r>
    </w:p>
    <w:p>
      <w:pPr>
        <w:spacing w:after="0" w:line="68" w:lineRule="exact"/>
        <w:rPr>
          <w:sz w:val="20"/>
          <w:szCs w:val="20"/>
          <w:color w:val="auto"/>
        </w:rPr>
      </w:pPr>
    </w:p>
    <w:p>
      <w:pPr>
        <w:spacing w:after="0"/>
        <w:tabs>
          <w:tab w:leader="none" w:pos="8460" w:val="left"/>
        </w:tabs>
        <w:rPr>
          <w:sz w:val="20"/>
          <w:szCs w:val="20"/>
          <w:color w:val="auto"/>
        </w:rPr>
      </w:pPr>
      <w:r>
        <w:rPr>
          <w:sz w:val="1"/>
          <w:szCs w:val="1"/>
          <w:color w:val="auto"/>
        </w:rPr>
        <w:drawing>
          <wp:inline distT="0" distB="0" distL="0" distR="0">
            <wp:extent cx="68580" cy="20574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205740"/>
                    </a:xfrm>
                    <a:prstGeom prst="rect">
                      <a:avLst/>
                    </a:prstGeom>
                    <a:noFill/>
                    <a:ln>
                      <a:noFill/>
                    </a:ln>
                  </pic:spPr>
                </pic:pic>
              </a:graphicData>
            </a:graphic>
          </wp:inline>
        </w:drawing>
      </w:r>
      <w:r>
        <w:rPr>
          <w:rFonts w:ascii="Arial" w:cs="Arial" w:eastAsia="Arial" w:hAnsi="Arial"/>
          <w:sz w:val="13"/>
          <w:szCs w:val="13"/>
          <w:b w:val="1"/>
          <w:bCs w:val="1"/>
          <w:color w:val="FFFFFF"/>
        </w:rPr>
        <w:t xml:space="preserve"> Compensation Element</w:t>
      </w:r>
      <w:r>
        <w:rPr>
          <w:sz w:val="20"/>
          <w:szCs w:val="20"/>
          <w:color w:val="auto"/>
        </w:rPr>
        <w:tab/>
      </w:r>
      <w:r>
        <w:rPr>
          <w:rFonts w:ascii="Arial" w:cs="Arial" w:eastAsia="Arial" w:hAnsi="Arial"/>
          <w:sz w:val="12"/>
          <w:szCs w:val="12"/>
          <w:b w:val="1"/>
          <w:bCs w:val="1"/>
          <w:color w:val="FFFFFF"/>
        </w:rPr>
        <w:t>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-136525</wp:posOffset>
            </wp:positionV>
            <wp:extent cx="582930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29300" cy="137160"/>
                    </a:xfrm>
                    <a:prstGeom prst="rect">
                      <a:avLst/>
                    </a:prstGeom>
                    <a:noFill/>
                  </pic:spPr>
                </pic:pic>
              </a:graphicData>
            </a:graphic>
          </wp:anchor>
        </w:drawing>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14202A"/>
        </w:rPr>
        <w:t>Annual Board Cash Retainer</w:t>
      </w:r>
    </w:p>
    <w:p>
      <w:pPr>
        <w:spacing w:after="0" w:line="163" w:lineRule="exact"/>
        <w:rPr>
          <w:sz w:val="20"/>
          <w:szCs w:val="20"/>
          <w:color w:val="auto"/>
        </w:rPr>
      </w:pPr>
    </w:p>
    <w:p>
      <w:pPr>
        <w:ind w:left="160"/>
        <w:spacing w:after="0"/>
        <w:tabs>
          <w:tab w:leader="none" w:pos="8480" w:val="left"/>
        </w:tabs>
        <w:rPr>
          <w:sz w:val="20"/>
          <w:szCs w:val="20"/>
          <w:color w:val="auto"/>
        </w:rPr>
      </w:pPr>
      <w:r>
        <w:rPr>
          <w:rFonts w:ascii="Arial" w:cs="Arial" w:eastAsia="Arial" w:hAnsi="Arial"/>
          <w:sz w:val="14"/>
          <w:szCs w:val="14"/>
          <w:color w:val="14202A"/>
        </w:rPr>
        <w:t xml:space="preserve">   •   </w:t>
      </w:r>
      <w:r>
        <w:rPr>
          <w:rFonts w:ascii="Arial" w:cs="Arial" w:eastAsia="Arial" w:hAnsi="Arial"/>
          <w:sz w:val="14"/>
          <w:szCs w:val="14"/>
          <w:b w:val="1"/>
          <w:bCs w:val="1"/>
          <w:color w:val="14202A"/>
        </w:rPr>
        <w:t>Payable in quarterly installments in arrears</w:t>
      </w:r>
      <w:r>
        <w:rPr>
          <w:sz w:val="20"/>
          <w:szCs w:val="20"/>
          <w:color w:val="auto"/>
        </w:rPr>
        <w:tab/>
      </w:r>
      <w:r>
        <w:rPr>
          <w:rFonts w:ascii="Arial" w:cs="Arial" w:eastAsia="Arial" w:hAnsi="Arial"/>
          <w:sz w:val="14"/>
          <w:szCs w:val="14"/>
          <w:color w:val="14202A"/>
        </w:rPr>
        <w:t>$ 90,000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58978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14202A"/>
        </w:rPr>
        <w:t>Annual Board/New Board Member Equity Retainer</w:t>
      </w:r>
    </w:p>
    <w:p>
      <w:pPr>
        <w:spacing w:after="0" w:line="163" w:lineRule="exact"/>
        <w:rPr>
          <w:sz w:val="20"/>
          <w:szCs w:val="20"/>
          <w:color w:val="auto"/>
        </w:rPr>
      </w:pPr>
    </w:p>
    <w:p>
      <w:pPr>
        <w:ind w:left="300" w:hanging="138"/>
        <w:spacing w:after="0"/>
        <w:tabs>
          <w:tab w:leader="none" w:pos="300" w:val="left"/>
        </w:tabs>
        <w:numPr>
          <w:ilvl w:val="0"/>
          <w:numId w:val="13"/>
        </w:numPr>
        <w:rPr>
          <w:rFonts w:ascii="Arial" w:cs="Arial" w:eastAsia="Arial" w:hAnsi="Arial"/>
          <w:sz w:val="13"/>
          <w:szCs w:val="13"/>
          <w:color w:val="14202A"/>
        </w:rPr>
      </w:pPr>
      <w:r>
        <w:rPr>
          <w:rFonts w:ascii="Arial" w:cs="Arial" w:eastAsia="Arial" w:hAnsi="Arial"/>
          <w:sz w:val="13"/>
          <w:szCs w:val="13"/>
          <w:color w:val="14202A"/>
        </w:rPr>
        <w:t xml:space="preserve">•   </w:t>
      </w:r>
      <w:r>
        <w:rPr>
          <w:rFonts w:ascii="Arial" w:cs="Arial" w:eastAsia="Arial" w:hAnsi="Arial"/>
          <w:sz w:val="13"/>
          <w:szCs w:val="13"/>
          <w:b w:val="1"/>
          <w:bCs w:val="1"/>
          <w:color w:val="14202A"/>
        </w:rPr>
        <w:t>Granted in the form of restricted stock units for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60" w:type="dxa"/>
            <w:vAlign w:val="bottom"/>
          </w:tcPr>
          <w:p>
            <w:pPr>
              <w:ind w:left="60"/>
              <w:spacing w:after="0"/>
              <w:rPr>
                <w:sz w:val="20"/>
                <w:szCs w:val="20"/>
                <w:color w:val="auto"/>
              </w:rPr>
            </w:pPr>
            <w:r>
              <w:rPr>
                <w:rFonts w:ascii="Arial" w:cs="Arial" w:eastAsia="Arial" w:hAnsi="Arial"/>
                <w:sz w:val="14"/>
                <w:szCs w:val="14"/>
                <w:b w:val="1"/>
                <w:bCs w:val="1"/>
                <w:color w:val="14202A"/>
              </w:rPr>
              <w:t>upcoming year</w:t>
            </w:r>
          </w:p>
        </w:tc>
        <w:tc>
          <w:tcPr>
            <w:tcW w:w="3600" w:type="dxa"/>
            <w:vAlign w:val="bottom"/>
          </w:tcPr>
          <w:p>
            <w:pPr>
              <w:spacing w:after="0"/>
              <w:rPr>
                <w:sz w:val="17"/>
                <w:szCs w:val="17"/>
                <w:color w:val="auto"/>
              </w:rPr>
            </w:pPr>
          </w:p>
        </w:tc>
        <w:tc>
          <w:tcPr>
            <w:tcW w:w="1380" w:type="dxa"/>
            <w:vAlign w:val="bottom"/>
            <w:gridSpan w:val="2"/>
          </w:tcPr>
          <w:p>
            <w:pPr>
              <w:jc w:val="right"/>
              <w:ind w:right="108"/>
              <w:spacing w:after="0"/>
              <w:rPr>
                <w:sz w:val="20"/>
                <w:szCs w:val="20"/>
                <w:color w:val="auto"/>
              </w:rPr>
            </w:pPr>
            <w:r>
              <w:rPr>
                <w:rFonts w:ascii="Arial" w:cs="Arial" w:eastAsia="Arial" w:hAnsi="Arial"/>
                <w:sz w:val="14"/>
                <w:szCs w:val="14"/>
                <w:color w:val="14202A"/>
              </w:rPr>
              <w:t>$150,000</w:t>
            </w:r>
          </w:p>
        </w:tc>
      </w:tr>
      <w:tr>
        <w:trPr>
          <w:trHeight w:val="28"/>
        </w:trPr>
        <w:tc>
          <w:tcPr>
            <w:tcW w:w="4300" w:type="dxa"/>
            <w:vAlign w:val="bottom"/>
            <w:tcBorders>
              <w:bottom w:val="single" w:sz="8" w:color="14202A"/>
            </w:tcBorders>
            <w:gridSpan w:val="3"/>
          </w:tcPr>
          <w:p>
            <w:pPr>
              <w:spacing w:after="0"/>
              <w:rPr>
                <w:sz w:val="2"/>
                <w:szCs w:val="2"/>
                <w:color w:val="auto"/>
              </w:rPr>
            </w:pPr>
          </w:p>
        </w:tc>
        <w:tc>
          <w:tcPr>
            <w:tcW w:w="3600" w:type="dxa"/>
            <w:vAlign w:val="bottom"/>
            <w:tcBorders>
              <w:bottom w:val="single" w:sz="8" w:color="14202A"/>
            </w:tcBorders>
          </w:tcPr>
          <w:p>
            <w:pPr>
              <w:spacing w:after="0"/>
              <w:rPr>
                <w:sz w:val="2"/>
                <w:szCs w:val="2"/>
                <w:color w:val="auto"/>
              </w:rPr>
            </w:pPr>
          </w:p>
        </w:tc>
        <w:tc>
          <w:tcPr>
            <w:tcW w:w="720" w:type="dxa"/>
            <w:vAlign w:val="bottom"/>
            <w:tcBorders>
              <w:bottom w:val="single" w:sz="8" w:color="14202A"/>
            </w:tcBorders>
          </w:tcPr>
          <w:p>
            <w:pPr>
              <w:spacing w:after="0"/>
              <w:rPr>
                <w:sz w:val="2"/>
                <w:szCs w:val="2"/>
                <w:color w:val="auto"/>
              </w:rPr>
            </w:pPr>
          </w:p>
        </w:tc>
        <w:tc>
          <w:tcPr>
            <w:tcW w:w="660" w:type="dxa"/>
            <w:vAlign w:val="bottom"/>
            <w:tcBorders>
              <w:bottom w:val="single" w:sz="8" w:color="14202A"/>
            </w:tcBorders>
          </w:tcPr>
          <w:p>
            <w:pPr>
              <w:spacing w:after="0"/>
              <w:rPr>
                <w:sz w:val="2"/>
                <w:szCs w:val="2"/>
                <w:color w:val="auto"/>
              </w:rPr>
            </w:pPr>
          </w:p>
        </w:tc>
      </w:tr>
      <w:tr>
        <w:trPr>
          <w:trHeight w:val="261"/>
        </w:trPr>
        <w:tc>
          <w:tcPr>
            <w:tcW w:w="4300" w:type="dxa"/>
            <w:vAlign w:val="bottom"/>
            <w:gridSpan w:val="3"/>
          </w:tcPr>
          <w:p>
            <w:pPr>
              <w:ind w:left="160"/>
              <w:spacing w:after="0"/>
              <w:rPr>
                <w:sz w:val="20"/>
                <w:szCs w:val="20"/>
                <w:color w:val="auto"/>
              </w:rPr>
            </w:pPr>
            <w:r>
              <w:rPr>
                <w:rFonts w:ascii="Arial" w:cs="Arial" w:eastAsia="Arial" w:hAnsi="Arial"/>
                <w:sz w:val="14"/>
                <w:szCs w:val="14"/>
                <w:b w:val="1"/>
                <w:bCs w:val="1"/>
                <w:color w:val="14202A"/>
              </w:rPr>
              <w:t>Annual Board Chair Cash Retainer</w:t>
            </w:r>
          </w:p>
        </w:tc>
        <w:tc>
          <w:tcPr>
            <w:tcW w:w="3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324"/>
        </w:trPr>
        <w:tc>
          <w:tcPr>
            <w:tcW w:w="260" w:type="dxa"/>
            <w:vAlign w:val="bottom"/>
          </w:tcPr>
          <w:p>
            <w:pPr>
              <w:ind w:left="160"/>
              <w:spacing w:after="0"/>
              <w:rPr>
                <w:sz w:val="20"/>
                <w:szCs w:val="20"/>
                <w:color w:val="auto"/>
              </w:rPr>
            </w:pPr>
            <w:r>
              <w:rPr>
                <w:rFonts w:ascii="Arial" w:cs="Arial" w:eastAsia="Arial" w:hAnsi="Arial"/>
                <w:sz w:val="11"/>
                <w:szCs w:val="11"/>
                <w:color w:val="14202A"/>
                <w:w w:val="72"/>
              </w:rPr>
              <w:t> </w:t>
            </w:r>
          </w:p>
        </w:tc>
        <w:tc>
          <w:tcPr>
            <w:tcW w:w="180" w:type="dxa"/>
            <w:vAlign w:val="bottom"/>
          </w:tcPr>
          <w:p>
            <w:pPr>
              <w:ind w:left="40"/>
              <w:spacing w:after="0"/>
              <w:rPr>
                <w:sz w:val="20"/>
                <w:szCs w:val="20"/>
                <w:color w:val="auto"/>
              </w:rPr>
            </w:pPr>
            <w:r>
              <w:rPr>
                <w:rFonts w:ascii="Arial" w:cs="Arial" w:eastAsia="Arial" w:hAnsi="Arial"/>
                <w:sz w:val="12"/>
                <w:szCs w:val="12"/>
                <w:color w:val="14202A"/>
                <w:w w:val="73"/>
              </w:rPr>
              <w:t>• </w:t>
            </w:r>
          </w:p>
        </w:tc>
        <w:tc>
          <w:tcPr>
            <w:tcW w:w="3860" w:type="dxa"/>
            <w:vAlign w:val="bottom"/>
          </w:tcPr>
          <w:p>
            <w:pPr>
              <w:ind w:left="60"/>
              <w:spacing w:after="0"/>
              <w:rPr>
                <w:sz w:val="20"/>
                <w:szCs w:val="20"/>
                <w:color w:val="auto"/>
              </w:rPr>
            </w:pPr>
            <w:r>
              <w:rPr>
                <w:rFonts w:ascii="Arial" w:cs="Arial" w:eastAsia="Arial" w:hAnsi="Arial"/>
                <w:sz w:val="14"/>
                <w:szCs w:val="14"/>
                <w:b w:val="1"/>
                <w:bCs w:val="1"/>
                <w:color w:val="14202A"/>
              </w:rPr>
              <w:t>Payable in quarterly installments in arrears</w:t>
            </w:r>
          </w:p>
        </w:tc>
        <w:tc>
          <w:tcPr>
            <w:tcW w:w="3600" w:type="dxa"/>
            <w:vAlign w:val="bottom"/>
          </w:tcPr>
          <w:p>
            <w:pPr>
              <w:spacing w:after="0"/>
              <w:rPr>
                <w:sz w:val="24"/>
                <w:szCs w:val="24"/>
                <w:color w:val="auto"/>
              </w:rPr>
            </w:pPr>
          </w:p>
        </w:tc>
        <w:tc>
          <w:tcPr>
            <w:tcW w:w="1380" w:type="dxa"/>
            <w:vAlign w:val="bottom"/>
            <w:gridSpan w:val="2"/>
          </w:tcPr>
          <w:p>
            <w:pPr>
              <w:jc w:val="right"/>
              <w:ind w:right="108"/>
              <w:spacing w:after="0"/>
              <w:rPr>
                <w:sz w:val="20"/>
                <w:szCs w:val="20"/>
                <w:color w:val="auto"/>
              </w:rPr>
            </w:pPr>
            <w:r>
              <w:rPr>
                <w:rFonts w:ascii="Arial" w:cs="Arial" w:eastAsia="Arial" w:hAnsi="Arial"/>
                <w:sz w:val="14"/>
                <w:szCs w:val="14"/>
                <w:color w:val="14202A"/>
              </w:rPr>
              <w:t>$150,000</w:t>
            </w:r>
          </w:p>
        </w:tc>
      </w:tr>
      <w:tr>
        <w:trPr>
          <w:trHeight w:val="43"/>
        </w:trPr>
        <w:tc>
          <w:tcPr>
            <w:tcW w:w="4300" w:type="dxa"/>
            <w:vAlign w:val="bottom"/>
            <w:tcBorders>
              <w:bottom w:val="single" w:sz="8" w:color="14202A"/>
            </w:tcBorders>
            <w:gridSpan w:val="3"/>
          </w:tcPr>
          <w:p>
            <w:pPr>
              <w:spacing w:after="0"/>
              <w:rPr>
                <w:sz w:val="3"/>
                <w:szCs w:val="3"/>
                <w:color w:val="auto"/>
              </w:rPr>
            </w:pPr>
          </w:p>
        </w:tc>
        <w:tc>
          <w:tcPr>
            <w:tcW w:w="3600" w:type="dxa"/>
            <w:vAlign w:val="bottom"/>
            <w:tcBorders>
              <w:bottom w:val="single" w:sz="8" w:color="14202A"/>
            </w:tcBorders>
          </w:tcPr>
          <w:p>
            <w:pPr>
              <w:spacing w:after="0"/>
              <w:rPr>
                <w:sz w:val="3"/>
                <w:szCs w:val="3"/>
                <w:color w:val="auto"/>
              </w:rPr>
            </w:pPr>
          </w:p>
        </w:tc>
        <w:tc>
          <w:tcPr>
            <w:tcW w:w="720" w:type="dxa"/>
            <w:vAlign w:val="bottom"/>
            <w:tcBorders>
              <w:bottom w:val="single" w:sz="8" w:color="14202A"/>
            </w:tcBorders>
          </w:tcPr>
          <w:p>
            <w:pPr>
              <w:spacing w:after="0"/>
              <w:rPr>
                <w:sz w:val="3"/>
                <w:szCs w:val="3"/>
                <w:color w:val="auto"/>
              </w:rPr>
            </w:pPr>
          </w:p>
        </w:tc>
        <w:tc>
          <w:tcPr>
            <w:tcW w:w="660" w:type="dxa"/>
            <w:vAlign w:val="bottom"/>
            <w:tcBorders>
              <w:bottom w:val="single" w:sz="8" w:color="14202A"/>
            </w:tcBorders>
          </w:tcPr>
          <w:p>
            <w:pPr>
              <w:spacing w:after="0"/>
              <w:rPr>
                <w:sz w:val="3"/>
                <w:szCs w:val="3"/>
                <w:color w:val="auto"/>
              </w:rPr>
            </w:pPr>
          </w:p>
        </w:tc>
      </w:tr>
      <w:tr>
        <w:trPr>
          <w:trHeight w:val="248"/>
        </w:trPr>
        <w:tc>
          <w:tcPr>
            <w:tcW w:w="4300" w:type="dxa"/>
            <w:vAlign w:val="bottom"/>
            <w:gridSpan w:val="3"/>
          </w:tcPr>
          <w:p>
            <w:pPr>
              <w:ind w:left="160"/>
              <w:spacing w:after="0"/>
              <w:rPr>
                <w:sz w:val="20"/>
                <w:szCs w:val="20"/>
                <w:color w:val="auto"/>
              </w:rPr>
            </w:pPr>
            <w:r>
              <w:rPr>
                <w:rFonts w:ascii="Arial" w:cs="Arial" w:eastAsia="Arial" w:hAnsi="Arial"/>
                <w:sz w:val="14"/>
                <w:szCs w:val="14"/>
                <w:b w:val="1"/>
                <w:bCs w:val="1"/>
                <w:color w:val="14202A"/>
              </w:rPr>
              <w:t>Annual Committee Chair Cash Retainer</w:t>
            </w:r>
          </w:p>
        </w:tc>
        <w:tc>
          <w:tcPr>
            <w:tcW w:w="3600" w:type="dxa"/>
            <w:vAlign w:val="bottom"/>
          </w:tcPr>
          <w:p>
            <w:pPr>
              <w:ind w:left="1120"/>
              <w:spacing w:after="0"/>
              <w:rPr>
                <w:sz w:val="20"/>
                <w:szCs w:val="20"/>
                <w:color w:val="auto"/>
              </w:rPr>
            </w:pPr>
            <w:r>
              <w:rPr>
                <w:rFonts w:ascii="Arial" w:cs="Arial" w:eastAsia="Arial" w:hAnsi="Arial"/>
                <w:sz w:val="14"/>
                <w:szCs w:val="14"/>
                <w:color w:val="14202A"/>
              </w:rPr>
              <w:t>Audit and Finance Committee</w:t>
            </w:r>
          </w:p>
        </w:tc>
        <w:tc>
          <w:tcPr>
            <w:tcW w:w="720" w:type="dxa"/>
            <w:vAlign w:val="bottom"/>
          </w:tcPr>
          <w:p>
            <w:pPr>
              <w:jc w:val="right"/>
              <w:spacing w:after="0"/>
              <w:rPr>
                <w:sz w:val="20"/>
                <w:szCs w:val="20"/>
                <w:color w:val="auto"/>
              </w:rPr>
            </w:pPr>
            <w:r>
              <w:rPr>
                <w:rFonts w:ascii="Arial" w:cs="Arial" w:eastAsia="Arial" w:hAnsi="Arial"/>
                <w:sz w:val="14"/>
                <w:szCs w:val="14"/>
                <w:color w:val="14202A"/>
              </w:rPr>
              <w:t>$</w:t>
            </w:r>
          </w:p>
        </w:tc>
        <w:tc>
          <w:tcPr>
            <w:tcW w:w="660" w:type="dxa"/>
            <w:vAlign w:val="bottom"/>
          </w:tcPr>
          <w:p>
            <w:pPr>
              <w:jc w:val="right"/>
              <w:ind w:right="108"/>
              <w:spacing w:after="0"/>
              <w:rPr>
                <w:sz w:val="20"/>
                <w:szCs w:val="20"/>
                <w:color w:val="auto"/>
              </w:rPr>
            </w:pPr>
            <w:r>
              <w:rPr>
                <w:rFonts w:ascii="Arial" w:cs="Arial" w:eastAsia="Arial" w:hAnsi="Arial"/>
                <w:sz w:val="14"/>
                <w:szCs w:val="14"/>
                <w:color w:val="14202A"/>
              </w:rPr>
              <w:t>20,000</w:t>
            </w:r>
          </w:p>
        </w:tc>
      </w:tr>
      <w:tr>
        <w:trPr>
          <w:trHeight w:val="333"/>
        </w:trPr>
        <w:tc>
          <w:tcPr>
            <w:tcW w:w="260" w:type="dxa"/>
            <w:vAlign w:val="bottom"/>
            <w:tcBorders>
              <w:bottom w:val="single" w:sz="8" w:color="14202A"/>
            </w:tcBorders>
          </w:tcPr>
          <w:p>
            <w:pPr>
              <w:ind w:left="160"/>
              <w:spacing w:after="0"/>
              <w:rPr>
                <w:sz w:val="20"/>
                <w:szCs w:val="20"/>
                <w:color w:val="auto"/>
              </w:rPr>
            </w:pPr>
            <w:r>
              <w:rPr>
                <w:rFonts w:ascii="Arial" w:cs="Arial" w:eastAsia="Arial" w:hAnsi="Arial"/>
                <w:sz w:val="11"/>
                <w:szCs w:val="11"/>
                <w:color w:val="14202A"/>
                <w:w w:val="72"/>
              </w:rPr>
              <w:t> </w:t>
            </w:r>
          </w:p>
        </w:tc>
        <w:tc>
          <w:tcPr>
            <w:tcW w:w="180" w:type="dxa"/>
            <w:vAlign w:val="bottom"/>
            <w:tcBorders>
              <w:bottom w:val="single" w:sz="8" w:color="14202A"/>
            </w:tcBorders>
          </w:tcPr>
          <w:p>
            <w:pPr>
              <w:ind w:left="40"/>
              <w:spacing w:after="0"/>
              <w:rPr>
                <w:sz w:val="20"/>
                <w:szCs w:val="20"/>
                <w:color w:val="auto"/>
              </w:rPr>
            </w:pPr>
            <w:r>
              <w:rPr>
                <w:rFonts w:ascii="Arial" w:cs="Arial" w:eastAsia="Arial" w:hAnsi="Arial"/>
                <w:sz w:val="12"/>
                <w:szCs w:val="12"/>
                <w:color w:val="14202A"/>
                <w:w w:val="73"/>
              </w:rPr>
              <w:t>• </w:t>
            </w:r>
          </w:p>
        </w:tc>
        <w:tc>
          <w:tcPr>
            <w:tcW w:w="3860" w:type="dxa"/>
            <w:vAlign w:val="bottom"/>
            <w:tcBorders>
              <w:bottom w:val="single" w:sz="8" w:color="14202A"/>
            </w:tcBorders>
          </w:tcPr>
          <w:p>
            <w:pPr>
              <w:ind w:left="60"/>
              <w:spacing w:after="0"/>
              <w:rPr>
                <w:sz w:val="20"/>
                <w:szCs w:val="20"/>
                <w:color w:val="auto"/>
              </w:rPr>
            </w:pPr>
            <w:r>
              <w:rPr>
                <w:rFonts w:ascii="Arial" w:cs="Arial" w:eastAsia="Arial" w:hAnsi="Arial"/>
                <w:sz w:val="14"/>
                <w:szCs w:val="14"/>
                <w:b w:val="1"/>
                <w:bCs w:val="1"/>
                <w:color w:val="14202A"/>
              </w:rPr>
              <w:t>Payable in quarterly installments in arrears</w:t>
            </w:r>
          </w:p>
        </w:tc>
        <w:tc>
          <w:tcPr>
            <w:tcW w:w="3600" w:type="dxa"/>
            <w:vAlign w:val="bottom"/>
            <w:tcBorders>
              <w:bottom w:val="single" w:sz="8" w:color="14202A"/>
            </w:tcBorders>
          </w:tcPr>
          <w:p>
            <w:pPr>
              <w:ind w:left="840"/>
              <w:spacing w:after="0"/>
              <w:rPr>
                <w:sz w:val="20"/>
                <w:szCs w:val="20"/>
                <w:color w:val="auto"/>
              </w:rPr>
            </w:pPr>
            <w:r>
              <w:rPr>
                <w:rFonts w:ascii="Arial" w:cs="Arial" w:eastAsia="Arial" w:hAnsi="Arial"/>
                <w:sz w:val="14"/>
                <w:szCs w:val="14"/>
                <w:color w:val="14202A"/>
              </w:rPr>
              <w:t>Other Committees</w:t>
            </w:r>
          </w:p>
        </w:tc>
        <w:tc>
          <w:tcPr>
            <w:tcW w:w="720" w:type="dxa"/>
            <w:vAlign w:val="bottom"/>
            <w:tcBorders>
              <w:bottom w:val="single" w:sz="8" w:color="14202A"/>
            </w:tcBorders>
          </w:tcPr>
          <w:p>
            <w:pPr>
              <w:jc w:val="right"/>
              <w:spacing w:after="0"/>
              <w:rPr>
                <w:sz w:val="20"/>
                <w:szCs w:val="20"/>
                <w:color w:val="auto"/>
              </w:rPr>
            </w:pPr>
            <w:r>
              <w:rPr>
                <w:rFonts w:ascii="Arial" w:cs="Arial" w:eastAsia="Arial" w:hAnsi="Arial"/>
                <w:sz w:val="14"/>
                <w:szCs w:val="14"/>
                <w:color w:val="14202A"/>
              </w:rPr>
              <w:t>$</w:t>
            </w:r>
          </w:p>
        </w:tc>
        <w:tc>
          <w:tcPr>
            <w:tcW w:w="660" w:type="dxa"/>
            <w:vAlign w:val="bottom"/>
            <w:tcBorders>
              <w:bottom w:val="single" w:sz="8" w:color="14202A"/>
            </w:tcBorders>
          </w:tcPr>
          <w:p>
            <w:pPr>
              <w:jc w:val="right"/>
              <w:ind w:right="108"/>
              <w:spacing w:after="0"/>
              <w:rPr>
                <w:sz w:val="20"/>
                <w:szCs w:val="20"/>
                <w:color w:val="auto"/>
              </w:rPr>
            </w:pPr>
            <w:r>
              <w:rPr>
                <w:rFonts w:ascii="Arial" w:cs="Arial" w:eastAsia="Arial" w:hAnsi="Arial"/>
                <w:sz w:val="14"/>
                <w:szCs w:val="14"/>
                <w:color w:val="14202A"/>
              </w:rPr>
              <w:t>15,000</w:t>
            </w:r>
          </w:p>
        </w:tc>
      </w:tr>
    </w:tbl>
    <w:p>
      <w:pPr>
        <w:spacing w:after="0" w:line="26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Director equity awards are granted prospectively for the upcoming year. This means that any new directors will receive a prorated award at the next regularly scheduled Board meeting, if the next regularly scheduled Board meeting is not the meeting at which annual awards are granted. Directors who joined the Board before we began prospectively granting equity awards will receive an award of the annual grant prior to separation of service from the Board that provides for accelerated vesting of the award upon retirement from the Board at the conclusion of his or her term.</w:t>
      </w:r>
    </w:p>
    <w:p>
      <w:pPr>
        <w:spacing w:after="0" w:line="153"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14202A"/>
        </w:rPr>
        <w:t>Based on the committee’s review of our non-employee director compensation program with Semler Brossy, the committee recommended, and the Board approved, maintaining the current director compensation program for Fiscal 2027.</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Use of Winnebago Industries Products</w:t>
      </w:r>
    </w:p>
    <w:p>
      <w:pPr>
        <w:spacing w:after="0" w:line="18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14202A"/>
        </w:rPr>
        <w:t>We encourage each of our independent directors to use our recreational vehicles and boats on a periodic and temporary basis at no charge to gain a first-hand understanding of the outdoor lifestyle experienced by our customers and to provide our directors with the opportunity to evaluate product design and efficiency.</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 Compensation Table</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14202A"/>
        </w:rPr>
        <w:t>The following table sets forth the total compensation paid to each non-employee director for Fiscal 2026: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2620" w:type="dxa"/>
            <w:vAlign w:val="bottom"/>
            <w:shd w:val="clear" w:color="auto" w:fill="14202A"/>
          </w:tcPr>
          <w:p>
            <w:pPr>
              <w:spacing w:after="0"/>
              <w:rPr>
                <w:sz w:val="19"/>
                <w:szCs w:val="19"/>
                <w:color w:val="auto"/>
              </w:rPr>
            </w:pPr>
          </w:p>
        </w:tc>
        <w:tc>
          <w:tcPr>
            <w:tcW w:w="2340" w:type="dxa"/>
            <w:vAlign w:val="bottom"/>
            <w:shd w:val="clear" w:color="auto" w:fill="14202A"/>
          </w:tcPr>
          <w:p>
            <w:pPr>
              <w:jc w:val="center"/>
              <w:ind w:left="792"/>
              <w:spacing w:after="0"/>
              <w:rPr>
                <w:sz w:val="20"/>
                <w:szCs w:val="20"/>
                <w:color w:val="auto"/>
              </w:rPr>
            </w:pPr>
            <w:r>
              <w:rPr>
                <w:rFonts w:ascii="Arial" w:cs="Arial" w:eastAsia="Arial" w:hAnsi="Arial"/>
                <w:sz w:val="13"/>
                <w:szCs w:val="13"/>
                <w:b w:val="1"/>
                <w:bCs w:val="1"/>
                <w:color w:val="FFFFFF"/>
                <w:w w:val="98"/>
              </w:rPr>
              <w:t>Fees Earned</w:t>
            </w:r>
          </w:p>
        </w:tc>
        <w:tc>
          <w:tcPr>
            <w:tcW w:w="1260" w:type="dxa"/>
            <w:vAlign w:val="bottom"/>
            <w:vMerge w:val="restart"/>
            <w:shd w:val="clear" w:color="auto" w:fill="14202A"/>
          </w:tcPr>
          <w:p>
            <w:pPr>
              <w:jc w:val="center"/>
              <w:ind w:left="11"/>
              <w:spacing w:after="0"/>
              <w:rPr>
                <w:sz w:val="20"/>
                <w:szCs w:val="20"/>
                <w:color w:val="auto"/>
              </w:rPr>
            </w:pPr>
            <w:r>
              <w:rPr>
                <w:rFonts w:ascii="Arial" w:cs="Arial" w:eastAsia="Arial" w:hAnsi="Arial"/>
                <w:sz w:val="13"/>
                <w:szCs w:val="13"/>
                <w:b w:val="1"/>
                <w:bCs w:val="1"/>
                <w:color w:val="FFFFFF"/>
                <w:w w:val="95"/>
              </w:rPr>
              <w:t>Stock</w:t>
            </w:r>
          </w:p>
        </w:tc>
        <w:tc>
          <w:tcPr>
            <w:tcW w:w="16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All</w:t>
            </w:r>
          </w:p>
        </w:tc>
        <w:tc>
          <w:tcPr>
            <w:tcW w:w="1340" w:type="dxa"/>
            <w:vAlign w:val="bottom"/>
            <w:shd w:val="clear" w:color="auto" w:fill="14202A"/>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100" w:type="dxa"/>
            <w:vAlign w:val="bottom"/>
            <w:shd w:val="clear" w:color="auto" w:fill="14202A"/>
          </w:tcPr>
          <w:p>
            <w:pPr>
              <w:spacing w:after="0"/>
              <w:rPr>
                <w:sz w:val="12"/>
                <w:szCs w:val="12"/>
                <w:color w:val="auto"/>
              </w:rPr>
            </w:pPr>
          </w:p>
        </w:tc>
        <w:tc>
          <w:tcPr>
            <w:tcW w:w="2620" w:type="dxa"/>
            <w:vAlign w:val="bottom"/>
            <w:shd w:val="clear" w:color="auto" w:fill="14202A"/>
          </w:tcPr>
          <w:p>
            <w:pPr>
              <w:spacing w:after="0"/>
              <w:rPr>
                <w:sz w:val="12"/>
                <w:szCs w:val="12"/>
                <w:color w:val="auto"/>
              </w:rPr>
            </w:pPr>
          </w:p>
        </w:tc>
        <w:tc>
          <w:tcPr>
            <w:tcW w:w="2340" w:type="dxa"/>
            <w:vAlign w:val="bottom"/>
            <w:shd w:val="clear" w:color="auto" w:fill="14202A"/>
          </w:tcPr>
          <w:p>
            <w:pPr>
              <w:jc w:val="center"/>
              <w:ind w:left="792"/>
              <w:spacing w:after="0" w:line="143" w:lineRule="exact"/>
              <w:rPr>
                <w:sz w:val="20"/>
                <w:szCs w:val="20"/>
                <w:color w:val="auto"/>
              </w:rPr>
            </w:pPr>
            <w:r>
              <w:rPr>
                <w:rFonts w:ascii="Arial" w:cs="Arial" w:eastAsia="Arial" w:hAnsi="Arial"/>
                <w:sz w:val="13"/>
                <w:szCs w:val="13"/>
                <w:b w:val="1"/>
                <w:bCs w:val="1"/>
                <w:color w:val="FFFFFF"/>
                <w:w w:val="94"/>
              </w:rPr>
              <w:t>or Paid in</w:t>
            </w:r>
          </w:p>
        </w:tc>
        <w:tc>
          <w:tcPr>
            <w:tcW w:w="1260" w:type="dxa"/>
            <w:vAlign w:val="bottom"/>
            <w:vMerge w:val="continue"/>
            <w:shd w:val="clear" w:color="auto" w:fill="14202A"/>
          </w:tcPr>
          <w:p>
            <w:pPr>
              <w:spacing w:after="0"/>
              <w:rPr>
                <w:sz w:val="12"/>
                <w:szCs w:val="12"/>
                <w:color w:val="auto"/>
              </w:rPr>
            </w:pPr>
          </w:p>
        </w:tc>
        <w:tc>
          <w:tcPr>
            <w:tcW w:w="162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7"/>
              </w:rPr>
              <w:t>Other</w:t>
            </w:r>
          </w:p>
        </w:tc>
        <w:tc>
          <w:tcPr>
            <w:tcW w:w="1340" w:type="dxa"/>
            <w:vAlign w:val="bottom"/>
            <w:shd w:val="clear" w:color="auto" w:fill="14202A"/>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0" w:type="dxa"/>
            <w:vAlign w:val="bottom"/>
            <w:shd w:val="clear" w:color="auto" w:fill="14202A"/>
          </w:tcPr>
          <w:p>
            <w:pPr>
              <w:spacing w:after="0"/>
              <w:rPr>
                <w:sz w:val="14"/>
                <w:szCs w:val="14"/>
                <w:color w:val="auto"/>
              </w:rPr>
            </w:pPr>
          </w:p>
        </w:tc>
        <w:tc>
          <w:tcPr>
            <w:tcW w:w="262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Director</w:t>
            </w:r>
          </w:p>
        </w:tc>
        <w:tc>
          <w:tcPr>
            <w:tcW w:w="2340" w:type="dxa"/>
            <w:vAlign w:val="bottom"/>
            <w:shd w:val="clear" w:color="auto" w:fill="14202A"/>
          </w:tcPr>
          <w:p>
            <w:pPr>
              <w:jc w:val="center"/>
              <w:ind w:left="792"/>
              <w:spacing w:after="0" w:line="168" w:lineRule="exact"/>
              <w:rPr>
                <w:sz w:val="20"/>
                <w:szCs w:val="20"/>
                <w:color w:val="auto"/>
              </w:rPr>
            </w:pPr>
            <w:r>
              <w:rPr>
                <w:rFonts w:ascii="Arial" w:cs="Arial" w:eastAsia="Arial" w:hAnsi="Arial"/>
                <w:sz w:val="19"/>
                <w:szCs w:val="19"/>
                <w:b w:val="1"/>
                <w:bCs w:val="1"/>
                <w:color w:val="FFFFFF"/>
                <w:vertAlign w:val="subscript"/>
              </w:rPr>
              <w:t>Cash</w:t>
            </w:r>
            <w:r>
              <w:rPr>
                <w:rFonts w:ascii="Arial" w:cs="Arial" w:eastAsia="Arial" w:hAnsi="Arial"/>
                <w:sz w:val="9"/>
                <w:szCs w:val="9"/>
                <w:b w:val="1"/>
                <w:bCs w:val="1"/>
                <w:color w:val="FFFFFF"/>
              </w:rPr>
              <w:t>(1)(2)</w:t>
            </w:r>
          </w:p>
        </w:tc>
        <w:tc>
          <w:tcPr>
            <w:tcW w:w="1260" w:type="dxa"/>
            <w:vAlign w:val="bottom"/>
            <w:shd w:val="clear" w:color="auto" w:fill="14202A"/>
          </w:tcPr>
          <w:p>
            <w:pPr>
              <w:jc w:val="center"/>
              <w:ind w:left="11"/>
              <w:spacing w:after="0" w:line="168" w:lineRule="exact"/>
              <w:rPr>
                <w:sz w:val="20"/>
                <w:szCs w:val="20"/>
                <w:color w:val="auto"/>
              </w:rPr>
            </w:pPr>
            <w:r>
              <w:rPr>
                <w:rFonts w:ascii="Arial" w:cs="Arial" w:eastAsia="Arial" w:hAnsi="Arial"/>
                <w:sz w:val="12"/>
                <w:szCs w:val="12"/>
                <w:b w:val="1"/>
                <w:bCs w:val="1"/>
                <w:color w:val="FFFFFF"/>
                <w:w w:val="98"/>
              </w:rPr>
              <w:t>Awards</w:t>
            </w:r>
            <w:r>
              <w:rPr>
                <w:rFonts w:ascii="Arial" w:cs="Arial" w:eastAsia="Arial" w:hAnsi="Arial"/>
                <w:sz w:val="19"/>
                <w:szCs w:val="19"/>
                <w:b w:val="1"/>
                <w:bCs w:val="1"/>
                <w:color w:val="FFFFFF"/>
                <w:w w:val="98"/>
                <w:vertAlign w:val="superscript"/>
              </w:rPr>
              <w:t>(3)</w:t>
            </w:r>
          </w:p>
        </w:tc>
        <w:tc>
          <w:tcPr>
            <w:tcW w:w="162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rPr>
              <w:t>Compensation</w:t>
            </w:r>
            <w:r>
              <w:rPr>
                <w:rFonts w:ascii="Arial" w:cs="Arial" w:eastAsia="Arial" w:hAnsi="Arial"/>
                <w:sz w:val="19"/>
                <w:szCs w:val="19"/>
                <w:b w:val="1"/>
                <w:bCs w:val="1"/>
                <w:color w:val="FFFFFF"/>
                <w:vertAlign w:val="superscript"/>
              </w:rPr>
              <w:t>(4)</w:t>
            </w:r>
          </w:p>
        </w:tc>
        <w:tc>
          <w:tcPr>
            <w:tcW w:w="1340" w:type="dxa"/>
            <w:vAlign w:val="bottom"/>
            <w:shd w:val="clear" w:color="auto" w:fill="14202A"/>
          </w:tcPr>
          <w:p>
            <w:pPr>
              <w:jc w:val="right"/>
              <w:ind w:right="530"/>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2620" w:type="dxa"/>
            <w:vAlign w:val="bottom"/>
            <w:vMerge w:val="continue"/>
            <w:shd w:val="clear" w:color="auto" w:fill="14202A"/>
          </w:tcPr>
          <w:p>
            <w:pPr>
              <w:spacing w:after="0"/>
              <w:rPr>
                <w:sz w:val="14"/>
                <w:szCs w:val="14"/>
                <w:color w:val="auto"/>
              </w:rPr>
            </w:pPr>
          </w:p>
        </w:tc>
        <w:tc>
          <w:tcPr>
            <w:tcW w:w="2340" w:type="dxa"/>
            <w:vAlign w:val="bottom"/>
            <w:shd w:val="clear" w:color="auto" w:fill="14202A"/>
          </w:tcPr>
          <w:p>
            <w:pPr>
              <w:jc w:val="center"/>
              <w:ind w:left="792"/>
              <w:spacing w:after="0"/>
              <w:rPr>
                <w:sz w:val="20"/>
                <w:szCs w:val="20"/>
                <w:color w:val="auto"/>
              </w:rPr>
            </w:pPr>
            <w:r>
              <w:rPr>
                <w:rFonts w:ascii="Arial" w:cs="Arial" w:eastAsia="Arial" w:hAnsi="Arial"/>
                <w:sz w:val="13"/>
                <w:szCs w:val="13"/>
                <w:b w:val="1"/>
                <w:bCs w:val="1"/>
                <w:color w:val="FFFFFF"/>
              </w:rPr>
              <w:t>($)</w:t>
            </w:r>
          </w:p>
        </w:tc>
        <w:tc>
          <w:tcPr>
            <w:tcW w:w="12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6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340" w:type="dxa"/>
            <w:vAlign w:val="bottom"/>
            <w:shd w:val="clear" w:color="auto" w:fill="14202A"/>
          </w:tcPr>
          <w:p>
            <w:pPr>
              <w:jc w:val="right"/>
              <w:ind w:right="61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2620" w:type="dxa"/>
            <w:vAlign w:val="bottom"/>
            <w:shd w:val="clear" w:color="auto" w:fill="14202A"/>
          </w:tcPr>
          <w:p>
            <w:pPr>
              <w:spacing w:after="0"/>
              <w:rPr>
                <w:sz w:val="5"/>
                <w:szCs w:val="5"/>
                <w:color w:val="auto"/>
              </w:rPr>
            </w:pPr>
          </w:p>
        </w:tc>
        <w:tc>
          <w:tcPr>
            <w:tcW w:w="2340" w:type="dxa"/>
            <w:vAlign w:val="bottom"/>
            <w:shd w:val="clear" w:color="auto" w:fill="14202A"/>
          </w:tcPr>
          <w:p>
            <w:pPr>
              <w:spacing w:after="0"/>
              <w:rPr>
                <w:sz w:val="5"/>
                <w:szCs w:val="5"/>
                <w:color w:val="auto"/>
              </w:rPr>
            </w:pPr>
          </w:p>
        </w:tc>
        <w:tc>
          <w:tcPr>
            <w:tcW w:w="1260" w:type="dxa"/>
            <w:vAlign w:val="bottom"/>
            <w:shd w:val="clear" w:color="auto" w:fill="14202A"/>
          </w:tcPr>
          <w:p>
            <w:pPr>
              <w:spacing w:after="0"/>
              <w:rPr>
                <w:sz w:val="5"/>
                <w:szCs w:val="5"/>
                <w:color w:val="auto"/>
              </w:rPr>
            </w:pPr>
          </w:p>
        </w:tc>
        <w:tc>
          <w:tcPr>
            <w:tcW w:w="1620" w:type="dxa"/>
            <w:vAlign w:val="bottom"/>
            <w:shd w:val="clear" w:color="auto" w:fill="14202A"/>
          </w:tcPr>
          <w:p>
            <w:pPr>
              <w:spacing w:after="0"/>
              <w:rPr>
                <w:sz w:val="5"/>
                <w:szCs w:val="5"/>
                <w:color w:val="auto"/>
              </w:rPr>
            </w:pPr>
          </w:p>
        </w:tc>
        <w:tc>
          <w:tcPr>
            <w:tcW w:w="134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Sara E. Armbruster</w:t>
            </w:r>
          </w:p>
        </w:tc>
        <w:tc>
          <w:tcPr>
            <w:tcW w:w="2340" w:type="dxa"/>
            <w:vAlign w:val="bottom"/>
          </w:tcPr>
          <w:p>
            <w:pPr>
              <w:jc w:val="right"/>
              <w:ind w:right="412"/>
              <w:spacing w:after="0"/>
              <w:rPr>
                <w:sz w:val="20"/>
                <w:szCs w:val="20"/>
                <w:color w:val="auto"/>
              </w:rPr>
            </w:pPr>
            <w:r>
              <w:rPr>
                <w:rFonts w:ascii="Arial" w:cs="Arial" w:eastAsia="Arial" w:hAnsi="Arial"/>
                <w:sz w:val="14"/>
                <w:szCs w:val="14"/>
                <w:color w:val="14202A"/>
              </w:rPr>
              <w:t>105,000</w:t>
            </w:r>
          </w:p>
        </w:tc>
        <w:tc>
          <w:tcPr>
            <w:tcW w:w="1260" w:type="dxa"/>
            <w:vAlign w:val="bottom"/>
          </w:tcPr>
          <w:p>
            <w:pPr>
              <w:jc w:val="right"/>
              <w:ind w:right="271"/>
              <w:spacing w:after="0"/>
              <w:rPr>
                <w:sz w:val="20"/>
                <w:szCs w:val="20"/>
                <w:color w:val="auto"/>
              </w:rPr>
            </w:pPr>
            <w:r>
              <w:rPr>
                <w:rFonts w:ascii="Arial" w:cs="Arial" w:eastAsia="Arial" w:hAnsi="Arial"/>
                <w:sz w:val="14"/>
                <w:szCs w:val="14"/>
                <w:color w:val="14202A"/>
              </w:rPr>
              <w:t>150,000</w:t>
            </w:r>
          </w:p>
        </w:tc>
        <w:tc>
          <w:tcPr>
            <w:tcW w:w="162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340" w:type="dxa"/>
            <w:vAlign w:val="bottom"/>
          </w:tcPr>
          <w:p>
            <w:pPr>
              <w:jc w:val="right"/>
              <w:ind w:right="450"/>
              <w:spacing w:after="0"/>
              <w:rPr>
                <w:sz w:val="20"/>
                <w:szCs w:val="20"/>
                <w:color w:val="auto"/>
              </w:rPr>
            </w:pPr>
            <w:r>
              <w:rPr>
                <w:rFonts w:ascii="Arial" w:cs="Arial" w:eastAsia="Arial" w:hAnsi="Arial"/>
                <w:sz w:val="14"/>
                <w:szCs w:val="14"/>
                <w:color w:val="14202A"/>
              </w:rPr>
              <w:t>255,000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4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Christopher J. Braun</w:t>
            </w:r>
          </w:p>
        </w:tc>
        <w:tc>
          <w:tcPr>
            <w:tcW w:w="2340" w:type="dxa"/>
            <w:vAlign w:val="bottom"/>
          </w:tcPr>
          <w:p>
            <w:pPr>
              <w:jc w:val="right"/>
              <w:ind w:right="412"/>
              <w:spacing w:after="0"/>
              <w:rPr>
                <w:sz w:val="20"/>
                <w:szCs w:val="20"/>
                <w:color w:val="auto"/>
              </w:rPr>
            </w:pPr>
            <w:r>
              <w:rPr>
                <w:rFonts w:ascii="Arial" w:cs="Arial" w:eastAsia="Arial" w:hAnsi="Arial"/>
                <w:sz w:val="14"/>
                <w:szCs w:val="14"/>
                <w:color w:val="14202A"/>
              </w:rPr>
              <w:t>90,000</w:t>
            </w:r>
          </w:p>
        </w:tc>
        <w:tc>
          <w:tcPr>
            <w:tcW w:w="1260" w:type="dxa"/>
            <w:vAlign w:val="bottom"/>
          </w:tcPr>
          <w:p>
            <w:pPr>
              <w:jc w:val="right"/>
              <w:ind w:right="271"/>
              <w:spacing w:after="0"/>
              <w:rPr>
                <w:sz w:val="20"/>
                <w:szCs w:val="20"/>
                <w:color w:val="auto"/>
              </w:rPr>
            </w:pPr>
            <w:r>
              <w:rPr>
                <w:rFonts w:ascii="Arial" w:cs="Arial" w:eastAsia="Arial" w:hAnsi="Arial"/>
                <w:sz w:val="14"/>
                <w:szCs w:val="14"/>
                <w:color w:val="14202A"/>
              </w:rPr>
              <w:t>150,000</w:t>
            </w:r>
          </w:p>
        </w:tc>
        <w:tc>
          <w:tcPr>
            <w:tcW w:w="162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340" w:type="dxa"/>
            <w:vAlign w:val="bottom"/>
          </w:tcPr>
          <w:p>
            <w:pPr>
              <w:jc w:val="right"/>
              <w:ind w:right="450"/>
              <w:spacing w:after="0"/>
              <w:rPr>
                <w:sz w:val="20"/>
                <w:szCs w:val="20"/>
                <w:color w:val="auto"/>
              </w:rPr>
            </w:pPr>
            <w:r>
              <w:rPr>
                <w:rFonts w:ascii="Arial" w:cs="Arial" w:eastAsia="Arial" w:hAnsi="Arial"/>
                <w:sz w:val="14"/>
                <w:szCs w:val="14"/>
                <w:color w:val="14202A"/>
              </w:rPr>
              <w:t>240,000</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4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Kevin E. Bryant</w:t>
            </w:r>
          </w:p>
        </w:tc>
        <w:tc>
          <w:tcPr>
            <w:tcW w:w="2340" w:type="dxa"/>
            <w:vAlign w:val="bottom"/>
          </w:tcPr>
          <w:p>
            <w:pPr>
              <w:jc w:val="center"/>
              <w:ind w:left="772"/>
              <w:spacing w:after="0"/>
              <w:rPr>
                <w:sz w:val="20"/>
                <w:szCs w:val="20"/>
                <w:color w:val="auto"/>
              </w:rPr>
            </w:pPr>
            <w:r>
              <w:rPr>
                <w:rFonts w:ascii="Arial" w:cs="Arial" w:eastAsia="Arial" w:hAnsi="Arial"/>
                <w:sz w:val="14"/>
                <w:szCs w:val="14"/>
                <w:color w:val="14202A"/>
                <w:w w:val="98"/>
              </w:rPr>
              <w:t>110,000</w:t>
            </w:r>
          </w:p>
        </w:tc>
        <w:tc>
          <w:tcPr>
            <w:tcW w:w="1260" w:type="dxa"/>
            <w:vAlign w:val="bottom"/>
          </w:tcPr>
          <w:p>
            <w:pPr>
              <w:jc w:val="right"/>
              <w:ind w:right="271"/>
              <w:spacing w:after="0"/>
              <w:rPr>
                <w:sz w:val="20"/>
                <w:szCs w:val="20"/>
                <w:color w:val="auto"/>
              </w:rPr>
            </w:pPr>
            <w:r>
              <w:rPr>
                <w:rFonts w:ascii="Arial" w:cs="Arial" w:eastAsia="Arial" w:hAnsi="Arial"/>
                <w:sz w:val="14"/>
                <w:szCs w:val="14"/>
                <w:color w:val="14202A"/>
              </w:rPr>
              <w:t>150,000</w:t>
            </w:r>
          </w:p>
        </w:tc>
        <w:tc>
          <w:tcPr>
            <w:tcW w:w="162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340" w:type="dxa"/>
            <w:vAlign w:val="bottom"/>
          </w:tcPr>
          <w:p>
            <w:pPr>
              <w:jc w:val="right"/>
              <w:ind w:right="450"/>
              <w:spacing w:after="0"/>
              <w:rPr>
                <w:sz w:val="20"/>
                <w:szCs w:val="20"/>
                <w:color w:val="auto"/>
              </w:rPr>
            </w:pPr>
            <w:r>
              <w:rPr>
                <w:rFonts w:ascii="Arial" w:cs="Arial" w:eastAsia="Arial" w:hAnsi="Arial"/>
                <w:sz w:val="14"/>
                <w:szCs w:val="14"/>
                <w:color w:val="14202A"/>
              </w:rPr>
              <w:t>260,000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4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William C. Fisher</w:t>
            </w:r>
          </w:p>
        </w:tc>
        <w:tc>
          <w:tcPr>
            <w:tcW w:w="2340" w:type="dxa"/>
            <w:vAlign w:val="bottom"/>
          </w:tcPr>
          <w:p>
            <w:pPr>
              <w:jc w:val="right"/>
              <w:ind w:right="412"/>
              <w:spacing w:after="0"/>
              <w:rPr>
                <w:sz w:val="20"/>
                <w:szCs w:val="20"/>
                <w:color w:val="auto"/>
              </w:rPr>
            </w:pPr>
            <w:r>
              <w:rPr>
                <w:rFonts w:ascii="Arial" w:cs="Arial" w:eastAsia="Arial" w:hAnsi="Arial"/>
                <w:sz w:val="14"/>
                <w:szCs w:val="14"/>
                <w:color w:val="14202A"/>
              </w:rPr>
              <w:t>90,000</w:t>
            </w:r>
          </w:p>
        </w:tc>
        <w:tc>
          <w:tcPr>
            <w:tcW w:w="1260" w:type="dxa"/>
            <w:vAlign w:val="bottom"/>
          </w:tcPr>
          <w:p>
            <w:pPr>
              <w:jc w:val="right"/>
              <w:ind w:right="271"/>
              <w:spacing w:after="0"/>
              <w:rPr>
                <w:sz w:val="20"/>
                <w:szCs w:val="20"/>
                <w:color w:val="auto"/>
              </w:rPr>
            </w:pPr>
            <w:r>
              <w:rPr>
                <w:rFonts w:ascii="Arial" w:cs="Arial" w:eastAsia="Arial" w:hAnsi="Arial"/>
                <w:sz w:val="14"/>
                <w:szCs w:val="14"/>
                <w:color w:val="14202A"/>
              </w:rPr>
              <w:t>150,000</w:t>
            </w:r>
          </w:p>
        </w:tc>
        <w:tc>
          <w:tcPr>
            <w:tcW w:w="162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340" w:type="dxa"/>
            <w:vAlign w:val="bottom"/>
          </w:tcPr>
          <w:p>
            <w:pPr>
              <w:jc w:val="right"/>
              <w:ind w:right="450"/>
              <w:spacing w:after="0"/>
              <w:rPr>
                <w:sz w:val="20"/>
                <w:szCs w:val="20"/>
                <w:color w:val="auto"/>
              </w:rPr>
            </w:pPr>
            <w:r>
              <w:rPr>
                <w:rFonts w:ascii="Arial" w:cs="Arial" w:eastAsia="Arial" w:hAnsi="Arial"/>
                <w:sz w:val="14"/>
                <w:szCs w:val="14"/>
                <w:color w:val="14202A"/>
              </w:rPr>
              <w:t>240,000</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4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Staci L. Kroon</w:t>
            </w:r>
          </w:p>
        </w:tc>
        <w:tc>
          <w:tcPr>
            <w:tcW w:w="2340" w:type="dxa"/>
            <w:vAlign w:val="bottom"/>
          </w:tcPr>
          <w:p>
            <w:pPr>
              <w:jc w:val="right"/>
              <w:ind w:right="412"/>
              <w:spacing w:after="0"/>
              <w:rPr>
                <w:sz w:val="20"/>
                <w:szCs w:val="20"/>
                <w:color w:val="auto"/>
              </w:rPr>
            </w:pPr>
            <w:r>
              <w:rPr>
                <w:rFonts w:ascii="Arial" w:cs="Arial" w:eastAsia="Arial" w:hAnsi="Arial"/>
                <w:sz w:val="14"/>
                <w:szCs w:val="14"/>
                <w:color w:val="14202A"/>
              </w:rPr>
              <w:t>105,000</w:t>
            </w:r>
          </w:p>
        </w:tc>
        <w:tc>
          <w:tcPr>
            <w:tcW w:w="1260" w:type="dxa"/>
            <w:vAlign w:val="bottom"/>
          </w:tcPr>
          <w:p>
            <w:pPr>
              <w:jc w:val="right"/>
              <w:ind w:right="271"/>
              <w:spacing w:after="0"/>
              <w:rPr>
                <w:sz w:val="20"/>
                <w:szCs w:val="20"/>
                <w:color w:val="auto"/>
              </w:rPr>
            </w:pPr>
            <w:r>
              <w:rPr>
                <w:rFonts w:ascii="Arial" w:cs="Arial" w:eastAsia="Arial" w:hAnsi="Arial"/>
                <w:sz w:val="14"/>
                <w:szCs w:val="14"/>
                <w:color w:val="14202A"/>
              </w:rPr>
              <w:t>150,000</w:t>
            </w:r>
          </w:p>
        </w:tc>
        <w:tc>
          <w:tcPr>
            <w:tcW w:w="162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340" w:type="dxa"/>
            <w:vAlign w:val="bottom"/>
          </w:tcPr>
          <w:p>
            <w:pPr>
              <w:jc w:val="right"/>
              <w:ind w:right="450"/>
              <w:spacing w:after="0"/>
              <w:rPr>
                <w:sz w:val="20"/>
                <w:szCs w:val="20"/>
                <w:color w:val="auto"/>
              </w:rPr>
            </w:pPr>
            <w:r>
              <w:rPr>
                <w:rFonts w:ascii="Arial" w:cs="Arial" w:eastAsia="Arial" w:hAnsi="Arial"/>
                <w:sz w:val="14"/>
                <w:szCs w:val="14"/>
                <w:color w:val="14202A"/>
              </w:rPr>
              <w:t>255,000</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4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David W. Miles</w:t>
            </w:r>
          </w:p>
        </w:tc>
        <w:tc>
          <w:tcPr>
            <w:tcW w:w="2340" w:type="dxa"/>
            <w:vAlign w:val="bottom"/>
          </w:tcPr>
          <w:p>
            <w:pPr>
              <w:jc w:val="right"/>
              <w:ind w:right="412"/>
              <w:spacing w:after="0"/>
              <w:rPr>
                <w:sz w:val="20"/>
                <w:szCs w:val="20"/>
                <w:color w:val="auto"/>
              </w:rPr>
            </w:pPr>
            <w:r>
              <w:rPr>
                <w:rFonts w:ascii="Arial" w:cs="Arial" w:eastAsia="Arial" w:hAnsi="Arial"/>
                <w:sz w:val="14"/>
                <w:szCs w:val="14"/>
                <w:color w:val="14202A"/>
              </w:rPr>
              <w:t>134,355</w:t>
            </w:r>
          </w:p>
        </w:tc>
        <w:tc>
          <w:tcPr>
            <w:tcW w:w="1260" w:type="dxa"/>
            <w:vAlign w:val="bottom"/>
          </w:tcPr>
          <w:p>
            <w:pPr>
              <w:jc w:val="right"/>
              <w:ind w:right="271"/>
              <w:spacing w:after="0"/>
              <w:rPr>
                <w:sz w:val="20"/>
                <w:szCs w:val="20"/>
                <w:color w:val="auto"/>
              </w:rPr>
            </w:pPr>
            <w:r>
              <w:rPr>
                <w:rFonts w:ascii="Arial" w:cs="Arial" w:eastAsia="Arial" w:hAnsi="Arial"/>
                <w:sz w:val="14"/>
                <w:szCs w:val="14"/>
                <w:color w:val="14202A"/>
              </w:rPr>
              <w:t>150,000</w:t>
            </w:r>
          </w:p>
        </w:tc>
        <w:tc>
          <w:tcPr>
            <w:tcW w:w="162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340" w:type="dxa"/>
            <w:vAlign w:val="bottom"/>
          </w:tcPr>
          <w:p>
            <w:pPr>
              <w:jc w:val="right"/>
              <w:ind w:right="450"/>
              <w:spacing w:after="0"/>
              <w:rPr>
                <w:sz w:val="20"/>
                <w:szCs w:val="20"/>
                <w:color w:val="auto"/>
              </w:rPr>
            </w:pPr>
            <w:r>
              <w:rPr>
                <w:rFonts w:ascii="Arial" w:cs="Arial" w:eastAsia="Arial" w:hAnsi="Arial"/>
                <w:sz w:val="14"/>
                <w:szCs w:val="14"/>
                <w:color w:val="14202A"/>
              </w:rPr>
              <w:t>284,355</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4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John M. Murabito</w:t>
            </w:r>
          </w:p>
        </w:tc>
        <w:tc>
          <w:tcPr>
            <w:tcW w:w="2340" w:type="dxa"/>
            <w:vAlign w:val="bottom"/>
          </w:tcPr>
          <w:p>
            <w:pPr>
              <w:jc w:val="right"/>
              <w:ind w:right="412"/>
              <w:spacing w:after="0"/>
              <w:rPr>
                <w:sz w:val="20"/>
                <w:szCs w:val="20"/>
                <w:color w:val="auto"/>
              </w:rPr>
            </w:pPr>
            <w:r>
              <w:rPr>
                <w:rFonts w:ascii="Arial" w:cs="Arial" w:eastAsia="Arial" w:hAnsi="Arial"/>
                <w:sz w:val="14"/>
                <w:szCs w:val="14"/>
                <w:color w:val="14202A"/>
              </w:rPr>
              <w:t>210,645</w:t>
            </w:r>
          </w:p>
        </w:tc>
        <w:tc>
          <w:tcPr>
            <w:tcW w:w="1260" w:type="dxa"/>
            <w:vAlign w:val="bottom"/>
          </w:tcPr>
          <w:p>
            <w:pPr>
              <w:jc w:val="right"/>
              <w:ind w:right="271"/>
              <w:spacing w:after="0"/>
              <w:rPr>
                <w:sz w:val="20"/>
                <w:szCs w:val="20"/>
                <w:color w:val="auto"/>
              </w:rPr>
            </w:pPr>
            <w:r>
              <w:rPr>
                <w:rFonts w:ascii="Arial" w:cs="Arial" w:eastAsia="Arial" w:hAnsi="Arial"/>
                <w:sz w:val="14"/>
                <w:szCs w:val="14"/>
                <w:color w:val="14202A"/>
              </w:rPr>
              <w:t>150,000</w:t>
            </w:r>
          </w:p>
        </w:tc>
        <w:tc>
          <w:tcPr>
            <w:tcW w:w="162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340" w:type="dxa"/>
            <w:vAlign w:val="bottom"/>
          </w:tcPr>
          <w:p>
            <w:pPr>
              <w:jc w:val="right"/>
              <w:ind w:right="450"/>
              <w:spacing w:after="0"/>
              <w:rPr>
                <w:sz w:val="20"/>
                <w:szCs w:val="20"/>
                <w:color w:val="auto"/>
              </w:rPr>
            </w:pPr>
            <w:r>
              <w:rPr>
                <w:rFonts w:ascii="Arial" w:cs="Arial" w:eastAsia="Arial" w:hAnsi="Arial"/>
                <w:sz w:val="14"/>
                <w:szCs w:val="14"/>
                <w:color w:val="14202A"/>
              </w:rPr>
              <w:t>360,645</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4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Michael E. Pack</w:t>
            </w:r>
          </w:p>
        </w:tc>
        <w:tc>
          <w:tcPr>
            <w:tcW w:w="2340" w:type="dxa"/>
            <w:vAlign w:val="bottom"/>
          </w:tcPr>
          <w:p>
            <w:pPr>
              <w:jc w:val="right"/>
              <w:ind w:right="412"/>
              <w:spacing w:after="0"/>
              <w:rPr>
                <w:sz w:val="20"/>
                <w:szCs w:val="20"/>
                <w:color w:val="auto"/>
              </w:rPr>
            </w:pPr>
            <w:r>
              <w:rPr>
                <w:rFonts w:ascii="Arial" w:cs="Arial" w:eastAsia="Arial" w:hAnsi="Arial"/>
                <w:sz w:val="14"/>
                <w:szCs w:val="14"/>
                <w:color w:val="14202A"/>
              </w:rPr>
              <w:t>90,000</w:t>
            </w:r>
          </w:p>
        </w:tc>
        <w:tc>
          <w:tcPr>
            <w:tcW w:w="1260" w:type="dxa"/>
            <w:vAlign w:val="bottom"/>
          </w:tcPr>
          <w:p>
            <w:pPr>
              <w:jc w:val="right"/>
              <w:ind w:right="271"/>
              <w:spacing w:after="0"/>
              <w:rPr>
                <w:sz w:val="20"/>
                <w:szCs w:val="20"/>
                <w:color w:val="auto"/>
              </w:rPr>
            </w:pPr>
            <w:r>
              <w:rPr>
                <w:rFonts w:ascii="Arial" w:cs="Arial" w:eastAsia="Arial" w:hAnsi="Arial"/>
                <w:sz w:val="14"/>
                <w:szCs w:val="14"/>
                <w:color w:val="14202A"/>
              </w:rPr>
              <w:t>150,000</w:t>
            </w:r>
          </w:p>
        </w:tc>
        <w:tc>
          <w:tcPr>
            <w:tcW w:w="162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340" w:type="dxa"/>
            <w:vAlign w:val="bottom"/>
          </w:tcPr>
          <w:p>
            <w:pPr>
              <w:jc w:val="right"/>
              <w:ind w:right="450"/>
              <w:spacing w:after="0"/>
              <w:rPr>
                <w:sz w:val="20"/>
                <w:szCs w:val="20"/>
                <w:color w:val="auto"/>
              </w:rPr>
            </w:pPr>
            <w:r>
              <w:rPr>
                <w:rFonts w:ascii="Arial" w:cs="Arial" w:eastAsia="Arial" w:hAnsi="Arial"/>
                <w:sz w:val="14"/>
                <w:szCs w:val="14"/>
                <w:color w:val="14202A"/>
              </w:rPr>
              <w:t>240,000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4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Emily R. Silver</w:t>
            </w:r>
          </w:p>
        </w:tc>
        <w:tc>
          <w:tcPr>
            <w:tcW w:w="2340" w:type="dxa"/>
            <w:vAlign w:val="bottom"/>
          </w:tcPr>
          <w:p>
            <w:pPr>
              <w:jc w:val="right"/>
              <w:ind w:right="412"/>
              <w:spacing w:after="0"/>
              <w:rPr>
                <w:sz w:val="20"/>
                <w:szCs w:val="20"/>
                <w:color w:val="auto"/>
              </w:rPr>
            </w:pPr>
            <w:r>
              <w:rPr>
                <w:rFonts w:ascii="Arial" w:cs="Arial" w:eastAsia="Arial" w:hAnsi="Arial"/>
                <w:sz w:val="14"/>
                <w:szCs w:val="14"/>
                <w:color w:val="14202A"/>
              </w:rPr>
              <w:t>30,000</w:t>
            </w:r>
          </w:p>
        </w:tc>
        <w:tc>
          <w:tcPr>
            <w:tcW w:w="1260" w:type="dxa"/>
            <w:vAlign w:val="bottom"/>
          </w:tcPr>
          <w:p>
            <w:pPr>
              <w:jc w:val="right"/>
              <w:ind w:right="271"/>
              <w:spacing w:after="0"/>
              <w:rPr>
                <w:sz w:val="20"/>
                <w:szCs w:val="20"/>
                <w:color w:val="auto"/>
              </w:rPr>
            </w:pPr>
            <w:r>
              <w:rPr>
                <w:rFonts w:ascii="Arial" w:cs="Arial" w:eastAsia="Arial" w:hAnsi="Arial"/>
                <w:sz w:val="14"/>
                <w:szCs w:val="14"/>
                <w:color w:val="14202A"/>
              </w:rPr>
              <w:t>49,727</w:t>
            </w:r>
          </w:p>
        </w:tc>
        <w:tc>
          <w:tcPr>
            <w:tcW w:w="162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340" w:type="dxa"/>
            <w:vAlign w:val="bottom"/>
          </w:tcPr>
          <w:p>
            <w:pPr>
              <w:jc w:val="right"/>
              <w:ind w:right="450"/>
              <w:spacing w:after="0"/>
              <w:rPr>
                <w:sz w:val="20"/>
                <w:szCs w:val="20"/>
                <w:color w:val="auto"/>
              </w:rPr>
            </w:pPr>
            <w:r>
              <w:rPr>
                <w:rFonts w:ascii="Arial" w:cs="Arial" w:eastAsia="Arial" w:hAnsi="Arial"/>
                <w:sz w:val="14"/>
                <w:szCs w:val="14"/>
                <w:color w:val="14202A"/>
              </w:rPr>
              <w:t>79,727</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2620" w:type="dxa"/>
            <w:vAlign w:val="bottom"/>
            <w:tcBorders>
              <w:bottom w:val="single" w:sz="8" w:color="14202A"/>
            </w:tcBorders>
          </w:tcPr>
          <w:p>
            <w:pPr>
              <w:spacing w:after="0" w:line="20" w:lineRule="exact"/>
              <w:rPr>
                <w:sz w:val="1"/>
                <w:szCs w:val="1"/>
                <w:color w:val="auto"/>
              </w:rPr>
            </w:pPr>
          </w:p>
        </w:tc>
        <w:tc>
          <w:tcPr>
            <w:tcW w:w="2340" w:type="dxa"/>
            <w:vAlign w:val="bottom"/>
            <w:tcBorders>
              <w:bottom w:val="single" w:sz="8" w:color="14202A"/>
            </w:tcBorders>
          </w:tcPr>
          <w:p>
            <w:pPr>
              <w:spacing w:after="0" w:line="20" w:lineRule="exact"/>
              <w:rPr>
                <w:sz w:val="1"/>
                <w:szCs w:val="1"/>
                <w:color w:val="auto"/>
              </w:rPr>
            </w:pPr>
          </w:p>
        </w:tc>
        <w:tc>
          <w:tcPr>
            <w:tcW w:w="1260" w:type="dxa"/>
            <w:vAlign w:val="bottom"/>
            <w:tcBorders>
              <w:bottom w:val="single" w:sz="8" w:color="14202A"/>
            </w:tcBorders>
          </w:tcPr>
          <w:p>
            <w:pPr>
              <w:spacing w:after="0" w:line="20" w:lineRule="exact"/>
              <w:rPr>
                <w:sz w:val="1"/>
                <w:szCs w:val="1"/>
                <w:color w:val="auto"/>
              </w:rPr>
            </w:pPr>
          </w:p>
        </w:tc>
        <w:tc>
          <w:tcPr>
            <w:tcW w:w="1620" w:type="dxa"/>
            <w:vAlign w:val="bottom"/>
            <w:tcBorders>
              <w:bottom w:val="single" w:sz="8" w:color="14202A"/>
            </w:tcBorders>
          </w:tcPr>
          <w:p>
            <w:pPr>
              <w:spacing w:after="0" w:line="20" w:lineRule="exact"/>
              <w:rPr>
                <w:sz w:val="1"/>
                <w:szCs w:val="1"/>
                <w:color w:val="auto"/>
              </w:rPr>
            </w:pPr>
          </w:p>
        </w:tc>
        <w:tc>
          <w:tcPr>
            <w:tcW w:w="134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60"/>
        <w:spacing w:after="0"/>
        <w:tabs>
          <w:tab w:leader="none" w:pos="360" w:val="left"/>
        </w:tabs>
        <w:numPr>
          <w:ilvl w:val="0"/>
          <w:numId w:val="14"/>
        </w:numPr>
        <w:rPr>
          <w:rFonts w:ascii="Arial" w:cs="Arial" w:eastAsia="Arial" w:hAnsi="Arial"/>
          <w:sz w:val="13"/>
          <w:szCs w:val="13"/>
          <w:color w:val="14202A"/>
        </w:rPr>
      </w:pPr>
      <w:r>
        <w:rPr>
          <w:rFonts w:ascii="Arial" w:cs="Arial" w:eastAsia="Arial" w:hAnsi="Arial"/>
          <w:sz w:val="13"/>
          <w:szCs w:val="13"/>
          <w:color w:val="14202A"/>
        </w:rPr>
        <w:t>Our directors may elect to receive retainer fees in cash or may defer their retainer fees into the Directors’ Deferred Plan.</w:t>
      </w:r>
    </w:p>
    <w:p>
      <w:pPr>
        <w:spacing w:after="0" w:line="39" w:lineRule="exact"/>
        <w:rPr>
          <w:rFonts w:ascii="Arial" w:cs="Arial" w:eastAsia="Arial" w:hAnsi="Arial"/>
          <w:sz w:val="13"/>
          <w:szCs w:val="13"/>
          <w:color w:val="14202A"/>
        </w:rPr>
      </w:pPr>
    </w:p>
    <w:p>
      <w:pPr>
        <w:ind w:left="360" w:right="180" w:hanging="360"/>
        <w:spacing w:after="0" w:line="281" w:lineRule="auto"/>
        <w:tabs>
          <w:tab w:leader="none" w:pos="360" w:val="left"/>
        </w:tabs>
        <w:numPr>
          <w:ilvl w:val="0"/>
          <w:numId w:val="14"/>
        </w:numPr>
        <w:rPr>
          <w:rFonts w:ascii="Arial" w:cs="Arial" w:eastAsia="Arial" w:hAnsi="Arial"/>
          <w:sz w:val="12"/>
          <w:szCs w:val="12"/>
          <w:color w:val="14202A"/>
        </w:rPr>
      </w:pPr>
      <w:r>
        <w:rPr>
          <w:rFonts w:ascii="Arial" w:cs="Arial" w:eastAsia="Arial" w:hAnsi="Arial"/>
          <w:sz w:val="12"/>
          <w:szCs w:val="12"/>
          <w:color w:val="14202A"/>
        </w:rPr>
        <w:t>During Fiscal 2026, the Board Chair received an additional $150,000 per year, the Audit and Finance Committee Chair received an additional $20,000 annual retainer, and the Chairs of the other Board committees received an additional $15,000 annual retainer, each of which are reflected in these figures.</w:t>
      </w:r>
    </w:p>
    <w:p>
      <w:pPr>
        <w:ind w:left="360" w:right="280" w:hanging="360"/>
        <w:spacing w:after="0" w:line="243" w:lineRule="auto"/>
        <w:tabs>
          <w:tab w:leader="none" w:pos="360" w:val="left"/>
        </w:tabs>
        <w:numPr>
          <w:ilvl w:val="0"/>
          <w:numId w:val="14"/>
        </w:numPr>
        <w:rPr>
          <w:rFonts w:ascii="Arial" w:cs="Arial" w:eastAsia="Arial" w:hAnsi="Arial"/>
          <w:sz w:val="13"/>
          <w:szCs w:val="13"/>
          <w:color w:val="14202A"/>
        </w:rPr>
      </w:pPr>
      <w:r>
        <w:rPr>
          <w:rFonts w:ascii="Arial" w:cs="Arial" w:eastAsia="Arial" w:hAnsi="Arial"/>
          <w:sz w:val="13"/>
          <w:szCs w:val="13"/>
          <w:color w:val="14202A"/>
        </w:rPr>
        <w:t>These awards are valued at $30.75 per share, the closing stock price on October 14, 2025, the date of the restricted stock unit grant, except for Ms. Silver’s award, which is valued at $32.02, the closing stock price on May 1, 2026, the date of her restricted stock unit grant.</w:t>
      </w:r>
    </w:p>
    <w:p>
      <w:pPr>
        <w:spacing w:after="0" w:line="21" w:lineRule="exact"/>
        <w:rPr>
          <w:rFonts w:ascii="Arial" w:cs="Arial" w:eastAsia="Arial" w:hAnsi="Arial"/>
          <w:sz w:val="13"/>
          <w:szCs w:val="13"/>
          <w:color w:val="14202A"/>
        </w:rPr>
      </w:pPr>
    </w:p>
    <w:p>
      <w:pPr>
        <w:ind w:left="360" w:hanging="360"/>
        <w:spacing w:after="0"/>
        <w:tabs>
          <w:tab w:leader="none" w:pos="360" w:val="left"/>
        </w:tabs>
        <w:numPr>
          <w:ilvl w:val="0"/>
          <w:numId w:val="14"/>
        </w:numPr>
        <w:rPr>
          <w:rFonts w:ascii="Arial" w:cs="Arial" w:eastAsia="Arial" w:hAnsi="Arial"/>
          <w:sz w:val="13"/>
          <w:szCs w:val="13"/>
          <w:color w:val="14202A"/>
        </w:rPr>
      </w:pPr>
      <w:r>
        <w:rPr>
          <w:rFonts w:ascii="Arial" w:cs="Arial" w:eastAsia="Arial" w:hAnsi="Arial"/>
          <w:sz w:val="13"/>
          <w:szCs w:val="13"/>
          <w:color w:val="14202A"/>
        </w:rPr>
        <w:t>None of the directors received perquisites and other personal benefits with an aggregate incremental value of $10,000 or more.</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Non-Employee Director Equity Awards Outstanding as of August 29, 2026</w:t>
      </w:r>
    </w:p>
    <w:p>
      <w:pPr>
        <w:spacing w:after="0" w:line="180"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14202A"/>
        </w:rPr>
        <w:t>As of August 29, 2026, our non-employee directors held the restricted stock, restricted stock units, and deferred stock units set forth below. The deferred stock units were granted under the Directors’ Deferred Plan described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0" w:type="dxa"/>
            <w:vAlign w:val="bottom"/>
            <w:shd w:val="clear" w:color="auto" w:fill="14202A"/>
          </w:tcPr>
          <w:p>
            <w:pPr>
              <w:spacing w:after="0"/>
              <w:rPr>
                <w:sz w:val="22"/>
                <w:szCs w:val="22"/>
                <w:color w:val="auto"/>
              </w:rPr>
            </w:pPr>
          </w:p>
        </w:tc>
        <w:tc>
          <w:tcPr>
            <w:tcW w:w="4100" w:type="dxa"/>
            <w:vAlign w:val="bottom"/>
            <w:shd w:val="clear" w:color="auto" w:fill="14202A"/>
          </w:tcPr>
          <w:p>
            <w:pPr>
              <w:spacing w:after="0"/>
              <w:rPr>
                <w:sz w:val="22"/>
                <w:szCs w:val="22"/>
                <w:color w:val="auto"/>
              </w:rPr>
            </w:pPr>
          </w:p>
        </w:tc>
        <w:tc>
          <w:tcPr>
            <w:tcW w:w="4000" w:type="dxa"/>
            <w:vAlign w:val="bottom"/>
            <w:shd w:val="clear" w:color="auto" w:fill="14202A"/>
          </w:tcPr>
          <w:p>
            <w:pPr>
              <w:jc w:val="center"/>
              <w:ind w:left="2250"/>
              <w:spacing w:after="0"/>
              <w:rPr>
                <w:sz w:val="20"/>
                <w:szCs w:val="20"/>
                <w:color w:val="auto"/>
              </w:rPr>
            </w:pPr>
            <w:r>
              <w:rPr>
                <w:rFonts w:ascii="Arial" w:cs="Arial" w:eastAsia="Arial" w:hAnsi="Arial"/>
                <w:sz w:val="13"/>
                <w:szCs w:val="13"/>
                <w:b w:val="1"/>
                <w:bCs w:val="1"/>
                <w:color w:val="FFFFFF"/>
                <w:w w:val="94"/>
              </w:rPr>
              <w:t>Restricted</w:t>
            </w:r>
          </w:p>
        </w:tc>
        <w:tc>
          <w:tcPr>
            <w:tcW w:w="1080" w:type="dxa"/>
            <w:vAlign w:val="bottom"/>
            <w:shd w:val="clear" w:color="auto" w:fill="14202A"/>
          </w:tcPr>
          <w:p>
            <w:pPr>
              <w:jc w:val="center"/>
              <w:ind w:left="170"/>
              <w:spacing w:after="0"/>
              <w:rPr>
                <w:sz w:val="20"/>
                <w:szCs w:val="20"/>
                <w:color w:val="auto"/>
              </w:rPr>
            </w:pPr>
            <w:r>
              <w:rPr>
                <w:rFonts w:ascii="Arial" w:cs="Arial" w:eastAsia="Arial" w:hAnsi="Arial"/>
                <w:sz w:val="13"/>
                <w:szCs w:val="13"/>
                <w:b w:val="1"/>
                <w:bCs w:val="1"/>
                <w:color w:val="FFFFFF"/>
                <w:w w:val="97"/>
              </w:rPr>
              <w:t>Deferred</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410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Director</w:t>
            </w:r>
          </w:p>
        </w:tc>
        <w:tc>
          <w:tcPr>
            <w:tcW w:w="4000" w:type="dxa"/>
            <w:vAlign w:val="bottom"/>
            <w:shd w:val="clear" w:color="auto" w:fill="14202A"/>
          </w:tcPr>
          <w:p>
            <w:pPr>
              <w:jc w:val="center"/>
              <w:ind w:left="2270"/>
              <w:spacing w:after="0" w:line="135" w:lineRule="exact"/>
              <w:rPr>
                <w:sz w:val="20"/>
                <w:szCs w:val="20"/>
                <w:color w:val="auto"/>
              </w:rPr>
            </w:pPr>
            <w:r>
              <w:rPr>
                <w:rFonts w:ascii="Arial" w:cs="Arial" w:eastAsia="Arial" w:hAnsi="Arial"/>
                <w:sz w:val="13"/>
                <w:szCs w:val="13"/>
                <w:b w:val="1"/>
                <w:bCs w:val="1"/>
                <w:color w:val="FFFFFF"/>
                <w:w w:val="96"/>
              </w:rPr>
              <w:t>Stock Awards /</w:t>
            </w:r>
          </w:p>
        </w:tc>
        <w:tc>
          <w:tcPr>
            <w:tcW w:w="1080" w:type="dxa"/>
            <w:vAlign w:val="bottom"/>
            <w:shd w:val="clear" w:color="auto" w:fill="14202A"/>
          </w:tcPr>
          <w:p>
            <w:pPr>
              <w:jc w:val="center"/>
              <w:ind w:left="170"/>
              <w:spacing w:after="0" w:line="135" w:lineRule="exact"/>
              <w:rPr>
                <w:sz w:val="20"/>
                <w:szCs w:val="20"/>
                <w:color w:val="auto"/>
              </w:rPr>
            </w:pPr>
            <w:r>
              <w:rPr>
                <w:rFonts w:ascii="Arial" w:cs="Arial" w:eastAsia="Arial" w:hAnsi="Arial"/>
                <w:sz w:val="13"/>
                <w:szCs w:val="13"/>
                <w:b w:val="1"/>
                <w:bCs w:val="1"/>
                <w:color w:val="FFFFFF"/>
              </w:rPr>
              <w:t>Stock</w:t>
            </w:r>
          </w:p>
        </w:tc>
        <w:tc>
          <w:tcPr>
            <w:tcW w:w="0" w:type="dxa"/>
            <w:vAlign w:val="bottom"/>
          </w:tcPr>
          <w:p>
            <w:pPr>
              <w:spacing w:after="0"/>
              <w:rPr>
                <w:sz w:val="1"/>
                <w:szCs w:val="1"/>
                <w:color w:val="auto"/>
              </w:rPr>
            </w:pPr>
          </w:p>
        </w:tc>
      </w:tr>
      <w:tr>
        <w:trPr>
          <w:trHeight w:val="243"/>
        </w:trPr>
        <w:tc>
          <w:tcPr>
            <w:tcW w:w="100" w:type="dxa"/>
            <w:vAlign w:val="bottom"/>
            <w:shd w:val="clear" w:color="auto" w:fill="14202A"/>
          </w:tcPr>
          <w:p>
            <w:pPr>
              <w:spacing w:after="0"/>
              <w:rPr>
                <w:sz w:val="21"/>
                <w:szCs w:val="21"/>
                <w:color w:val="auto"/>
              </w:rPr>
            </w:pPr>
          </w:p>
        </w:tc>
        <w:tc>
          <w:tcPr>
            <w:tcW w:w="4100" w:type="dxa"/>
            <w:vAlign w:val="bottom"/>
            <w:vMerge w:val="continue"/>
            <w:shd w:val="clear" w:color="auto" w:fill="14202A"/>
          </w:tcPr>
          <w:p>
            <w:pPr>
              <w:spacing w:after="0"/>
              <w:rPr>
                <w:sz w:val="21"/>
                <w:szCs w:val="21"/>
                <w:color w:val="auto"/>
              </w:rPr>
            </w:pPr>
          </w:p>
        </w:tc>
        <w:tc>
          <w:tcPr>
            <w:tcW w:w="4000" w:type="dxa"/>
            <w:vAlign w:val="bottom"/>
            <w:shd w:val="clear" w:color="auto" w:fill="14202A"/>
          </w:tcPr>
          <w:p>
            <w:pPr>
              <w:jc w:val="center"/>
              <w:ind w:left="2290"/>
              <w:spacing w:after="0"/>
              <w:rPr>
                <w:sz w:val="20"/>
                <w:szCs w:val="20"/>
                <w:color w:val="auto"/>
              </w:rPr>
            </w:pPr>
            <w:r>
              <w:rPr>
                <w:rFonts w:ascii="Arial" w:cs="Arial" w:eastAsia="Arial" w:hAnsi="Arial"/>
                <w:sz w:val="13"/>
                <w:szCs w:val="13"/>
                <w:b w:val="1"/>
                <w:bCs w:val="1"/>
                <w:color w:val="FFFFFF"/>
                <w:w w:val="90"/>
              </w:rPr>
              <w:t>Units</w:t>
            </w:r>
            <w:r>
              <w:rPr>
                <w:rFonts w:ascii="Arial" w:cs="Arial" w:eastAsia="Arial" w:hAnsi="Arial"/>
                <w:sz w:val="20"/>
                <w:szCs w:val="20"/>
                <w:b w:val="1"/>
                <w:bCs w:val="1"/>
                <w:color w:val="FFFFFF"/>
                <w:w w:val="90"/>
                <w:vertAlign w:val="superscript"/>
              </w:rPr>
              <w:t>(1)</w:t>
            </w:r>
          </w:p>
        </w:tc>
        <w:tc>
          <w:tcPr>
            <w:tcW w:w="1080" w:type="dxa"/>
            <w:vAlign w:val="bottom"/>
            <w:shd w:val="clear" w:color="auto" w:fill="14202A"/>
          </w:tcPr>
          <w:p>
            <w:pPr>
              <w:jc w:val="center"/>
              <w:ind w:left="210"/>
              <w:spacing w:after="0"/>
              <w:rPr>
                <w:sz w:val="20"/>
                <w:szCs w:val="20"/>
                <w:color w:val="auto"/>
              </w:rPr>
            </w:pPr>
            <w:r>
              <w:rPr>
                <w:rFonts w:ascii="Arial" w:cs="Arial" w:eastAsia="Arial" w:hAnsi="Arial"/>
                <w:sz w:val="13"/>
                <w:szCs w:val="13"/>
                <w:b w:val="1"/>
                <w:bCs w:val="1"/>
                <w:color w:val="FFFFFF"/>
                <w:w w:val="98"/>
              </w:rPr>
              <w:t>Units</w:t>
            </w: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100" w:type="dxa"/>
            <w:vAlign w:val="bottom"/>
          </w:tcPr>
          <w:p>
            <w:pPr>
              <w:ind w:left="60"/>
              <w:spacing w:after="0"/>
              <w:rPr>
                <w:sz w:val="20"/>
                <w:szCs w:val="20"/>
                <w:color w:val="auto"/>
              </w:rPr>
            </w:pPr>
            <w:r>
              <w:rPr>
                <w:rFonts w:ascii="Arial" w:cs="Arial" w:eastAsia="Arial" w:hAnsi="Arial"/>
                <w:sz w:val="14"/>
                <w:szCs w:val="14"/>
                <w:color w:val="14202A"/>
              </w:rPr>
              <w:t>Sara E. Armbruster</w:t>
            </w:r>
          </w:p>
        </w:tc>
        <w:tc>
          <w:tcPr>
            <w:tcW w:w="4000" w:type="dxa"/>
            <w:vAlign w:val="bottom"/>
          </w:tcPr>
          <w:p>
            <w:pPr>
              <w:jc w:val="right"/>
              <w:ind w:right="490"/>
              <w:spacing w:after="0"/>
              <w:rPr>
                <w:sz w:val="20"/>
                <w:szCs w:val="20"/>
                <w:color w:val="auto"/>
              </w:rPr>
            </w:pPr>
            <w:r>
              <w:rPr>
                <w:rFonts w:ascii="Arial" w:cs="Arial" w:eastAsia="Arial" w:hAnsi="Arial"/>
                <w:sz w:val="14"/>
                <w:szCs w:val="14"/>
                <w:color w:val="14202A"/>
              </w:rPr>
              <w:t>4,878</w:t>
            </w:r>
          </w:p>
        </w:tc>
        <w:tc>
          <w:tcPr>
            <w:tcW w:w="1080" w:type="dxa"/>
            <w:vAlign w:val="bottom"/>
          </w:tcPr>
          <w:p>
            <w:pPr>
              <w:jc w:val="right"/>
              <w:ind w:right="9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100" w:type="dxa"/>
            <w:vAlign w:val="bottom"/>
            <w:tcBorders>
              <w:bottom w:val="single" w:sz="8" w:color="14202A"/>
            </w:tcBorders>
          </w:tcPr>
          <w:p>
            <w:pPr>
              <w:spacing w:after="0"/>
              <w:rPr>
                <w:sz w:val="4"/>
                <w:szCs w:val="4"/>
                <w:color w:val="auto"/>
              </w:rPr>
            </w:pPr>
          </w:p>
        </w:tc>
        <w:tc>
          <w:tcPr>
            <w:tcW w:w="400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00" w:type="dxa"/>
            <w:vAlign w:val="bottom"/>
          </w:tcPr>
          <w:p>
            <w:pPr>
              <w:ind w:left="60"/>
              <w:spacing w:after="0"/>
              <w:rPr>
                <w:sz w:val="20"/>
                <w:szCs w:val="20"/>
                <w:color w:val="auto"/>
              </w:rPr>
            </w:pPr>
            <w:r>
              <w:rPr>
                <w:rFonts w:ascii="Arial" w:cs="Arial" w:eastAsia="Arial" w:hAnsi="Arial"/>
                <w:sz w:val="14"/>
                <w:szCs w:val="14"/>
                <w:color w:val="14202A"/>
              </w:rPr>
              <w:t>Christopher J. Braun</w:t>
            </w:r>
          </w:p>
        </w:tc>
        <w:tc>
          <w:tcPr>
            <w:tcW w:w="4000" w:type="dxa"/>
            <w:vAlign w:val="bottom"/>
          </w:tcPr>
          <w:p>
            <w:pPr>
              <w:jc w:val="right"/>
              <w:ind w:right="490"/>
              <w:spacing w:after="0"/>
              <w:rPr>
                <w:sz w:val="20"/>
                <w:szCs w:val="20"/>
                <w:color w:val="auto"/>
              </w:rPr>
            </w:pPr>
            <w:r>
              <w:rPr>
                <w:rFonts w:ascii="Arial" w:cs="Arial" w:eastAsia="Arial" w:hAnsi="Arial"/>
                <w:sz w:val="14"/>
                <w:szCs w:val="14"/>
                <w:color w:val="14202A"/>
              </w:rPr>
              <w:t>9,618</w:t>
            </w:r>
          </w:p>
        </w:tc>
        <w:tc>
          <w:tcPr>
            <w:tcW w:w="1080" w:type="dxa"/>
            <w:vAlign w:val="bottom"/>
          </w:tcPr>
          <w:p>
            <w:pPr>
              <w:jc w:val="right"/>
              <w:ind w:right="9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100" w:type="dxa"/>
            <w:vAlign w:val="bottom"/>
            <w:tcBorders>
              <w:bottom w:val="single" w:sz="8" w:color="14202A"/>
            </w:tcBorders>
          </w:tcPr>
          <w:p>
            <w:pPr>
              <w:spacing w:after="0"/>
              <w:rPr>
                <w:sz w:val="4"/>
                <w:szCs w:val="4"/>
                <w:color w:val="auto"/>
              </w:rPr>
            </w:pPr>
          </w:p>
        </w:tc>
        <w:tc>
          <w:tcPr>
            <w:tcW w:w="400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00" w:type="dxa"/>
            <w:vAlign w:val="bottom"/>
          </w:tcPr>
          <w:p>
            <w:pPr>
              <w:ind w:left="60"/>
              <w:spacing w:after="0"/>
              <w:rPr>
                <w:sz w:val="20"/>
                <w:szCs w:val="20"/>
                <w:color w:val="auto"/>
              </w:rPr>
            </w:pPr>
            <w:r>
              <w:rPr>
                <w:rFonts w:ascii="Arial" w:cs="Arial" w:eastAsia="Arial" w:hAnsi="Arial"/>
                <w:sz w:val="14"/>
                <w:szCs w:val="14"/>
                <w:color w:val="14202A"/>
              </w:rPr>
              <w:t>Kevin E. Bryant</w:t>
            </w:r>
          </w:p>
        </w:tc>
        <w:tc>
          <w:tcPr>
            <w:tcW w:w="4000" w:type="dxa"/>
            <w:vAlign w:val="bottom"/>
          </w:tcPr>
          <w:p>
            <w:pPr>
              <w:jc w:val="right"/>
              <w:ind w:right="490"/>
              <w:spacing w:after="0"/>
              <w:rPr>
                <w:sz w:val="20"/>
                <w:szCs w:val="20"/>
                <w:color w:val="auto"/>
              </w:rPr>
            </w:pPr>
            <w:r>
              <w:rPr>
                <w:rFonts w:ascii="Arial" w:cs="Arial" w:eastAsia="Arial" w:hAnsi="Arial"/>
                <w:sz w:val="14"/>
                <w:szCs w:val="14"/>
                <w:color w:val="14202A"/>
              </w:rPr>
              <w:t>4,878</w:t>
            </w:r>
          </w:p>
        </w:tc>
        <w:tc>
          <w:tcPr>
            <w:tcW w:w="1080" w:type="dxa"/>
            <w:vAlign w:val="bottom"/>
          </w:tcPr>
          <w:p>
            <w:pPr>
              <w:jc w:val="right"/>
              <w:ind w:right="9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100" w:type="dxa"/>
            <w:vAlign w:val="bottom"/>
            <w:tcBorders>
              <w:bottom w:val="single" w:sz="8" w:color="14202A"/>
            </w:tcBorders>
          </w:tcPr>
          <w:p>
            <w:pPr>
              <w:spacing w:after="0"/>
              <w:rPr>
                <w:sz w:val="4"/>
                <w:szCs w:val="4"/>
                <w:color w:val="auto"/>
              </w:rPr>
            </w:pPr>
          </w:p>
        </w:tc>
        <w:tc>
          <w:tcPr>
            <w:tcW w:w="400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00" w:type="dxa"/>
            <w:vAlign w:val="bottom"/>
          </w:tcPr>
          <w:p>
            <w:pPr>
              <w:ind w:left="60"/>
              <w:spacing w:after="0"/>
              <w:rPr>
                <w:sz w:val="20"/>
                <w:szCs w:val="20"/>
                <w:color w:val="auto"/>
              </w:rPr>
            </w:pPr>
            <w:r>
              <w:rPr>
                <w:rFonts w:ascii="Arial" w:cs="Arial" w:eastAsia="Arial" w:hAnsi="Arial"/>
                <w:sz w:val="14"/>
                <w:szCs w:val="14"/>
                <w:color w:val="14202A"/>
              </w:rPr>
              <w:t>William C. Fisher</w:t>
            </w:r>
          </w:p>
        </w:tc>
        <w:tc>
          <w:tcPr>
            <w:tcW w:w="4000" w:type="dxa"/>
            <w:vAlign w:val="bottom"/>
          </w:tcPr>
          <w:p>
            <w:pPr>
              <w:jc w:val="right"/>
              <w:ind w:right="510"/>
              <w:spacing w:after="0"/>
              <w:rPr>
                <w:sz w:val="20"/>
                <w:szCs w:val="20"/>
                <w:color w:val="auto"/>
              </w:rPr>
            </w:pPr>
            <w:r>
              <w:rPr>
                <w:rFonts w:ascii="Arial" w:cs="Arial" w:eastAsia="Arial" w:hAnsi="Arial"/>
                <w:sz w:val="14"/>
                <w:szCs w:val="14"/>
                <w:color w:val="14202A"/>
              </w:rPr>
              <w:t>15,618</w:t>
            </w:r>
          </w:p>
        </w:tc>
        <w:tc>
          <w:tcPr>
            <w:tcW w:w="1080" w:type="dxa"/>
            <w:vAlign w:val="bottom"/>
          </w:tcPr>
          <w:p>
            <w:pPr>
              <w:jc w:val="right"/>
              <w:ind w:right="90"/>
              <w:spacing w:after="0"/>
              <w:rPr>
                <w:sz w:val="20"/>
                <w:szCs w:val="20"/>
                <w:color w:val="auto"/>
              </w:rPr>
            </w:pPr>
            <w:r>
              <w:rPr>
                <w:rFonts w:ascii="Arial" w:cs="Arial" w:eastAsia="Arial" w:hAnsi="Arial"/>
                <w:sz w:val="14"/>
                <w:szCs w:val="14"/>
                <w:color w:val="14202A"/>
              </w:rPr>
              <w:t>6,327</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100" w:type="dxa"/>
            <w:vAlign w:val="bottom"/>
            <w:tcBorders>
              <w:bottom w:val="single" w:sz="8" w:color="14202A"/>
            </w:tcBorders>
          </w:tcPr>
          <w:p>
            <w:pPr>
              <w:spacing w:after="0"/>
              <w:rPr>
                <w:sz w:val="4"/>
                <w:szCs w:val="4"/>
                <w:color w:val="auto"/>
              </w:rPr>
            </w:pPr>
          </w:p>
        </w:tc>
        <w:tc>
          <w:tcPr>
            <w:tcW w:w="400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00" w:type="dxa"/>
            <w:vAlign w:val="bottom"/>
          </w:tcPr>
          <w:p>
            <w:pPr>
              <w:ind w:left="60"/>
              <w:spacing w:after="0"/>
              <w:rPr>
                <w:sz w:val="20"/>
                <w:szCs w:val="20"/>
                <w:color w:val="auto"/>
              </w:rPr>
            </w:pPr>
            <w:r>
              <w:rPr>
                <w:rFonts w:ascii="Arial" w:cs="Arial" w:eastAsia="Arial" w:hAnsi="Arial"/>
                <w:sz w:val="14"/>
                <w:szCs w:val="14"/>
                <w:color w:val="14202A"/>
              </w:rPr>
              <w:t>Staci L. Kroon</w:t>
            </w:r>
          </w:p>
        </w:tc>
        <w:tc>
          <w:tcPr>
            <w:tcW w:w="4000" w:type="dxa"/>
            <w:vAlign w:val="bottom"/>
          </w:tcPr>
          <w:p>
            <w:pPr>
              <w:jc w:val="right"/>
              <w:ind w:right="490"/>
              <w:spacing w:after="0"/>
              <w:rPr>
                <w:sz w:val="20"/>
                <w:szCs w:val="20"/>
                <w:color w:val="auto"/>
              </w:rPr>
            </w:pPr>
            <w:r>
              <w:rPr>
                <w:rFonts w:ascii="Arial" w:cs="Arial" w:eastAsia="Arial" w:hAnsi="Arial"/>
                <w:sz w:val="14"/>
                <w:szCs w:val="14"/>
                <w:color w:val="14202A"/>
              </w:rPr>
              <w:t>4,878</w:t>
            </w:r>
          </w:p>
        </w:tc>
        <w:tc>
          <w:tcPr>
            <w:tcW w:w="1080" w:type="dxa"/>
            <w:vAlign w:val="bottom"/>
          </w:tcPr>
          <w:p>
            <w:pPr>
              <w:jc w:val="right"/>
              <w:ind w:right="9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100" w:type="dxa"/>
            <w:vAlign w:val="bottom"/>
            <w:tcBorders>
              <w:bottom w:val="single" w:sz="8" w:color="14202A"/>
            </w:tcBorders>
          </w:tcPr>
          <w:p>
            <w:pPr>
              <w:spacing w:after="0"/>
              <w:rPr>
                <w:sz w:val="4"/>
                <w:szCs w:val="4"/>
                <w:color w:val="auto"/>
              </w:rPr>
            </w:pPr>
          </w:p>
        </w:tc>
        <w:tc>
          <w:tcPr>
            <w:tcW w:w="400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00" w:type="dxa"/>
            <w:vAlign w:val="bottom"/>
          </w:tcPr>
          <w:p>
            <w:pPr>
              <w:ind w:left="60"/>
              <w:spacing w:after="0"/>
              <w:rPr>
                <w:sz w:val="20"/>
                <w:szCs w:val="20"/>
                <w:color w:val="auto"/>
              </w:rPr>
            </w:pPr>
            <w:r>
              <w:rPr>
                <w:rFonts w:ascii="Arial" w:cs="Arial" w:eastAsia="Arial" w:hAnsi="Arial"/>
                <w:sz w:val="14"/>
                <w:szCs w:val="14"/>
                <w:color w:val="14202A"/>
              </w:rPr>
              <w:t>David W. Miles</w:t>
            </w:r>
          </w:p>
        </w:tc>
        <w:tc>
          <w:tcPr>
            <w:tcW w:w="4000" w:type="dxa"/>
            <w:vAlign w:val="bottom"/>
          </w:tcPr>
          <w:p>
            <w:pPr>
              <w:jc w:val="right"/>
              <w:ind w:right="490"/>
              <w:spacing w:after="0"/>
              <w:rPr>
                <w:sz w:val="20"/>
                <w:szCs w:val="20"/>
                <w:color w:val="auto"/>
              </w:rPr>
            </w:pPr>
            <w:r>
              <w:rPr>
                <w:rFonts w:ascii="Arial" w:cs="Arial" w:eastAsia="Arial" w:hAnsi="Arial"/>
                <w:sz w:val="14"/>
                <w:szCs w:val="14"/>
                <w:color w:val="14202A"/>
              </w:rPr>
              <w:t>9,618</w:t>
            </w:r>
          </w:p>
        </w:tc>
        <w:tc>
          <w:tcPr>
            <w:tcW w:w="1080" w:type="dxa"/>
            <w:vAlign w:val="bottom"/>
          </w:tcPr>
          <w:p>
            <w:pPr>
              <w:jc w:val="right"/>
              <w:ind w:right="90"/>
              <w:spacing w:after="0"/>
              <w:rPr>
                <w:sz w:val="20"/>
                <w:szCs w:val="20"/>
                <w:color w:val="auto"/>
              </w:rPr>
            </w:pPr>
            <w:r>
              <w:rPr>
                <w:rFonts w:ascii="Arial" w:cs="Arial" w:eastAsia="Arial" w:hAnsi="Arial"/>
                <w:sz w:val="14"/>
                <w:szCs w:val="14"/>
                <w:color w:val="14202A"/>
              </w:rPr>
              <w:t>13,355</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100" w:type="dxa"/>
            <w:vAlign w:val="bottom"/>
            <w:tcBorders>
              <w:bottom w:val="single" w:sz="8" w:color="14202A"/>
            </w:tcBorders>
          </w:tcPr>
          <w:p>
            <w:pPr>
              <w:spacing w:after="0"/>
              <w:rPr>
                <w:sz w:val="4"/>
                <w:szCs w:val="4"/>
                <w:color w:val="auto"/>
              </w:rPr>
            </w:pPr>
          </w:p>
        </w:tc>
        <w:tc>
          <w:tcPr>
            <w:tcW w:w="400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00" w:type="dxa"/>
            <w:vAlign w:val="bottom"/>
          </w:tcPr>
          <w:p>
            <w:pPr>
              <w:ind w:left="60"/>
              <w:spacing w:after="0"/>
              <w:rPr>
                <w:sz w:val="20"/>
                <w:szCs w:val="20"/>
                <w:color w:val="auto"/>
              </w:rPr>
            </w:pPr>
            <w:r>
              <w:rPr>
                <w:rFonts w:ascii="Arial" w:cs="Arial" w:eastAsia="Arial" w:hAnsi="Arial"/>
                <w:sz w:val="14"/>
                <w:szCs w:val="14"/>
                <w:color w:val="14202A"/>
              </w:rPr>
              <w:t>John M. Murabito</w:t>
            </w:r>
          </w:p>
        </w:tc>
        <w:tc>
          <w:tcPr>
            <w:tcW w:w="4000" w:type="dxa"/>
            <w:vAlign w:val="bottom"/>
          </w:tcPr>
          <w:p>
            <w:pPr>
              <w:jc w:val="right"/>
              <w:ind w:right="490"/>
              <w:spacing w:after="0"/>
              <w:rPr>
                <w:sz w:val="20"/>
                <w:szCs w:val="20"/>
                <w:color w:val="auto"/>
              </w:rPr>
            </w:pPr>
            <w:r>
              <w:rPr>
                <w:rFonts w:ascii="Arial" w:cs="Arial" w:eastAsia="Arial" w:hAnsi="Arial"/>
                <w:sz w:val="14"/>
                <w:szCs w:val="14"/>
                <w:color w:val="14202A"/>
              </w:rPr>
              <w:t>7,018</w:t>
            </w:r>
          </w:p>
        </w:tc>
        <w:tc>
          <w:tcPr>
            <w:tcW w:w="1080" w:type="dxa"/>
            <w:vAlign w:val="bottom"/>
          </w:tcPr>
          <w:p>
            <w:pPr>
              <w:jc w:val="right"/>
              <w:ind w:right="9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4100" w:type="dxa"/>
            <w:vAlign w:val="bottom"/>
            <w:tcBorders>
              <w:bottom w:val="single" w:sz="8" w:color="14202A"/>
            </w:tcBorders>
          </w:tcPr>
          <w:p>
            <w:pPr>
              <w:spacing w:after="0"/>
              <w:rPr>
                <w:sz w:val="4"/>
                <w:szCs w:val="4"/>
                <w:color w:val="auto"/>
              </w:rPr>
            </w:pPr>
          </w:p>
        </w:tc>
        <w:tc>
          <w:tcPr>
            <w:tcW w:w="400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00" w:type="dxa"/>
            <w:vAlign w:val="bottom"/>
          </w:tcPr>
          <w:p>
            <w:pPr>
              <w:ind w:left="60"/>
              <w:spacing w:after="0"/>
              <w:rPr>
                <w:sz w:val="20"/>
                <w:szCs w:val="20"/>
                <w:color w:val="auto"/>
              </w:rPr>
            </w:pPr>
            <w:r>
              <w:rPr>
                <w:rFonts w:ascii="Arial" w:cs="Arial" w:eastAsia="Arial" w:hAnsi="Arial"/>
                <w:sz w:val="14"/>
                <w:szCs w:val="14"/>
                <w:color w:val="14202A"/>
              </w:rPr>
              <w:t>Michael E. Pack</w:t>
            </w:r>
          </w:p>
        </w:tc>
        <w:tc>
          <w:tcPr>
            <w:tcW w:w="4000" w:type="dxa"/>
            <w:vAlign w:val="bottom"/>
          </w:tcPr>
          <w:p>
            <w:pPr>
              <w:jc w:val="right"/>
              <w:ind w:right="490"/>
              <w:spacing w:after="0"/>
              <w:rPr>
                <w:sz w:val="20"/>
                <w:szCs w:val="20"/>
                <w:color w:val="auto"/>
              </w:rPr>
            </w:pPr>
            <w:r>
              <w:rPr>
                <w:rFonts w:ascii="Arial" w:cs="Arial" w:eastAsia="Arial" w:hAnsi="Arial"/>
                <w:sz w:val="14"/>
                <w:szCs w:val="14"/>
                <w:color w:val="14202A"/>
              </w:rPr>
              <w:t>4,878</w:t>
            </w:r>
          </w:p>
        </w:tc>
        <w:tc>
          <w:tcPr>
            <w:tcW w:w="1080" w:type="dxa"/>
            <w:vAlign w:val="bottom"/>
          </w:tcPr>
          <w:p>
            <w:pPr>
              <w:jc w:val="right"/>
              <w:ind w:right="90"/>
              <w:spacing w:after="0"/>
              <w:rPr>
                <w:sz w:val="20"/>
                <w:szCs w:val="20"/>
                <w:color w:val="auto"/>
              </w:rPr>
            </w:pPr>
            <w:r>
              <w:rPr>
                <w:rFonts w:ascii="Arial" w:cs="Arial" w:eastAsia="Arial" w:hAnsi="Arial"/>
                <w:sz w:val="14"/>
                <w:szCs w:val="14"/>
                <w:color w:val="14202A"/>
              </w:rPr>
              <w:t>4,310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100" w:type="dxa"/>
            <w:vAlign w:val="bottom"/>
            <w:tcBorders>
              <w:bottom w:val="single" w:sz="8" w:color="14202A"/>
            </w:tcBorders>
          </w:tcPr>
          <w:p>
            <w:pPr>
              <w:spacing w:after="0"/>
              <w:rPr>
                <w:sz w:val="4"/>
                <w:szCs w:val="4"/>
                <w:color w:val="auto"/>
              </w:rPr>
            </w:pPr>
          </w:p>
        </w:tc>
        <w:tc>
          <w:tcPr>
            <w:tcW w:w="400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00" w:type="dxa"/>
            <w:vAlign w:val="bottom"/>
          </w:tcPr>
          <w:p>
            <w:pPr>
              <w:ind w:left="60"/>
              <w:spacing w:after="0"/>
              <w:rPr>
                <w:sz w:val="20"/>
                <w:szCs w:val="20"/>
                <w:color w:val="auto"/>
              </w:rPr>
            </w:pPr>
            <w:r>
              <w:rPr>
                <w:rFonts w:ascii="Arial" w:cs="Arial" w:eastAsia="Arial" w:hAnsi="Arial"/>
                <w:sz w:val="14"/>
                <w:szCs w:val="14"/>
                <w:color w:val="14202A"/>
              </w:rPr>
              <w:t>Emily R. Silver</w:t>
            </w:r>
          </w:p>
        </w:tc>
        <w:tc>
          <w:tcPr>
            <w:tcW w:w="4000" w:type="dxa"/>
            <w:vAlign w:val="bottom"/>
          </w:tcPr>
          <w:p>
            <w:pPr>
              <w:jc w:val="right"/>
              <w:ind w:right="490"/>
              <w:spacing w:after="0"/>
              <w:rPr>
                <w:sz w:val="20"/>
                <w:szCs w:val="20"/>
                <w:color w:val="auto"/>
              </w:rPr>
            </w:pPr>
            <w:r>
              <w:rPr>
                <w:rFonts w:ascii="Arial" w:cs="Arial" w:eastAsia="Arial" w:hAnsi="Arial"/>
                <w:sz w:val="14"/>
                <w:szCs w:val="14"/>
                <w:color w:val="14202A"/>
              </w:rPr>
              <w:t>1,553</w:t>
            </w:r>
          </w:p>
        </w:tc>
        <w:tc>
          <w:tcPr>
            <w:tcW w:w="1080" w:type="dxa"/>
            <w:vAlign w:val="bottom"/>
          </w:tcPr>
          <w:p>
            <w:pPr>
              <w:jc w:val="right"/>
              <w:ind w:right="9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4100" w:type="dxa"/>
            <w:vAlign w:val="bottom"/>
            <w:tcBorders>
              <w:bottom w:val="single" w:sz="8" w:color="14202A"/>
            </w:tcBorders>
          </w:tcPr>
          <w:p>
            <w:pPr>
              <w:spacing w:after="0" w:line="20" w:lineRule="exact"/>
              <w:rPr>
                <w:sz w:val="1"/>
                <w:szCs w:val="1"/>
                <w:color w:val="auto"/>
              </w:rPr>
            </w:pPr>
          </w:p>
        </w:tc>
        <w:tc>
          <w:tcPr>
            <w:tcW w:w="4000" w:type="dxa"/>
            <w:vAlign w:val="bottom"/>
            <w:tcBorders>
              <w:bottom w:val="single" w:sz="8" w:color="14202A"/>
            </w:tcBorders>
          </w:tcPr>
          <w:p>
            <w:pPr>
              <w:spacing w:after="0" w:line="20" w:lineRule="exact"/>
              <w:rPr>
                <w:sz w:val="1"/>
                <w:szCs w:val="1"/>
                <w:color w:val="auto"/>
              </w:rPr>
            </w:pPr>
          </w:p>
        </w:tc>
        <w:tc>
          <w:tcPr>
            <w:tcW w:w="108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20" w:hanging="360"/>
        <w:spacing w:after="0" w:line="233" w:lineRule="auto"/>
        <w:tabs>
          <w:tab w:leader="none" w:pos="360" w:val="left"/>
        </w:tabs>
        <w:numPr>
          <w:ilvl w:val="0"/>
          <w:numId w:val="15"/>
        </w:numPr>
        <w:rPr>
          <w:rFonts w:ascii="Arial" w:cs="Arial" w:eastAsia="Arial" w:hAnsi="Arial"/>
          <w:sz w:val="13"/>
          <w:szCs w:val="13"/>
          <w:color w:val="14202A"/>
        </w:rPr>
      </w:pPr>
      <w:r>
        <w:rPr>
          <w:rFonts w:ascii="Arial" w:cs="Arial" w:eastAsia="Arial" w:hAnsi="Arial"/>
          <w:sz w:val="13"/>
          <w:szCs w:val="13"/>
          <w:color w:val="14202A"/>
        </w:rPr>
        <w:t>Non-employee directors are granted restricted stock units annually as part of the director compensation program and these restricted stock units vest on the one-year anniversary of the date of grant. In addition, Messrs. Braun, Fisher, Miles, and Murabito received grants of restricted stock as part of the non-employee director compensation program in previous years that will vest upon their termination of service from the Board.</w:t>
      </w:r>
    </w:p>
    <w:p>
      <w:pPr>
        <w:spacing w:after="0" w:line="294"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172085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 Ownership Guidelines</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Our corporate governance policy requires us to maintain guidelines encouraging non-employee director stock ownership. Our current guidelines require non-employee directors to hold common stock, stock units or other equity equivalents having a market value of at least 500% of their annual cash retainer of $90,000 (as well as any additional cash retainer amounts earned relating to his or her chair positions), and that they attain this level of stock ownership within five years of becoming a director. All non-employee directors have met this goal or are on track to meet this goal within the prescribed five-year time frame.</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Directors’ Deferred Compensation Plan</w:t>
      </w:r>
    </w:p>
    <w:p>
      <w:pPr>
        <w:spacing w:after="0" w:line="180"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14202A"/>
        </w:rPr>
        <w:t>We maintain the Winnebago Industries, Inc. Directors’ Deferred Compensation Plan (the “Directors’ Deferred Plan”) for all non-employee directors. A non-employee director can defer 50% or 100% of the retainer and fee payments that would otherwise be paid to him or her in cash and can defer taxes on such compensation.</w:t>
      </w:r>
    </w:p>
    <w:p>
      <w:pPr>
        <w:spacing w:after="0" w:line="14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14202A"/>
        </w:rPr>
        <w:t>A participant may elect to apply his or her annual cash retainer amounts to either, but not both, money credits or Winnebago stock units.</w:t>
      </w:r>
    </w:p>
    <w:p>
      <w:pPr>
        <w:spacing w:after="0" w:line="115"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14202A"/>
        </w:rPr>
        <w:t>Money credits are units credited in the form of dollars to a participant’s account established by the Company. The money credits accrue interest from the credit date. Presently, the interest rate to be applied to money credits is the 30-year Treasury bond yield as of the first business day of the plan year.</w:t>
      </w:r>
    </w:p>
    <w:p>
      <w:pPr>
        <w:spacing w:after="0" w:line="131"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14202A"/>
        </w:rPr>
        <w:t>Winnebago Industries stock units are denominated in the form of the Company’s common stock. The stock units accrue dividends, if any, paid by us on our common stock. The number of Winnebago Industries stock units recorded in a participant’s account is determined based on the closing price of a share of our common stock on the NYSE on the date upon which the account is credited.</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A participant will generally receive payment of his or her Directors’ Deferred Plan account (either in a lump sum payment or annual installments, as elected by the participant) at the earlier of a “change in control” of the Company, as defined in the Directors’ Deferred Plan, termination of service as a director, or, if elected by the participant, at the time elected by the participant; provided that a participant will receive a lump-sum distribution of his or her account within 30 days following his or her termination of service as a director after such change in control.</w:t>
      </w:r>
    </w:p>
    <w:p>
      <w:pPr>
        <w:spacing w:after="0" w:line="139"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14202A"/>
        </w:rPr>
        <w:t>The Winnebago Industries stock units credited to a participant’s account are included in the “Security Ownership of Certain Beneficial Owners and Management” table in this Proxy Statement.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 Annual Equity Grants</w:t>
      </w:r>
    </w:p>
    <w:p>
      <w:pPr>
        <w:spacing w:after="0" w:line="180"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14202A"/>
        </w:rPr>
        <w:t>The Fiscal 2026 equity awards, issued in the form of restricted stock units, were granted in October 2025 pursuant to the Winnebago Industries, Inc. Amended &amp; Restated 2019 Omnibus Incentive Plan (the “2019 Plan”).</w:t>
      </w:r>
    </w:p>
    <w:p>
      <w:pPr>
        <w:spacing w:after="0" w:line="12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14202A"/>
        </w:rPr>
        <w:t>Each restricted stock unit vests approximately one year from the date of the applicable grant. If a participant terminates his or her service as a director prior to the vesting of the underlying restricted stock unit award, the award will be forfeited by the director, except as follows: (i) in the event of the director’s death or disability prior to vesting, all unvested restricted stock units will vest as of the termination date and (ii) in the event of a change in control while the director is serving on the Board, all unvested restricted stock units will vest on the date of termination. Directors may also elect to defer settlement of their vested restricted stock units until the director’s service to the Company terminates or, if earlier, upon a change in control.</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 Compensation Limits</w:t>
      </w:r>
    </w:p>
    <w:p>
      <w:pPr>
        <w:spacing w:after="0" w:line="18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14202A"/>
        </w:rPr>
        <w:t>The 2019 Plan limits the aggregate grant date fair value of all equity awards to a non-employee director during a calendar year to not more than $400,000, excluding awards granted at a director’s request in lieu of cash retainers or other fees payable in cash.</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31"/>
          <w:szCs w:val="31"/>
          <w:b w:val="1"/>
          <w:bCs w:val="1"/>
          <w:color w:val="14202A"/>
        </w:rPr>
        <w:t>Compensation Discussion and Analysis</w:t>
      </w:r>
    </w:p>
    <w:p>
      <w:pPr>
        <w:spacing w:after="0" w:line="20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14202A"/>
        </w:rPr>
        <w:t>The following Compensation Discussion and Analysis describes the material elements of our executive compensation program. Throughout this discussion, we refer to named executive officers (“NEOs”). The following individuals are our NEOs for Fiscal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20" w:type="dxa"/>
            <w:vAlign w:val="bottom"/>
            <w:shd w:val="clear" w:color="auto" w:fill="14202A"/>
          </w:tcPr>
          <w:p>
            <w:pPr>
              <w:ind w:left="160"/>
              <w:spacing w:after="0"/>
              <w:rPr>
                <w:sz w:val="20"/>
                <w:szCs w:val="20"/>
                <w:color w:val="auto"/>
              </w:rPr>
            </w:pPr>
            <w:r>
              <w:rPr>
                <w:rFonts w:ascii="Arial" w:cs="Arial" w:eastAsia="Arial" w:hAnsi="Arial"/>
                <w:sz w:val="13"/>
                <w:szCs w:val="13"/>
                <w:b w:val="1"/>
                <w:bCs w:val="1"/>
                <w:color w:val="FFFFFF"/>
              </w:rPr>
              <w:t>Name</w:t>
            </w:r>
          </w:p>
        </w:tc>
        <w:tc>
          <w:tcPr>
            <w:tcW w:w="7260" w:type="dxa"/>
            <w:vAlign w:val="bottom"/>
            <w:shd w:val="clear" w:color="auto" w:fill="14202A"/>
          </w:tcPr>
          <w:p>
            <w:pPr>
              <w:ind w:left="680"/>
              <w:spacing w:after="0"/>
              <w:rPr>
                <w:sz w:val="20"/>
                <w:szCs w:val="20"/>
                <w:color w:val="auto"/>
              </w:rPr>
            </w:pPr>
            <w:r>
              <w:rPr>
                <w:rFonts w:ascii="Arial" w:cs="Arial" w:eastAsia="Arial" w:hAnsi="Arial"/>
                <w:sz w:val="13"/>
                <w:szCs w:val="13"/>
                <w:b w:val="1"/>
                <w:bCs w:val="1"/>
                <w:color w:val="FFFFFF"/>
              </w:rPr>
              <w:t>Position</w:t>
            </w:r>
          </w:p>
        </w:tc>
      </w:tr>
      <w:tr>
        <w:trPr>
          <w:trHeight w:val="103"/>
        </w:trPr>
        <w:tc>
          <w:tcPr>
            <w:tcW w:w="2020" w:type="dxa"/>
            <w:vAlign w:val="bottom"/>
            <w:shd w:val="clear" w:color="auto" w:fill="14202A"/>
          </w:tcPr>
          <w:p>
            <w:pPr>
              <w:spacing w:after="0"/>
              <w:rPr>
                <w:sz w:val="8"/>
                <w:szCs w:val="8"/>
                <w:color w:val="auto"/>
              </w:rPr>
            </w:pPr>
          </w:p>
        </w:tc>
        <w:tc>
          <w:tcPr>
            <w:tcW w:w="7260" w:type="dxa"/>
            <w:vAlign w:val="bottom"/>
            <w:shd w:val="clear" w:color="auto" w:fill="14202A"/>
          </w:tcPr>
          <w:p>
            <w:pPr>
              <w:spacing w:after="0"/>
              <w:rPr>
                <w:sz w:val="8"/>
                <w:szCs w:val="8"/>
                <w:color w:val="auto"/>
              </w:rPr>
            </w:pPr>
          </w:p>
        </w:tc>
      </w:tr>
      <w:tr>
        <w:trPr>
          <w:trHeight w:val="295"/>
        </w:trPr>
        <w:tc>
          <w:tcPr>
            <w:tcW w:w="2020" w:type="dxa"/>
            <w:vAlign w:val="bottom"/>
          </w:tcPr>
          <w:p>
            <w:pPr>
              <w:ind w:left="160"/>
              <w:spacing w:after="0"/>
              <w:rPr>
                <w:sz w:val="20"/>
                <w:szCs w:val="20"/>
                <w:color w:val="auto"/>
              </w:rPr>
            </w:pPr>
            <w:r>
              <w:rPr>
                <w:rFonts w:ascii="Arial" w:cs="Arial" w:eastAsia="Arial" w:hAnsi="Arial"/>
                <w:sz w:val="14"/>
                <w:szCs w:val="14"/>
                <w:b w:val="1"/>
                <w:bCs w:val="1"/>
                <w:color w:val="14202A"/>
              </w:rPr>
              <w:t>Michael J. Happe</w:t>
            </w:r>
          </w:p>
        </w:tc>
        <w:tc>
          <w:tcPr>
            <w:tcW w:w="7260" w:type="dxa"/>
            <w:vAlign w:val="bottom"/>
          </w:tcPr>
          <w:p>
            <w:pPr>
              <w:ind w:left="680"/>
              <w:spacing w:after="0"/>
              <w:rPr>
                <w:sz w:val="20"/>
                <w:szCs w:val="20"/>
                <w:color w:val="auto"/>
              </w:rPr>
            </w:pPr>
            <w:r>
              <w:rPr>
                <w:rFonts w:ascii="Arial" w:cs="Arial" w:eastAsia="Arial" w:hAnsi="Arial"/>
                <w:sz w:val="14"/>
                <w:szCs w:val="14"/>
                <w:color w:val="14202A"/>
              </w:rPr>
              <w:t>President and Chief Executive Officer</w:t>
            </w:r>
          </w:p>
        </w:tc>
      </w:tr>
      <w:tr>
        <w:trPr>
          <w:trHeight w:val="83"/>
        </w:trPr>
        <w:tc>
          <w:tcPr>
            <w:tcW w:w="2020" w:type="dxa"/>
            <w:vAlign w:val="bottom"/>
            <w:tcBorders>
              <w:bottom w:val="single" w:sz="8" w:color="14202A"/>
            </w:tcBorders>
          </w:tcPr>
          <w:p>
            <w:pPr>
              <w:spacing w:after="0"/>
              <w:rPr>
                <w:sz w:val="7"/>
                <w:szCs w:val="7"/>
                <w:color w:val="auto"/>
              </w:rPr>
            </w:pPr>
          </w:p>
        </w:tc>
        <w:tc>
          <w:tcPr>
            <w:tcW w:w="7260" w:type="dxa"/>
            <w:vAlign w:val="bottom"/>
            <w:tcBorders>
              <w:bottom w:val="single" w:sz="8" w:color="14202A"/>
            </w:tcBorders>
          </w:tcPr>
          <w:p>
            <w:pPr>
              <w:spacing w:after="0"/>
              <w:rPr>
                <w:sz w:val="7"/>
                <w:szCs w:val="7"/>
                <w:color w:val="auto"/>
              </w:rPr>
            </w:pPr>
          </w:p>
        </w:tc>
      </w:tr>
      <w:tr>
        <w:trPr>
          <w:trHeight w:val="254"/>
        </w:trPr>
        <w:tc>
          <w:tcPr>
            <w:tcW w:w="2020" w:type="dxa"/>
            <w:vAlign w:val="bottom"/>
          </w:tcPr>
          <w:p>
            <w:pPr>
              <w:ind w:left="160"/>
              <w:spacing w:after="0"/>
              <w:rPr>
                <w:sz w:val="20"/>
                <w:szCs w:val="20"/>
                <w:color w:val="auto"/>
              </w:rPr>
            </w:pPr>
            <w:r>
              <w:rPr>
                <w:rFonts w:ascii="Arial" w:cs="Arial" w:eastAsia="Arial" w:hAnsi="Arial"/>
                <w:sz w:val="14"/>
                <w:szCs w:val="14"/>
                <w:b w:val="1"/>
                <w:bCs w:val="1"/>
                <w:color w:val="14202A"/>
              </w:rPr>
              <w:t>Bryan L. Hughes</w:t>
            </w:r>
          </w:p>
        </w:tc>
        <w:tc>
          <w:tcPr>
            <w:tcW w:w="7260" w:type="dxa"/>
            <w:vAlign w:val="bottom"/>
          </w:tcPr>
          <w:p>
            <w:pPr>
              <w:ind w:left="680"/>
              <w:spacing w:after="0"/>
              <w:rPr>
                <w:sz w:val="20"/>
                <w:szCs w:val="20"/>
                <w:color w:val="auto"/>
              </w:rPr>
            </w:pPr>
            <w:r>
              <w:rPr>
                <w:rFonts w:ascii="Arial" w:cs="Arial" w:eastAsia="Arial" w:hAnsi="Arial"/>
                <w:sz w:val="14"/>
                <w:szCs w:val="14"/>
                <w:color w:val="14202A"/>
              </w:rPr>
              <w:t>Senior Vice President – Chief Financial Officer, Investor Relations, Information Technology and</w:t>
            </w:r>
          </w:p>
        </w:tc>
      </w:tr>
      <w:tr>
        <w:trPr>
          <w:trHeight w:val="190"/>
        </w:trPr>
        <w:tc>
          <w:tcPr>
            <w:tcW w:w="2020" w:type="dxa"/>
            <w:vAlign w:val="bottom"/>
          </w:tcPr>
          <w:p>
            <w:pPr>
              <w:spacing w:after="0"/>
              <w:rPr>
                <w:sz w:val="16"/>
                <w:szCs w:val="16"/>
                <w:color w:val="auto"/>
              </w:rPr>
            </w:pPr>
          </w:p>
        </w:tc>
        <w:tc>
          <w:tcPr>
            <w:tcW w:w="7260" w:type="dxa"/>
            <w:vAlign w:val="bottom"/>
          </w:tcPr>
          <w:p>
            <w:pPr>
              <w:ind w:left="680"/>
              <w:spacing w:after="0"/>
              <w:rPr>
                <w:sz w:val="20"/>
                <w:szCs w:val="20"/>
                <w:color w:val="auto"/>
              </w:rPr>
            </w:pPr>
            <w:r>
              <w:rPr>
                <w:rFonts w:ascii="Arial" w:cs="Arial" w:eastAsia="Arial" w:hAnsi="Arial"/>
                <w:sz w:val="14"/>
                <w:szCs w:val="14"/>
                <w:color w:val="14202A"/>
              </w:rPr>
              <w:t>Business Development</w:t>
            </w:r>
          </w:p>
        </w:tc>
      </w:tr>
      <w:tr>
        <w:trPr>
          <w:trHeight w:val="89"/>
        </w:trPr>
        <w:tc>
          <w:tcPr>
            <w:tcW w:w="2020" w:type="dxa"/>
            <w:vAlign w:val="bottom"/>
            <w:tcBorders>
              <w:bottom w:val="single" w:sz="8" w:color="14202A"/>
            </w:tcBorders>
          </w:tcPr>
          <w:p>
            <w:pPr>
              <w:spacing w:after="0"/>
              <w:rPr>
                <w:sz w:val="7"/>
                <w:szCs w:val="7"/>
                <w:color w:val="auto"/>
              </w:rPr>
            </w:pPr>
          </w:p>
        </w:tc>
        <w:tc>
          <w:tcPr>
            <w:tcW w:w="7260" w:type="dxa"/>
            <w:vAlign w:val="bottom"/>
            <w:tcBorders>
              <w:bottom w:val="single" w:sz="8" w:color="14202A"/>
            </w:tcBorders>
          </w:tcPr>
          <w:p>
            <w:pPr>
              <w:spacing w:after="0"/>
              <w:rPr>
                <w:sz w:val="7"/>
                <w:szCs w:val="7"/>
                <w:color w:val="auto"/>
              </w:rPr>
            </w:pPr>
          </w:p>
        </w:tc>
      </w:tr>
      <w:tr>
        <w:trPr>
          <w:trHeight w:val="288"/>
        </w:trPr>
        <w:tc>
          <w:tcPr>
            <w:tcW w:w="2020" w:type="dxa"/>
            <w:vAlign w:val="bottom"/>
          </w:tcPr>
          <w:p>
            <w:pPr>
              <w:ind w:left="160"/>
              <w:spacing w:after="0"/>
              <w:rPr>
                <w:sz w:val="20"/>
                <w:szCs w:val="20"/>
                <w:color w:val="auto"/>
              </w:rPr>
            </w:pPr>
            <w:r>
              <w:rPr>
                <w:rFonts w:ascii="Arial" w:cs="Arial" w:eastAsia="Arial" w:hAnsi="Arial"/>
                <w:sz w:val="14"/>
                <w:szCs w:val="14"/>
                <w:b w:val="1"/>
                <w:bCs w:val="1"/>
                <w:color w:val="14202A"/>
              </w:rPr>
              <w:t>Donald J. Clark</w:t>
            </w:r>
          </w:p>
        </w:tc>
        <w:tc>
          <w:tcPr>
            <w:tcW w:w="7260" w:type="dxa"/>
            <w:vAlign w:val="bottom"/>
          </w:tcPr>
          <w:p>
            <w:pPr>
              <w:ind w:left="680"/>
              <w:spacing w:after="0"/>
              <w:rPr>
                <w:sz w:val="20"/>
                <w:szCs w:val="20"/>
                <w:color w:val="auto"/>
              </w:rPr>
            </w:pPr>
            <w:r>
              <w:rPr>
                <w:rFonts w:ascii="Arial" w:cs="Arial" w:eastAsia="Arial" w:hAnsi="Arial"/>
                <w:sz w:val="14"/>
                <w:szCs w:val="14"/>
                <w:color w:val="14202A"/>
              </w:rPr>
              <w:t>Group President – Towable RV Segment; President – Grand Design RV</w:t>
            </w:r>
          </w:p>
        </w:tc>
      </w:tr>
      <w:tr>
        <w:trPr>
          <w:trHeight w:val="83"/>
        </w:trPr>
        <w:tc>
          <w:tcPr>
            <w:tcW w:w="2020" w:type="dxa"/>
            <w:vAlign w:val="bottom"/>
            <w:tcBorders>
              <w:bottom w:val="single" w:sz="8" w:color="14202A"/>
            </w:tcBorders>
          </w:tcPr>
          <w:p>
            <w:pPr>
              <w:spacing w:after="0"/>
              <w:rPr>
                <w:sz w:val="7"/>
                <w:szCs w:val="7"/>
                <w:color w:val="auto"/>
              </w:rPr>
            </w:pPr>
          </w:p>
        </w:tc>
        <w:tc>
          <w:tcPr>
            <w:tcW w:w="7260" w:type="dxa"/>
            <w:vAlign w:val="bottom"/>
            <w:tcBorders>
              <w:bottom w:val="single" w:sz="8" w:color="14202A"/>
            </w:tcBorders>
          </w:tcPr>
          <w:p>
            <w:pPr>
              <w:spacing w:after="0"/>
              <w:rPr>
                <w:sz w:val="7"/>
                <w:szCs w:val="7"/>
                <w:color w:val="auto"/>
              </w:rPr>
            </w:pPr>
          </w:p>
        </w:tc>
      </w:tr>
      <w:tr>
        <w:trPr>
          <w:trHeight w:val="288"/>
        </w:trPr>
        <w:tc>
          <w:tcPr>
            <w:tcW w:w="2020" w:type="dxa"/>
            <w:vAlign w:val="bottom"/>
          </w:tcPr>
          <w:p>
            <w:pPr>
              <w:ind w:left="160"/>
              <w:spacing w:after="0"/>
              <w:rPr>
                <w:sz w:val="20"/>
                <w:szCs w:val="20"/>
                <w:color w:val="auto"/>
              </w:rPr>
            </w:pPr>
            <w:r>
              <w:rPr>
                <w:rFonts w:ascii="Arial" w:cs="Arial" w:eastAsia="Arial" w:hAnsi="Arial"/>
                <w:sz w:val="14"/>
                <w:szCs w:val="14"/>
                <w:b w:val="1"/>
                <w:bCs w:val="1"/>
                <w:color w:val="14202A"/>
              </w:rPr>
              <w:t>Casey J. Tubman</w:t>
            </w:r>
          </w:p>
        </w:tc>
        <w:tc>
          <w:tcPr>
            <w:tcW w:w="7260" w:type="dxa"/>
            <w:vAlign w:val="bottom"/>
          </w:tcPr>
          <w:p>
            <w:pPr>
              <w:ind w:left="680"/>
              <w:spacing w:after="0"/>
              <w:rPr>
                <w:sz w:val="20"/>
                <w:szCs w:val="20"/>
                <w:color w:val="auto"/>
              </w:rPr>
            </w:pPr>
            <w:r>
              <w:rPr>
                <w:rFonts w:ascii="Arial" w:cs="Arial" w:eastAsia="Arial" w:hAnsi="Arial"/>
                <w:sz w:val="14"/>
                <w:szCs w:val="14"/>
                <w:color w:val="14202A"/>
              </w:rPr>
              <w:t>Group President – Newmar and Winnebago Motorized</w:t>
            </w:r>
          </w:p>
        </w:tc>
      </w:tr>
      <w:tr>
        <w:trPr>
          <w:trHeight w:val="83"/>
        </w:trPr>
        <w:tc>
          <w:tcPr>
            <w:tcW w:w="2020" w:type="dxa"/>
            <w:vAlign w:val="bottom"/>
            <w:tcBorders>
              <w:bottom w:val="single" w:sz="8" w:color="14202A"/>
            </w:tcBorders>
          </w:tcPr>
          <w:p>
            <w:pPr>
              <w:spacing w:after="0"/>
              <w:rPr>
                <w:sz w:val="7"/>
                <w:szCs w:val="7"/>
                <w:color w:val="auto"/>
              </w:rPr>
            </w:pPr>
          </w:p>
        </w:tc>
        <w:tc>
          <w:tcPr>
            <w:tcW w:w="7260" w:type="dxa"/>
            <w:vAlign w:val="bottom"/>
            <w:tcBorders>
              <w:bottom w:val="single" w:sz="8" w:color="14202A"/>
            </w:tcBorders>
          </w:tcPr>
          <w:p>
            <w:pPr>
              <w:spacing w:after="0"/>
              <w:rPr>
                <w:sz w:val="7"/>
                <w:szCs w:val="7"/>
                <w:color w:val="auto"/>
              </w:rPr>
            </w:pPr>
          </w:p>
        </w:tc>
      </w:tr>
      <w:tr>
        <w:trPr>
          <w:trHeight w:val="298"/>
        </w:trPr>
        <w:tc>
          <w:tcPr>
            <w:tcW w:w="202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Stacy L. Bogart</w:t>
            </w:r>
          </w:p>
        </w:tc>
        <w:tc>
          <w:tcPr>
            <w:tcW w:w="7260" w:type="dxa"/>
            <w:vAlign w:val="bottom"/>
            <w:tcBorders>
              <w:bottom w:val="single" w:sz="8" w:color="14202A"/>
            </w:tcBorders>
          </w:tcPr>
          <w:p>
            <w:pPr>
              <w:ind w:left="680"/>
              <w:spacing w:after="0"/>
              <w:rPr>
                <w:sz w:val="20"/>
                <w:szCs w:val="20"/>
                <w:color w:val="auto"/>
              </w:rPr>
            </w:pPr>
            <w:r>
              <w:rPr>
                <w:rFonts w:ascii="Arial" w:cs="Arial" w:eastAsia="Arial" w:hAnsi="Arial"/>
                <w:sz w:val="14"/>
                <w:szCs w:val="14"/>
                <w:color w:val="14202A"/>
              </w:rPr>
              <w:t>Senior Vice President – Chief Legal Officer, Corporate Secretary and Corporate Responsibility</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Executive Summary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Executive Compensation Philosophy and Program Objectives</w:t>
      </w:r>
    </w:p>
    <w:p>
      <w:pPr>
        <w:spacing w:after="0" w:line="180"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14202A"/>
        </w:rPr>
        <w:t>The Human Resources Committee (referred to in this Compensation Discussion and Analysis section of this Proxy Statement as the “committee”) believes that the most effective compensation program is one that is designed to pay for performance. Towards this end, we strive to reward the achievement of our specific annual, long-term and strategic goals and align executives’ interests with those of our shareholders, with the ultimate objective of improving shareholder value. The committee evaluates both performance and compensation to ensure that we maintain our ability to attract and retain superior employees in key positions and that compensation provided to key employees remains competitive relative to our peer group. The committee believes executive compensation packages provided to our executives, including the NEOs, should include both cash and stock-based compensation that reward performance as measured against established goals.</w:t>
      </w:r>
    </w:p>
    <w:p>
      <w:pPr>
        <w:spacing w:after="0" w:line="14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14202A"/>
        </w:rPr>
        <w:t>The committee has worked with management and its independent compensation consultant, Semler Brossy, to design the current executive compensation programs, following the belief that compensation should reflect the value created for our shareholders while furthering our strategic goals. In doing so, we instituted our compensation programs to achieve the following goals:</w:t>
      </w:r>
    </w:p>
    <w:p>
      <w:pPr>
        <w:spacing w:after="0" w:line="134" w:lineRule="exact"/>
        <w:rPr>
          <w:sz w:val="20"/>
          <w:szCs w:val="20"/>
          <w:color w:val="auto"/>
        </w:rPr>
      </w:pPr>
    </w:p>
    <w:p>
      <w:pPr>
        <w:ind w:left="720" w:right="3900"/>
        <w:spacing w:after="0" w:line="588" w:lineRule="auto"/>
        <w:rPr>
          <w:sz w:val="20"/>
          <w:szCs w:val="20"/>
          <w:color w:val="auto"/>
        </w:rPr>
      </w:pPr>
      <w:r>
        <w:rPr>
          <w:rFonts w:ascii="Arial" w:cs="Arial" w:eastAsia="Arial" w:hAnsi="Arial"/>
          <w:sz w:val="16"/>
          <w:szCs w:val="16"/>
          <w:color w:val="14202A"/>
        </w:rPr>
        <w:t>Align the interests of management with those of our shareholders Provide fair and competitive compensation</w:t>
      </w:r>
    </w:p>
    <w:p>
      <w:pPr>
        <w:ind w:left="720" w:right="4980"/>
        <w:spacing w:after="0" w:line="589" w:lineRule="auto"/>
        <w:rPr>
          <w:sz w:val="20"/>
          <w:szCs w:val="20"/>
          <w:color w:val="auto"/>
        </w:rPr>
      </w:pPr>
      <w:r>
        <w:rPr>
          <w:rFonts w:ascii="Arial" w:cs="Arial" w:eastAsia="Arial" w:hAnsi="Arial"/>
          <w:sz w:val="16"/>
          <w:szCs w:val="16"/>
          <w:color w:val="14202A"/>
        </w:rPr>
        <w:t>Integrate compensation with our business plans Reward both business and individual performance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Attract and retain key executives critical to our success</w:t>
      </w:r>
    </w:p>
    <w:p>
      <w:pPr>
        <w:spacing w:after="0" w:line="262"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14202A"/>
        </w:rPr>
        <w:t>These objectives emphasize pay for performance by providing an incentive opportunity for performance that meets or exceeds Company objectives.</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6446520" cy="29660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46520" cy="296608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40"/>
        <w:spacing w:after="0"/>
        <w:rPr>
          <w:sz w:val="20"/>
          <w:szCs w:val="20"/>
          <w:color w:val="auto"/>
        </w:rPr>
      </w:pPr>
      <w:r>
        <w:rPr>
          <w:rFonts w:ascii="Arial" w:cs="Arial" w:eastAsia="Arial" w:hAnsi="Arial"/>
          <w:sz w:val="25"/>
          <w:szCs w:val="25"/>
          <w:b w:val="1"/>
          <w:bCs w:val="1"/>
          <w:color w:val="auto"/>
        </w:rPr>
        <w:t>Fiscal 2026 Performance Results</w:t>
      </w:r>
    </w:p>
    <w:p>
      <w:pPr>
        <w:spacing w:after="0" w:line="2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financial results tied to annual incentive compensation measures for Fiscal 2026 are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w:t>
      </w:r>
    </w:p>
    <w:p>
      <w:pPr>
        <w:spacing w:after="0" w:line="127" w:lineRule="exact"/>
        <w:rPr>
          <w:sz w:val="20"/>
          <w:szCs w:val="20"/>
          <w:color w:val="auto"/>
        </w:rPr>
      </w:pPr>
    </w:p>
    <w:tbl>
      <w:tblPr>
        <w:tblLayout w:type="fixed"/>
        <w:tblInd w:w="800" w:type="dxa"/>
        <w:tblCellMar>
          <w:top w:w="0" w:type="dxa"/>
          <w:left w:w="0" w:type="dxa"/>
          <w:bottom w:w="0" w:type="dxa"/>
          <w:right w:w="0" w:type="dxa"/>
        </w:tblCellMar>
      </w:tblPr>
      <w:tr>
        <w:trPr>
          <w:trHeight w:val="262"/>
        </w:trPr>
        <w:tc>
          <w:tcPr>
            <w:tcW w:w="4320" w:type="dxa"/>
            <w:vAlign w:val="bottom"/>
            <w:shd w:val="clear" w:color="auto" w:fill="14202A"/>
          </w:tcPr>
          <w:p>
            <w:pPr>
              <w:spacing w:after="0"/>
              <w:rPr>
                <w:sz w:val="22"/>
                <w:szCs w:val="22"/>
                <w:color w:val="auto"/>
              </w:rPr>
            </w:pPr>
          </w:p>
        </w:tc>
        <w:tc>
          <w:tcPr>
            <w:tcW w:w="2040" w:type="dxa"/>
            <w:vAlign w:val="bottom"/>
            <w:gridSpan w:val="2"/>
            <w:shd w:val="clear" w:color="auto" w:fill="14202A"/>
          </w:tcPr>
          <w:p>
            <w:pPr>
              <w:ind w:left="760"/>
              <w:spacing w:after="0"/>
              <w:rPr>
                <w:sz w:val="20"/>
                <w:szCs w:val="20"/>
                <w:color w:val="auto"/>
              </w:rPr>
            </w:pPr>
            <w:r>
              <w:rPr>
                <w:rFonts w:ascii="Arial" w:cs="Arial" w:eastAsia="Arial" w:hAnsi="Arial"/>
                <w:sz w:val="13"/>
                <w:szCs w:val="13"/>
                <w:b w:val="1"/>
                <w:bCs w:val="1"/>
                <w:color w:val="FFFFFF"/>
              </w:rPr>
              <w:t>Incentive Plan</w:t>
            </w:r>
          </w:p>
        </w:tc>
        <w:tc>
          <w:tcPr>
            <w:tcW w:w="500" w:type="dxa"/>
            <w:vAlign w:val="bottom"/>
            <w:shd w:val="clear" w:color="auto" w:fill="14202A"/>
          </w:tcPr>
          <w:p>
            <w:pPr>
              <w:spacing w:after="0"/>
              <w:rPr>
                <w:sz w:val="22"/>
                <w:szCs w:val="22"/>
                <w:color w:val="auto"/>
              </w:rPr>
            </w:pPr>
          </w:p>
        </w:tc>
        <w:tc>
          <w:tcPr>
            <w:tcW w:w="1700" w:type="dxa"/>
            <w:vAlign w:val="bottom"/>
            <w:gridSpan w:val="2"/>
            <w:shd w:val="clear" w:color="auto" w:fill="14202A"/>
          </w:tcPr>
          <w:p>
            <w:pPr>
              <w:jc w:val="right"/>
              <w:ind w:right="530"/>
              <w:spacing w:after="0"/>
              <w:rPr>
                <w:sz w:val="20"/>
                <w:szCs w:val="20"/>
                <w:color w:val="auto"/>
              </w:rPr>
            </w:pPr>
            <w:r>
              <w:rPr>
                <w:rFonts w:ascii="Arial" w:cs="Arial" w:eastAsia="Arial" w:hAnsi="Arial"/>
                <w:sz w:val="13"/>
                <w:szCs w:val="13"/>
                <w:b w:val="1"/>
                <w:bCs w:val="1"/>
                <w:color w:val="FFFFFF"/>
              </w:rPr>
              <w:t>Performance</w:t>
            </w:r>
          </w:p>
        </w:tc>
      </w:tr>
      <w:tr>
        <w:trPr>
          <w:trHeight w:val="400"/>
        </w:trPr>
        <w:tc>
          <w:tcPr>
            <w:tcW w:w="4320" w:type="dxa"/>
            <w:vAlign w:val="bottom"/>
            <w:shd w:val="clear" w:color="auto" w:fill="14202A"/>
          </w:tcPr>
          <w:p>
            <w:pPr>
              <w:spacing w:after="0"/>
              <w:rPr>
                <w:sz w:val="24"/>
                <w:szCs w:val="24"/>
                <w:color w:val="auto"/>
              </w:rPr>
            </w:pPr>
          </w:p>
        </w:tc>
        <w:tc>
          <w:tcPr>
            <w:tcW w:w="1060" w:type="dxa"/>
            <w:vAlign w:val="bottom"/>
            <w:shd w:val="clear" w:color="auto" w:fill="14202A"/>
          </w:tcPr>
          <w:p>
            <w:pPr>
              <w:jc w:val="center"/>
              <w:ind w:left="72"/>
              <w:spacing w:after="0"/>
              <w:rPr>
                <w:sz w:val="20"/>
                <w:szCs w:val="20"/>
                <w:color w:val="auto"/>
              </w:rPr>
            </w:pPr>
            <w:r>
              <w:rPr>
                <w:rFonts w:ascii="Arial" w:cs="Arial" w:eastAsia="Arial" w:hAnsi="Arial"/>
                <w:sz w:val="13"/>
                <w:szCs w:val="13"/>
                <w:b w:val="1"/>
                <w:bCs w:val="1"/>
                <w:color w:val="FFFFFF"/>
                <w:w w:val="92"/>
              </w:rPr>
              <w:t>Annual</w:t>
            </w:r>
            <w:r>
              <w:rPr>
                <w:rFonts w:ascii="Arial" w:cs="Arial" w:eastAsia="Arial" w:hAnsi="Arial"/>
                <w:sz w:val="20"/>
                <w:szCs w:val="20"/>
                <w:b w:val="1"/>
                <w:bCs w:val="1"/>
                <w:color w:val="FFFFFF"/>
                <w:w w:val="92"/>
                <w:vertAlign w:val="superscript"/>
              </w:rPr>
              <w:t>(1)</w:t>
            </w:r>
          </w:p>
        </w:tc>
        <w:tc>
          <w:tcPr>
            <w:tcW w:w="980" w:type="dxa"/>
            <w:vAlign w:val="bottom"/>
            <w:shd w:val="clear" w:color="auto" w:fill="14202A"/>
          </w:tcPr>
          <w:p>
            <w:pPr>
              <w:jc w:val="center"/>
              <w:ind w:left="91"/>
              <w:spacing w:after="0"/>
              <w:rPr>
                <w:sz w:val="20"/>
                <w:szCs w:val="20"/>
                <w:color w:val="auto"/>
              </w:rPr>
            </w:pPr>
            <w:r>
              <w:rPr>
                <w:rFonts w:ascii="Arial" w:cs="Arial" w:eastAsia="Arial" w:hAnsi="Arial"/>
                <w:sz w:val="13"/>
                <w:szCs w:val="13"/>
                <w:b w:val="1"/>
                <w:bCs w:val="1"/>
                <w:color w:val="FFFFFF"/>
                <w:w w:val="92"/>
              </w:rPr>
              <w:t>Long-Term</w:t>
            </w:r>
            <w:r>
              <w:rPr>
                <w:rFonts w:ascii="Arial" w:cs="Arial" w:eastAsia="Arial" w:hAnsi="Arial"/>
                <w:sz w:val="20"/>
                <w:szCs w:val="20"/>
                <w:b w:val="1"/>
                <w:bCs w:val="1"/>
                <w:color w:val="FFFFFF"/>
                <w:w w:val="92"/>
                <w:vertAlign w:val="superscript"/>
              </w:rPr>
              <w:t>(2)</w:t>
            </w:r>
          </w:p>
        </w:tc>
        <w:tc>
          <w:tcPr>
            <w:tcW w:w="500" w:type="dxa"/>
            <w:vAlign w:val="bottom"/>
            <w:shd w:val="clear" w:color="auto" w:fill="14202A"/>
          </w:tcPr>
          <w:p>
            <w:pPr>
              <w:spacing w:after="0"/>
              <w:rPr>
                <w:sz w:val="24"/>
                <w:szCs w:val="24"/>
                <w:color w:val="auto"/>
              </w:rPr>
            </w:pPr>
          </w:p>
        </w:tc>
        <w:tc>
          <w:tcPr>
            <w:tcW w:w="860" w:type="dxa"/>
            <w:vAlign w:val="bottom"/>
            <w:shd w:val="clear" w:color="auto" w:fill="14202A"/>
          </w:tcPr>
          <w:p>
            <w:pPr>
              <w:jc w:val="right"/>
              <w:ind w:right="351"/>
              <w:spacing w:after="0"/>
              <w:rPr>
                <w:sz w:val="20"/>
                <w:szCs w:val="20"/>
                <w:color w:val="auto"/>
              </w:rPr>
            </w:pPr>
            <w:r>
              <w:rPr>
                <w:rFonts w:ascii="Arial" w:cs="Arial" w:eastAsia="Arial" w:hAnsi="Arial"/>
                <w:sz w:val="13"/>
                <w:szCs w:val="13"/>
                <w:b w:val="1"/>
                <w:bCs w:val="1"/>
                <w:color w:val="FFFFFF"/>
              </w:rPr>
              <w:t>1-year</w:t>
            </w:r>
          </w:p>
        </w:tc>
        <w:tc>
          <w:tcPr>
            <w:tcW w:w="840" w:type="dxa"/>
            <w:vAlign w:val="bottom"/>
            <w:shd w:val="clear" w:color="auto" w:fill="14202A"/>
          </w:tcPr>
          <w:p>
            <w:pPr>
              <w:jc w:val="right"/>
              <w:ind w:right="70"/>
              <w:spacing w:after="0"/>
              <w:rPr>
                <w:sz w:val="20"/>
                <w:szCs w:val="20"/>
                <w:color w:val="auto"/>
              </w:rPr>
            </w:pPr>
            <w:r>
              <w:rPr>
                <w:rFonts w:ascii="Arial" w:cs="Arial" w:eastAsia="Arial" w:hAnsi="Arial"/>
                <w:sz w:val="13"/>
                <w:szCs w:val="13"/>
                <w:b w:val="1"/>
                <w:bCs w:val="1"/>
                <w:color w:val="FFFFFF"/>
              </w:rPr>
              <w:t>3-year</w:t>
            </w:r>
            <w:r>
              <w:rPr>
                <w:rFonts w:ascii="Arial" w:cs="Arial" w:eastAsia="Arial" w:hAnsi="Arial"/>
                <w:sz w:val="20"/>
                <w:szCs w:val="20"/>
                <w:b w:val="1"/>
                <w:bCs w:val="1"/>
                <w:color w:val="FFFFFF"/>
                <w:vertAlign w:val="superscript"/>
              </w:rPr>
              <w:t>(3)</w:t>
            </w:r>
          </w:p>
        </w:tc>
      </w:tr>
      <w:tr>
        <w:trPr>
          <w:trHeight w:val="282"/>
        </w:trPr>
        <w:tc>
          <w:tcPr>
            <w:tcW w:w="4320" w:type="dxa"/>
            <w:vAlign w:val="bottom"/>
          </w:tcPr>
          <w:p>
            <w:pPr>
              <w:ind w:left="160"/>
              <w:spacing w:after="0"/>
              <w:rPr>
                <w:sz w:val="20"/>
                <w:szCs w:val="20"/>
                <w:color w:val="auto"/>
              </w:rPr>
            </w:pPr>
            <w:r>
              <w:rPr>
                <w:rFonts w:ascii="Arial" w:cs="Arial" w:eastAsia="Arial" w:hAnsi="Arial"/>
                <w:sz w:val="14"/>
                <w:szCs w:val="14"/>
                <w:color w:val="14202A"/>
              </w:rPr>
              <w:t xml:space="preserve">Net Revenue </w:t>
            </w:r>
            <w:r>
              <w:rPr>
                <w:rFonts w:ascii="Arial" w:cs="Arial" w:eastAsia="Arial" w:hAnsi="Arial"/>
                <w:sz w:val="14"/>
                <w:szCs w:val="14"/>
                <w:i w:val="1"/>
                <w:iCs w:val="1"/>
                <w:color w:val="14202A"/>
              </w:rPr>
              <w:t>($ in thousands)</w:t>
            </w:r>
          </w:p>
        </w:tc>
        <w:tc>
          <w:tcPr>
            <w:tcW w:w="10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14202A"/>
                <w:w w:val="85"/>
              </w:rPr>
              <w:t>✔</w:t>
            </w:r>
          </w:p>
        </w:tc>
        <w:tc>
          <w:tcPr>
            <w:tcW w:w="980" w:type="dxa"/>
            <w:vAlign w:val="bottom"/>
          </w:tcPr>
          <w:p>
            <w:pPr>
              <w:spacing w:after="0"/>
              <w:rPr>
                <w:sz w:val="24"/>
                <w:szCs w:val="24"/>
                <w:color w:val="auto"/>
              </w:rPr>
            </w:pPr>
          </w:p>
        </w:tc>
        <w:tc>
          <w:tcPr>
            <w:tcW w:w="1360" w:type="dxa"/>
            <w:vAlign w:val="bottom"/>
            <w:gridSpan w:val="2"/>
          </w:tcPr>
          <w:p>
            <w:pPr>
              <w:jc w:val="right"/>
              <w:ind w:right="251"/>
              <w:spacing w:after="0"/>
              <w:rPr>
                <w:sz w:val="20"/>
                <w:szCs w:val="20"/>
                <w:color w:val="auto"/>
              </w:rPr>
            </w:pPr>
            <w:r>
              <w:rPr>
                <w:rFonts w:ascii="Arial" w:cs="Arial" w:eastAsia="Arial" w:hAnsi="Arial"/>
                <w:sz w:val="14"/>
                <w:szCs w:val="14"/>
                <w:color w:val="14202A"/>
              </w:rPr>
              <w:t>$2,703,854</w:t>
            </w:r>
          </w:p>
        </w:tc>
        <w:tc>
          <w:tcPr>
            <w:tcW w:w="840" w:type="dxa"/>
            <w:vAlign w:val="bottom"/>
          </w:tcPr>
          <w:p>
            <w:pPr>
              <w:jc w:val="right"/>
              <w:ind w:right="170"/>
              <w:spacing w:after="0"/>
              <w:rPr>
                <w:sz w:val="20"/>
                <w:szCs w:val="20"/>
                <w:color w:val="auto"/>
              </w:rPr>
            </w:pPr>
            <w:r>
              <w:rPr>
                <w:rFonts w:ascii="Arial" w:cs="Arial" w:eastAsia="Arial" w:hAnsi="Arial"/>
                <w:sz w:val="14"/>
                <w:szCs w:val="14"/>
                <w:color w:val="14202A"/>
              </w:rPr>
              <w:t>N/A</w:t>
            </w:r>
          </w:p>
        </w:tc>
      </w:tr>
      <w:tr>
        <w:trPr>
          <w:trHeight w:val="42"/>
        </w:trPr>
        <w:tc>
          <w:tcPr>
            <w:tcW w:w="4320" w:type="dxa"/>
            <w:vAlign w:val="bottom"/>
            <w:tcBorders>
              <w:bottom w:val="single" w:sz="8" w:color="14202A"/>
            </w:tcBorders>
          </w:tcPr>
          <w:p>
            <w:pPr>
              <w:spacing w:after="0"/>
              <w:rPr>
                <w:sz w:val="3"/>
                <w:szCs w:val="3"/>
                <w:color w:val="auto"/>
              </w:rPr>
            </w:pPr>
          </w:p>
        </w:tc>
        <w:tc>
          <w:tcPr>
            <w:tcW w:w="1060" w:type="dxa"/>
            <w:vAlign w:val="bottom"/>
            <w:tcBorders>
              <w:bottom w:val="single" w:sz="8" w:color="14202A"/>
            </w:tcBorders>
          </w:tcPr>
          <w:p>
            <w:pPr>
              <w:spacing w:after="0"/>
              <w:rPr>
                <w:sz w:val="3"/>
                <w:szCs w:val="3"/>
                <w:color w:val="auto"/>
              </w:rPr>
            </w:pPr>
          </w:p>
        </w:tc>
        <w:tc>
          <w:tcPr>
            <w:tcW w:w="980" w:type="dxa"/>
            <w:vAlign w:val="bottom"/>
            <w:tcBorders>
              <w:bottom w:val="single" w:sz="8" w:color="14202A"/>
            </w:tcBorders>
          </w:tcPr>
          <w:p>
            <w:pPr>
              <w:spacing w:after="0"/>
              <w:rPr>
                <w:sz w:val="3"/>
                <w:szCs w:val="3"/>
                <w:color w:val="auto"/>
              </w:rPr>
            </w:pPr>
          </w:p>
        </w:tc>
        <w:tc>
          <w:tcPr>
            <w:tcW w:w="500" w:type="dxa"/>
            <w:vAlign w:val="bottom"/>
            <w:tcBorders>
              <w:bottom w:val="single" w:sz="8" w:color="14202A"/>
            </w:tcBorders>
          </w:tcPr>
          <w:p>
            <w:pPr>
              <w:spacing w:after="0"/>
              <w:rPr>
                <w:sz w:val="3"/>
                <w:szCs w:val="3"/>
                <w:color w:val="auto"/>
              </w:rPr>
            </w:pPr>
          </w:p>
        </w:tc>
        <w:tc>
          <w:tcPr>
            <w:tcW w:w="860" w:type="dxa"/>
            <w:vAlign w:val="bottom"/>
            <w:tcBorders>
              <w:bottom w:val="single" w:sz="8" w:color="14202A"/>
            </w:tcBorders>
          </w:tcPr>
          <w:p>
            <w:pPr>
              <w:spacing w:after="0"/>
              <w:rPr>
                <w:sz w:val="3"/>
                <w:szCs w:val="3"/>
                <w:color w:val="auto"/>
              </w:rPr>
            </w:pPr>
          </w:p>
        </w:tc>
        <w:tc>
          <w:tcPr>
            <w:tcW w:w="840" w:type="dxa"/>
            <w:vAlign w:val="bottom"/>
            <w:tcBorders>
              <w:bottom w:val="single" w:sz="8" w:color="14202A"/>
            </w:tcBorders>
          </w:tcPr>
          <w:p>
            <w:pPr>
              <w:spacing w:after="0"/>
              <w:rPr>
                <w:sz w:val="3"/>
                <w:szCs w:val="3"/>
                <w:color w:val="auto"/>
              </w:rPr>
            </w:pPr>
          </w:p>
        </w:tc>
      </w:tr>
      <w:tr>
        <w:trPr>
          <w:trHeight w:val="262"/>
        </w:trPr>
        <w:tc>
          <w:tcPr>
            <w:tcW w:w="4320" w:type="dxa"/>
            <w:vAlign w:val="bottom"/>
          </w:tcPr>
          <w:p>
            <w:pPr>
              <w:ind w:left="160"/>
              <w:spacing w:after="0"/>
              <w:rPr>
                <w:sz w:val="20"/>
                <w:szCs w:val="20"/>
                <w:color w:val="auto"/>
              </w:rPr>
            </w:pPr>
            <w:r>
              <w:rPr>
                <w:rFonts w:ascii="Arial" w:cs="Arial" w:eastAsia="Arial" w:hAnsi="Arial"/>
                <w:sz w:val="14"/>
                <w:szCs w:val="14"/>
                <w:color w:val="14202A"/>
              </w:rPr>
              <w:t xml:space="preserve">Operating Income </w:t>
            </w:r>
            <w:r>
              <w:rPr>
                <w:rFonts w:ascii="Arial" w:cs="Arial" w:eastAsia="Arial" w:hAnsi="Arial"/>
                <w:sz w:val="14"/>
                <w:szCs w:val="14"/>
                <w:i w:val="1"/>
                <w:iCs w:val="1"/>
                <w:color w:val="14202A"/>
              </w:rPr>
              <w:t>($ in thousands)</w:t>
            </w:r>
          </w:p>
        </w:tc>
        <w:tc>
          <w:tcPr>
            <w:tcW w:w="10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14202A"/>
                <w:w w:val="85"/>
              </w:rPr>
              <w:t>✔</w:t>
            </w:r>
          </w:p>
        </w:tc>
        <w:tc>
          <w:tcPr>
            <w:tcW w:w="9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14202A"/>
              </w:rPr>
              <w:t>$</w:t>
            </w:r>
          </w:p>
        </w:tc>
        <w:tc>
          <w:tcPr>
            <w:tcW w:w="860" w:type="dxa"/>
            <w:vAlign w:val="bottom"/>
          </w:tcPr>
          <w:p>
            <w:pPr>
              <w:jc w:val="right"/>
              <w:ind w:right="251"/>
              <w:spacing w:after="0"/>
              <w:rPr>
                <w:sz w:val="20"/>
                <w:szCs w:val="20"/>
                <w:color w:val="auto"/>
              </w:rPr>
            </w:pPr>
            <w:r>
              <w:rPr>
                <w:rFonts w:ascii="Arial" w:cs="Arial" w:eastAsia="Arial" w:hAnsi="Arial"/>
                <w:sz w:val="14"/>
                <w:szCs w:val="14"/>
                <w:color w:val="14202A"/>
              </w:rPr>
              <w:t>66,164</w:t>
            </w:r>
          </w:p>
        </w:tc>
        <w:tc>
          <w:tcPr>
            <w:tcW w:w="840" w:type="dxa"/>
            <w:vAlign w:val="bottom"/>
          </w:tcPr>
          <w:p>
            <w:pPr>
              <w:jc w:val="right"/>
              <w:ind w:right="170"/>
              <w:spacing w:after="0"/>
              <w:rPr>
                <w:sz w:val="20"/>
                <w:szCs w:val="20"/>
                <w:color w:val="auto"/>
              </w:rPr>
            </w:pPr>
            <w:r>
              <w:rPr>
                <w:rFonts w:ascii="Arial" w:cs="Arial" w:eastAsia="Arial" w:hAnsi="Arial"/>
                <w:sz w:val="14"/>
                <w:szCs w:val="14"/>
                <w:color w:val="14202A"/>
              </w:rPr>
              <w:t>N/A</w:t>
            </w:r>
          </w:p>
        </w:tc>
      </w:tr>
      <w:tr>
        <w:trPr>
          <w:trHeight w:val="42"/>
        </w:trPr>
        <w:tc>
          <w:tcPr>
            <w:tcW w:w="4320" w:type="dxa"/>
            <w:vAlign w:val="bottom"/>
            <w:tcBorders>
              <w:bottom w:val="single" w:sz="8" w:color="14202A"/>
            </w:tcBorders>
          </w:tcPr>
          <w:p>
            <w:pPr>
              <w:spacing w:after="0"/>
              <w:rPr>
                <w:sz w:val="3"/>
                <w:szCs w:val="3"/>
                <w:color w:val="auto"/>
              </w:rPr>
            </w:pPr>
          </w:p>
        </w:tc>
        <w:tc>
          <w:tcPr>
            <w:tcW w:w="1060" w:type="dxa"/>
            <w:vAlign w:val="bottom"/>
            <w:tcBorders>
              <w:bottom w:val="single" w:sz="8" w:color="14202A"/>
            </w:tcBorders>
          </w:tcPr>
          <w:p>
            <w:pPr>
              <w:spacing w:after="0"/>
              <w:rPr>
                <w:sz w:val="3"/>
                <w:szCs w:val="3"/>
                <w:color w:val="auto"/>
              </w:rPr>
            </w:pPr>
          </w:p>
        </w:tc>
        <w:tc>
          <w:tcPr>
            <w:tcW w:w="980" w:type="dxa"/>
            <w:vAlign w:val="bottom"/>
            <w:tcBorders>
              <w:bottom w:val="single" w:sz="8" w:color="14202A"/>
            </w:tcBorders>
          </w:tcPr>
          <w:p>
            <w:pPr>
              <w:spacing w:after="0"/>
              <w:rPr>
                <w:sz w:val="3"/>
                <w:szCs w:val="3"/>
                <w:color w:val="auto"/>
              </w:rPr>
            </w:pPr>
          </w:p>
        </w:tc>
        <w:tc>
          <w:tcPr>
            <w:tcW w:w="500" w:type="dxa"/>
            <w:vAlign w:val="bottom"/>
            <w:tcBorders>
              <w:bottom w:val="single" w:sz="8" w:color="14202A"/>
            </w:tcBorders>
          </w:tcPr>
          <w:p>
            <w:pPr>
              <w:spacing w:after="0"/>
              <w:rPr>
                <w:sz w:val="3"/>
                <w:szCs w:val="3"/>
                <w:color w:val="auto"/>
              </w:rPr>
            </w:pPr>
          </w:p>
        </w:tc>
        <w:tc>
          <w:tcPr>
            <w:tcW w:w="860" w:type="dxa"/>
            <w:vAlign w:val="bottom"/>
            <w:tcBorders>
              <w:bottom w:val="single" w:sz="8" w:color="14202A"/>
            </w:tcBorders>
          </w:tcPr>
          <w:p>
            <w:pPr>
              <w:spacing w:after="0"/>
              <w:rPr>
                <w:sz w:val="3"/>
                <w:szCs w:val="3"/>
                <w:color w:val="auto"/>
              </w:rPr>
            </w:pPr>
          </w:p>
        </w:tc>
        <w:tc>
          <w:tcPr>
            <w:tcW w:w="840" w:type="dxa"/>
            <w:vAlign w:val="bottom"/>
            <w:tcBorders>
              <w:bottom w:val="single" w:sz="8" w:color="14202A"/>
            </w:tcBorders>
          </w:tcPr>
          <w:p>
            <w:pPr>
              <w:spacing w:after="0"/>
              <w:rPr>
                <w:sz w:val="3"/>
                <w:szCs w:val="3"/>
                <w:color w:val="auto"/>
              </w:rPr>
            </w:pPr>
          </w:p>
        </w:tc>
      </w:tr>
      <w:tr>
        <w:trPr>
          <w:trHeight w:val="262"/>
        </w:trPr>
        <w:tc>
          <w:tcPr>
            <w:tcW w:w="4320" w:type="dxa"/>
            <w:vAlign w:val="bottom"/>
          </w:tcPr>
          <w:p>
            <w:pPr>
              <w:ind w:left="160"/>
              <w:spacing w:after="0"/>
              <w:rPr>
                <w:sz w:val="20"/>
                <w:szCs w:val="20"/>
                <w:color w:val="auto"/>
              </w:rPr>
            </w:pPr>
            <w:r>
              <w:rPr>
                <w:rFonts w:ascii="Arial" w:cs="Arial" w:eastAsia="Arial" w:hAnsi="Arial"/>
                <w:sz w:val="14"/>
                <w:szCs w:val="14"/>
                <w:color w:val="14202A"/>
              </w:rPr>
              <w:t>Net Working Capital</w:t>
            </w:r>
          </w:p>
        </w:tc>
        <w:tc>
          <w:tcPr>
            <w:tcW w:w="10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14202A"/>
                <w:w w:val="85"/>
              </w:rPr>
              <w:t>✔</w:t>
            </w: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111"/>
              <w:spacing w:after="0"/>
              <w:rPr>
                <w:sz w:val="20"/>
                <w:szCs w:val="20"/>
                <w:color w:val="auto"/>
              </w:rPr>
            </w:pPr>
            <w:r>
              <w:rPr>
                <w:rFonts w:ascii="Arial" w:cs="Arial" w:eastAsia="Arial" w:hAnsi="Arial"/>
                <w:sz w:val="14"/>
                <w:szCs w:val="14"/>
                <w:color w:val="14202A"/>
              </w:rPr>
              <w:t>19.4%</w:t>
            </w:r>
          </w:p>
        </w:tc>
        <w:tc>
          <w:tcPr>
            <w:tcW w:w="840" w:type="dxa"/>
            <w:vAlign w:val="bottom"/>
          </w:tcPr>
          <w:p>
            <w:pPr>
              <w:jc w:val="right"/>
              <w:ind w:right="170"/>
              <w:spacing w:after="0"/>
              <w:rPr>
                <w:sz w:val="20"/>
                <w:szCs w:val="20"/>
                <w:color w:val="auto"/>
              </w:rPr>
            </w:pPr>
            <w:r>
              <w:rPr>
                <w:rFonts w:ascii="Arial" w:cs="Arial" w:eastAsia="Arial" w:hAnsi="Arial"/>
                <w:sz w:val="14"/>
                <w:szCs w:val="14"/>
                <w:color w:val="14202A"/>
              </w:rPr>
              <w:t>N/A</w:t>
            </w:r>
          </w:p>
        </w:tc>
      </w:tr>
      <w:tr>
        <w:trPr>
          <w:trHeight w:val="42"/>
        </w:trPr>
        <w:tc>
          <w:tcPr>
            <w:tcW w:w="4320" w:type="dxa"/>
            <w:vAlign w:val="bottom"/>
            <w:tcBorders>
              <w:bottom w:val="single" w:sz="8" w:color="14202A"/>
            </w:tcBorders>
          </w:tcPr>
          <w:p>
            <w:pPr>
              <w:spacing w:after="0"/>
              <w:rPr>
                <w:sz w:val="3"/>
                <w:szCs w:val="3"/>
                <w:color w:val="auto"/>
              </w:rPr>
            </w:pPr>
          </w:p>
        </w:tc>
        <w:tc>
          <w:tcPr>
            <w:tcW w:w="1060" w:type="dxa"/>
            <w:vAlign w:val="bottom"/>
            <w:tcBorders>
              <w:bottom w:val="single" w:sz="8" w:color="14202A"/>
            </w:tcBorders>
          </w:tcPr>
          <w:p>
            <w:pPr>
              <w:spacing w:after="0"/>
              <w:rPr>
                <w:sz w:val="3"/>
                <w:szCs w:val="3"/>
                <w:color w:val="auto"/>
              </w:rPr>
            </w:pPr>
          </w:p>
        </w:tc>
        <w:tc>
          <w:tcPr>
            <w:tcW w:w="980" w:type="dxa"/>
            <w:vAlign w:val="bottom"/>
            <w:tcBorders>
              <w:bottom w:val="single" w:sz="8" w:color="14202A"/>
            </w:tcBorders>
          </w:tcPr>
          <w:p>
            <w:pPr>
              <w:spacing w:after="0"/>
              <w:rPr>
                <w:sz w:val="3"/>
                <w:szCs w:val="3"/>
                <w:color w:val="auto"/>
              </w:rPr>
            </w:pPr>
          </w:p>
        </w:tc>
        <w:tc>
          <w:tcPr>
            <w:tcW w:w="500" w:type="dxa"/>
            <w:vAlign w:val="bottom"/>
            <w:tcBorders>
              <w:bottom w:val="single" w:sz="8" w:color="14202A"/>
            </w:tcBorders>
          </w:tcPr>
          <w:p>
            <w:pPr>
              <w:spacing w:after="0"/>
              <w:rPr>
                <w:sz w:val="3"/>
                <w:szCs w:val="3"/>
                <w:color w:val="auto"/>
              </w:rPr>
            </w:pPr>
          </w:p>
        </w:tc>
        <w:tc>
          <w:tcPr>
            <w:tcW w:w="860" w:type="dxa"/>
            <w:vAlign w:val="bottom"/>
            <w:tcBorders>
              <w:bottom w:val="single" w:sz="8" w:color="14202A"/>
            </w:tcBorders>
          </w:tcPr>
          <w:p>
            <w:pPr>
              <w:spacing w:after="0"/>
              <w:rPr>
                <w:sz w:val="3"/>
                <w:szCs w:val="3"/>
                <w:color w:val="auto"/>
              </w:rPr>
            </w:pPr>
          </w:p>
        </w:tc>
        <w:tc>
          <w:tcPr>
            <w:tcW w:w="840" w:type="dxa"/>
            <w:vAlign w:val="bottom"/>
            <w:tcBorders>
              <w:bottom w:val="single" w:sz="8" w:color="14202A"/>
            </w:tcBorders>
          </w:tcPr>
          <w:p>
            <w:pPr>
              <w:spacing w:after="0"/>
              <w:rPr>
                <w:sz w:val="3"/>
                <w:szCs w:val="3"/>
                <w:color w:val="auto"/>
              </w:rPr>
            </w:pPr>
          </w:p>
        </w:tc>
      </w:tr>
      <w:tr>
        <w:trPr>
          <w:trHeight w:val="318"/>
        </w:trPr>
        <w:tc>
          <w:tcPr>
            <w:tcW w:w="432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rPr>
              <w:t>Average Return on Invested Capital (Incentive ROIC)</w:t>
            </w:r>
            <w:r>
              <w:rPr>
                <w:rFonts w:ascii="Arial" w:cs="Arial" w:eastAsia="Arial" w:hAnsi="Arial"/>
                <w:sz w:val="23"/>
                <w:szCs w:val="23"/>
                <w:color w:val="14202A"/>
                <w:vertAlign w:val="superscript"/>
              </w:rPr>
              <w:t>(4)</w:t>
            </w:r>
          </w:p>
        </w:tc>
        <w:tc>
          <w:tcPr>
            <w:tcW w:w="1060" w:type="dxa"/>
            <w:vAlign w:val="bottom"/>
            <w:tcBorders>
              <w:bottom w:val="single" w:sz="8" w:color="14202A"/>
            </w:tcBorders>
          </w:tcPr>
          <w:p>
            <w:pPr>
              <w:spacing w:after="0"/>
              <w:rPr>
                <w:sz w:val="24"/>
                <w:szCs w:val="24"/>
                <w:color w:val="auto"/>
              </w:rPr>
            </w:pPr>
          </w:p>
        </w:tc>
        <w:tc>
          <w:tcPr>
            <w:tcW w:w="980" w:type="dxa"/>
            <w:vAlign w:val="bottom"/>
            <w:tcBorders>
              <w:bottom w:val="single" w:sz="8" w:color="14202A"/>
            </w:tcBorders>
          </w:tcPr>
          <w:p>
            <w:pPr>
              <w:jc w:val="center"/>
              <w:ind w:left="111"/>
              <w:spacing w:after="0" w:line="141" w:lineRule="exact"/>
              <w:rPr>
                <w:sz w:val="20"/>
                <w:szCs w:val="20"/>
                <w:color w:val="auto"/>
              </w:rPr>
            </w:pPr>
            <w:r>
              <w:rPr>
                <w:rFonts w:ascii="MS PGothic" w:cs="MS PGothic" w:eastAsia="MS PGothic" w:hAnsi="MS PGothic"/>
                <w:sz w:val="14"/>
                <w:szCs w:val="14"/>
                <w:color w:val="14202A"/>
                <w:w w:val="85"/>
              </w:rPr>
              <w:t>✔</w:t>
            </w:r>
          </w:p>
        </w:tc>
        <w:tc>
          <w:tcPr>
            <w:tcW w:w="500" w:type="dxa"/>
            <w:vAlign w:val="bottom"/>
            <w:tcBorders>
              <w:bottom w:val="single" w:sz="8" w:color="14202A"/>
            </w:tcBorders>
          </w:tcPr>
          <w:p>
            <w:pPr>
              <w:spacing w:after="0"/>
              <w:rPr>
                <w:sz w:val="24"/>
                <w:szCs w:val="24"/>
                <w:color w:val="auto"/>
              </w:rPr>
            </w:pPr>
          </w:p>
        </w:tc>
        <w:tc>
          <w:tcPr>
            <w:tcW w:w="860" w:type="dxa"/>
            <w:vAlign w:val="bottom"/>
            <w:tcBorders>
              <w:bottom w:val="single" w:sz="8" w:color="14202A"/>
            </w:tcBorders>
          </w:tcPr>
          <w:p>
            <w:pPr>
              <w:jc w:val="right"/>
              <w:ind w:right="231"/>
              <w:spacing w:after="0"/>
              <w:rPr>
                <w:sz w:val="20"/>
                <w:szCs w:val="20"/>
                <w:color w:val="auto"/>
              </w:rPr>
            </w:pPr>
            <w:r>
              <w:rPr>
                <w:rFonts w:ascii="Arial" w:cs="Arial" w:eastAsia="Arial" w:hAnsi="Arial"/>
                <w:sz w:val="14"/>
                <w:szCs w:val="14"/>
                <w:color w:val="14202A"/>
              </w:rPr>
              <w:t>N/A</w:t>
            </w:r>
          </w:p>
        </w:tc>
        <w:tc>
          <w:tcPr>
            <w:tcW w:w="840" w:type="dxa"/>
            <w:vAlign w:val="bottom"/>
            <w:tcBorders>
              <w:bottom w:val="single" w:sz="8" w:color="14202A"/>
            </w:tcBorders>
          </w:tcPr>
          <w:p>
            <w:pPr>
              <w:jc w:val="right"/>
              <w:ind w:right="30"/>
              <w:spacing w:after="0"/>
              <w:rPr>
                <w:sz w:val="20"/>
                <w:szCs w:val="20"/>
                <w:color w:val="auto"/>
              </w:rPr>
            </w:pPr>
            <w:r>
              <w:rPr>
                <w:rFonts w:ascii="Arial" w:cs="Arial" w:eastAsia="Arial" w:hAnsi="Arial"/>
                <w:sz w:val="14"/>
                <w:szCs w:val="14"/>
                <w:color w:val="14202A"/>
              </w:rPr>
              <w:t>3.9%</w:t>
            </w:r>
          </w:p>
        </w:tc>
      </w:tr>
      <w:tr>
        <w:trPr>
          <w:trHeight w:val="290"/>
        </w:trPr>
        <w:tc>
          <w:tcPr>
            <w:tcW w:w="432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rPr>
              <w:t>Incentive Earnings Per Share (Incentive EPS)</w:t>
            </w:r>
            <w:r>
              <w:rPr>
                <w:rFonts w:ascii="Arial" w:cs="Arial" w:eastAsia="Arial" w:hAnsi="Arial"/>
                <w:sz w:val="23"/>
                <w:szCs w:val="23"/>
                <w:color w:val="14202A"/>
                <w:vertAlign w:val="superscript"/>
              </w:rPr>
              <w:t>(4)</w:t>
            </w:r>
          </w:p>
        </w:tc>
        <w:tc>
          <w:tcPr>
            <w:tcW w:w="1060" w:type="dxa"/>
            <w:vAlign w:val="bottom"/>
            <w:tcBorders>
              <w:bottom w:val="single" w:sz="8" w:color="14202A"/>
            </w:tcBorders>
          </w:tcPr>
          <w:p>
            <w:pPr>
              <w:spacing w:after="0"/>
              <w:rPr>
                <w:sz w:val="24"/>
                <w:szCs w:val="24"/>
                <w:color w:val="auto"/>
              </w:rPr>
            </w:pPr>
          </w:p>
        </w:tc>
        <w:tc>
          <w:tcPr>
            <w:tcW w:w="980" w:type="dxa"/>
            <w:vAlign w:val="bottom"/>
            <w:tcBorders>
              <w:bottom w:val="single" w:sz="8" w:color="14202A"/>
            </w:tcBorders>
          </w:tcPr>
          <w:p>
            <w:pPr>
              <w:jc w:val="center"/>
              <w:ind w:left="111"/>
              <w:spacing w:after="0" w:line="141" w:lineRule="exact"/>
              <w:rPr>
                <w:sz w:val="20"/>
                <w:szCs w:val="20"/>
                <w:color w:val="auto"/>
              </w:rPr>
            </w:pPr>
            <w:r>
              <w:rPr>
                <w:rFonts w:ascii="MS PGothic" w:cs="MS PGothic" w:eastAsia="MS PGothic" w:hAnsi="MS PGothic"/>
                <w:sz w:val="14"/>
                <w:szCs w:val="14"/>
                <w:color w:val="14202A"/>
                <w:w w:val="85"/>
              </w:rPr>
              <w:t>✔</w:t>
            </w:r>
          </w:p>
        </w:tc>
        <w:tc>
          <w:tcPr>
            <w:tcW w:w="500" w:type="dxa"/>
            <w:vAlign w:val="bottom"/>
            <w:tcBorders>
              <w:bottom w:val="single" w:sz="8" w:color="14202A"/>
            </w:tcBorders>
          </w:tcPr>
          <w:p>
            <w:pPr>
              <w:spacing w:after="0"/>
              <w:rPr>
                <w:sz w:val="24"/>
                <w:szCs w:val="24"/>
                <w:color w:val="auto"/>
              </w:rPr>
            </w:pPr>
          </w:p>
        </w:tc>
        <w:tc>
          <w:tcPr>
            <w:tcW w:w="860" w:type="dxa"/>
            <w:vAlign w:val="bottom"/>
            <w:tcBorders>
              <w:bottom w:val="single" w:sz="8" w:color="14202A"/>
            </w:tcBorders>
          </w:tcPr>
          <w:p>
            <w:pPr>
              <w:jc w:val="right"/>
              <w:ind w:right="231"/>
              <w:spacing w:after="0"/>
              <w:rPr>
                <w:sz w:val="20"/>
                <w:szCs w:val="20"/>
                <w:color w:val="auto"/>
              </w:rPr>
            </w:pPr>
            <w:r>
              <w:rPr>
                <w:rFonts w:ascii="Arial" w:cs="Arial" w:eastAsia="Arial" w:hAnsi="Arial"/>
                <w:sz w:val="14"/>
                <w:szCs w:val="14"/>
                <w:color w:val="14202A"/>
              </w:rPr>
              <w:t>N/A</w:t>
            </w:r>
          </w:p>
        </w:tc>
        <w:tc>
          <w:tcPr>
            <w:tcW w:w="840" w:type="dxa"/>
            <w:vAlign w:val="bottom"/>
            <w:tcBorders>
              <w:bottom w:val="single" w:sz="8" w:color="14202A"/>
            </w:tcBorders>
          </w:tcPr>
          <w:p>
            <w:pPr>
              <w:jc w:val="right"/>
              <w:ind w:right="170"/>
              <w:spacing w:after="0"/>
              <w:rPr>
                <w:sz w:val="20"/>
                <w:szCs w:val="20"/>
                <w:color w:val="auto"/>
              </w:rPr>
            </w:pPr>
            <w:r>
              <w:rPr>
                <w:rFonts w:ascii="Arial" w:cs="Arial" w:eastAsia="Arial" w:hAnsi="Arial"/>
                <w:sz w:val="14"/>
                <w:szCs w:val="14"/>
                <w:color w:val="14202A"/>
              </w:rPr>
              <w:t>$1.79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-1250950</wp:posOffset>
            </wp:positionV>
            <wp:extent cx="2425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0" w:lineRule="exact"/>
        <w:rPr>
          <w:sz w:val="20"/>
          <w:szCs w:val="20"/>
          <w:color w:val="auto"/>
        </w:rPr>
      </w:pPr>
    </w:p>
    <w:p>
      <w:pPr>
        <w:ind w:left="800" w:right="580" w:hanging="360"/>
        <w:spacing w:after="0" w:line="233" w:lineRule="auto"/>
        <w:tabs>
          <w:tab w:leader="none" w:pos="800" w:val="left"/>
        </w:tabs>
        <w:numPr>
          <w:ilvl w:val="0"/>
          <w:numId w:val="17"/>
        </w:numPr>
        <w:rPr>
          <w:rFonts w:ascii="Arial" w:cs="Arial" w:eastAsia="Arial" w:hAnsi="Arial"/>
          <w:sz w:val="13"/>
          <w:szCs w:val="13"/>
          <w:color w:val="14202A"/>
        </w:rPr>
      </w:pPr>
      <w:r>
        <w:rPr>
          <w:rFonts w:ascii="Arial" w:cs="Arial" w:eastAsia="Arial" w:hAnsi="Arial"/>
          <w:sz w:val="13"/>
          <w:szCs w:val="13"/>
          <w:color w:val="14202A"/>
        </w:rPr>
        <w:t>The annual Officers Incentive Compensation Plan metrics and performance for each of our named executive officers, other than Mr. Clark, are described in detail under the “Fiscal 2026 OICP” section of this Proxy Statement. Mr. Clark does not participate in the OICP; his incentive compensation is governed by the Grand Design Management Incentive Plan pursuant to his employment agreement.</w:t>
      </w:r>
    </w:p>
    <w:p>
      <w:pPr>
        <w:spacing w:after="0" w:line="23" w:lineRule="exact"/>
        <w:rPr>
          <w:rFonts w:ascii="Arial" w:cs="Arial" w:eastAsia="Arial" w:hAnsi="Arial"/>
          <w:sz w:val="13"/>
          <w:szCs w:val="13"/>
          <w:color w:val="14202A"/>
        </w:rPr>
      </w:pPr>
    </w:p>
    <w:p>
      <w:pPr>
        <w:ind w:left="800" w:hanging="360"/>
        <w:spacing w:after="0"/>
        <w:tabs>
          <w:tab w:leader="none" w:pos="800" w:val="left"/>
        </w:tabs>
        <w:numPr>
          <w:ilvl w:val="0"/>
          <w:numId w:val="17"/>
        </w:numPr>
        <w:rPr>
          <w:rFonts w:ascii="Arial" w:cs="Arial" w:eastAsia="Arial" w:hAnsi="Arial"/>
          <w:sz w:val="13"/>
          <w:szCs w:val="13"/>
          <w:color w:val="14202A"/>
        </w:rPr>
      </w:pPr>
      <w:r>
        <w:rPr>
          <w:rFonts w:ascii="Arial" w:cs="Arial" w:eastAsia="Arial" w:hAnsi="Arial"/>
          <w:sz w:val="13"/>
          <w:szCs w:val="13"/>
          <w:color w:val="14202A"/>
        </w:rPr>
        <w:t>The performance metrics for the Fiscal 2024-2026 performance share unit awards consisted of 50% Incentive ROIC and 50% Incentive EPS.</w:t>
      </w:r>
    </w:p>
    <w:p>
      <w:pPr>
        <w:spacing w:after="0" w:line="39" w:lineRule="exact"/>
        <w:rPr>
          <w:rFonts w:ascii="Arial" w:cs="Arial" w:eastAsia="Arial" w:hAnsi="Arial"/>
          <w:sz w:val="13"/>
          <w:szCs w:val="13"/>
          <w:color w:val="14202A"/>
        </w:rPr>
      </w:pPr>
    </w:p>
    <w:p>
      <w:pPr>
        <w:ind w:left="800" w:right="500" w:hanging="360"/>
        <w:spacing w:after="0" w:line="243" w:lineRule="auto"/>
        <w:tabs>
          <w:tab w:leader="none" w:pos="800" w:val="left"/>
        </w:tabs>
        <w:numPr>
          <w:ilvl w:val="0"/>
          <w:numId w:val="17"/>
        </w:numPr>
        <w:rPr>
          <w:rFonts w:ascii="Arial" w:cs="Arial" w:eastAsia="Arial" w:hAnsi="Arial"/>
          <w:sz w:val="13"/>
          <w:szCs w:val="13"/>
          <w:color w:val="14202A"/>
        </w:rPr>
      </w:pPr>
      <w:r>
        <w:rPr>
          <w:rFonts w:ascii="Arial" w:cs="Arial" w:eastAsia="Arial" w:hAnsi="Arial"/>
          <w:sz w:val="13"/>
          <w:szCs w:val="13"/>
          <w:color w:val="14202A"/>
        </w:rPr>
        <w:t>Relates to the Fiscal 2024-2026 performance period of the 2024-2026 LTIP plan. The full details of the plan and performance are outlined in the “Certification of Results for the Fiscal 2024-2026 LTIP Cycle” section of this Proxy Statement.</w:t>
      </w:r>
    </w:p>
    <w:p>
      <w:pPr>
        <w:spacing w:after="0" w:line="21" w:lineRule="exact"/>
        <w:rPr>
          <w:rFonts w:ascii="Arial" w:cs="Arial" w:eastAsia="Arial" w:hAnsi="Arial"/>
          <w:sz w:val="13"/>
          <w:szCs w:val="13"/>
          <w:color w:val="14202A"/>
        </w:rPr>
      </w:pPr>
    </w:p>
    <w:p>
      <w:pPr>
        <w:ind w:left="800" w:right="540" w:hanging="360"/>
        <w:spacing w:after="0" w:line="244" w:lineRule="auto"/>
        <w:tabs>
          <w:tab w:leader="none" w:pos="800" w:val="left"/>
        </w:tabs>
        <w:numPr>
          <w:ilvl w:val="0"/>
          <w:numId w:val="17"/>
        </w:numPr>
        <w:rPr>
          <w:rFonts w:ascii="Arial" w:cs="Arial" w:eastAsia="Arial" w:hAnsi="Arial"/>
          <w:sz w:val="12"/>
          <w:szCs w:val="12"/>
          <w:color w:val="14202A"/>
        </w:rPr>
      </w:pPr>
      <w:r>
        <w:rPr>
          <w:rFonts w:ascii="Arial" w:cs="Arial" w:eastAsia="Arial" w:hAnsi="Arial"/>
          <w:sz w:val="12"/>
          <w:szCs w:val="12"/>
          <w:color w:val="14202A"/>
        </w:rPr>
        <w:t>When determining the level of actual performance for the Fiscal 2024-2026 three-year performance period of the Long-Term Incentive Program (“LTIP”), the committee excluded the impact of certain events impacting comparability, consistent with our defined methodology. The Incentive ROIC metric was adjusted from ROIC to exclude the following: (i) pretax amortization, (ii) pretax restructuring and related costs, (iii) pretax gain on sale of property, plant and equipment, and (iv) the tax impact of the aforementioned adjustments, as applicable. The Incentive EPS metric was adjusted from diluted EPS to exclude the following: (i) pretax amortization, (ii) pretax impact of the loss incurred on the partial repurchase of our Senior Secured Notes, (iii) pretax restructuring and related costs, (iv) pretax gain on sale of property, plant and equipment, and (v) the tax impact of the aforementioned adjustments, as applicable.</w:t>
      </w:r>
    </w:p>
    <w:p>
      <w:pPr>
        <w:spacing w:after="0" w:line="292" w:lineRule="exact"/>
        <w:rPr>
          <w:sz w:val="20"/>
          <w:szCs w:val="20"/>
          <w:color w:val="auto"/>
        </w:rPr>
      </w:pPr>
    </w:p>
    <w:p>
      <w:pPr>
        <w:ind w:left="7000"/>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156210</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-83185</wp:posOffset>
            </wp:positionV>
            <wp:extent cx="1465580" cy="946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0160"/>
          </w:cols>
          <w:pgMar w:left="860" w:top="114" w:right="8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Impact of Performance on Fiscal 2026 Compensation</w:t>
      </w:r>
    </w:p>
    <w:p>
      <w:pPr>
        <w:spacing w:after="0" w:line="18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14202A"/>
        </w:rPr>
        <w:t>The compensation program for our NEOs in Fiscal 2026 was directly impacted by our financial performance and total shareholder returns: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780" w:type="dxa"/>
            <w:vAlign w:val="bottom"/>
            <w:shd w:val="clear" w:color="auto" w:fill="14202A"/>
          </w:tcPr>
          <w:p>
            <w:pPr>
              <w:ind w:left="140"/>
              <w:spacing w:after="0"/>
              <w:rPr>
                <w:sz w:val="20"/>
                <w:szCs w:val="20"/>
                <w:color w:val="auto"/>
              </w:rPr>
            </w:pPr>
            <w:r>
              <w:rPr>
                <w:rFonts w:ascii="Arial" w:cs="Arial" w:eastAsia="Arial" w:hAnsi="Arial"/>
                <w:sz w:val="13"/>
                <w:szCs w:val="13"/>
                <w:b w:val="1"/>
                <w:bCs w:val="1"/>
                <w:color w:val="FFFFFF"/>
              </w:rPr>
              <w:t>Performance Objective</w:t>
            </w:r>
          </w:p>
        </w:tc>
        <w:tc>
          <w:tcPr>
            <w:tcW w:w="7500" w:type="dxa"/>
            <w:vAlign w:val="bottom"/>
            <w:shd w:val="clear" w:color="auto" w:fill="14202A"/>
          </w:tcPr>
          <w:p>
            <w:pPr>
              <w:ind w:left="600"/>
              <w:spacing w:after="0"/>
              <w:rPr>
                <w:sz w:val="20"/>
                <w:szCs w:val="20"/>
                <w:color w:val="auto"/>
              </w:rPr>
            </w:pPr>
            <w:r>
              <w:rPr>
                <w:rFonts w:ascii="Arial" w:cs="Arial" w:eastAsia="Arial" w:hAnsi="Arial"/>
                <w:sz w:val="13"/>
                <w:szCs w:val="13"/>
                <w:b w:val="1"/>
                <w:bCs w:val="1"/>
                <w:color w:val="FFFFFF"/>
              </w:rPr>
              <w:t>Link to 2026 Compensation</w:t>
            </w:r>
          </w:p>
        </w:tc>
      </w:tr>
      <w:tr>
        <w:trPr>
          <w:trHeight w:val="62"/>
        </w:trPr>
        <w:tc>
          <w:tcPr>
            <w:tcW w:w="1780" w:type="dxa"/>
            <w:vAlign w:val="bottom"/>
            <w:shd w:val="clear" w:color="auto" w:fill="14202A"/>
          </w:tcPr>
          <w:p>
            <w:pPr>
              <w:spacing w:after="0"/>
              <w:rPr>
                <w:sz w:val="5"/>
                <w:szCs w:val="5"/>
                <w:color w:val="auto"/>
              </w:rPr>
            </w:pPr>
          </w:p>
        </w:tc>
        <w:tc>
          <w:tcPr>
            <w:tcW w:w="7500" w:type="dxa"/>
            <w:vAlign w:val="bottom"/>
            <w:shd w:val="clear" w:color="auto" w:fill="14202A"/>
          </w:tcPr>
          <w:p>
            <w:pPr>
              <w:spacing w:after="0"/>
              <w:rPr>
                <w:sz w:val="5"/>
                <w:szCs w:val="5"/>
                <w:color w:val="auto"/>
              </w:rPr>
            </w:pPr>
          </w:p>
        </w:tc>
      </w:tr>
      <w:tr>
        <w:trPr>
          <w:trHeight w:val="274"/>
        </w:trPr>
        <w:tc>
          <w:tcPr>
            <w:tcW w:w="1780" w:type="dxa"/>
            <w:vAlign w:val="bottom"/>
          </w:tcPr>
          <w:p>
            <w:pPr>
              <w:ind w:left="140"/>
              <w:spacing w:after="0"/>
              <w:rPr>
                <w:sz w:val="20"/>
                <w:szCs w:val="20"/>
                <w:color w:val="auto"/>
              </w:rPr>
            </w:pPr>
            <w:r>
              <w:rPr>
                <w:rFonts w:ascii="Arial" w:cs="Arial" w:eastAsia="Arial" w:hAnsi="Arial"/>
                <w:sz w:val="14"/>
                <w:szCs w:val="14"/>
                <w:color w:val="14202A"/>
              </w:rPr>
              <w:t>Financial</w:t>
            </w:r>
          </w:p>
        </w:tc>
        <w:tc>
          <w:tcPr>
            <w:tcW w:w="7500" w:type="dxa"/>
            <w:vAlign w:val="bottom"/>
          </w:tcPr>
          <w:p>
            <w:pPr>
              <w:ind w:left="260"/>
              <w:spacing w:after="0"/>
              <w:rPr>
                <w:sz w:val="20"/>
                <w:szCs w:val="20"/>
                <w:color w:val="auto"/>
              </w:rPr>
            </w:pPr>
            <w:r>
              <w:rPr>
                <w:rFonts w:ascii="Arial" w:cs="Arial" w:eastAsia="Arial" w:hAnsi="Arial"/>
                <w:sz w:val="14"/>
                <w:szCs w:val="14"/>
                <w:color w:val="14202A"/>
              </w:rPr>
              <w:t>For Messrs. Happe and Hughes, 70% of the 2026 annual incentive award was based on achieving</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targeted levels of net revenue (40%), operating income (50%), and net working capital (10%) at the</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enterprise level. For Ms. Bogart, 70% of the 2026 annual incentive award was based on achieving targeted</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levels of net revenue (40%) and operating income (60%) at the enterprise level. For Mr. Tubman, 70% of</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the 2026 annual incentive award was based on achieving targeted levels of financial performance,</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weighted as follows: 70% based on Newmar business unit performance (40% net revenue, 50% operating</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income, 10% net working capital), 25% based on Winnebago Motorhome and Specialty Vehicles</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performance (30% net revenue, 50% operating income, 20% net working capital), and 5% based on</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enterprise-level performance (40% net revenue, 50% operating income, 10% net working capital). The</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other 30% was tied to individual metrics aligned with goals deemed important to advancing business</w:t>
            </w:r>
          </w:p>
        </w:tc>
      </w:tr>
      <w:tr>
        <w:trPr>
          <w:trHeight w:val="190"/>
        </w:trPr>
        <w:tc>
          <w:tcPr>
            <w:tcW w:w="1780" w:type="dxa"/>
            <w:vAlign w:val="bottom"/>
          </w:tcPr>
          <w:p>
            <w:pPr>
              <w:spacing w:after="0"/>
              <w:rPr>
                <w:sz w:val="16"/>
                <w:szCs w:val="16"/>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objectives.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116840</wp:posOffset>
            </wp:positionV>
            <wp:extent cx="46723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672330" cy="8255"/>
                    </a:xfrm>
                    <a:prstGeom prst="rect">
                      <a:avLst/>
                    </a:prstGeom>
                    <a:noFill/>
                  </pic:spPr>
                </pic:pic>
              </a:graphicData>
            </a:graphic>
          </wp:anchor>
        </w:drawing>
      </w:r>
    </w:p>
    <w:p>
      <w:pPr>
        <w:spacing w:after="0" w:line="239" w:lineRule="exact"/>
        <w:rPr>
          <w:sz w:val="20"/>
          <w:szCs w:val="20"/>
          <w:color w:val="auto"/>
        </w:rPr>
      </w:pPr>
    </w:p>
    <w:p>
      <w:pPr>
        <w:ind w:left="2380" w:right="100"/>
        <w:spacing w:after="0" w:line="263" w:lineRule="auto"/>
        <w:rPr>
          <w:sz w:val="20"/>
          <w:szCs w:val="20"/>
          <w:color w:val="auto"/>
        </w:rPr>
      </w:pPr>
      <w:r>
        <w:rPr>
          <w:rFonts w:ascii="Arial" w:cs="Arial" w:eastAsia="Arial" w:hAnsi="Arial"/>
          <w:sz w:val="14"/>
          <w:szCs w:val="14"/>
          <w:color w:val="14202A"/>
        </w:rPr>
        <w:t>Pursuant to the terms of his employment agreement, Mr. Clark’s incentive compensation is 90% dependent on pretax net income of the Grand Design business and 10% dependent on Grand Design’s performance against an operating target set by the Company.</w:t>
      </w:r>
    </w:p>
    <w:p>
      <w:pPr>
        <w:spacing w:after="0" w:line="145" w:lineRule="exact"/>
        <w:rPr>
          <w:sz w:val="20"/>
          <w:szCs w:val="20"/>
          <w:color w:val="auto"/>
        </w:rPr>
      </w:pPr>
    </w:p>
    <w:p>
      <w:pPr>
        <w:ind w:left="2380" w:right="700"/>
        <w:spacing w:after="0" w:line="285" w:lineRule="auto"/>
        <w:rPr>
          <w:sz w:val="20"/>
          <w:szCs w:val="20"/>
          <w:color w:val="auto"/>
        </w:rPr>
      </w:pPr>
      <w:r>
        <w:rPr>
          <w:rFonts w:ascii="Arial" w:cs="Arial" w:eastAsia="Arial" w:hAnsi="Arial"/>
          <w:sz w:val="14"/>
          <w:szCs w:val="14"/>
          <w:color w:val="14202A"/>
        </w:rPr>
        <w:t>Payout for the Fiscal 2024-2026 LTIP awards was tied 50% to our Incentive ROIC and 50% to our Incentive EPS.</w:t>
      </w:r>
    </w:p>
    <w:p>
      <w:pPr>
        <w:spacing w:after="0" w:line="113" w:lineRule="exact"/>
        <w:rPr>
          <w:sz w:val="20"/>
          <w:szCs w:val="20"/>
          <w:color w:val="auto"/>
        </w:rPr>
      </w:pPr>
    </w:p>
    <w:p>
      <w:pPr>
        <w:ind w:left="2380" w:right="220"/>
        <w:spacing w:after="0" w:line="252" w:lineRule="auto"/>
        <w:rPr>
          <w:sz w:val="20"/>
          <w:szCs w:val="20"/>
          <w:color w:val="auto"/>
        </w:rPr>
      </w:pPr>
      <w:r>
        <w:rPr>
          <w:rFonts w:ascii="Arial" w:cs="Arial" w:eastAsia="Arial" w:hAnsi="Arial"/>
          <w:sz w:val="14"/>
          <w:szCs w:val="14"/>
          <w:color w:val="14202A"/>
        </w:rPr>
        <w:t>In Fiscal 2026, the committee approved the Winnebago Motorhome Profitability Improvement Bonus Plan (the “Motorhome Bonus Plan”), providing key Winnebago Motorhome leaders, including Mr. Tubman, the opportunity to earn bonus amounts tied to operating margin improvement goals for the Winnebago Motorhome business. Amounts earned under the Motorhome Bonus Plan are paid one-half in cash and one-half in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-898525</wp:posOffset>
            </wp:positionV>
            <wp:extent cx="46723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672330" cy="8255"/>
                    </a:xfrm>
                    <a:prstGeom prst="rect">
                      <a:avLst/>
                    </a:prstGeom>
                    <a:noFill/>
                  </pic:spPr>
                </pic:pic>
              </a:graphicData>
            </a:graphic>
          </wp:anchor>
        </w:drawing>
        <w:drawing>
          <wp:anchor simplePos="0" relativeHeight="251657728" behindDoc="1" locked="0" layoutInCell="0" allowOverlap="1">
            <wp:simplePos x="0" y="0"/>
            <wp:positionH relativeFrom="column">
              <wp:posOffset>1225550</wp:posOffset>
            </wp:positionH>
            <wp:positionV relativeFrom="paragraph">
              <wp:posOffset>-581660</wp:posOffset>
            </wp:positionV>
            <wp:extent cx="46723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6723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26670</wp:posOffset>
            </wp:positionV>
            <wp:extent cx="58978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93" w:lineRule="exact"/>
        <w:rPr>
          <w:sz w:val="20"/>
          <w:szCs w:val="20"/>
          <w:color w:val="auto"/>
        </w:rPr>
      </w:pPr>
    </w:p>
    <w:p>
      <w:pPr>
        <w:ind w:left="2380" w:right="300" w:hanging="2227"/>
        <w:spacing w:after="0" w:line="285" w:lineRule="auto"/>
        <w:tabs>
          <w:tab w:leader="none" w:pos="2360" w:val="left"/>
        </w:tabs>
        <w:rPr>
          <w:sz w:val="20"/>
          <w:szCs w:val="20"/>
          <w:color w:val="auto"/>
        </w:rPr>
      </w:pPr>
      <w:r>
        <w:rPr>
          <w:rFonts w:ascii="Arial" w:cs="Arial" w:eastAsia="Arial" w:hAnsi="Arial"/>
          <w:sz w:val="28"/>
          <w:szCs w:val="28"/>
          <w:color w:val="14202A"/>
          <w:vertAlign w:val="superscript"/>
        </w:rPr>
        <w:t>Total Shareholder Returns</w:t>
      </w:r>
      <w:r>
        <w:rPr>
          <w:sz w:val="20"/>
          <w:szCs w:val="20"/>
          <w:color w:val="auto"/>
        </w:rPr>
        <w:tab/>
      </w:r>
      <w:r>
        <w:rPr>
          <w:rFonts w:ascii="Arial" w:cs="Arial" w:eastAsia="Arial" w:hAnsi="Arial"/>
          <w:sz w:val="14"/>
          <w:szCs w:val="14"/>
          <w:color w:val="14202A"/>
        </w:rPr>
        <w:t>With the exception of Mr. Clark, 47% of our NEOs’ target compensation on average was delivered in the form of Company equity awards (71% in the case of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26670</wp:posOffset>
            </wp:positionV>
            <wp:extent cx="46723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672330" cy="8890"/>
                    </a:xfrm>
                    <a:prstGeom prst="rect">
                      <a:avLst/>
                    </a:prstGeom>
                    <a:noFill/>
                  </pic:spPr>
                </pic:pic>
              </a:graphicData>
            </a:graphic>
          </wp:anchor>
        </w:drawing>
      </w:r>
    </w:p>
    <w:p>
      <w:pPr>
        <w:spacing w:after="0" w:line="94" w:lineRule="exact"/>
        <w:rPr>
          <w:sz w:val="20"/>
          <w:szCs w:val="20"/>
          <w:color w:val="auto"/>
        </w:rPr>
      </w:pPr>
    </w:p>
    <w:p>
      <w:pPr>
        <w:ind w:left="2380" w:right="220"/>
        <w:spacing w:after="0" w:line="263" w:lineRule="auto"/>
        <w:rPr>
          <w:sz w:val="20"/>
          <w:szCs w:val="20"/>
          <w:color w:val="auto"/>
        </w:rPr>
      </w:pPr>
      <w:r>
        <w:rPr>
          <w:rFonts w:ascii="Arial" w:cs="Arial" w:eastAsia="Arial" w:hAnsi="Arial"/>
          <w:sz w:val="14"/>
          <w:szCs w:val="14"/>
          <w:color w:val="14202A"/>
        </w:rPr>
        <w:t>15% of the annual equity grants made in Fiscal 2026 to all NEOs, excluding Mr. Clark, were in the form of stock options, which only have value to the executive if the value of the Company grows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978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14202A"/>
        </w:rPr>
        <w:t>Based on our performance as measured against predefined goals, the 2024-2026 LTIP paid out at 0% of target, and the Fiscal 2026 Officers Incentive Compensation Plan (“OICP”) paid out as follows for all NEOs, except for Mr. Clark: 109.8% of target for Messrs. Happe and Hughes, 113.2% for Ms. Bogart, and 128.1% for Mr. Tubman. No amounts were earned under the Motorhome Bonus Plan as of the end of Fiscal 2026.</w:t>
      </w:r>
    </w:p>
    <w:p>
      <w:pPr>
        <w:spacing w:after="0" w:line="15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14202A"/>
        </w:rPr>
        <w:t>Mr. Clark received a cash incentive award of $2,871,251 for Fiscal 2026. This incentive was paid in four quarterly installments with respect to Fiscal 2026.</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-82550</wp:posOffset>
            </wp:positionV>
            <wp:extent cx="1465580" cy="946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Other Pay and Governance Practices</w:t>
      </w:r>
    </w:p>
    <w:p>
      <w:pPr>
        <w:spacing w:after="0" w:line="180" w:lineRule="exact"/>
        <w:rPr>
          <w:sz w:val="20"/>
          <w:szCs w:val="20"/>
          <w:color w:val="auto"/>
        </w:rPr>
      </w:pPr>
    </w:p>
    <w:p>
      <w:pPr>
        <w:jc w:val="both"/>
        <w:ind w:right="620"/>
        <w:spacing w:after="0" w:line="286" w:lineRule="auto"/>
        <w:rPr>
          <w:sz w:val="20"/>
          <w:szCs w:val="20"/>
          <w:color w:val="auto"/>
        </w:rPr>
      </w:pPr>
      <w:r>
        <w:rPr>
          <w:rFonts w:ascii="Arial" w:cs="Arial" w:eastAsia="Arial" w:hAnsi="Arial"/>
          <w:sz w:val="16"/>
          <w:szCs w:val="16"/>
          <w:color w:val="14202A"/>
        </w:rPr>
        <w:t>The Company has adopted the following key programs, policies and practices to respond to best governance practices in executive compensation and enhance the alignment of our executive compensation programs and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5897880" cy="2400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97880" cy="24003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156" w:lineRule="exact"/>
        <w:rPr>
          <w:sz w:val="20"/>
          <w:szCs w:val="20"/>
          <w:color w:val="auto"/>
        </w:rPr>
      </w:pPr>
    </w:p>
    <w:p>
      <w:pPr>
        <w:jc w:val="center"/>
        <w:ind w:left="180"/>
        <w:spacing w:after="0"/>
        <w:rPr>
          <w:sz w:val="20"/>
          <w:szCs w:val="20"/>
          <w:color w:val="auto"/>
        </w:rPr>
      </w:pPr>
      <w:r>
        <w:rPr>
          <w:rFonts w:ascii="Arial" w:cs="Arial" w:eastAsia="Arial" w:hAnsi="Arial"/>
          <w:sz w:val="16"/>
          <w:szCs w:val="16"/>
          <w:b w:val="1"/>
          <w:bCs w:val="1"/>
          <w:color w:val="FFFFFF"/>
        </w:rPr>
        <w:t>What we do</w:t>
      </w:r>
    </w:p>
    <w:p>
      <w:pPr>
        <w:spacing w:after="0" w:line="127" w:lineRule="exact"/>
        <w:rPr>
          <w:sz w:val="20"/>
          <w:szCs w:val="20"/>
          <w:color w:val="auto"/>
        </w:rPr>
      </w:pPr>
    </w:p>
    <w:p>
      <w:pPr>
        <w:ind w:left="160" w:right="260"/>
        <w:spacing w:after="0" w:line="19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Tie the majority of target total compensation to performance </w:t>
      </w:r>
      <w:r>
        <w:rPr>
          <w:rFonts w:ascii="MS PGothic" w:cs="MS PGothic" w:eastAsia="MS PGothic" w:hAnsi="MS PGothic"/>
          <w:sz w:val="14"/>
          <w:szCs w:val="14"/>
          <w:color w:val="14202A"/>
        </w:rPr>
        <w:t>✔</w:t>
      </w:r>
      <w:r>
        <w:rPr>
          <w:rFonts w:ascii="Arial" w:cs="Arial" w:eastAsia="Arial" w:hAnsi="Arial"/>
          <w:sz w:val="14"/>
          <w:szCs w:val="14"/>
          <w:color w:val="14202A"/>
        </w:rPr>
        <w:t xml:space="preserve">  Provide appropriate mix of pay to reward Company, line of</w:t>
      </w:r>
    </w:p>
    <w:p>
      <w:pPr>
        <w:ind w:left="420"/>
        <w:spacing w:after="0" w:line="237" w:lineRule="auto"/>
        <w:rPr>
          <w:sz w:val="20"/>
          <w:szCs w:val="20"/>
          <w:color w:val="auto"/>
        </w:rPr>
      </w:pPr>
      <w:r>
        <w:rPr>
          <w:rFonts w:ascii="Arial" w:cs="Arial" w:eastAsia="Arial" w:hAnsi="Arial"/>
          <w:sz w:val="14"/>
          <w:szCs w:val="14"/>
          <w:color w:val="14202A"/>
        </w:rPr>
        <w:t>business, and individual performance</w:t>
      </w:r>
    </w:p>
    <w:p>
      <w:pPr>
        <w:ind w:left="420" w:right="120" w:hanging="265"/>
        <w:spacing w:after="0" w:line="16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Align executive interests with the interests of the shareholders through equity-based awards</w:t>
      </w:r>
    </w:p>
    <w:p>
      <w:pPr>
        <w:spacing w:after="0" w:line="1" w:lineRule="exact"/>
        <w:rPr>
          <w:sz w:val="20"/>
          <w:szCs w:val="20"/>
          <w:color w:val="auto"/>
        </w:rPr>
      </w:pPr>
    </w:p>
    <w:p>
      <w:pPr>
        <w:ind w:left="420" w:right="100" w:hanging="265"/>
        <w:spacing w:after="0" w:line="16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Use different performance metrics for annual incentive awards and long-term incentive awards</w:t>
      </w:r>
    </w:p>
    <w:p>
      <w:pPr>
        <w:spacing w:after="0" w:line="1" w:lineRule="exact"/>
        <w:rPr>
          <w:sz w:val="20"/>
          <w:szCs w:val="20"/>
          <w:color w:val="auto"/>
        </w:rPr>
      </w:pPr>
    </w:p>
    <w:p>
      <w:pPr>
        <w:ind w:left="420" w:hanging="265"/>
        <w:spacing w:after="0" w:line="16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Maintain clawback policies, applicable to our executive officers’ incentive awards, which provide for the recoupment of incentive compensation payouts following certain financial restatements or in the event of certain misconduct</w:t>
      </w:r>
    </w:p>
    <w:p>
      <w:pPr>
        <w:spacing w:after="0" w:line="1" w:lineRule="exact"/>
        <w:rPr>
          <w:sz w:val="20"/>
          <w:szCs w:val="20"/>
          <w:color w:val="auto"/>
        </w:rPr>
      </w:pPr>
    </w:p>
    <w:p>
      <w:pPr>
        <w:ind w:left="420" w:right="200" w:hanging="265"/>
        <w:spacing w:after="0" w:line="16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Align our performance goals and measures with our strategy and operating plan</w:t>
      </w:r>
    </w:p>
    <w:p>
      <w:pPr>
        <w:spacing w:after="0" w:line="1" w:lineRule="exact"/>
        <w:rPr>
          <w:sz w:val="20"/>
          <w:szCs w:val="20"/>
          <w:color w:val="auto"/>
        </w:rPr>
      </w:pPr>
    </w:p>
    <w:p>
      <w:pPr>
        <w:ind w:left="420" w:right="240" w:hanging="265"/>
        <w:spacing w:after="0" w:line="16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Maintain meaningful executive and director stock ownership guidelines</w:t>
      </w:r>
    </w:p>
    <w:p>
      <w:pPr>
        <w:spacing w:after="0" w:line="1" w:lineRule="exact"/>
        <w:rPr>
          <w:sz w:val="20"/>
          <w:szCs w:val="20"/>
          <w:color w:val="auto"/>
        </w:rPr>
      </w:pPr>
    </w:p>
    <w:p>
      <w:pPr>
        <w:ind w:left="160"/>
        <w:spacing w:after="0" w:line="161"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Conduct annual “say-on-pay” advisory votes</w:t>
      </w:r>
    </w:p>
    <w:p>
      <w:pPr>
        <w:spacing w:after="0" w:line="15" w:lineRule="exact"/>
        <w:rPr>
          <w:sz w:val="20"/>
          <w:szCs w:val="20"/>
          <w:color w:val="auto"/>
        </w:rPr>
      </w:pPr>
    </w:p>
    <w:p>
      <w:pPr>
        <w:ind w:left="420" w:right="40" w:hanging="265"/>
        <w:spacing w:after="0" w:line="168"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Use an outside, independent third-party advisor to provide objective compensation advice to our fully-independent Human Resources Committee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FFFFFF"/>
        </w:rPr>
        <w:t>What we don’t do</w:t>
      </w:r>
    </w:p>
    <w:p>
      <w:pPr>
        <w:spacing w:after="0" w:line="127" w:lineRule="exact"/>
        <w:rPr>
          <w:sz w:val="20"/>
          <w:szCs w:val="20"/>
          <w:color w:val="auto"/>
        </w:rPr>
      </w:pPr>
    </w:p>
    <w:p>
      <w:pPr>
        <w:ind w:right="300"/>
        <w:spacing w:after="0" w:line="196"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Provide excessive severance benefits to our executive officers </w:t>
      </w:r>
      <w:r>
        <w:rPr>
          <w:rFonts w:ascii="MS PGothic" w:cs="MS PGothic" w:eastAsia="MS PGothic" w:hAnsi="MS PGothic"/>
          <w:sz w:val="14"/>
          <w:szCs w:val="14"/>
          <w:color w:val="14202A"/>
        </w:rPr>
        <w:t>✘</w:t>
      </w:r>
      <w:r>
        <w:rPr>
          <w:rFonts w:ascii="Arial" w:cs="Arial" w:eastAsia="Arial" w:hAnsi="Arial"/>
          <w:sz w:val="14"/>
          <w:szCs w:val="14"/>
          <w:color w:val="14202A"/>
        </w:rPr>
        <w:t xml:space="preserve">  Provide excise tax gross-ups upon change in control</w:t>
      </w:r>
    </w:p>
    <w:p>
      <w:pPr>
        <w:spacing w:after="0" w:line="1" w:lineRule="exact"/>
        <w:rPr>
          <w:sz w:val="20"/>
          <w:szCs w:val="20"/>
          <w:color w:val="auto"/>
        </w:rPr>
      </w:pPr>
    </w:p>
    <w:p>
      <w:pPr>
        <w:ind w:left="260" w:right="180" w:hanging="265"/>
        <w:spacing w:after="0" w:line="16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Grant equity awards subject to automatic acceleration of vesting (i.e., single-trigger) upon change in control</w:t>
      </w:r>
    </w:p>
    <w:p>
      <w:pPr>
        <w:spacing w:after="0" w:line="1" w:lineRule="exact"/>
        <w:rPr>
          <w:sz w:val="20"/>
          <w:szCs w:val="20"/>
          <w:color w:val="auto"/>
        </w:rPr>
      </w:pPr>
    </w:p>
    <w:p>
      <w:pPr>
        <w:ind w:left="260" w:right="320" w:hanging="265"/>
        <w:spacing w:after="0" w:line="16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Allow for hedging, pledging or speculative trading of Company securities by executives or directors</w:t>
      </w:r>
    </w:p>
    <w:p>
      <w:pPr>
        <w:spacing w:after="0" w:line="1" w:lineRule="exact"/>
        <w:rPr>
          <w:sz w:val="20"/>
          <w:szCs w:val="20"/>
          <w:color w:val="auto"/>
        </w:rPr>
      </w:pPr>
    </w:p>
    <w:p>
      <w:pPr>
        <w:ind w:right="1380"/>
        <w:spacing w:after="0" w:line="188"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Reprice options without shareholder approval </w:t>
      </w:r>
      <w:r>
        <w:rPr>
          <w:rFonts w:ascii="MS PGothic" w:cs="MS PGothic" w:eastAsia="MS PGothic" w:hAnsi="MS PGothic"/>
          <w:sz w:val="14"/>
          <w:szCs w:val="14"/>
          <w:color w:val="14202A"/>
        </w:rPr>
        <w:t>✘</w:t>
      </w:r>
      <w:r>
        <w:rPr>
          <w:rFonts w:ascii="Arial" w:cs="Arial" w:eastAsia="Arial" w:hAnsi="Arial"/>
          <w:sz w:val="14"/>
          <w:szCs w:val="14"/>
          <w:color w:val="14202A"/>
        </w:rPr>
        <w:t xml:space="preserve">  Provide significant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-3021965</wp:posOffset>
            </wp:positionH>
            <wp:positionV relativeFrom="paragraph">
              <wp:posOffset>1124585</wp:posOffset>
            </wp:positionV>
            <wp:extent cx="58978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948" w:lineRule="exact"/>
        <w:rPr>
          <w:sz w:val="20"/>
          <w:szCs w:val="20"/>
          <w:color w:val="auto"/>
        </w:rPr>
      </w:pPr>
    </w:p>
    <w:p>
      <w:pPr>
        <w:sectPr>
          <w:pgSz w:w="11900" w:h="16838" w:orient="portrait"/>
          <w:cols w:equalWidth="0" w:num="2">
            <w:col w:w="4480" w:space="280"/>
            <w:col w:w="4520"/>
          </w:cols>
          <w:pgMar w:left="1300" w:top="114" w:right="131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Advisory Vote on Executive Compensation</w:t>
      </w:r>
    </w:p>
    <w:p>
      <w:pPr>
        <w:spacing w:after="0" w:line="180"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14202A"/>
        </w:rPr>
        <w:t>At our 2025 annual meeting of shareholders, our shareholders voted to approve on an advisory basis the compensation of our NEOs. 96.3% of the votes cast with respect to this proposal were cast for approval of our NEOs’ compensation. The committee determined that our current executive compensation philosophy and compensation elements continued to be appropriate. We conduct regular investor outreach in the form of investor calls, attendance at investor conferences, execution of non-deal roadshows, and hosting of quarterly earnings calls with open Q&amp;A. We continue to evaluate and refine our compensation programs on a regular basis and view the advisory vote as a helpful gauge of our compensation design.</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-82550</wp:posOffset>
            </wp:positionV>
            <wp:extent cx="1465580" cy="939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38" w:name="page39"/>
    <w:bookmarkEnd w:id="38"/>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DAD490"/>
        </w:rPr>
        <w:t>Elements of Fiscal 2026 Compensation</w:t>
      </w:r>
    </w:p>
    <w:p>
      <w:pPr>
        <w:spacing w:after="0" w:line="247" w:lineRule="exact"/>
        <w:rPr>
          <w:sz w:val="20"/>
          <w:szCs w:val="20"/>
          <w:color w:val="auto"/>
        </w:rPr>
      </w:pPr>
    </w:p>
    <w:p>
      <w:pPr>
        <w:ind w:left="860"/>
        <w:spacing w:after="0"/>
        <w:rPr>
          <w:sz w:val="20"/>
          <w:szCs w:val="20"/>
          <w:color w:val="auto"/>
        </w:rPr>
      </w:pPr>
      <w:r>
        <w:rPr>
          <w:rFonts w:ascii="Arial" w:cs="Arial" w:eastAsia="Arial" w:hAnsi="Arial"/>
          <w:sz w:val="16"/>
          <w:szCs w:val="16"/>
          <w:color w:val="14202A"/>
        </w:rPr>
        <w:t>The table below lays out the Fiscal 2026 compensation elements for all NEOs, other than Mr. Clark.</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880" w:type="dxa"/>
            <w:vAlign w:val="bottom"/>
            <w:tcBorders>
              <w:right w:val="single" w:sz="8" w:color="14202A"/>
            </w:tcBorders>
          </w:tcPr>
          <w:p>
            <w:pPr>
              <w:spacing w:after="0"/>
              <w:rPr>
                <w:sz w:val="24"/>
                <w:szCs w:val="24"/>
                <w:color w:val="auto"/>
              </w:rPr>
            </w:pPr>
          </w:p>
        </w:tc>
        <w:tc>
          <w:tcPr>
            <w:tcW w:w="760" w:type="dxa"/>
            <w:vAlign w:val="bottom"/>
            <w:tcBorders>
              <w:top w:val="single" w:sz="8" w:color="14202A"/>
              <w:right w:val="single" w:sz="8" w:color="14202A"/>
            </w:tcBorders>
          </w:tcPr>
          <w:p>
            <w:pPr>
              <w:spacing w:after="0"/>
              <w:rPr>
                <w:sz w:val="24"/>
                <w:szCs w:val="24"/>
                <w:color w:val="auto"/>
              </w:rPr>
            </w:pPr>
          </w:p>
        </w:tc>
        <w:tc>
          <w:tcPr>
            <w:tcW w:w="60" w:type="dxa"/>
            <w:vAlign w:val="bottom"/>
            <w:tcBorders>
              <w:top w:val="single" w:sz="8" w:color="14202A"/>
            </w:tcBorders>
          </w:tcPr>
          <w:p>
            <w:pPr>
              <w:spacing w:after="0"/>
              <w:rPr>
                <w:sz w:val="24"/>
                <w:szCs w:val="24"/>
                <w:color w:val="auto"/>
              </w:rPr>
            </w:pPr>
          </w:p>
        </w:tc>
        <w:tc>
          <w:tcPr>
            <w:tcW w:w="2160" w:type="dxa"/>
            <w:vAlign w:val="bottom"/>
            <w:tcBorders>
              <w:top w:val="single" w:sz="8" w:color="14202A"/>
            </w:tcBorders>
          </w:tcPr>
          <w:p>
            <w:pPr>
              <w:ind w:left="800"/>
              <w:spacing w:after="0"/>
              <w:rPr>
                <w:sz w:val="20"/>
                <w:szCs w:val="20"/>
                <w:color w:val="auto"/>
              </w:rPr>
            </w:pPr>
            <w:r>
              <w:rPr>
                <w:rFonts w:ascii="Arial" w:cs="Arial" w:eastAsia="Arial" w:hAnsi="Arial"/>
                <w:sz w:val="14"/>
                <w:szCs w:val="14"/>
                <w:b w:val="1"/>
                <w:bCs w:val="1"/>
                <w:color w:val="14202A"/>
              </w:rPr>
              <w:t>Element</w:t>
            </w:r>
          </w:p>
        </w:tc>
        <w:tc>
          <w:tcPr>
            <w:tcW w:w="80" w:type="dxa"/>
            <w:vAlign w:val="bottom"/>
            <w:tcBorders>
              <w:top w:val="single" w:sz="8" w:color="14202A"/>
              <w:right w:val="single" w:sz="8" w:color="14202A"/>
            </w:tcBorders>
          </w:tcPr>
          <w:p>
            <w:pPr>
              <w:spacing w:after="0"/>
              <w:rPr>
                <w:sz w:val="24"/>
                <w:szCs w:val="24"/>
                <w:color w:val="auto"/>
              </w:rPr>
            </w:pPr>
          </w:p>
        </w:tc>
        <w:tc>
          <w:tcPr>
            <w:tcW w:w="40" w:type="dxa"/>
            <w:vAlign w:val="bottom"/>
            <w:tcBorders>
              <w:top w:val="single" w:sz="8" w:color="14202A"/>
            </w:tcBorders>
          </w:tcPr>
          <w:p>
            <w:pPr>
              <w:spacing w:after="0"/>
              <w:rPr>
                <w:sz w:val="24"/>
                <w:szCs w:val="24"/>
                <w:color w:val="auto"/>
              </w:rPr>
            </w:pPr>
          </w:p>
        </w:tc>
        <w:tc>
          <w:tcPr>
            <w:tcW w:w="140" w:type="dxa"/>
            <w:vAlign w:val="bottom"/>
            <w:tcBorders>
              <w:top w:val="single" w:sz="8" w:color="14202A"/>
            </w:tcBorders>
          </w:tcPr>
          <w:p>
            <w:pPr>
              <w:spacing w:after="0"/>
              <w:rPr>
                <w:sz w:val="24"/>
                <w:szCs w:val="24"/>
                <w:color w:val="auto"/>
              </w:rPr>
            </w:pPr>
          </w:p>
        </w:tc>
        <w:tc>
          <w:tcPr>
            <w:tcW w:w="80" w:type="dxa"/>
            <w:vAlign w:val="bottom"/>
            <w:tcBorders>
              <w:top w:val="single" w:sz="8" w:color="14202A"/>
            </w:tcBorders>
          </w:tcPr>
          <w:p>
            <w:pPr>
              <w:spacing w:after="0"/>
              <w:rPr>
                <w:sz w:val="24"/>
                <w:szCs w:val="24"/>
                <w:color w:val="auto"/>
              </w:rPr>
            </w:pPr>
          </w:p>
        </w:tc>
        <w:tc>
          <w:tcPr>
            <w:tcW w:w="280" w:type="dxa"/>
            <w:vAlign w:val="bottom"/>
            <w:tcBorders>
              <w:top w:val="single" w:sz="8" w:color="14202A"/>
            </w:tcBorders>
          </w:tcPr>
          <w:p>
            <w:pPr>
              <w:spacing w:after="0"/>
              <w:rPr>
                <w:sz w:val="24"/>
                <w:szCs w:val="24"/>
                <w:color w:val="auto"/>
              </w:rPr>
            </w:pPr>
          </w:p>
        </w:tc>
        <w:tc>
          <w:tcPr>
            <w:tcW w:w="3080" w:type="dxa"/>
            <w:vAlign w:val="bottom"/>
            <w:tcBorders>
              <w:top w:val="single" w:sz="8" w:color="14202A"/>
            </w:tcBorders>
          </w:tcPr>
          <w:p>
            <w:pPr>
              <w:ind w:left="920"/>
              <w:spacing w:after="0"/>
              <w:rPr>
                <w:sz w:val="20"/>
                <w:szCs w:val="20"/>
                <w:color w:val="auto"/>
              </w:rPr>
            </w:pPr>
            <w:r>
              <w:rPr>
                <w:rFonts w:ascii="Arial" w:cs="Arial" w:eastAsia="Arial" w:hAnsi="Arial"/>
                <w:sz w:val="14"/>
                <w:szCs w:val="14"/>
                <w:b w:val="1"/>
                <w:bCs w:val="1"/>
                <w:color w:val="14202A"/>
              </w:rPr>
              <w:t>Mechanics</w:t>
            </w:r>
          </w:p>
        </w:tc>
        <w:tc>
          <w:tcPr>
            <w:tcW w:w="60" w:type="dxa"/>
            <w:vAlign w:val="bottom"/>
            <w:tcBorders>
              <w:top w:val="single" w:sz="8" w:color="14202A"/>
              <w:right w:val="single" w:sz="8" w:color="14202A"/>
            </w:tcBorders>
          </w:tcPr>
          <w:p>
            <w:pPr>
              <w:spacing w:after="0"/>
              <w:rPr>
                <w:sz w:val="24"/>
                <w:szCs w:val="24"/>
                <w:color w:val="auto"/>
              </w:rPr>
            </w:pPr>
          </w:p>
        </w:tc>
        <w:tc>
          <w:tcPr>
            <w:tcW w:w="60" w:type="dxa"/>
            <w:vAlign w:val="bottom"/>
            <w:tcBorders>
              <w:top w:val="single" w:sz="8" w:color="14202A"/>
            </w:tcBorders>
          </w:tcPr>
          <w:p>
            <w:pPr>
              <w:spacing w:after="0"/>
              <w:rPr>
                <w:sz w:val="24"/>
                <w:szCs w:val="24"/>
                <w:color w:val="auto"/>
              </w:rPr>
            </w:pPr>
          </w:p>
        </w:tc>
        <w:tc>
          <w:tcPr>
            <w:tcW w:w="2480" w:type="dxa"/>
            <w:vAlign w:val="bottom"/>
            <w:tcBorders>
              <w:top w:val="single" w:sz="8" w:color="14202A"/>
              <w:right w:val="single" w:sz="8" w:color="14202A"/>
            </w:tcBorders>
            <w:gridSpan w:val="2"/>
          </w:tcPr>
          <w:p>
            <w:pPr>
              <w:ind w:left="860"/>
              <w:spacing w:after="0"/>
              <w:rPr>
                <w:sz w:val="20"/>
                <w:szCs w:val="20"/>
                <w:color w:val="auto"/>
              </w:rPr>
            </w:pPr>
            <w:r>
              <w:rPr>
                <w:rFonts w:ascii="Arial" w:cs="Arial" w:eastAsia="Arial" w:hAnsi="Arial"/>
                <w:sz w:val="14"/>
                <w:szCs w:val="14"/>
                <w:b w:val="1"/>
                <w:bCs w:val="1"/>
                <w:color w:val="14202A"/>
              </w:rPr>
              <w:t>Rationale</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80" w:type="dxa"/>
            <w:vAlign w:val="bottom"/>
            <w:tcBorders>
              <w:right w:val="single" w:sz="8" w:color="14202A"/>
            </w:tcBorders>
          </w:tcPr>
          <w:p>
            <w:pPr>
              <w:spacing w:after="0"/>
              <w:rPr>
                <w:sz w:val="15"/>
                <w:szCs w:val="15"/>
                <w:color w:val="auto"/>
              </w:rPr>
            </w:pPr>
          </w:p>
        </w:tc>
        <w:tc>
          <w:tcPr>
            <w:tcW w:w="760" w:type="dxa"/>
            <w:vAlign w:val="bottom"/>
            <w:tcBorders>
              <w:right w:val="single" w:sz="8" w:color="14202A"/>
            </w:tcBorders>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Borders>
              <w:top w:val="single" w:sz="8" w:color="14202A"/>
            </w:tcBorders>
          </w:tcPr>
          <w:p>
            <w:pPr>
              <w:spacing w:after="0" w:line="182" w:lineRule="exact"/>
              <w:rPr>
                <w:sz w:val="20"/>
                <w:szCs w:val="20"/>
                <w:color w:val="auto"/>
              </w:rPr>
            </w:pPr>
            <w:r>
              <w:rPr>
                <w:rFonts w:ascii="Arial" w:cs="Arial" w:eastAsia="Arial" w:hAnsi="Arial"/>
                <w:sz w:val="16"/>
                <w:szCs w:val="16"/>
                <w:color w:val="14202A"/>
              </w:rPr>
              <w:t>Salary</w:t>
            </w:r>
          </w:p>
        </w:tc>
        <w:tc>
          <w:tcPr>
            <w:tcW w:w="80" w:type="dxa"/>
            <w:vAlign w:val="bottom"/>
            <w:tcBorders>
              <w:right w:val="single" w:sz="8" w:color="14202A"/>
            </w:tcBorders>
          </w:tcPr>
          <w:p>
            <w:pPr>
              <w:spacing w:after="0"/>
              <w:rPr>
                <w:sz w:val="15"/>
                <w:szCs w:val="15"/>
                <w:color w:val="auto"/>
              </w:rPr>
            </w:pPr>
          </w:p>
        </w:tc>
        <w:tc>
          <w:tcPr>
            <w:tcW w:w="40" w:type="dxa"/>
            <w:vAlign w:val="bottom"/>
          </w:tcPr>
          <w:p>
            <w:pPr>
              <w:spacing w:after="0"/>
              <w:rPr>
                <w:sz w:val="15"/>
                <w:szCs w:val="15"/>
                <w:color w:val="auto"/>
              </w:rPr>
            </w:pPr>
          </w:p>
        </w:tc>
        <w:tc>
          <w:tcPr>
            <w:tcW w:w="3580" w:type="dxa"/>
            <w:vAlign w:val="bottom"/>
            <w:tcBorders>
              <w:top w:val="single" w:sz="8" w:color="14202A"/>
            </w:tcBorders>
            <w:gridSpan w:val="4"/>
          </w:tcPr>
          <w:p>
            <w:pPr>
              <w:spacing w:after="0" w:line="182" w:lineRule="exact"/>
              <w:rPr>
                <w:sz w:val="20"/>
                <w:szCs w:val="20"/>
                <w:color w:val="auto"/>
              </w:rPr>
            </w:pPr>
            <w:r>
              <w:rPr>
                <w:rFonts w:ascii="Arial" w:cs="Arial" w:eastAsia="Arial" w:hAnsi="Arial"/>
                <w:sz w:val="16"/>
                <w:szCs w:val="16"/>
                <w:color w:val="14202A"/>
              </w:rPr>
              <w:t>Weekly payments</w:t>
            </w:r>
          </w:p>
        </w:tc>
        <w:tc>
          <w:tcPr>
            <w:tcW w:w="60" w:type="dxa"/>
            <w:vAlign w:val="bottom"/>
            <w:tcBorders>
              <w:right w:val="single" w:sz="8" w:color="14202A"/>
            </w:tcBorders>
          </w:tcPr>
          <w:p>
            <w:pPr>
              <w:spacing w:after="0"/>
              <w:rPr>
                <w:sz w:val="15"/>
                <w:szCs w:val="15"/>
                <w:color w:val="auto"/>
              </w:rPr>
            </w:pPr>
          </w:p>
        </w:tc>
        <w:tc>
          <w:tcPr>
            <w:tcW w:w="60" w:type="dxa"/>
            <w:vAlign w:val="bottom"/>
          </w:tcPr>
          <w:p>
            <w:pPr>
              <w:spacing w:after="0"/>
              <w:rPr>
                <w:sz w:val="15"/>
                <w:szCs w:val="15"/>
                <w:color w:val="auto"/>
              </w:rPr>
            </w:pPr>
          </w:p>
        </w:tc>
        <w:tc>
          <w:tcPr>
            <w:tcW w:w="2380" w:type="dxa"/>
            <w:vAlign w:val="bottom"/>
            <w:tcBorders>
              <w:top w:val="single" w:sz="8" w:color="14202A"/>
            </w:tcBorders>
          </w:tcPr>
          <w:p>
            <w:pPr>
              <w:spacing w:after="0" w:line="182" w:lineRule="exact"/>
              <w:rPr>
                <w:sz w:val="20"/>
                <w:szCs w:val="20"/>
                <w:color w:val="auto"/>
              </w:rPr>
            </w:pPr>
            <w:r>
              <w:rPr>
                <w:rFonts w:ascii="Arial" w:cs="Arial" w:eastAsia="Arial" w:hAnsi="Arial"/>
                <w:sz w:val="16"/>
                <w:szCs w:val="16"/>
                <w:color w:val="14202A"/>
              </w:rPr>
              <w:t>Provides competitive fixed pay to</w:t>
            </w:r>
          </w:p>
        </w:tc>
        <w:tc>
          <w:tcPr>
            <w:tcW w:w="100" w:type="dxa"/>
            <w:vAlign w:val="bottom"/>
            <w:tcBorders>
              <w:right w:val="single" w:sz="8" w:color="14202A"/>
            </w:tcBorders>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80" w:type="dxa"/>
            <w:vAlign w:val="bottom"/>
            <w:tcBorders>
              <w:right w:val="single" w:sz="8" w:color="14202A"/>
            </w:tcBorders>
          </w:tcPr>
          <w:p>
            <w:pPr>
              <w:spacing w:after="0"/>
              <w:rPr>
                <w:sz w:val="18"/>
                <w:szCs w:val="18"/>
                <w:color w:val="auto"/>
              </w:rPr>
            </w:pPr>
          </w:p>
        </w:tc>
        <w:tc>
          <w:tcPr>
            <w:tcW w:w="760" w:type="dxa"/>
            <w:vAlign w:val="bottom"/>
            <w:tcBorders>
              <w:right w:val="single" w:sz="8" w:color="14202A"/>
            </w:tcBorders>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Borders>
              <w:right w:val="single" w:sz="8" w:color="14202A"/>
            </w:tcBorders>
          </w:tcPr>
          <w:p>
            <w:pPr>
              <w:spacing w:after="0"/>
              <w:rPr>
                <w:sz w:val="18"/>
                <w:szCs w:val="18"/>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Values correspond to experience and job scope</w:t>
            </w:r>
          </w:p>
        </w:tc>
        <w:tc>
          <w:tcPr>
            <w:tcW w:w="60" w:type="dxa"/>
            <w:vAlign w:val="bottom"/>
            <w:tcBorders>
              <w:right w:val="single" w:sz="8" w:color="14202A"/>
            </w:tcBorders>
          </w:tcPr>
          <w:p>
            <w:pPr>
              <w:spacing w:after="0"/>
              <w:rPr>
                <w:sz w:val="18"/>
                <w:szCs w:val="18"/>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attract employees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14202A"/>
            </w:tcBorders>
          </w:tcPr>
          <w:p>
            <w:pPr>
              <w:spacing w:after="0"/>
              <w:rPr>
                <w:sz w:val="17"/>
                <w:szCs w:val="17"/>
                <w:color w:val="auto"/>
              </w:rPr>
            </w:pPr>
          </w:p>
        </w:tc>
        <w:tc>
          <w:tcPr>
            <w:tcW w:w="760" w:type="dxa"/>
            <w:vAlign w:val="bottom"/>
            <w:tcBorders>
              <w:right w:val="single" w:sz="8" w:color="14202A"/>
            </w:tcBorders>
          </w:tcPr>
          <w:p>
            <w:pPr>
              <w:spacing w:after="0"/>
              <w:rPr>
                <w:sz w:val="17"/>
                <w:szCs w:val="17"/>
                <w:color w:val="auto"/>
              </w:rPr>
            </w:pPr>
          </w:p>
        </w:tc>
        <w:tc>
          <w:tcPr>
            <w:tcW w:w="60" w:type="dxa"/>
            <w:vAlign w:val="bottom"/>
            <w:tcBorders>
              <w:bottom w:val="single" w:sz="8" w:color="14202A"/>
            </w:tcBorders>
          </w:tcPr>
          <w:p>
            <w:pPr>
              <w:spacing w:after="0"/>
              <w:rPr>
                <w:sz w:val="17"/>
                <w:szCs w:val="17"/>
                <w:color w:val="auto"/>
              </w:rPr>
            </w:pPr>
          </w:p>
        </w:tc>
        <w:tc>
          <w:tcPr>
            <w:tcW w:w="2160" w:type="dxa"/>
            <w:vAlign w:val="bottom"/>
            <w:tcBorders>
              <w:bottom w:val="single" w:sz="8" w:color="14202A"/>
            </w:tcBorders>
          </w:tcPr>
          <w:p>
            <w:pPr>
              <w:spacing w:after="0"/>
              <w:rPr>
                <w:sz w:val="17"/>
                <w:szCs w:val="17"/>
                <w:color w:val="auto"/>
              </w:rPr>
            </w:pPr>
          </w:p>
        </w:tc>
        <w:tc>
          <w:tcPr>
            <w:tcW w:w="80" w:type="dxa"/>
            <w:vAlign w:val="bottom"/>
            <w:tcBorders>
              <w:bottom w:val="single" w:sz="8" w:color="14202A"/>
              <w:right w:val="single" w:sz="8" w:color="14202A"/>
            </w:tcBorders>
          </w:tcPr>
          <w:p>
            <w:pPr>
              <w:spacing w:after="0"/>
              <w:rPr>
                <w:sz w:val="17"/>
                <w:szCs w:val="17"/>
                <w:color w:val="auto"/>
              </w:rPr>
            </w:pPr>
          </w:p>
        </w:tc>
        <w:tc>
          <w:tcPr>
            <w:tcW w:w="3620" w:type="dxa"/>
            <w:vAlign w:val="bottom"/>
            <w:tcBorders>
              <w:bottom w:val="single" w:sz="8" w:color="14202A"/>
            </w:tcBorders>
            <w:gridSpan w:val="5"/>
          </w:tcPr>
          <w:p>
            <w:pPr>
              <w:spacing w:after="0"/>
              <w:rPr>
                <w:sz w:val="17"/>
                <w:szCs w:val="17"/>
                <w:color w:val="auto"/>
              </w:rPr>
            </w:pPr>
          </w:p>
        </w:tc>
        <w:tc>
          <w:tcPr>
            <w:tcW w:w="60" w:type="dxa"/>
            <w:vAlign w:val="bottom"/>
            <w:tcBorders>
              <w:bottom w:val="single" w:sz="8" w:color="14202A"/>
              <w:right w:val="single" w:sz="8" w:color="14202A"/>
            </w:tcBorders>
          </w:tcPr>
          <w:p>
            <w:pPr>
              <w:spacing w:after="0"/>
              <w:rPr>
                <w:sz w:val="17"/>
                <w:szCs w:val="17"/>
                <w:color w:val="auto"/>
              </w:rPr>
            </w:pPr>
          </w:p>
        </w:tc>
        <w:tc>
          <w:tcPr>
            <w:tcW w:w="2540" w:type="dxa"/>
            <w:vAlign w:val="bottom"/>
            <w:tcBorders>
              <w:bottom w:val="single" w:sz="8" w:color="14202A"/>
              <w:right w:val="single" w:sz="8" w:color="14202A"/>
            </w:tcBorders>
            <w:gridSpan w:val="3"/>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80" w:type="dxa"/>
            <w:vAlign w:val="bottom"/>
            <w:tcBorders>
              <w:right w:val="single" w:sz="8" w:color="14202A"/>
            </w:tcBorders>
          </w:tcPr>
          <w:p>
            <w:pPr>
              <w:spacing w:after="0"/>
              <w:rPr>
                <w:sz w:val="15"/>
                <w:szCs w:val="15"/>
                <w:color w:val="auto"/>
              </w:rPr>
            </w:pPr>
          </w:p>
        </w:tc>
        <w:tc>
          <w:tcPr>
            <w:tcW w:w="760" w:type="dxa"/>
            <w:vAlign w:val="bottom"/>
            <w:tcBorders>
              <w:right w:val="single" w:sz="8" w:color="14202A"/>
            </w:tcBorders>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line="182" w:lineRule="exact"/>
              <w:rPr>
                <w:sz w:val="20"/>
                <w:szCs w:val="20"/>
                <w:color w:val="auto"/>
              </w:rPr>
            </w:pPr>
            <w:r>
              <w:rPr>
                <w:rFonts w:ascii="Arial" w:cs="Arial" w:eastAsia="Arial" w:hAnsi="Arial"/>
                <w:sz w:val="16"/>
                <w:szCs w:val="16"/>
                <w:color w:val="14202A"/>
              </w:rPr>
              <w:t>Officers Incentive</w:t>
            </w:r>
          </w:p>
        </w:tc>
        <w:tc>
          <w:tcPr>
            <w:tcW w:w="80" w:type="dxa"/>
            <w:vAlign w:val="bottom"/>
            <w:tcBorders>
              <w:right w:val="single" w:sz="8" w:color="14202A"/>
            </w:tcBorders>
          </w:tcPr>
          <w:p>
            <w:pPr>
              <w:spacing w:after="0"/>
              <w:rPr>
                <w:sz w:val="15"/>
                <w:szCs w:val="15"/>
                <w:color w:val="auto"/>
              </w:rPr>
            </w:pPr>
          </w:p>
        </w:tc>
        <w:tc>
          <w:tcPr>
            <w:tcW w:w="3620" w:type="dxa"/>
            <w:vAlign w:val="bottom"/>
            <w:gridSpan w:val="5"/>
          </w:tcPr>
          <w:p>
            <w:pPr>
              <w:ind w:left="40"/>
              <w:spacing w:after="0" w:line="182" w:lineRule="exact"/>
              <w:rPr>
                <w:sz w:val="20"/>
                <w:szCs w:val="20"/>
                <w:color w:val="auto"/>
              </w:rPr>
            </w:pPr>
            <w:r>
              <w:rPr>
                <w:rFonts w:ascii="Arial" w:cs="Arial" w:eastAsia="Arial" w:hAnsi="Arial"/>
                <w:sz w:val="16"/>
                <w:szCs w:val="16"/>
                <w:color w:val="14202A"/>
              </w:rPr>
              <w:t>Annual payout tied to performance against pre-</w:t>
            </w:r>
          </w:p>
        </w:tc>
        <w:tc>
          <w:tcPr>
            <w:tcW w:w="60" w:type="dxa"/>
            <w:vAlign w:val="bottom"/>
            <w:tcBorders>
              <w:right w:val="single" w:sz="8" w:color="14202A"/>
            </w:tcBorders>
          </w:tcPr>
          <w:p>
            <w:pPr>
              <w:spacing w:after="0"/>
              <w:rPr>
                <w:sz w:val="15"/>
                <w:szCs w:val="15"/>
                <w:color w:val="auto"/>
              </w:rPr>
            </w:pPr>
          </w:p>
        </w:tc>
        <w:tc>
          <w:tcPr>
            <w:tcW w:w="2540" w:type="dxa"/>
            <w:vAlign w:val="bottom"/>
            <w:tcBorders>
              <w:right w:val="single" w:sz="8" w:color="14202A"/>
            </w:tcBorders>
            <w:gridSpan w:val="3"/>
          </w:tcPr>
          <w:p>
            <w:pPr>
              <w:ind w:left="60"/>
              <w:spacing w:after="0" w:line="182" w:lineRule="exact"/>
              <w:rPr>
                <w:sz w:val="20"/>
                <w:szCs w:val="20"/>
                <w:color w:val="auto"/>
              </w:rPr>
            </w:pPr>
            <w:r>
              <w:rPr>
                <w:rFonts w:ascii="Arial" w:cs="Arial" w:eastAsia="Arial" w:hAnsi="Arial"/>
                <w:sz w:val="16"/>
                <w:szCs w:val="16"/>
                <w:color w:val="14202A"/>
              </w:rPr>
              <w:t>Incentivizes achievement of key</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Compensation Plan (OICP)</w:t>
            </w: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determined metrics and goals across each of the</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annual objectives at an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first and last six months of Fiscal 2026 (weighted</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enterprise-wide or individual</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50% and 50%, respectively)</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business unit level, driving</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For Fiscal 2026, the metrics included:</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progress towards achievement of</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2"/>
                <w:szCs w:val="12"/>
                <w:color w:val="14202A"/>
                <w:w w:val="73"/>
              </w:rPr>
              <w:t>• </w:t>
            </w: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For Messrs. Happe and Hughes, 70% financial</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long-term initiatives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objectives at the enterprise level. For</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Net working capital is included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Mr. Tubman, 70% financial objectives,</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as a metric for those NEOs that</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vMerge w:val="restart"/>
          </w:tcPr>
          <w:p>
            <w:pPr>
              <w:jc w:val="center"/>
              <w:spacing w:after="0"/>
              <w:rPr>
                <w:sz w:val="20"/>
                <w:szCs w:val="20"/>
                <w:color w:val="auto"/>
              </w:rPr>
            </w:pPr>
            <w:r>
              <w:rPr>
                <w:rFonts w:ascii="Arial" w:cs="Arial" w:eastAsia="Arial" w:hAnsi="Arial"/>
                <w:sz w:val="16"/>
                <w:szCs w:val="16"/>
                <w:color w:val="14202A"/>
              </w:rPr>
              <w:t>Paid in</w:t>
            </w: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weighted 70% on Newmar business unit</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have direct oversight of capital</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80" w:type="dxa"/>
            <w:vAlign w:val="bottom"/>
            <w:tcBorders>
              <w:right w:val="single" w:sz="8" w:color="14202A"/>
            </w:tcBorders>
          </w:tcPr>
          <w:p>
            <w:pPr>
              <w:spacing w:after="0"/>
              <w:rPr>
                <w:sz w:val="14"/>
                <w:szCs w:val="14"/>
                <w:color w:val="auto"/>
              </w:rPr>
            </w:pPr>
          </w:p>
        </w:tc>
        <w:tc>
          <w:tcPr>
            <w:tcW w:w="760" w:type="dxa"/>
            <w:vAlign w:val="bottom"/>
            <w:tcBorders>
              <w:right w:val="single" w:sz="8" w:color="14202A"/>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Borders>
              <w:right w:val="single" w:sz="8" w:color="14202A"/>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2"/>
          </w:tcPr>
          <w:p>
            <w:pPr>
              <w:spacing w:after="0" w:line="163" w:lineRule="exact"/>
              <w:rPr>
                <w:sz w:val="20"/>
                <w:szCs w:val="20"/>
                <w:color w:val="auto"/>
              </w:rPr>
            </w:pPr>
            <w:r>
              <w:rPr>
                <w:rFonts w:ascii="Arial" w:cs="Arial" w:eastAsia="Arial" w:hAnsi="Arial"/>
                <w:sz w:val="16"/>
                <w:szCs w:val="16"/>
                <w:color w:val="14202A"/>
              </w:rPr>
              <w:t>performance, 25% on Winnebago Motorhome</w:t>
            </w:r>
          </w:p>
        </w:tc>
        <w:tc>
          <w:tcPr>
            <w:tcW w:w="60" w:type="dxa"/>
            <w:vAlign w:val="bottom"/>
            <w:tcBorders>
              <w:right w:val="single" w:sz="8" w:color="14202A"/>
            </w:tcBorders>
          </w:tcPr>
          <w:p>
            <w:pPr>
              <w:spacing w:after="0"/>
              <w:rPr>
                <w:sz w:val="14"/>
                <w:szCs w:val="14"/>
                <w:color w:val="auto"/>
              </w:rPr>
            </w:pPr>
          </w:p>
        </w:tc>
        <w:tc>
          <w:tcPr>
            <w:tcW w:w="2540" w:type="dxa"/>
            <w:vAlign w:val="bottom"/>
            <w:tcBorders>
              <w:right w:val="single" w:sz="8" w:color="14202A"/>
            </w:tcBorders>
            <w:gridSpan w:val="3"/>
          </w:tcPr>
          <w:p>
            <w:pPr>
              <w:ind w:left="60"/>
              <w:spacing w:after="0" w:line="163" w:lineRule="exact"/>
              <w:rPr>
                <w:sz w:val="20"/>
                <w:szCs w:val="20"/>
                <w:color w:val="auto"/>
              </w:rPr>
            </w:pPr>
            <w:r>
              <w:rPr>
                <w:rFonts w:ascii="Arial" w:cs="Arial" w:eastAsia="Arial" w:hAnsi="Arial"/>
                <w:sz w:val="16"/>
                <w:szCs w:val="16"/>
                <w:color w:val="14202A"/>
              </w:rPr>
              <w:t>allocation and operational</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80" w:type="dxa"/>
            <w:vAlign w:val="bottom"/>
            <w:tcBorders>
              <w:right w:val="single" w:sz="8" w:color="14202A"/>
            </w:tcBorders>
          </w:tcPr>
          <w:p>
            <w:pPr>
              <w:spacing w:after="0"/>
              <w:rPr>
                <w:sz w:val="18"/>
                <w:szCs w:val="18"/>
                <w:color w:val="auto"/>
              </w:rPr>
            </w:pPr>
          </w:p>
        </w:tc>
        <w:tc>
          <w:tcPr>
            <w:tcW w:w="760" w:type="dxa"/>
            <w:vAlign w:val="bottom"/>
            <w:tcBorders>
              <w:right w:val="single" w:sz="8" w:color="14202A"/>
            </w:tcBorders>
          </w:tcPr>
          <w:p>
            <w:pPr>
              <w:jc w:val="center"/>
              <w:spacing w:after="0"/>
              <w:rPr>
                <w:sz w:val="20"/>
                <w:szCs w:val="20"/>
                <w:color w:val="auto"/>
              </w:rPr>
            </w:pPr>
            <w:r>
              <w:rPr>
                <w:rFonts w:ascii="Arial" w:cs="Arial" w:eastAsia="Arial" w:hAnsi="Arial"/>
                <w:sz w:val="16"/>
                <w:szCs w:val="16"/>
                <w:color w:val="14202A"/>
              </w:rPr>
              <w:t>Cash</w:t>
            </w: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Borders>
              <w:right w:val="single" w:sz="8" w:color="14202A"/>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and Specialty Vehicles performance, and 5%</w:t>
            </w:r>
          </w:p>
        </w:tc>
        <w:tc>
          <w:tcPr>
            <w:tcW w:w="60" w:type="dxa"/>
            <w:vAlign w:val="bottom"/>
            <w:tcBorders>
              <w:right w:val="single" w:sz="8" w:color="14202A"/>
            </w:tcBorders>
          </w:tcPr>
          <w:p>
            <w:pPr>
              <w:spacing w:after="0"/>
              <w:rPr>
                <w:sz w:val="18"/>
                <w:szCs w:val="18"/>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decisions that influence working</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on enterprise-level performance. The</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capital levels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enterprise-level financial objectives for Messrs.</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Happe, Hughes, and Tubman consist of:</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14202A"/>
                <w:w w:val="74"/>
              </w:rPr>
              <w:t> </w:t>
            </w:r>
          </w:p>
        </w:tc>
        <w:tc>
          <w:tcPr>
            <w:tcW w:w="80" w:type="dxa"/>
            <w:vAlign w:val="bottom"/>
          </w:tcPr>
          <w:p>
            <w:pPr>
              <w:ind w:left="20"/>
              <w:spacing w:after="0"/>
              <w:rPr>
                <w:sz w:val="20"/>
                <w:szCs w:val="20"/>
                <w:color w:val="auto"/>
              </w:rPr>
            </w:pPr>
            <w:r>
              <w:rPr>
                <w:rFonts w:ascii="Arial" w:cs="Arial" w:eastAsia="Arial" w:hAnsi="Arial"/>
                <w:sz w:val="5"/>
                <w:szCs w:val="5"/>
                <w:color w:val="14202A"/>
                <w:w w:val="79"/>
              </w:rPr>
              <w:t> </w:t>
            </w:r>
          </w:p>
        </w:tc>
        <w:tc>
          <w:tcPr>
            <w:tcW w:w="280" w:type="dxa"/>
            <w:vAlign w:val="bottom"/>
          </w:tcPr>
          <w:p>
            <w:pPr>
              <w:ind w:left="100"/>
              <w:spacing w:after="0"/>
              <w:rPr>
                <w:sz w:val="20"/>
                <w:szCs w:val="20"/>
                <w:color w:val="auto"/>
              </w:rPr>
            </w:pPr>
            <w:r>
              <w:rPr>
                <w:rFonts w:ascii="Arial" w:cs="Arial" w:eastAsia="Arial" w:hAnsi="Arial"/>
                <w:sz w:val="11"/>
                <w:szCs w:val="11"/>
                <w:color w:val="14202A"/>
              </w:rPr>
              <w:t>○</w:t>
            </w:r>
            <w:r>
              <w:rPr>
                <w:rFonts w:ascii="Arial" w:cs="Arial" w:eastAsia="Arial" w:hAnsi="Arial"/>
                <w:sz w:val="16"/>
                <w:szCs w:val="16"/>
                <w:color w:val="14202A"/>
              </w:rPr>
              <w:t xml:space="preserve"> </w:t>
            </w:r>
          </w:p>
        </w:tc>
        <w:tc>
          <w:tcPr>
            <w:tcW w:w="3080" w:type="dxa"/>
            <w:vAlign w:val="bottom"/>
          </w:tcPr>
          <w:p>
            <w:pPr>
              <w:ind w:left="40"/>
              <w:spacing w:after="0"/>
              <w:rPr>
                <w:sz w:val="20"/>
                <w:szCs w:val="20"/>
                <w:color w:val="auto"/>
              </w:rPr>
            </w:pPr>
            <w:r>
              <w:rPr>
                <w:rFonts w:ascii="Arial" w:cs="Arial" w:eastAsia="Arial" w:hAnsi="Arial"/>
                <w:sz w:val="16"/>
                <w:szCs w:val="16"/>
                <w:color w:val="14202A"/>
              </w:rPr>
              <w:t>40% Net Revenue</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14202A"/>
                <w:w w:val="74"/>
              </w:rPr>
              <w:t> </w:t>
            </w:r>
          </w:p>
        </w:tc>
        <w:tc>
          <w:tcPr>
            <w:tcW w:w="80" w:type="dxa"/>
            <w:vAlign w:val="bottom"/>
          </w:tcPr>
          <w:p>
            <w:pPr>
              <w:ind w:left="20"/>
              <w:spacing w:after="0"/>
              <w:rPr>
                <w:sz w:val="20"/>
                <w:szCs w:val="20"/>
                <w:color w:val="auto"/>
              </w:rPr>
            </w:pPr>
            <w:r>
              <w:rPr>
                <w:rFonts w:ascii="Arial" w:cs="Arial" w:eastAsia="Arial" w:hAnsi="Arial"/>
                <w:sz w:val="5"/>
                <w:szCs w:val="5"/>
                <w:color w:val="14202A"/>
                <w:w w:val="79"/>
              </w:rPr>
              <w:t> </w:t>
            </w:r>
          </w:p>
        </w:tc>
        <w:tc>
          <w:tcPr>
            <w:tcW w:w="280" w:type="dxa"/>
            <w:vAlign w:val="bottom"/>
          </w:tcPr>
          <w:p>
            <w:pPr>
              <w:ind w:left="100"/>
              <w:spacing w:after="0"/>
              <w:rPr>
                <w:sz w:val="20"/>
                <w:szCs w:val="20"/>
                <w:color w:val="auto"/>
              </w:rPr>
            </w:pPr>
            <w:r>
              <w:rPr>
                <w:rFonts w:ascii="Arial" w:cs="Arial" w:eastAsia="Arial" w:hAnsi="Arial"/>
                <w:sz w:val="11"/>
                <w:szCs w:val="11"/>
                <w:color w:val="14202A"/>
              </w:rPr>
              <w:t>○</w:t>
            </w:r>
            <w:r>
              <w:rPr>
                <w:rFonts w:ascii="Arial" w:cs="Arial" w:eastAsia="Arial" w:hAnsi="Arial"/>
                <w:sz w:val="16"/>
                <w:szCs w:val="16"/>
                <w:color w:val="14202A"/>
              </w:rPr>
              <w:t xml:space="preserve"> </w:t>
            </w:r>
          </w:p>
        </w:tc>
        <w:tc>
          <w:tcPr>
            <w:tcW w:w="3080" w:type="dxa"/>
            <w:vAlign w:val="bottom"/>
          </w:tcPr>
          <w:p>
            <w:pPr>
              <w:ind w:left="40"/>
              <w:spacing w:after="0"/>
              <w:rPr>
                <w:sz w:val="20"/>
                <w:szCs w:val="20"/>
                <w:color w:val="auto"/>
              </w:rPr>
            </w:pPr>
            <w:r>
              <w:rPr>
                <w:rFonts w:ascii="Arial" w:cs="Arial" w:eastAsia="Arial" w:hAnsi="Arial"/>
                <w:sz w:val="16"/>
                <w:szCs w:val="16"/>
                <w:color w:val="14202A"/>
              </w:rPr>
              <w:t>50% Operating Income</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14202A"/>
                <w:w w:val="74"/>
              </w:rPr>
              <w:t> </w:t>
            </w:r>
          </w:p>
        </w:tc>
        <w:tc>
          <w:tcPr>
            <w:tcW w:w="80" w:type="dxa"/>
            <w:vAlign w:val="bottom"/>
          </w:tcPr>
          <w:p>
            <w:pPr>
              <w:ind w:left="20"/>
              <w:spacing w:after="0"/>
              <w:rPr>
                <w:sz w:val="20"/>
                <w:szCs w:val="20"/>
                <w:color w:val="auto"/>
              </w:rPr>
            </w:pPr>
            <w:r>
              <w:rPr>
                <w:rFonts w:ascii="Arial" w:cs="Arial" w:eastAsia="Arial" w:hAnsi="Arial"/>
                <w:sz w:val="5"/>
                <w:szCs w:val="5"/>
                <w:color w:val="14202A"/>
                <w:w w:val="79"/>
              </w:rPr>
              <w:t> </w:t>
            </w:r>
          </w:p>
        </w:tc>
        <w:tc>
          <w:tcPr>
            <w:tcW w:w="3360" w:type="dxa"/>
            <w:vAlign w:val="bottom"/>
            <w:gridSpan w:val="2"/>
          </w:tcPr>
          <w:p>
            <w:pPr>
              <w:ind w:left="100"/>
              <w:spacing w:after="0"/>
              <w:rPr>
                <w:sz w:val="20"/>
                <w:szCs w:val="20"/>
                <w:color w:val="auto"/>
              </w:rPr>
            </w:pPr>
            <w:r>
              <w:rPr>
                <w:rFonts w:ascii="Arial" w:cs="Arial" w:eastAsia="Arial" w:hAnsi="Arial"/>
                <w:sz w:val="11"/>
                <w:szCs w:val="11"/>
                <w:color w:val="14202A"/>
              </w:rPr>
              <w:t>○</w:t>
            </w:r>
            <w:r>
              <w:rPr>
                <w:rFonts w:ascii="Arial" w:cs="Arial" w:eastAsia="Arial" w:hAnsi="Arial"/>
                <w:sz w:val="16"/>
                <w:szCs w:val="16"/>
                <w:color w:val="14202A"/>
              </w:rPr>
              <w:t xml:space="preserve">   10% Net Working Capital</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2"/>
                <w:szCs w:val="12"/>
                <w:color w:val="14202A"/>
                <w:w w:val="73"/>
              </w:rPr>
              <w:t>• </w:t>
            </w: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For Ms. Bogart, 70% enterprise-level financial</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objectives, which consist of:</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14202A"/>
                <w:w w:val="74"/>
              </w:rPr>
              <w:t> </w:t>
            </w:r>
          </w:p>
        </w:tc>
        <w:tc>
          <w:tcPr>
            <w:tcW w:w="80" w:type="dxa"/>
            <w:vAlign w:val="bottom"/>
          </w:tcPr>
          <w:p>
            <w:pPr>
              <w:ind w:left="20"/>
              <w:spacing w:after="0"/>
              <w:rPr>
                <w:sz w:val="20"/>
                <w:szCs w:val="20"/>
                <w:color w:val="auto"/>
              </w:rPr>
            </w:pPr>
            <w:r>
              <w:rPr>
                <w:rFonts w:ascii="Arial" w:cs="Arial" w:eastAsia="Arial" w:hAnsi="Arial"/>
                <w:sz w:val="5"/>
                <w:szCs w:val="5"/>
                <w:color w:val="14202A"/>
                <w:w w:val="79"/>
              </w:rPr>
              <w:t> </w:t>
            </w:r>
          </w:p>
        </w:tc>
        <w:tc>
          <w:tcPr>
            <w:tcW w:w="280" w:type="dxa"/>
            <w:vAlign w:val="bottom"/>
          </w:tcPr>
          <w:p>
            <w:pPr>
              <w:ind w:left="100"/>
              <w:spacing w:after="0"/>
              <w:rPr>
                <w:sz w:val="20"/>
                <w:szCs w:val="20"/>
                <w:color w:val="auto"/>
              </w:rPr>
            </w:pPr>
            <w:r>
              <w:rPr>
                <w:rFonts w:ascii="Arial" w:cs="Arial" w:eastAsia="Arial" w:hAnsi="Arial"/>
                <w:sz w:val="11"/>
                <w:szCs w:val="11"/>
                <w:color w:val="14202A"/>
              </w:rPr>
              <w:t>○</w:t>
            </w:r>
            <w:r>
              <w:rPr>
                <w:rFonts w:ascii="Arial" w:cs="Arial" w:eastAsia="Arial" w:hAnsi="Arial"/>
                <w:sz w:val="16"/>
                <w:szCs w:val="16"/>
                <w:color w:val="14202A"/>
              </w:rPr>
              <w:t xml:space="preserve"> </w:t>
            </w:r>
          </w:p>
        </w:tc>
        <w:tc>
          <w:tcPr>
            <w:tcW w:w="3080" w:type="dxa"/>
            <w:vAlign w:val="bottom"/>
          </w:tcPr>
          <w:p>
            <w:pPr>
              <w:ind w:left="40"/>
              <w:spacing w:after="0"/>
              <w:rPr>
                <w:sz w:val="20"/>
                <w:szCs w:val="20"/>
                <w:color w:val="auto"/>
              </w:rPr>
            </w:pPr>
            <w:r>
              <w:rPr>
                <w:rFonts w:ascii="Arial" w:cs="Arial" w:eastAsia="Arial" w:hAnsi="Arial"/>
                <w:sz w:val="16"/>
                <w:szCs w:val="16"/>
                <w:color w:val="14202A"/>
              </w:rPr>
              <w:t>40% Net Revenue</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14202A"/>
                <w:w w:val="74"/>
              </w:rPr>
              <w:t> </w:t>
            </w:r>
          </w:p>
        </w:tc>
        <w:tc>
          <w:tcPr>
            <w:tcW w:w="80" w:type="dxa"/>
            <w:vAlign w:val="bottom"/>
          </w:tcPr>
          <w:p>
            <w:pPr>
              <w:ind w:left="20"/>
              <w:spacing w:after="0"/>
              <w:rPr>
                <w:sz w:val="20"/>
                <w:szCs w:val="20"/>
                <w:color w:val="auto"/>
              </w:rPr>
            </w:pPr>
            <w:r>
              <w:rPr>
                <w:rFonts w:ascii="Arial" w:cs="Arial" w:eastAsia="Arial" w:hAnsi="Arial"/>
                <w:sz w:val="5"/>
                <w:szCs w:val="5"/>
                <w:color w:val="14202A"/>
                <w:w w:val="79"/>
              </w:rPr>
              <w:t> </w:t>
            </w:r>
          </w:p>
        </w:tc>
        <w:tc>
          <w:tcPr>
            <w:tcW w:w="280" w:type="dxa"/>
            <w:vAlign w:val="bottom"/>
          </w:tcPr>
          <w:p>
            <w:pPr>
              <w:ind w:left="100"/>
              <w:spacing w:after="0"/>
              <w:rPr>
                <w:sz w:val="20"/>
                <w:szCs w:val="20"/>
                <w:color w:val="auto"/>
              </w:rPr>
            </w:pPr>
            <w:r>
              <w:rPr>
                <w:rFonts w:ascii="Arial" w:cs="Arial" w:eastAsia="Arial" w:hAnsi="Arial"/>
                <w:sz w:val="11"/>
                <w:szCs w:val="11"/>
                <w:color w:val="14202A"/>
              </w:rPr>
              <w:t>○</w:t>
            </w:r>
            <w:r>
              <w:rPr>
                <w:rFonts w:ascii="Arial" w:cs="Arial" w:eastAsia="Arial" w:hAnsi="Arial"/>
                <w:sz w:val="16"/>
                <w:szCs w:val="16"/>
                <w:color w:val="14202A"/>
              </w:rPr>
              <w:t xml:space="preserve"> </w:t>
            </w:r>
          </w:p>
        </w:tc>
        <w:tc>
          <w:tcPr>
            <w:tcW w:w="3080" w:type="dxa"/>
            <w:vAlign w:val="bottom"/>
          </w:tcPr>
          <w:p>
            <w:pPr>
              <w:ind w:left="40"/>
              <w:spacing w:after="0"/>
              <w:rPr>
                <w:sz w:val="20"/>
                <w:szCs w:val="20"/>
                <w:color w:val="auto"/>
              </w:rPr>
            </w:pPr>
            <w:r>
              <w:rPr>
                <w:rFonts w:ascii="Arial" w:cs="Arial" w:eastAsia="Arial" w:hAnsi="Arial"/>
                <w:sz w:val="16"/>
                <w:szCs w:val="16"/>
                <w:color w:val="14202A"/>
              </w:rPr>
              <w:t>60% Operating Income</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2"/>
                <w:szCs w:val="12"/>
                <w:color w:val="14202A"/>
                <w:w w:val="73"/>
              </w:rPr>
              <w:t>• </w:t>
            </w: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For all NEOs (other than Mr. Clark), Individual</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Borders>
              <w:right w:val="single" w:sz="8" w:color="14202A"/>
            </w:tcBorders>
          </w:tcPr>
          <w:p>
            <w:pPr>
              <w:spacing w:after="0"/>
              <w:rPr>
                <w:sz w:val="18"/>
                <w:szCs w:val="18"/>
                <w:color w:val="auto"/>
              </w:rPr>
            </w:pPr>
          </w:p>
        </w:tc>
        <w:tc>
          <w:tcPr>
            <w:tcW w:w="760" w:type="dxa"/>
            <w:vAlign w:val="bottom"/>
            <w:tcBorders>
              <w:bottom w:val="single" w:sz="8" w:color="14202A"/>
              <w:right w:val="single" w:sz="8" w:color="14202A"/>
            </w:tcBorders>
          </w:tcPr>
          <w:p>
            <w:pPr>
              <w:spacing w:after="0"/>
              <w:rPr>
                <w:sz w:val="18"/>
                <w:szCs w:val="18"/>
                <w:color w:val="auto"/>
              </w:rPr>
            </w:pPr>
          </w:p>
        </w:tc>
        <w:tc>
          <w:tcPr>
            <w:tcW w:w="60" w:type="dxa"/>
            <w:vAlign w:val="bottom"/>
            <w:tcBorders>
              <w:bottom w:val="single" w:sz="8" w:color="14202A"/>
            </w:tcBorders>
          </w:tcPr>
          <w:p>
            <w:pPr>
              <w:spacing w:after="0"/>
              <w:rPr>
                <w:sz w:val="18"/>
                <w:szCs w:val="18"/>
                <w:color w:val="auto"/>
              </w:rPr>
            </w:pPr>
          </w:p>
        </w:tc>
        <w:tc>
          <w:tcPr>
            <w:tcW w:w="2160" w:type="dxa"/>
            <w:vAlign w:val="bottom"/>
            <w:tcBorders>
              <w:bottom w:val="single" w:sz="8" w:color="14202A"/>
            </w:tcBorders>
          </w:tcPr>
          <w:p>
            <w:pPr>
              <w:spacing w:after="0"/>
              <w:rPr>
                <w:sz w:val="18"/>
                <w:szCs w:val="18"/>
                <w:color w:val="auto"/>
              </w:rPr>
            </w:pPr>
          </w:p>
        </w:tc>
        <w:tc>
          <w:tcPr>
            <w:tcW w:w="80" w:type="dxa"/>
            <w:vAlign w:val="bottom"/>
            <w:tcBorders>
              <w:bottom w:val="single" w:sz="8" w:color="14202A"/>
              <w:right w:val="single" w:sz="8" w:color="14202A"/>
            </w:tcBorders>
          </w:tcPr>
          <w:p>
            <w:pPr>
              <w:spacing w:after="0"/>
              <w:rPr>
                <w:sz w:val="18"/>
                <w:szCs w:val="18"/>
                <w:color w:val="auto"/>
              </w:rPr>
            </w:pPr>
          </w:p>
        </w:tc>
        <w:tc>
          <w:tcPr>
            <w:tcW w:w="40" w:type="dxa"/>
            <w:vAlign w:val="bottom"/>
            <w:tcBorders>
              <w:bottom w:val="single" w:sz="8" w:color="14202A"/>
            </w:tcBorders>
          </w:tcPr>
          <w:p>
            <w:pPr>
              <w:spacing w:after="0"/>
              <w:rPr>
                <w:sz w:val="18"/>
                <w:szCs w:val="18"/>
                <w:color w:val="auto"/>
              </w:rPr>
            </w:pPr>
          </w:p>
        </w:tc>
        <w:tc>
          <w:tcPr>
            <w:tcW w:w="140" w:type="dxa"/>
            <w:vAlign w:val="bottom"/>
            <w:tcBorders>
              <w:bottom w:val="single" w:sz="8" w:color="14202A"/>
            </w:tcBorders>
          </w:tcPr>
          <w:p>
            <w:pPr>
              <w:spacing w:after="0"/>
              <w:rPr>
                <w:sz w:val="18"/>
                <w:szCs w:val="18"/>
                <w:color w:val="auto"/>
              </w:rPr>
            </w:pPr>
          </w:p>
        </w:tc>
        <w:tc>
          <w:tcPr>
            <w:tcW w:w="80" w:type="dxa"/>
            <w:vAlign w:val="bottom"/>
            <w:tcBorders>
              <w:bottom w:val="single" w:sz="8" w:color="14202A"/>
            </w:tcBorders>
          </w:tcPr>
          <w:p>
            <w:pPr>
              <w:spacing w:after="0"/>
              <w:rPr>
                <w:sz w:val="18"/>
                <w:szCs w:val="18"/>
                <w:color w:val="auto"/>
              </w:rPr>
            </w:pPr>
          </w:p>
        </w:tc>
        <w:tc>
          <w:tcPr>
            <w:tcW w:w="3360" w:type="dxa"/>
            <w:vAlign w:val="bottom"/>
            <w:tcBorders>
              <w:bottom w:val="single" w:sz="8" w:color="14202A"/>
            </w:tcBorders>
            <w:gridSpan w:val="2"/>
          </w:tcPr>
          <w:p>
            <w:pPr>
              <w:spacing w:after="0"/>
              <w:rPr>
                <w:sz w:val="20"/>
                <w:szCs w:val="20"/>
                <w:color w:val="auto"/>
              </w:rPr>
            </w:pPr>
            <w:r>
              <w:rPr>
                <w:rFonts w:ascii="Arial" w:cs="Arial" w:eastAsia="Arial" w:hAnsi="Arial"/>
                <w:sz w:val="16"/>
                <w:szCs w:val="16"/>
                <w:color w:val="14202A"/>
              </w:rPr>
              <w:t>Objectives are weighted 30%</w:t>
            </w:r>
          </w:p>
        </w:tc>
        <w:tc>
          <w:tcPr>
            <w:tcW w:w="60" w:type="dxa"/>
            <w:vAlign w:val="bottom"/>
            <w:tcBorders>
              <w:bottom w:val="single" w:sz="8" w:color="14202A"/>
              <w:right w:val="single" w:sz="8" w:color="14202A"/>
            </w:tcBorders>
          </w:tcPr>
          <w:p>
            <w:pPr>
              <w:spacing w:after="0"/>
              <w:rPr>
                <w:sz w:val="18"/>
                <w:szCs w:val="18"/>
                <w:color w:val="auto"/>
              </w:rPr>
            </w:pPr>
          </w:p>
        </w:tc>
        <w:tc>
          <w:tcPr>
            <w:tcW w:w="60" w:type="dxa"/>
            <w:vAlign w:val="bottom"/>
            <w:tcBorders>
              <w:bottom w:val="single" w:sz="8" w:color="14202A"/>
            </w:tcBorders>
          </w:tcPr>
          <w:p>
            <w:pPr>
              <w:spacing w:after="0"/>
              <w:rPr>
                <w:sz w:val="18"/>
                <w:szCs w:val="18"/>
                <w:color w:val="auto"/>
              </w:rPr>
            </w:pPr>
          </w:p>
        </w:tc>
        <w:tc>
          <w:tcPr>
            <w:tcW w:w="2380" w:type="dxa"/>
            <w:vAlign w:val="bottom"/>
            <w:tcBorders>
              <w:bottom w:val="single" w:sz="8" w:color="14202A"/>
            </w:tcBorders>
          </w:tcPr>
          <w:p>
            <w:pPr>
              <w:spacing w:after="0"/>
              <w:rPr>
                <w:sz w:val="18"/>
                <w:szCs w:val="18"/>
                <w:color w:val="auto"/>
              </w:rPr>
            </w:pPr>
          </w:p>
        </w:tc>
        <w:tc>
          <w:tcPr>
            <w:tcW w:w="100" w:type="dxa"/>
            <w:vAlign w:val="bottom"/>
            <w:tcBorders>
              <w:bottom w:val="single" w:sz="8" w:color="14202A"/>
              <w:right w:val="single" w:sz="8" w:color="14202A"/>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80" w:type="dxa"/>
            <w:vAlign w:val="bottom"/>
            <w:tcBorders>
              <w:right w:val="single" w:sz="8" w:color="14202A"/>
            </w:tcBorders>
          </w:tcPr>
          <w:p>
            <w:pPr>
              <w:spacing w:after="0"/>
              <w:rPr>
                <w:sz w:val="15"/>
                <w:szCs w:val="15"/>
                <w:color w:val="auto"/>
              </w:rPr>
            </w:pPr>
          </w:p>
        </w:tc>
        <w:tc>
          <w:tcPr>
            <w:tcW w:w="760" w:type="dxa"/>
            <w:vAlign w:val="bottom"/>
            <w:tcBorders>
              <w:right w:val="single" w:sz="8" w:color="14202A"/>
            </w:tcBorders>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line="183" w:lineRule="exact"/>
              <w:rPr>
                <w:sz w:val="20"/>
                <w:szCs w:val="20"/>
                <w:color w:val="auto"/>
              </w:rPr>
            </w:pPr>
            <w:r>
              <w:rPr>
                <w:rFonts w:ascii="Arial" w:cs="Arial" w:eastAsia="Arial" w:hAnsi="Arial"/>
                <w:sz w:val="16"/>
                <w:szCs w:val="16"/>
                <w:color w:val="14202A"/>
              </w:rPr>
              <w:t>Performance Share Units /</w:t>
            </w:r>
          </w:p>
        </w:tc>
        <w:tc>
          <w:tcPr>
            <w:tcW w:w="80" w:type="dxa"/>
            <w:vAlign w:val="bottom"/>
            <w:tcBorders>
              <w:right w:val="single" w:sz="8" w:color="14202A"/>
            </w:tcBorders>
          </w:tcPr>
          <w:p>
            <w:pPr>
              <w:spacing w:after="0"/>
              <w:rPr>
                <w:sz w:val="15"/>
                <w:szCs w:val="15"/>
                <w:color w:val="auto"/>
              </w:rPr>
            </w:pPr>
          </w:p>
        </w:tc>
        <w:tc>
          <w:tcPr>
            <w:tcW w:w="3620" w:type="dxa"/>
            <w:vAlign w:val="bottom"/>
            <w:gridSpan w:val="5"/>
          </w:tcPr>
          <w:p>
            <w:pPr>
              <w:ind w:left="40"/>
              <w:spacing w:after="0" w:line="183" w:lineRule="exact"/>
              <w:rPr>
                <w:sz w:val="20"/>
                <w:szCs w:val="20"/>
                <w:color w:val="auto"/>
              </w:rPr>
            </w:pPr>
            <w:r>
              <w:rPr>
                <w:rFonts w:ascii="Arial" w:cs="Arial" w:eastAsia="Arial" w:hAnsi="Arial"/>
                <w:sz w:val="16"/>
                <w:szCs w:val="16"/>
                <w:color w:val="14202A"/>
              </w:rPr>
              <w:t>50% of all annual equity awards</w:t>
            </w:r>
          </w:p>
        </w:tc>
        <w:tc>
          <w:tcPr>
            <w:tcW w:w="60" w:type="dxa"/>
            <w:vAlign w:val="bottom"/>
            <w:tcBorders>
              <w:right w:val="single" w:sz="8" w:color="14202A"/>
            </w:tcBorders>
          </w:tcPr>
          <w:p>
            <w:pPr>
              <w:spacing w:after="0"/>
              <w:rPr>
                <w:sz w:val="15"/>
                <w:szCs w:val="15"/>
                <w:color w:val="auto"/>
              </w:rPr>
            </w:pPr>
          </w:p>
        </w:tc>
        <w:tc>
          <w:tcPr>
            <w:tcW w:w="2540" w:type="dxa"/>
            <w:vAlign w:val="bottom"/>
            <w:tcBorders>
              <w:right w:val="single" w:sz="8" w:color="14202A"/>
            </w:tcBorders>
            <w:gridSpan w:val="3"/>
          </w:tcPr>
          <w:p>
            <w:pPr>
              <w:ind w:left="60"/>
              <w:spacing w:after="0" w:line="183" w:lineRule="exact"/>
              <w:rPr>
                <w:sz w:val="20"/>
                <w:szCs w:val="20"/>
                <w:color w:val="auto"/>
              </w:rPr>
            </w:pPr>
            <w:r>
              <w:rPr>
                <w:rFonts w:ascii="Arial" w:cs="Arial" w:eastAsia="Arial" w:hAnsi="Arial"/>
                <w:sz w:val="16"/>
                <w:szCs w:val="16"/>
                <w:color w:val="14202A"/>
              </w:rPr>
              <w:t>Rewards for achievement of</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Long-Term Incentive Program</w:t>
            </w: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For the Fiscal 2026-2028 performance period,</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specific long-term financial</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(LTIP) – Annual</w:t>
            </w: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payouts are tied to performance against pre-</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objectives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determined goals across a three-year</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Aligns NEOs’ interest with long-</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performance period.</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term shareholder value creation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The metrics consist of:</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2"/>
                <w:szCs w:val="12"/>
                <w:color w:val="14202A"/>
                <w:w w:val="73"/>
              </w:rPr>
              <w:t>• </w:t>
            </w: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50% Incentive ROIC</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2"/>
                <w:szCs w:val="12"/>
                <w:color w:val="14202A"/>
                <w:w w:val="73"/>
              </w:rPr>
              <w:t>• </w:t>
            </w: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50% Incentive EPS</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vMerge w:val="restart"/>
          </w:tcPr>
          <w:p>
            <w:pPr>
              <w:jc w:val="center"/>
              <w:spacing w:after="0"/>
              <w:rPr>
                <w:sz w:val="20"/>
                <w:szCs w:val="20"/>
                <w:color w:val="auto"/>
              </w:rPr>
            </w:pPr>
            <w:r>
              <w:rPr>
                <w:rFonts w:ascii="Arial" w:cs="Arial" w:eastAsia="Arial" w:hAnsi="Arial"/>
                <w:sz w:val="16"/>
                <w:szCs w:val="16"/>
                <w:color w:val="14202A"/>
              </w:rPr>
              <w:t>Paid in</w:t>
            </w: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Payouts range from 0%-200% of a pre-</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880" w:type="dxa"/>
            <w:vAlign w:val="bottom"/>
            <w:tcBorders>
              <w:right w:val="single" w:sz="8" w:color="14202A"/>
            </w:tcBorders>
          </w:tcPr>
          <w:p>
            <w:pPr>
              <w:spacing w:after="0"/>
              <w:rPr>
                <w:sz w:val="8"/>
                <w:szCs w:val="8"/>
                <w:color w:val="auto"/>
              </w:rPr>
            </w:pPr>
          </w:p>
        </w:tc>
        <w:tc>
          <w:tcPr>
            <w:tcW w:w="760" w:type="dxa"/>
            <w:vAlign w:val="bottom"/>
            <w:tcBorders>
              <w:right w:val="single" w:sz="8" w:color="14202A"/>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Borders>
              <w:right w:val="single" w:sz="8" w:color="14202A"/>
            </w:tcBorders>
          </w:tcPr>
          <w:p>
            <w:pPr>
              <w:spacing w:after="0"/>
              <w:rPr>
                <w:sz w:val="8"/>
                <w:szCs w:val="8"/>
                <w:color w:val="auto"/>
              </w:rPr>
            </w:pPr>
          </w:p>
        </w:tc>
        <w:tc>
          <w:tcPr>
            <w:tcW w:w="3620" w:type="dxa"/>
            <w:vAlign w:val="bottom"/>
            <w:gridSpan w:val="5"/>
            <w:vMerge w:val="restart"/>
          </w:tcPr>
          <w:p>
            <w:pPr>
              <w:ind w:left="40"/>
              <w:spacing w:after="0"/>
              <w:rPr>
                <w:sz w:val="20"/>
                <w:szCs w:val="20"/>
                <w:color w:val="auto"/>
              </w:rPr>
            </w:pPr>
            <w:r>
              <w:rPr>
                <w:rFonts w:ascii="Arial" w:cs="Arial" w:eastAsia="Arial" w:hAnsi="Arial"/>
                <w:sz w:val="16"/>
                <w:szCs w:val="16"/>
                <w:color w:val="14202A"/>
              </w:rPr>
              <w:t>determined target value</w:t>
            </w:r>
          </w:p>
        </w:tc>
        <w:tc>
          <w:tcPr>
            <w:tcW w:w="60" w:type="dxa"/>
            <w:vAlign w:val="bottom"/>
            <w:tcBorders>
              <w:right w:val="single" w:sz="8" w:color="14202A"/>
            </w:tcBorders>
          </w:tcPr>
          <w:p>
            <w:pPr>
              <w:spacing w:after="0"/>
              <w:rPr>
                <w:sz w:val="8"/>
                <w:szCs w:val="8"/>
                <w:color w:val="auto"/>
              </w:rPr>
            </w:pPr>
          </w:p>
        </w:tc>
        <w:tc>
          <w:tcPr>
            <w:tcW w:w="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right w:val="single" w:sz="8" w:color="14202A"/>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80" w:type="dxa"/>
            <w:vAlign w:val="bottom"/>
            <w:tcBorders>
              <w:right w:val="single" w:sz="8" w:color="14202A"/>
            </w:tcBorders>
          </w:tcPr>
          <w:p>
            <w:pPr>
              <w:spacing w:after="0"/>
              <w:rPr>
                <w:sz w:val="10"/>
                <w:szCs w:val="10"/>
                <w:color w:val="auto"/>
              </w:rPr>
            </w:pPr>
          </w:p>
        </w:tc>
        <w:tc>
          <w:tcPr>
            <w:tcW w:w="760" w:type="dxa"/>
            <w:vAlign w:val="bottom"/>
            <w:tcBorders>
              <w:right w:val="single" w:sz="8" w:color="14202A"/>
            </w:tcBorders>
            <w:vMerge w:val="restart"/>
          </w:tcPr>
          <w:p>
            <w:pPr>
              <w:jc w:val="center"/>
              <w:spacing w:after="0"/>
              <w:rPr>
                <w:sz w:val="20"/>
                <w:szCs w:val="20"/>
                <w:color w:val="auto"/>
              </w:rPr>
            </w:pPr>
            <w:r>
              <w:rPr>
                <w:rFonts w:ascii="Arial" w:cs="Arial" w:eastAsia="Arial" w:hAnsi="Arial"/>
                <w:sz w:val="16"/>
                <w:szCs w:val="16"/>
                <w:color w:val="14202A"/>
              </w:rPr>
              <w:t>Equity</w:t>
            </w:r>
          </w:p>
        </w:tc>
        <w:tc>
          <w:tcPr>
            <w:tcW w:w="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0" w:type="dxa"/>
            <w:vAlign w:val="bottom"/>
            <w:tcBorders>
              <w:right w:val="single" w:sz="8" w:color="14202A"/>
            </w:tcBorders>
          </w:tcPr>
          <w:p>
            <w:pPr>
              <w:spacing w:after="0"/>
              <w:rPr>
                <w:sz w:val="10"/>
                <w:szCs w:val="10"/>
                <w:color w:val="auto"/>
              </w:rPr>
            </w:pPr>
          </w:p>
        </w:tc>
        <w:tc>
          <w:tcPr>
            <w:tcW w:w="3620" w:type="dxa"/>
            <w:vAlign w:val="bottom"/>
            <w:gridSpan w:val="5"/>
            <w:vMerge w:val="continue"/>
          </w:tcPr>
          <w:p>
            <w:pPr>
              <w:spacing w:after="0"/>
              <w:rPr>
                <w:sz w:val="10"/>
                <w:szCs w:val="10"/>
                <w:color w:val="auto"/>
              </w:rPr>
            </w:pPr>
          </w:p>
        </w:tc>
        <w:tc>
          <w:tcPr>
            <w:tcW w:w="60" w:type="dxa"/>
            <w:vAlign w:val="bottom"/>
            <w:tcBorders>
              <w:right w:val="single" w:sz="8" w:color="14202A"/>
            </w:tcBorders>
          </w:tcPr>
          <w:p>
            <w:pPr>
              <w:spacing w:after="0"/>
              <w:rPr>
                <w:sz w:val="10"/>
                <w:szCs w:val="10"/>
                <w:color w:val="auto"/>
              </w:rPr>
            </w:pPr>
          </w:p>
        </w:tc>
        <w:tc>
          <w:tcPr>
            <w:tcW w:w="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Borders>
              <w:right w:val="single" w:sz="8" w:color="14202A"/>
            </w:tcBorders>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880" w:type="dxa"/>
            <w:vAlign w:val="bottom"/>
            <w:tcBorders>
              <w:right w:val="single" w:sz="8" w:color="14202A"/>
            </w:tcBorders>
          </w:tcPr>
          <w:p>
            <w:pPr>
              <w:spacing w:after="0"/>
              <w:rPr>
                <w:sz w:val="7"/>
                <w:szCs w:val="7"/>
                <w:color w:val="auto"/>
              </w:rPr>
            </w:pPr>
          </w:p>
        </w:tc>
        <w:tc>
          <w:tcPr>
            <w:tcW w:w="760" w:type="dxa"/>
            <w:vAlign w:val="bottom"/>
            <w:tcBorders>
              <w:right w:val="single" w:sz="8" w:color="14202A"/>
            </w:tcBorders>
            <w:vMerge w:val="continue"/>
          </w:tcPr>
          <w:p>
            <w:pPr>
              <w:spacing w:after="0"/>
              <w:rPr>
                <w:sz w:val="7"/>
                <w:szCs w:val="7"/>
                <w:color w:val="auto"/>
              </w:rPr>
            </w:pPr>
          </w:p>
        </w:tc>
        <w:tc>
          <w:tcPr>
            <w:tcW w:w="60" w:type="dxa"/>
            <w:vAlign w:val="bottom"/>
            <w:tcBorders>
              <w:bottom w:val="single" w:sz="8" w:color="14202A"/>
            </w:tcBorders>
          </w:tcPr>
          <w:p>
            <w:pPr>
              <w:spacing w:after="0"/>
              <w:rPr>
                <w:sz w:val="7"/>
                <w:szCs w:val="7"/>
                <w:color w:val="auto"/>
              </w:rPr>
            </w:pPr>
          </w:p>
        </w:tc>
        <w:tc>
          <w:tcPr>
            <w:tcW w:w="2160" w:type="dxa"/>
            <w:vAlign w:val="bottom"/>
            <w:tcBorders>
              <w:bottom w:val="single" w:sz="8" w:color="14202A"/>
            </w:tcBorders>
          </w:tcPr>
          <w:p>
            <w:pPr>
              <w:spacing w:after="0"/>
              <w:rPr>
                <w:sz w:val="7"/>
                <w:szCs w:val="7"/>
                <w:color w:val="auto"/>
              </w:rPr>
            </w:pPr>
          </w:p>
        </w:tc>
        <w:tc>
          <w:tcPr>
            <w:tcW w:w="80" w:type="dxa"/>
            <w:vAlign w:val="bottom"/>
            <w:tcBorders>
              <w:bottom w:val="single" w:sz="8" w:color="14202A"/>
              <w:right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140" w:type="dxa"/>
            <w:vAlign w:val="bottom"/>
            <w:tcBorders>
              <w:bottom w:val="single" w:sz="8" w:color="14202A"/>
            </w:tcBorders>
          </w:tcPr>
          <w:p>
            <w:pPr>
              <w:spacing w:after="0"/>
              <w:rPr>
                <w:sz w:val="7"/>
                <w:szCs w:val="7"/>
                <w:color w:val="auto"/>
              </w:rPr>
            </w:pPr>
          </w:p>
        </w:tc>
        <w:tc>
          <w:tcPr>
            <w:tcW w:w="80" w:type="dxa"/>
            <w:vAlign w:val="bottom"/>
            <w:tcBorders>
              <w:bottom w:val="single" w:sz="8" w:color="14202A"/>
            </w:tcBorders>
          </w:tcPr>
          <w:p>
            <w:pPr>
              <w:spacing w:after="0"/>
              <w:rPr>
                <w:sz w:val="7"/>
                <w:szCs w:val="7"/>
                <w:color w:val="auto"/>
              </w:rPr>
            </w:pPr>
          </w:p>
        </w:tc>
        <w:tc>
          <w:tcPr>
            <w:tcW w:w="280" w:type="dxa"/>
            <w:vAlign w:val="bottom"/>
            <w:tcBorders>
              <w:bottom w:val="single" w:sz="8" w:color="14202A"/>
            </w:tcBorders>
          </w:tcPr>
          <w:p>
            <w:pPr>
              <w:spacing w:after="0"/>
              <w:rPr>
                <w:sz w:val="7"/>
                <w:szCs w:val="7"/>
                <w:color w:val="auto"/>
              </w:rPr>
            </w:pPr>
          </w:p>
        </w:tc>
        <w:tc>
          <w:tcPr>
            <w:tcW w:w="3080" w:type="dxa"/>
            <w:vAlign w:val="bottom"/>
            <w:tcBorders>
              <w:bottom w:val="single" w:sz="8" w:color="14202A"/>
            </w:tcBorders>
          </w:tcPr>
          <w:p>
            <w:pPr>
              <w:spacing w:after="0"/>
              <w:rPr>
                <w:sz w:val="7"/>
                <w:szCs w:val="7"/>
                <w:color w:val="auto"/>
              </w:rPr>
            </w:pPr>
          </w:p>
        </w:tc>
        <w:tc>
          <w:tcPr>
            <w:tcW w:w="60" w:type="dxa"/>
            <w:vAlign w:val="bottom"/>
            <w:tcBorders>
              <w:bottom w:val="single" w:sz="8" w:color="14202A"/>
              <w:right w:val="single" w:sz="8" w:color="14202A"/>
            </w:tcBorders>
          </w:tcPr>
          <w:p>
            <w:pPr>
              <w:spacing w:after="0"/>
              <w:rPr>
                <w:sz w:val="7"/>
                <w:szCs w:val="7"/>
                <w:color w:val="auto"/>
              </w:rPr>
            </w:pPr>
          </w:p>
        </w:tc>
        <w:tc>
          <w:tcPr>
            <w:tcW w:w="60" w:type="dxa"/>
            <w:vAlign w:val="bottom"/>
            <w:tcBorders>
              <w:bottom w:val="single" w:sz="8" w:color="14202A"/>
            </w:tcBorders>
          </w:tcPr>
          <w:p>
            <w:pPr>
              <w:spacing w:after="0"/>
              <w:rPr>
                <w:sz w:val="7"/>
                <w:szCs w:val="7"/>
                <w:color w:val="auto"/>
              </w:rPr>
            </w:pPr>
          </w:p>
        </w:tc>
        <w:tc>
          <w:tcPr>
            <w:tcW w:w="2380" w:type="dxa"/>
            <w:vAlign w:val="bottom"/>
            <w:tcBorders>
              <w:bottom w:val="single" w:sz="8" w:color="14202A"/>
            </w:tcBorders>
          </w:tcPr>
          <w:p>
            <w:pPr>
              <w:spacing w:after="0"/>
              <w:rPr>
                <w:sz w:val="7"/>
                <w:szCs w:val="7"/>
                <w:color w:val="auto"/>
              </w:rPr>
            </w:pPr>
          </w:p>
        </w:tc>
        <w:tc>
          <w:tcPr>
            <w:tcW w:w="100" w:type="dxa"/>
            <w:vAlign w:val="bottom"/>
            <w:tcBorders>
              <w:bottom w:val="single" w:sz="8" w:color="14202A"/>
              <w:right w:val="single" w:sz="8" w:color="14202A"/>
            </w:tcBorders>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880" w:type="dxa"/>
            <w:vAlign w:val="bottom"/>
            <w:tcBorders>
              <w:right w:val="single" w:sz="8" w:color="14202A"/>
            </w:tcBorders>
          </w:tcPr>
          <w:p>
            <w:pPr>
              <w:spacing w:after="0"/>
              <w:rPr>
                <w:sz w:val="15"/>
                <w:szCs w:val="15"/>
                <w:color w:val="auto"/>
              </w:rPr>
            </w:pPr>
          </w:p>
        </w:tc>
        <w:tc>
          <w:tcPr>
            <w:tcW w:w="760" w:type="dxa"/>
            <w:vAlign w:val="bottom"/>
            <w:tcBorders>
              <w:right w:val="single" w:sz="8" w:color="14202A"/>
            </w:tcBorders>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line="182" w:lineRule="exact"/>
              <w:rPr>
                <w:sz w:val="20"/>
                <w:szCs w:val="20"/>
                <w:color w:val="auto"/>
              </w:rPr>
            </w:pPr>
            <w:r>
              <w:rPr>
                <w:rFonts w:ascii="Arial" w:cs="Arial" w:eastAsia="Arial" w:hAnsi="Arial"/>
                <w:sz w:val="16"/>
                <w:szCs w:val="16"/>
                <w:color w:val="14202A"/>
              </w:rPr>
              <w:t>Stock Options – Annual</w:t>
            </w:r>
          </w:p>
        </w:tc>
        <w:tc>
          <w:tcPr>
            <w:tcW w:w="80" w:type="dxa"/>
            <w:vAlign w:val="bottom"/>
            <w:tcBorders>
              <w:right w:val="single" w:sz="8" w:color="14202A"/>
            </w:tcBorders>
          </w:tcPr>
          <w:p>
            <w:pPr>
              <w:spacing w:after="0"/>
              <w:rPr>
                <w:sz w:val="15"/>
                <w:szCs w:val="15"/>
                <w:color w:val="auto"/>
              </w:rPr>
            </w:pPr>
          </w:p>
        </w:tc>
        <w:tc>
          <w:tcPr>
            <w:tcW w:w="3620" w:type="dxa"/>
            <w:vAlign w:val="bottom"/>
            <w:gridSpan w:val="5"/>
          </w:tcPr>
          <w:p>
            <w:pPr>
              <w:ind w:left="40"/>
              <w:spacing w:after="0" w:line="182" w:lineRule="exact"/>
              <w:rPr>
                <w:sz w:val="20"/>
                <w:szCs w:val="20"/>
                <w:color w:val="auto"/>
              </w:rPr>
            </w:pPr>
            <w:r>
              <w:rPr>
                <w:rFonts w:ascii="Arial" w:cs="Arial" w:eastAsia="Arial" w:hAnsi="Arial"/>
                <w:sz w:val="16"/>
                <w:szCs w:val="16"/>
                <w:color w:val="14202A"/>
              </w:rPr>
              <w:t>15% of all annual equity awards</w:t>
            </w:r>
          </w:p>
        </w:tc>
        <w:tc>
          <w:tcPr>
            <w:tcW w:w="60" w:type="dxa"/>
            <w:vAlign w:val="bottom"/>
            <w:tcBorders>
              <w:right w:val="single" w:sz="8" w:color="14202A"/>
            </w:tcBorders>
          </w:tcPr>
          <w:p>
            <w:pPr>
              <w:spacing w:after="0"/>
              <w:rPr>
                <w:sz w:val="15"/>
                <w:szCs w:val="15"/>
                <w:color w:val="auto"/>
              </w:rPr>
            </w:pPr>
          </w:p>
        </w:tc>
        <w:tc>
          <w:tcPr>
            <w:tcW w:w="2540" w:type="dxa"/>
            <w:vAlign w:val="bottom"/>
            <w:tcBorders>
              <w:right w:val="single" w:sz="8" w:color="14202A"/>
            </w:tcBorders>
            <w:gridSpan w:val="3"/>
          </w:tcPr>
          <w:p>
            <w:pPr>
              <w:ind w:left="60"/>
              <w:spacing w:after="0" w:line="182" w:lineRule="exact"/>
              <w:rPr>
                <w:sz w:val="20"/>
                <w:szCs w:val="20"/>
                <w:color w:val="auto"/>
              </w:rPr>
            </w:pPr>
            <w:r>
              <w:rPr>
                <w:rFonts w:ascii="Arial" w:cs="Arial" w:eastAsia="Arial" w:hAnsi="Arial"/>
                <w:sz w:val="16"/>
                <w:szCs w:val="16"/>
                <w:color w:val="14202A"/>
              </w:rPr>
              <w:t>Aligns NEOs’ interest with long-</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Stock options can be exercised over 10 years</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term shareholder value creation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and vest annually over three years in equal</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as measured by appreciation in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80" w:type="dxa"/>
            <w:vAlign w:val="bottom"/>
            <w:tcBorders>
              <w:right w:val="single" w:sz="8" w:color="14202A"/>
            </w:tcBorders>
          </w:tcPr>
          <w:p>
            <w:pPr>
              <w:spacing w:after="0"/>
              <w:rPr>
                <w:sz w:val="18"/>
                <w:szCs w:val="18"/>
                <w:color w:val="auto"/>
              </w:rPr>
            </w:pPr>
          </w:p>
        </w:tc>
        <w:tc>
          <w:tcPr>
            <w:tcW w:w="760" w:type="dxa"/>
            <w:vAlign w:val="bottom"/>
            <w:tcBorders>
              <w:right w:val="single" w:sz="8" w:color="14202A"/>
            </w:tcBorders>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Borders>
              <w:right w:val="single" w:sz="8" w:color="14202A"/>
            </w:tcBorders>
          </w:tcPr>
          <w:p>
            <w:pPr>
              <w:spacing w:after="0"/>
              <w:rPr>
                <w:sz w:val="18"/>
                <w:szCs w:val="18"/>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installments</w:t>
            </w:r>
          </w:p>
        </w:tc>
        <w:tc>
          <w:tcPr>
            <w:tcW w:w="60" w:type="dxa"/>
            <w:vAlign w:val="bottom"/>
            <w:tcBorders>
              <w:right w:val="single" w:sz="8" w:color="14202A"/>
            </w:tcBorders>
          </w:tcPr>
          <w:p>
            <w:pPr>
              <w:spacing w:after="0"/>
              <w:rPr>
                <w:sz w:val="18"/>
                <w:szCs w:val="18"/>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stock price from the date of grant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80" w:type="dxa"/>
            <w:vAlign w:val="bottom"/>
            <w:tcBorders>
              <w:right w:val="single" w:sz="8" w:color="14202A"/>
            </w:tcBorders>
          </w:tcPr>
          <w:p>
            <w:pPr>
              <w:spacing w:after="0"/>
              <w:rPr>
                <w:sz w:val="18"/>
                <w:szCs w:val="18"/>
                <w:color w:val="auto"/>
              </w:rPr>
            </w:pPr>
          </w:p>
        </w:tc>
        <w:tc>
          <w:tcPr>
            <w:tcW w:w="760" w:type="dxa"/>
            <w:vAlign w:val="bottom"/>
            <w:tcBorders>
              <w:right w:val="single" w:sz="8" w:color="14202A"/>
            </w:tcBorders>
          </w:tcPr>
          <w:p>
            <w:pPr>
              <w:spacing w:after="0"/>
              <w:rPr>
                <w:sz w:val="18"/>
                <w:szCs w:val="18"/>
                <w:color w:val="auto"/>
              </w:rPr>
            </w:pPr>
          </w:p>
        </w:tc>
        <w:tc>
          <w:tcPr>
            <w:tcW w:w="60" w:type="dxa"/>
            <w:vAlign w:val="bottom"/>
            <w:tcBorders>
              <w:bottom w:val="single" w:sz="8" w:color="14202A"/>
            </w:tcBorders>
          </w:tcPr>
          <w:p>
            <w:pPr>
              <w:spacing w:after="0"/>
              <w:rPr>
                <w:sz w:val="18"/>
                <w:szCs w:val="18"/>
                <w:color w:val="auto"/>
              </w:rPr>
            </w:pPr>
          </w:p>
        </w:tc>
        <w:tc>
          <w:tcPr>
            <w:tcW w:w="2160" w:type="dxa"/>
            <w:vAlign w:val="bottom"/>
            <w:tcBorders>
              <w:bottom w:val="single" w:sz="8" w:color="14202A"/>
            </w:tcBorders>
          </w:tcPr>
          <w:p>
            <w:pPr>
              <w:spacing w:after="0"/>
              <w:rPr>
                <w:sz w:val="18"/>
                <w:szCs w:val="18"/>
                <w:color w:val="auto"/>
              </w:rPr>
            </w:pPr>
          </w:p>
        </w:tc>
        <w:tc>
          <w:tcPr>
            <w:tcW w:w="80" w:type="dxa"/>
            <w:vAlign w:val="bottom"/>
            <w:tcBorders>
              <w:bottom w:val="single" w:sz="8" w:color="14202A"/>
              <w:right w:val="single" w:sz="8" w:color="14202A"/>
            </w:tcBorders>
          </w:tcPr>
          <w:p>
            <w:pPr>
              <w:spacing w:after="0"/>
              <w:rPr>
                <w:sz w:val="18"/>
                <w:szCs w:val="18"/>
                <w:color w:val="auto"/>
              </w:rPr>
            </w:pPr>
          </w:p>
        </w:tc>
        <w:tc>
          <w:tcPr>
            <w:tcW w:w="3620" w:type="dxa"/>
            <w:vAlign w:val="bottom"/>
            <w:tcBorders>
              <w:bottom w:val="single" w:sz="8" w:color="14202A"/>
            </w:tcBorders>
            <w:gridSpan w:val="5"/>
          </w:tcPr>
          <w:p>
            <w:pPr>
              <w:spacing w:after="0"/>
              <w:rPr>
                <w:sz w:val="18"/>
                <w:szCs w:val="18"/>
                <w:color w:val="auto"/>
              </w:rPr>
            </w:pPr>
          </w:p>
        </w:tc>
        <w:tc>
          <w:tcPr>
            <w:tcW w:w="60" w:type="dxa"/>
            <w:vAlign w:val="bottom"/>
            <w:tcBorders>
              <w:bottom w:val="single" w:sz="8" w:color="14202A"/>
              <w:right w:val="single" w:sz="8" w:color="14202A"/>
            </w:tcBorders>
          </w:tcPr>
          <w:p>
            <w:pPr>
              <w:spacing w:after="0"/>
              <w:rPr>
                <w:sz w:val="18"/>
                <w:szCs w:val="18"/>
                <w:color w:val="auto"/>
              </w:rPr>
            </w:pPr>
          </w:p>
        </w:tc>
        <w:tc>
          <w:tcPr>
            <w:tcW w:w="2540" w:type="dxa"/>
            <w:vAlign w:val="bottom"/>
            <w:tcBorders>
              <w:bottom w:val="single" w:sz="8" w:color="14202A"/>
              <w:right w:val="single" w:sz="8" w:color="14202A"/>
            </w:tcBorders>
            <w:gridSpan w:val="3"/>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80" w:type="dxa"/>
            <w:vAlign w:val="bottom"/>
            <w:tcBorders>
              <w:right w:val="single" w:sz="8" w:color="14202A"/>
            </w:tcBorders>
          </w:tcPr>
          <w:p>
            <w:pPr>
              <w:spacing w:after="0"/>
              <w:rPr>
                <w:sz w:val="15"/>
                <w:szCs w:val="15"/>
                <w:color w:val="auto"/>
              </w:rPr>
            </w:pPr>
          </w:p>
        </w:tc>
        <w:tc>
          <w:tcPr>
            <w:tcW w:w="760" w:type="dxa"/>
            <w:vAlign w:val="bottom"/>
            <w:tcBorders>
              <w:right w:val="single" w:sz="8" w:color="14202A"/>
            </w:tcBorders>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line="182" w:lineRule="exact"/>
              <w:rPr>
                <w:sz w:val="20"/>
                <w:szCs w:val="20"/>
                <w:color w:val="auto"/>
              </w:rPr>
            </w:pPr>
            <w:r>
              <w:rPr>
                <w:rFonts w:ascii="Arial" w:cs="Arial" w:eastAsia="Arial" w:hAnsi="Arial"/>
                <w:sz w:val="16"/>
                <w:szCs w:val="16"/>
                <w:color w:val="14202A"/>
              </w:rPr>
              <w:t>Restricted Stock Units –</w:t>
            </w:r>
          </w:p>
        </w:tc>
        <w:tc>
          <w:tcPr>
            <w:tcW w:w="80" w:type="dxa"/>
            <w:vAlign w:val="bottom"/>
            <w:tcBorders>
              <w:right w:val="single" w:sz="8" w:color="14202A"/>
            </w:tcBorders>
          </w:tcPr>
          <w:p>
            <w:pPr>
              <w:spacing w:after="0"/>
              <w:rPr>
                <w:sz w:val="15"/>
                <w:szCs w:val="15"/>
                <w:color w:val="auto"/>
              </w:rPr>
            </w:pPr>
          </w:p>
        </w:tc>
        <w:tc>
          <w:tcPr>
            <w:tcW w:w="3620" w:type="dxa"/>
            <w:vAlign w:val="bottom"/>
            <w:gridSpan w:val="5"/>
          </w:tcPr>
          <w:p>
            <w:pPr>
              <w:ind w:left="40"/>
              <w:spacing w:after="0" w:line="182" w:lineRule="exact"/>
              <w:rPr>
                <w:sz w:val="20"/>
                <w:szCs w:val="20"/>
                <w:color w:val="auto"/>
              </w:rPr>
            </w:pPr>
            <w:r>
              <w:rPr>
                <w:rFonts w:ascii="Arial" w:cs="Arial" w:eastAsia="Arial" w:hAnsi="Arial"/>
                <w:sz w:val="16"/>
                <w:szCs w:val="16"/>
                <w:color w:val="14202A"/>
              </w:rPr>
              <w:t>35% of all annual equity awards</w:t>
            </w:r>
          </w:p>
        </w:tc>
        <w:tc>
          <w:tcPr>
            <w:tcW w:w="60" w:type="dxa"/>
            <w:vAlign w:val="bottom"/>
            <w:tcBorders>
              <w:right w:val="single" w:sz="8" w:color="14202A"/>
            </w:tcBorders>
          </w:tcPr>
          <w:p>
            <w:pPr>
              <w:spacing w:after="0"/>
              <w:rPr>
                <w:sz w:val="15"/>
                <w:szCs w:val="15"/>
                <w:color w:val="auto"/>
              </w:rPr>
            </w:pPr>
          </w:p>
        </w:tc>
        <w:tc>
          <w:tcPr>
            <w:tcW w:w="2540" w:type="dxa"/>
            <w:vAlign w:val="bottom"/>
            <w:tcBorders>
              <w:right w:val="single" w:sz="8" w:color="14202A"/>
            </w:tcBorders>
            <w:gridSpan w:val="3"/>
          </w:tcPr>
          <w:p>
            <w:pPr>
              <w:ind w:left="60"/>
              <w:spacing w:after="0" w:line="182" w:lineRule="exact"/>
              <w:rPr>
                <w:sz w:val="20"/>
                <w:szCs w:val="20"/>
                <w:color w:val="auto"/>
              </w:rPr>
            </w:pPr>
            <w:r>
              <w:rPr>
                <w:rFonts w:ascii="Arial" w:cs="Arial" w:eastAsia="Arial" w:hAnsi="Arial"/>
                <w:sz w:val="16"/>
                <w:szCs w:val="16"/>
                <w:color w:val="14202A"/>
              </w:rPr>
              <w:t>Aligns NEOs’ interest with long-</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Annual</w:t>
            </w: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Restricted stock units vest annually over</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term shareholder value creation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Borders>
              <w:right w:val="single" w:sz="8" w:color="14202A"/>
            </w:tcBorders>
          </w:tcPr>
          <w:p>
            <w:pPr>
              <w:spacing w:after="0"/>
              <w:rPr>
                <w:sz w:val="18"/>
                <w:szCs w:val="18"/>
                <w:color w:val="auto"/>
              </w:rPr>
            </w:pPr>
          </w:p>
        </w:tc>
        <w:tc>
          <w:tcPr>
            <w:tcW w:w="760" w:type="dxa"/>
            <w:vAlign w:val="bottom"/>
            <w:tcBorders>
              <w:bottom w:val="single" w:sz="8" w:color="14202A"/>
              <w:right w:val="single" w:sz="8" w:color="14202A"/>
            </w:tcBorders>
          </w:tcPr>
          <w:p>
            <w:pPr>
              <w:spacing w:after="0"/>
              <w:rPr>
                <w:sz w:val="18"/>
                <w:szCs w:val="18"/>
                <w:color w:val="auto"/>
              </w:rPr>
            </w:pPr>
          </w:p>
        </w:tc>
        <w:tc>
          <w:tcPr>
            <w:tcW w:w="60" w:type="dxa"/>
            <w:vAlign w:val="bottom"/>
            <w:tcBorders>
              <w:bottom w:val="single" w:sz="8" w:color="14202A"/>
            </w:tcBorders>
          </w:tcPr>
          <w:p>
            <w:pPr>
              <w:spacing w:after="0"/>
              <w:rPr>
                <w:sz w:val="18"/>
                <w:szCs w:val="18"/>
                <w:color w:val="auto"/>
              </w:rPr>
            </w:pPr>
          </w:p>
        </w:tc>
        <w:tc>
          <w:tcPr>
            <w:tcW w:w="2160" w:type="dxa"/>
            <w:vAlign w:val="bottom"/>
            <w:tcBorders>
              <w:bottom w:val="single" w:sz="8" w:color="14202A"/>
            </w:tcBorders>
          </w:tcPr>
          <w:p>
            <w:pPr>
              <w:spacing w:after="0"/>
              <w:rPr>
                <w:sz w:val="18"/>
                <w:szCs w:val="18"/>
                <w:color w:val="auto"/>
              </w:rPr>
            </w:pPr>
          </w:p>
        </w:tc>
        <w:tc>
          <w:tcPr>
            <w:tcW w:w="80" w:type="dxa"/>
            <w:vAlign w:val="bottom"/>
            <w:tcBorders>
              <w:bottom w:val="single" w:sz="8" w:color="14202A"/>
              <w:right w:val="single" w:sz="8" w:color="14202A"/>
            </w:tcBorders>
          </w:tcPr>
          <w:p>
            <w:pPr>
              <w:spacing w:after="0"/>
              <w:rPr>
                <w:sz w:val="18"/>
                <w:szCs w:val="18"/>
                <w:color w:val="auto"/>
              </w:rPr>
            </w:pPr>
          </w:p>
        </w:tc>
        <w:tc>
          <w:tcPr>
            <w:tcW w:w="3620" w:type="dxa"/>
            <w:vAlign w:val="bottom"/>
            <w:tcBorders>
              <w:bottom w:val="single" w:sz="8" w:color="14202A"/>
            </w:tcBorders>
            <w:gridSpan w:val="5"/>
          </w:tcPr>
          <w:p>
            <w:pPr>
              <w:ind w:left="40"/>
              <w:spacing w:after="0"/>
              <w:rPr>
                <w:sz w:val="20"/>
                <w:szCs w:val="20"/>
                <w:color w:val="auto"/>
              </w:rPr>
            </w:pPr>
            <w:r>
              <w:rPr>
                <w:rFonts w:ascii="Arial" w:cs="Arial" w:eastAsia="Arial" w:hAnsi="Arial"/>
                <w:sz w:val="16"/>
                <w:szCs w:val="16"/>
                <w:color w:val="14202A"/>
              </w:rPr>
              <w:t>three years in equal installments</w:t>
            </w:r>
          </w:p>
        </w:tc>
        <w:tc>
          <w:tcPr>
            <w:tcW w:w="60" w:type="dxa"/>
            <w:vAlign w:val="bottom"/>
            <w:tcBorders>
              <w:bottom w:val="single" w:sz="8" w:color="14202A"/>
              <w:right w:val="single" w:sz="8" w:color="14202A"/>
            </w:tcBorders>
          </w:tcPr>
          <w:p>
            <w:pPr>
              <w:spacing w:after="0"/>
              <w:rPr>
                <w:sz w:val="18"/>
                <w:szCs w:val="18"/>
                <w:color w:val="auto"/>
              </w:rPr>
            </w:pPr>
          </w:p>
        </w:tc>
        <w:tc>
          <w:tcPr>
            <w:tcW w:w="2540" w:type="dxa"/>
            <w:vAlign w:val="bottom"/>
            <w:tcBorders>
              <w:bottom w:val="single" w:sz="8" w:color="14202A"/>
              <w:right w:val="single" w:sz="8" w:color="14202A"/>
            </w:tcBorders>
            <w:gridSpan w:val="3"/>
          </w:tcPr>
          <w:p>
            <w:pPr>
              <w:ind w:left="60"/>
              <w:spacing w:after="0"/>
              <w:rPr>
                <w:sz w:val="20"/>
                <w:szCs w:val="20"/>
                <w:color w:val="auto"/>
              </w:rPr>
            </w:pPr>
            <w:r>
              <w:rPr>
                <w:rFonts w:ascii="Arial" w:cs="Arial" w:eastAsia="Arial" w:hAnsi="Arial"/>
                <w:sz w:val="16"/>
                <w:szCs w:val="16"/>
                <w:color w:val="14202A"/>
              </w:rPr>
              <w:t>Encourages executive retention</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80" w:type="dxa"/>
            <w:vAlign w:val="bottom"/>
            <w:tcBorders>
              <w:right w:val="single" w:sz="8" w:color="14202A"/>
            </w:tcBorders>
          </w:tcPr>
          <w:p>
            <w:pPr>
              <w:spacing w:after="0"/>
              <w:rPr>
                <w:sz w:val="15"/>
                <w:szCs w:val="15"/>
                <w:color w:val="auto"/>
              </w:rPr>
            </w:pPr>
          </w:p>
        </w:tc>
        <w:tc>
          <w:tcPr>
            <w:tcW w:w="760" w:type="dxa"/>
            <w:vAlign w:val="bottom"/>
            <w:tcBorders>
              <w:right w:val="single" w:sz="8" w:color="14202A"/>
            </w:tcBorders>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line="183" w:lineRule="exact"/>
              <w:rPr>
                <w:sz w:val="20"/>
                <w:szCs w:val="20"/>
                <w:color w:val="auto"/>
              </w:rPr>
            </w:pPr>
            <w:r>
              <w:rPr>
                <w:rFonts w:ascii="Arial" w:cs="Arial" w:eastAsia="Arial" w:hAnsi="Arial"/>
                <w:sz w:val="16"/>
                <w:szCs w:val="16"/>
                <w:color w:val="14202A"/>
              </w:rPr>
              <w:t>Winnebago Motorhome</w:t>
            </w:r>
          </w:p>
        </w:tc>
        <w:tc>
          <w:tcPr>
            <w:tcW w:w="80" w:type="dxa"/>
            <w:vAlign w:val="bottom"/>
            <w:tcBorders>
              <w:right w:val="single" w:sz="8" w:color="14202A"/>
            </w:tcBorders>
          </w:tcPr>
          <w:p>
            <w:pPr>
              <w:spacing w:after="0"/>
              <w:rPr>
                <w:sz w:val="15"/>
                <w:szCs w:val="15"/>
                <w:color w:val="auto"/>
              </w:rPr>
            </w:pPr>
          </w:p>
        </w:tc>
        <w:tc>
          <w:tcPr>
            <w:tcW w:w="3620" w:type="dxa"/>
            <w:vAlign w:val="bottom"/>
            <w:gridSpan w:val="5"/>
          </w:tcPr>
          <w:p>
            <w:pPr>
              <w:ind w:left="40"/>
              <w:spacing w:after="0" w:line="183" w:lineRule="exact"/>
              <w:rPr>
                <w:sz w:val="20"/>
                <w:szCs w:val="20"/>
                <w:color w:val="auto"/>
              </w:rPr>
            </w:pPr>
            <w:r>
              <w:rPr>
                <w:rFonts w:ascii="Arial" w:cs="Arial" w:eastAsia="Arial" w:hAnsi="Arial"/>
                <w:sz w:val="16"/>
                <w:szCs w:val="16"/>
                <w:color w:val="14202A"/>
              </w:rPr>
              <w:t>Bonus opportunity for Mr. Tubman which may be</w:t>
            </w:r>
          </w:p>
        </w:tc>
        <w:tc>
          <w:tcPr>
            <w:tcW w:w="60" w:type="dxa"/>
            <w:vAlign w:val="bottom"/>
            <w:tcBorders>
              <w:right w:val="single" w:sz="8" w:color="14202A"/>
            </w:tcBorders>
          </w:tcPr>
          <w:p>
            <w:pPr>
              <w:spacing w:after="0"/>
              <w:rPr>
                <w:sz w:val="15"/>
                <w:szCs w:val="15"/>
                <w:color w:val="auto"/>
              </w:rPr>
            </w:pPr>
          </w:p>
        </w:tc>
        <w:tc>
          <w:tcPr>
            <w:tcW w:w="2540" w:type="dxa"/>
            <w:vAlign w:val="bottom"/>
            <w:tcBorders>
              <w:right w:val="single" w:sz="8" w:color="14202A"/>
            </w:tcBorders>
            <w:gridSpan w:val="3"/>
          </w:tcPr>
          <w:p>
            <w:pPr>
              <w:ind w:left="60"/>
              <w:spacing w:after="0" w:line="183" w:lineRule="exact"/>
              <w:rPr>
                <w:sz w:val="20"/>
                <w:szCs w:val="20"/>
                <w:color w:val="auto"/>
              </w:rPr>
            </w:pPr>
            <w:r>
              <w:rPr>
                <w:rFonts w:ascii="Arial" w:cs="Arial" w:eastAsia="Arial" w:hAnsi="Arial"/>
                <w:sz w:val="16"/>
                <w:szCs w:val="16"/>
                <w:color w:val="14202A"/>
              </w:rPr>
              <w:t>Performance-based program to</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jc w:val="center"/>
              <w:spacing w:after="0"/>
              <w:rPr>
                <w:sz w:val="20"/>
                <w:szCs w:val="20"/>
                <w:color w:val="auto"/>
              </w:rPr>
            </w:pPr>
            <w:r>
              <w:rPr>
                <w:rFonts w:ascii="Arial" w:cs="Arial" w:eastAsia="Arial" w:hAnsi="Arial"/>
                <w:sz w:val="16"/>
                <w:szCs w:val="16"/>
                <w:color w:val="14202A"/>
              </w:rPr>
              <w:t>Paid in</w:t>
            </w:r>
          </w:p>
        </w:tc>
        <w:tc>
          <w:tcPr>
            <w:tcW w:w="6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Profitability Improvement</w:t>
            </w: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earned upon achievement of operating margin</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promote the growth and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jc w:val="center"/>
              <w:spacing w:after="0"/>
              <w:rPr>
                <w:sz w:val="20"/>
                <w:szCs w:val="20"/>
                <w:color w:val="auto"/>
              </w:rPr>
            </w:pPr>
            <w:r>
              <w:rPr>
                <w:rFonts w:ascii="Arial" w:cs="Arial" w:eastAsia="Arial" w:hAnsi="Arial"/>
                <w:sz w:val="16"/>
                <w:szCs w:val="16"/>
                <w:color w:val="14202A"/>
              </w:rPr>
              <w:t>Cash</w:t>
            </w:r>
          </w:p>
        </w:tc>
        <w:tc>
          <w:tcPr>
            <w:tcW w:w="6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Bonus Plan</w:t>
            </w: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percentage goals for the Winnebago Motorhome</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profitability of the Winnebago</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jc w:val="center"/>
              <w:spacing w:after="0"/>
              <w:rPr>
                <w:sz w:val="20"/>
                <w:szCs w:val="20"/>
                <w:color w:val="auto"/>
              </w:rPr>
            </w:pPr>
            <w:r>
              <w:rPr>
                <w:rFonts w:ascii="Arial" w:cs="Arial" w:eastAsia="Arial" w:hAnsi="Arial"/>
                <w:sz w:val="16"/>
                <w:szCs w:val="16"/>
                <w:color w:val="14202A"/>
                <w:w w:val="97"/>
              </w:rPr>
              <w:t>and</w:t>
            </w: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business during a three-year term concluding at</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Motorhome business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jc w:val="center"/>
              <w:spacing w:after="0"/>
              <w:rPr>
                <w:sz w:val="20"/>
                <w:szCs w:val="20"/>
                <w:color w:val="auto"/>
              </w:rPr>
            </w:pPr>
            <w:r>
              <w:rPr>
                <w:rFonts w:ascii="Arial" w:cs="Arial" w:eastAsia="Arial" w:hAnsi="Arial"/>
                <w:sz w:val="16"/>
                <w:szCs w:val="16"/>
                <w:color w:val="14202A"/>
              </w:rPr>
              <w:t>Equity</w:t>
            </w: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the end of Fiscal 2028. No amounts were earned</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80" w:type="dxa"/>
            <w:vAlign w:val="bottom"/>
            <w:tcBorders>
              <w:right w:val="single" w:sz="8" w:color="14202A"/>
            </w:tcBorders>
          </w:tcPr>
          <w:p>
            <w:pPr>
              <w:spacing w:after="0"/>
              <w:rPr>
                <w:sz w:val="18"/>
                <w:szCs w:val="18"/>
                <w:color w:val="auto"/>
              </w:rPr>
            </w:pPr>
          </w:p>
        </w:tc>
        <w:tc>
          <w:tcPr>
            <w:tcW w:w="760" w:type="dxa"/>
            <w:vAlign w:val="bottom"/>
            <w:tcBorders>
              <w:right w:val="single" w:sz="8" w:color="14202A"/>
            </w:tcBorders>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Borders>
              <w:right w:val="single" w:sz="8" w:color="14202A"/>
            </w:tcBorders>
          </w:tcPr>
          <w:p>
            <w:pPr>
              <w:spacing w:after="0"/>
              <w:rPr>
                <w:sz w:val="18"/>
                <w:szCs w:val="18"/>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as of the end of Fiscal 2026</w:t>
            </w:r>
          </w:p>
        </w:tc>
        <w:tc>
          <w:tcPr>
            <w:tcW w:w="60" w:type="dxa"/>
            <w:vAlign w:val="bottom"/>
            <w:tcBorders>
              <w:right w:val="single" w:sz="8" w:color="14202A"/>
            </w:tcBorders>
          </w:tcPr>
          <w:p>
            <w:pPr>
              <w:spacing w:after="0"/>
              <w:rPr>
                <w:sz w:val="18"/>
                <w:szCs w:val="18"/>
                <w:color w:val="auto"/>
              </w:rPr>
            </w:pPr>
          </w:p>
        </w:tc>
        <w:tc>
          <w:tcPr>
            <w:tcW w:w="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Borders>
              <w:right w:val="single" w:sz="8" w:color="14202A"/>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880" w:type="dxa"/>
            <w:vAlign w:val="bottom"/>
            <w:tcBorders>
              <w:right w:val="single" w:sz="8" w:color="14202A"/>
            </w:tcBorders>
          </w:tcPr>
          <w:p>
            <w:pPr>
              <w:spacing w:after="0"/>
              <w:rPr>
                <w:sz w:val="3"/>
                <w:szCs w:val="3"/>
                <w:color w:val="auto"/>
              </w:rPr>
            </w:pPr>
          </w:p>
        </w:tc>
        <w:tc>
          <w:tcPr>
            <w:tcW w:w="760" w:type="dxa"/>
            <w:vAlign w:val="bottom"/>
            <w:tcBorders>
              <w:bottom w:val="single" w:sz="8" w:color="14202A"/>
              <w:right w:val="single" w:sz="8" w:color="14202A"/>
            </w:tcBorders>
          </w:tcPr>
          <w:p>
            <w:pPr>
              <w:spacing w:after="0"/>
              <w:rPr>
                <w:sz w:val="3"/>
                <w:szCs w:val="3"/>
                <w:color w:val="auto"/>
              </w:rPr>
            </w:pPr>
          </w:p>
        </w:tc>
        <w:tc>
          <w:tcPr>
            <w:tcW w:w="60" w:type="dxa"/>
            <w:vAlign w:val="bottom"/>
            <w:tcBorders>
              <w:bottom w:val="single" w:sz="8" w:color="14202A"/>
            </w:tcBorders>
          </w:tcPr>
          <w:p>
            <w:pPr>
              <w:spacing w:after="0"/>
              <w:rPr>
                <w:sz w:val="3"/>
                <w:szCs w:val="3"/>
                <w:color w:val="auto"/>
              </w:rPr>
            </w:pPr>
          </w:p>
        </w:tc>
        <w:tc>
          <w:tcPr>
            <w:tcW w:w="2160" w:type="dxa"/>
            <w:vAlign w:val="bottom"/>
            <w:tcBorders>
              <w:bottom w:val="single" w:sz="8" w:color="14202A"/>
            </w:tcBorders>
          </w:tcPr>
          <w:p>
            <w:pPr>
              <w:spacing w:after="0"/>
              <w:rPr>
                <w:sz w:val="3"/>
                <w:szCs w:val="3"/>
                <w:color w:val="auto"/>
              </w:rPr>
            </w:pPr>
          </w:p>
        </w:tc>
        <w:tc>
          <w:tcPr>
            <w:tcW w:w="80" w:type="dxa"/>
            <w:vAlign w:val="bottom"/>
            <w:tcBorders>
              <w:bottom w:val="single" w:sz="8" w:color="14202A"/>
              <w:right w:val="single" w:sz="8" w:color="14202A"/>
            </w:tcBorders>
          </w:tcPr>
          <w:p>
            <w:pPr>
              <w:spacing w:after="0"/>
              <w:rPr>
                <w:sz w:val="3"/>
                <w:szCs w:val="3"/>
                <w:color w:val="auto"/>
              </w:rPr>
            </w:pPr>
          </w:p>
        </w:tc>
        <w:tc>
          <w:tcPr>
            <w:tcW w:w="40" w:type="dxa"/>
            <w:vAlign w:val="bottom"/>
            <w:tcBorders>
              <w:bottom w:val="single" w:sz="8" w:color="14202A"/>
            </w:tcBorders>
          </w:tcPr>
          <w:p>
            <w:pPr>
              <w:spacing w:after="0"/>
              <w:rPr>
                <w:sz w:val="3"/>
                <w:szCs w:val="3"/>
                <w:color w:val="auto"/>
              </w:rPr>
            </w:pPr>
          </w:p>
        </w:tc>
        <w:tc>
          <w:tcPr>
            <w:tcW w:w="140" w:type="dxa"/>
            <w:vAlign w:val="bottom"/>
            <w:tcBorders>
              <w:bottom w:val="single" w:sz="8" w:color="14202A"/>
            </w:tcBorders>
          </w:tcPr>
          <w:p>
            <w:pPr>
              <w:spacing w:after="0"/>
              <w:rPr>
                <w:sz w:val="3"/>
                <w:szCs w:val="3"/>
                <w:color w:val="auto"/>
              </w:rPr>
            </w:pPr>
          </w:p>
        </w:tc>
        <w:tc>
          <w:tcPr>
            <w:tcW w:w="80" w:type="dxa"/>
            <w:vAlign w:val="bottom"/>
            <w:tcBorders>
              <w:bottom w:val="single" w:sz="8" w:color="14202A"/>
            </w:tcBorders>
          </w:tcPr>
          <w:p>
            <w:pPr>
              <w:spacing w:after="0"/>
              <w:rPr>
                <w:sz w:val="3"/>
                <w:szCs w:val="3"/>
                <w:color w:val="auto"/>
              </w:rPr>
            </w:pPr>
          </w:p>
        </w:tc>
        <w:tc>
          <w:tcPr>
            <w:tcW w:w="280" w:type="dxa"/>
            <w:vAlign w:val="bottom"/>
            <w:tcBorders>
              <w:bottom w:val="single" w:sz="8" w:color="14202A"/>
            </w:tcBorders>
          </w:tcPr>
          <w:p>
            <w:pPr>
              <w:spacing w:after="0"/>
              <w:rPr>
                <w:sz w:val="3"/>
                <w:szCs w:val="3"/>
                <w:color w:val="auto"/>
              </w:rPr>
            </w:pPr>
          </w:p>
        </w:tc>
        <w:tc>
          <w:tcPr>
            <w:tcW w:w="3140" w:type="dxa"/>
            <w:vAlign w:val="bottom"/>
            <w:tcBorders>
              <w:bottom w:val="single" w:sz="8" w:color="14202A"/>
              <w:right w:val="single" w:sz="8" w:color="14202A"/>
            </w:tcBorders>
            <w:gridSpan w:val="2"/>
          </w:tcPr>
          <w:p>
            <w:pPr>
              <w:spacing w:after="0"/>
              <w:rPr>
                <w:sz w:val="3"/>
                <w:szCs w:val="3"/>
                <w:color w:val="auto"/>
              </w:rPr>
            </w:pPr>
          </w:p>
        </w:tc>
        <w:tc>
          <w:tcPr>
            <w:tcW w:w="60" w:type="dxa"/>
            <w:vAlign w:val="bottom"/>
            <w:tcBorders>
              <w:bottom w:val="single" w:sz="8" w:color="14202A"/>
            </w:tcBorders>
          </w:tcPr>
          <w:p>
            <w:pPr>
              <w:spacing w:after="0"/>
              <w:rPr>
                <w:sz w:val="3"/>
                <w:szCs w:val="3"/>
                <w:color w:val="auto"/>
              </w:rPr>
            </w:pPr>
          </w:p>
        </w:tc>
        <w:tc>
          <w:tcPr>
            <w:tcW w:w="2380" w:type="dxa"/>
            <w:vAlign w:val="bottom"/>
            <w:tcBorders>
              <w:bottom w:val="single" w:sz="8" w:color="14202A"/>
            </w:tcBorders>
          </w:tcPr>
          <w:p>
            <w:pPr>
              <w:spacing w:after="0"/>
              <w:rPr>
                <w:sz w:val="3"/>
                <w:szCs w:val="3"/>
                <w:color w:val="auto"/>
              </w:rPr>
            </w:pPr>
          </w:p>
        </w:tc>
        <w:tc>
          <w:tcPr>
            <w:tcW w:w="100" w:type="dxa"/>
            <w:vAlign w:val="bottom"/>
            <w:tcBorders>
              <w:bottom w:val="single" w:sz="8" w:color="14202A"/>
              <w:right w:val="single" w:sz="8" w:color="14202A"/>
            </w:tcBorders>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75"/>
        </w:trPr>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gridSpan w:val="5"/>
          </w:tcPr>
          <w:p>
            <w:pPr>
              <w:ind w:left="2940"/>
              <w:spacing w:after="0"/>
              <w:rPr>
                <w:sz w:val="20"/>
                <w:szCs w:val="20"/>
                <w:color w:val="auto"/>
              </w:rPr>
            </w:pPr>
            <w:r>
              <w:rPr>
                <w:rFonts w:ascii="Arial" w:cs="Arial" w:eastAsia="Arial" w:hAnsi="Arial"/>
                <w:sz w:val="13"/>
                <w:szCs w:val="13"/>
                <w:color w:val="14202A"/>
                <w:w w:val="94"/>
              </w:rPr>
              <w:t xml:space="preserve">Proxy Statement for 2026 Annual Meeting      </w:t>
            </w:r>
            <w:r>
              <w:rPr>
                <w:rFonts w:ascii="Arial" w:cs="Arial" w:eastAsia="Arial" w:hAnsi="Arial"/>
                <w:sz w:val="13"/>
                <w:szCs w:val="13"/>
                <w:b w:val="1"/>
                <w:bCs w:val="1"/>
                <w:color w:val="14202A"/>
                <w:w w:val="94"/>
              </w:rPr>
              <w:t>37</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14202A"/>
        </w:rPr>
        <w:t xml:space="preserve">In connection with our acquisition of Grand Design, we entered into an employment agreement with Mr. Clark in November 2016, which was most recently amended on October 17, 2023 to extend Mr. Clark’s employment through August 31, 2028. Under the current agreement, Mr. Clark is (i) paid an annual base salary of at least $500,000 and (ii) eligible to receive an incentive bonus pursuant to the pre-existing Grand Design Management Incentive Plan (the “Grand Design MIP”). Mr. Clark’s annual base salary was increased to $700,000 on October 14, 2024 in connection with his promotion to Group President – Towable RV Segment; President </w:t>
      </w:r>
      <w:r>
        <w:rPr>
          <w:rFonts w:ascii="Arial" w:cs="Arial" w:eastAsia="Arial" w:hAnsi="Arial"/>
          <w:sz w:val="16"/>
          <w:szCs w:val="16"/>
          <w:b w:val="1"/>
          <w:bCs w:val="1"/>
          <w:color w:val="14202A"/>
        </w:rPr>
        <w:t>–</w:t>
      </w:r>
      <w:r>
        <w:rPr>
          <w:rFonts w:ascii="Arial" w:cs="Arial" w:eastAsia="Arial" w:hAnsi="Arial"/>
          <w:sz w:val="16"/>
          <w:szCs w:val="16"/>
          <w:color w:val="14202A"/>
        </w:rPr>
        <w:t xml:space="preserve"> Grand Design RV. Mr. Clark is not eligible to participate in any other Winnebago Industries cash or stock incentive program.</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Performance-based Pay Mix</w:t>
      </w:r>
    </w:p>
    <w:p>
      <w:pPr>
        <w:spacing w:after="0" w:line="180" w:lineRule="exact"/>
        <w:rPr>
          <w:sz w:val="20"/>
          <w:szCs w:val="20"/>
          <w:color w:val="auto"/>
        </w:rPr>
      </w:pPr>
    </w:p>
    <w:p>
      <w:pPr>
        <w:spacing w:after="0" w:line="250" w:lineRule="auto"/>
        <w:rPr>
          <w:sz w:val="20"/>
          <w:szCs w:val="20"/>
          <w:color w:val="auto"/>
        </w:rPr>
      </w:pPr>
      <w:r>
        <w:rPr>
          <w:rFonts w:ascii="Arial" w:cs="Arial" w:eastAsia="Arial" w:hAnsi="Arial"/>
          <w:sz w:val="16"/>
          <w:szCs w:val="16"/>
          <w:color w:val="14202A"/>
        </w:rPr>
        <w:t>Consistent with the committee’s commitment to a strong, positive link among our business objectives, our performance and our executive compensation practices, we have placed a significant emphasis on pay “at risk,” based on the achievement of established business objectives and shareholder value creation. In Fiscal 2026, 86% of our CEO’s total target compensation and 73% of the average total target compensation of our other NEOs was at-risk, including annual incentive compensation and annual equity grants (including, for Mr. Tubman, the Motorhome Bonus Plan), with a significant emphasis on long-term performance and shareholder value creation. The following charts illustrate the components of our CEO’s Fiscal 2026 total target compensation, as well as the components of the average total target compensation for our other NEOs in Fiscal 2026, excluding Mr. Clark. Total target compensation includes Fiscal 2026 annualized base salary, target annual compensation, the grant date fair value of the annual equity grants made in Fiscal 2026, as reported in the Summary Compensation Table (and excludes benefits and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206375</wp:posOffset>
            </wp:positionV>
            <wp:extent cx="4037330" cy="15087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03733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14202A"/>
        </w:rPr>
        <w:t xml:space="preserve">  </w:t>
      </w:r>
    </w:p>
    <w:p>
      <w:pPr>
        <w:spacing w:after="0" w:line="55" w:lineRule="exact"/>
        <w:rPr>
          <w:sz w:val="20"/>
          <w:szCs w:val="20"/>
          <w:color w:val="auto"/>
        </w:rPr>
      </w:pPr>
    </w:p>
    <w:p>
      <w:pPr>
        <w:ind w:left="360" w:hanging="360"/>
        <w:spacing w:after="0"/>
        <w:tabs>
          <w:tab w:leader="none" w:pos="360" w:val="left"/>
        </w:tabs>
        <w:numPr>
          <w:ilvl w:val="0"/>
          <w:numId w:val="20"/>
        </w:numPr>
        <w:rPr>
          <w:rFonts w:ascii="Arial" w:cs="Arial" w:eastAsia="Arial" w:hAnsi="Arial"/>
          <w:sz w:val="13"/>
          <w:szCs w:val="13"/>
          <w:color w:val="14202A"/>
        </w:rPr>
      </w:pPr>
      <w:r>
        <w:rPr>
          <w:rFonts w:ascii="Arial" w:cs="Arial" w:eastAsia="Arial" w:hAnsi="Arial"/>
          <w:sz w:val="13"/>
          <w:szCs w:val="13"/>
          <w:color w:val="14202A"/>
        </w:rPr>
        <w:t>Excludes Mr. Clark</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Determination of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Role of the Human Resources Committee</w:t>
      </w:r>
    </w:p>
    <w:p>
      <w:pPr>
        <w:spacing w:after="0" w:line="19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14202A"/>
        </w:rPr>
        <w:t>The Human Resources Committee is responsible for reviewing and approving, annually, the corporate goals and objectives with respect to the compensation of all our executive officers, as described in the committee’s charter. The committee relies on its own review and the advice of its independent compensation consultant in establishing executive officer pay. The committee seeks the CEO’s input in making executive officer pay decisions for all executives other than himself, with the committee approving compensation decisions for all executive officers. In October 2025, the committee approved annual incentive performance objectives for Fiscal 2026 based upon the business plan for the year. In October 2025, the committee granted long-term incentive awards to our executive officers, including annual LTIP performance share units, stock options, and restricted stock units, and also approved the Motorhome Bonus Plan. After the completion of Fiscal 2026, the committee (i) approved the 2026 annual incentives for our NEOs based on achievement of the performance objectives established at the beginning of the year, (ii) certified achievement of performance objectives with respect to the LTIP performance share unit awards granted to then-current executives in Fiscal 2024 that had a performance period running from Fiscal 2024-2026, and (iii) determined that no amounts were earned under the Motorhome Bonus Plan by the end of Fiscal 2026.</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Role of the Compensation Consultant</w:t>
      </w:r>
    </w:p>
    <w:p>
      <w:pPr>
        <w:spacing w:after="0" w:line="193"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14202A"/>
        </w:rPr>
        <w:t>The Human Resources Committee retained Semler Brossy as its independent executive compensation consultant for Fiscal 2026. Retained by and reporting directly to the committee, Semler Brossy provided the committee with assistance in evaluating our executive compensation programs and policies, and, where appropriate, assisted with the revision of elements of the program. Additionally, Semler Brossy performed the following activities to support the committee:</w:t>
      </w:r>
    </w:p>
    <w:p>
      <w:pPr>
        <w:spacing w:after="0" w:line="137" w:lineRule="exact"/>
        <w:rPr>
          <w:sz w:val="20"/>
          <w:szCs w:val="20"/>
          <w:color w:val="auto"/>
        </w:rPr>
      </w:pPr>
    </w:p>
    <w:p>
      <w:pPr>
        <w:ind w:left="720" w:right="240"/>
        <w:spacing w:after="0" w:line="286" w:lineRule="auto"/>
        <w:rPr>
          <w:sz w:val="20"/>
          <w:szCs w:val="20"/>
          <w:color w:val="auto"/>
        </w:rPr>
      </w:pPr>
      <w:r>
        <w:rPr>
          <w:rFonts w:ascii="Arial" w:cs="Arial" w:eastAsia="Arial" w:hAnsi="Arial"/>
          <w:sz w:val="16"/>
          <w:szCs w:val="16"/>
          <w:color w:val="14202A"/>
        </w:rPr>
        <w:t>Reviewed annual and long-term incentive designs and assisted with determination of annual and long-term incentive awards</w:t>
      </w:r>
    </w:p>
    <w:p>
      <w:pPr>
        <w:spacing w:after="0" w:line="115" w:lineRule="exact"/>
        <w:rPr>
          <w:sz w:val="20"/>
          <w:szCs w:val="20"/>
          <w:color w:val="auto"/>
        </w:rPr>
      </w:pPr>
    </w:p>
    <w:p>
      <w:pPr>
        <w:ind w:left="720" w:right="320"/>
        <w:spacing w:after="0" w:line="286" w:lineRule="auto"/>
        <w:rPr>
          <w:sz w:val="20"/>
          <w:szCs w:val="20"/>
          <w:color w:val="auto"/>
        </w:rPr>
      </w:pPr>
      <w:r>
        <w:rPr>
          <w:rFonts w:ascii="Arial" w:cs="Arial" w:eastAsia="Arial" w:hAnsi="Arial"/>
          <w:sz w:val="16"/>
          <w:szCs w:val="16"/>
          <w:color w:val="14202A"/>
        </w:rPr>
        <w:t>Reviewed the total compensation program, including competitive peer group analysis and analysis of executive pay levels in relation to broader market survey data</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Reviewed information provided to the committee by management</w:t>
      </w:r>
    </w:p>
    <w:p>
      <w:pPr>
        <w:spacing w:after="0" w:line="272" w:lineRule="exact"/>
        <w:rPr>
          <w:sz w:val="20"/>
          <w:szCs w:val="20"/>
          <w:color w:val="auto"/>
        </w:rPr>
      </w:pPr>
    </w:p>
    <w:p>
      <w:pPr>
        <w:ind w:left="720" w:right="240"/>
        <w:spacing w:after="0" w:line="286" w:lineRule="auto"/>
        <w:rPr>
          <w:sz w:val="20"/>
          <w:szCs w:val="20"/>
          <w:color w:val="auto"/>
        </w:rPr>
      </w:pPr>
      <w:r>
        <w:rPr>
          <w:rFonts w:ascii="Arial" w:cs="Arial" w:eastAsia="Arial" w:hAnsi="Arial"/>
          <w:sz w:val="16"/>
          <w:szCs w:val="16"/>
          <w:color w:val="14202A"/>
        </w:rPr>
        <w:t>Developed recommendations with respect to CEO compensation decisions and provided advice to the committee on the compensation decisions affecting all executives, including the NEOs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Attended and participated in committee meetings as requested by the committee</w:t>
      </w:r>
    </w:p>
    <w:p>
      <w:pPr>
        <w:spacing w:after="0" w:line="264" w:lineRule="exact"/>
        <w:rPr>
          <w:sz w:val="20"/>
          <w:szCs w:val="20"/>
          <w:color w:val="auto"/>
        </w:rPr>
      </w:pPr>
    </w:p>
    <w:p>
      <w:pPr>
        <w:ind w:left="720" w:right="80"/>
        <w:spacing w:after="0" w:line="286" w:lineRule="auto"/>
        <w:rPr>
          <w:sz w:val="20"/>
          <w:szCs w:val="20"/>
          <w:color w:val="auto"/>
        </w:rPr>
      </w:pPr>
      <w:r>
        <w:rPr>
          <w:rFonts w:ascii="Arial" w:cs="Arial" w:eastAsia="Arial" w:hAnsi="Arial"/>
          <w:sz w:val="16"/>
          <w:szCs w:val="16"/>
          <w:color w:val="14202A"/>
        </w:rPr>
        <w:t>Reported on compensation trends and best practices, plan design, and the reasonableness of individual compensation awards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Assisted the committee in reviewing the Board’s compensation and assessing its competitiveness relative to market</w:t>
      </w:r>
    </w:p>
    <w:p>
      <w:pPr>
        <w:spacing w:after="0" w:line="261" w:lineRule="exact"/>
        <w:rPr>
          <w:sz w:val="20"/>
          <w:szCs w:val="20"/>
          <w:color w:val="auto"/>
        </w:rPr>
      </w:pPr>
    </w:p>
    <w:p>
      <w:pPr>
        <w:ind w:left="720" w:right="160"/>
        <w:spacing w:after="0" w:line="286" w:lineRule="auto"/>
        <w:rPr>
          <w:sz w:val="20"/>
          <w:szCs w:val="20"/>
          <w:color w:val="auto"/>
        </w:rPr>
      </w:pPr>
      <w:r>
        <w:rPr>
          <w:rFonts w:ascii="Arial" w:cs="Arial" w:eastAsia="Arial" w:hAnsi="Arial"/>
          <w:sz w:val="16"/>
          <w:szCs w:val="16"/>
          <w:color w:val="14202A"/>
        </w:rPr>
        <w:t>Assisted the committee in assessing the extent to which the Company’s compensation policies and practices promote reasonable and appropriate risk-taking behavior by management and avoid excessive risk-taking behavior</w:t>
      </w:r>
    </w:p>
    <w:p>
      <w:pPr>
        <w:spacing w:after="0" w:line="117" w:lineRule="exact"/>
        <w:rPr>
          <w:sz w:val="20"/>
          <w:szCs w:val="20"/>
          <w:color w:val="auto"/>
        </w:rPr>
      </w:pPr>
    </w:p>
    <w:p>
      <w:pPr>
        <w:jc w:val="both"/>
        <w:ind w:left="720" w:right="3340"/>
        <w:spacing w:after="0" w:line="588" w:lineRule="auto"/>
        <w:rPr>
          <w:sz w:val="20"/>
          <w:szCs w:val="20"/>
          <w:color w:val="auto"/>
        </w:rPr>
      </w:pPr>
      <w:r>
        <w:rPr>
          <w:rFonts w:ascii="Arial" w:cs="Arial" w:eastAsia="Arial" w:hAnsi="Arial"/>
          <w:sz w:val="16"/>
          <w:szCs w:val="16"/>
          <w:color w:val="14202A"/>
        </w:rPr>
        <w:t>Provided a consultant independence and conflicts of interest assessment Met with the committee and/or its members without management present</w:t>
      </w:r>
    </w:p>
    <w:p>
      <w:pPr>
        <w:jc w:val="both"/>
        <w:ind w:right="100"/>
        <w:spacing w:after="0" w:line="266" w:lineRule="auto"/>
        <w:rPr>
          <w:sz w:val="20"/>
          <w:szCs w:val="20"/>
          <w:color w:val="auto"/>
        </w:rPr>
      </w:pPr>
      <w:r>
        <w:rPr>
          <w:rFonts w:ascii="Arial" w:cs="Arial" w:eastAsia="Arial" w:hAnsi="Arial"/>
          <w:sz w:val="16"/>
          <w:szCs w:val="16"/>
          <w:color w:val="14202A"/>
        </w:rPr>
        <w:t>Semler Brossy did not provide any services to us other than those detailed above. The committee determined that no conflicts of interest exist with respect to Semler Brossy serving as an advisor to the committee. In making this determination, the committee considered various factors, including those set forth in the SEC’s and NYSE’s rules.</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Role of Management</w:t>
      </w:r>
    </w:p>
    <w:p>
      <w:pPr>
        <w:spacing w:after="0" w:line="180"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14202A"/>
        </w:rPr>
        <w:t>Our CEO and our other executive officers do not set their own compensation nor are they present when the committee sets their specific individual compensation. Our CEO provides his evaluation of each executive officer’s performance to the committee, and makes recommendations with respect to base salary and target incentives, incentive awards and equity awards for each executive officer other than himself. These recommendations are considered by the committee, which ultimately makes its own determinations. Our human resources department provides additional analysis and guidance as requested by the committee related to NEO compensation, including the following:</w:t>
      </w:r>
    </w:p>
    <w:p>
      <w:pPr>
        <w:spacing w:after="0" w:line="141" w:lineRule="exact"/>
        <w:rPr>
          <w:sz w:val="20"/>
          <w:szCs w:val="20"/>
          <w:color w:val="auto"/>
        </w:rPr>
      </w:pPr>
    </w:p>
    <w:p>
      <w:pPr>
        <w:ind w:left="720" w:right="1020"/>
        <w:spacing w:after="0" w:line="286" w:lineRule="auto"/>
        <w:rPr>
          <w:sz w:val="20"/>
          <w:szCs w:val="20"/>
          <w:color w:val="auto"/>
        </w:rPr>
      </w:pPr>
      <w:r>
        <w:rPr>
          <w:rFonts w:ascii="Arial" w:cs="Arial" w:eastAsia="Arial" w:hAnsi="Arial"/>
          <w:sz w:val="16"/>
          <w:szCs w:val="16"/>
          <w:color w:val="14202A"/>
        </w:rPr>
        <w:t>Developing, summarizing and presenting information and analyses to enable the committee to execute its responsibilities, as well as addressing specific requests for information from the committee</w:t>
      </w:r>
    </w:p>
    <w:p>
      <w:pPr>
        <w:spacing w:after="0" w:line="117" w:lineRule="exact"/>
        <w:rPr>
          <w:sz w:val="20"/>
          <w:szCs w:val="20"/>
          <w:color w:val="auto"/>
        </w:rPr>
      </w:pPr>
    </w:p>
    <w:p>
      <w:pPr>
        <w:ind w:left="720" w:right="420"/>
        <w:spacing w:after="0" w:line="286" w:lineRule="auto"/>
        <w:rPr>
          <w:sz w:val="20"/>
          <w:szCs w:val="20"/>
          <w:color w:val="auto"/>
        </w:rPr>
      </w:pPr>
      <w:r>
        <w:rPr>
          <w:rFonts w:ascii="Arial" w:cs="Arial" w:eastAsia="Arial" w:hAnsi="Arial"/>
          <w:sz w:val="16"/>
          <w:szCs w:val="16"/>
          <w:color w:val="14202A"/>
        </w:rPr>
        <w:t>Attending committee meetings as requested to provide information, respond to questions and otherwise assist the committee</w:t>
      </w:r>
    </w:p>
    <w:p>
      <w:pPr>
        <w:spacing w:after="0" w:line="125" w:lineRule="exact"/>
        <w:rPr>
          <w:sz w:val="20"/>
          <w:szCs w:val="20"/>
          <w:color w:val="auto"/>
        </w:rPr>
      </w:pPr>
    </w:p>
    <w:p>
      <w:pPr>
        <w:ind w:left="720" w:right="100"/>
        <w:spacing w:after="0" w:line="286" w:lineRule="auto"/>
        <w:rPr>
          <w:sz w:val="20"/>
          <w:szCs w:val="20"/>
          <w:color w:val="auto"/>
        </w:rPr>
      </w:pPr>
      <w:r>
        <w:rPr>
          <w:rFonts w:ascii="Arial" w:cs="Arial" w:eastAsia="Arial" w:hAnsi="Arial"/>
          <w:sz w:val="16"/>
          <w:szCs w:val="16"/>
          <w:color w:val="14202A"/>
        </w:rPr>
        <w:t>Assisting the CEO in making preliminary recommendations of base salary structure, annual and long-term (equity) program design and target award levels for the NEOs and other employees eligible to receive annual incentive awards</w:t>
      </w:r>
    </w:p>
    <w:p>
      <w:pPr>
        <w:spacing w:after="0" w:line="115" w:lineRule="exact"/>
        <w:rPr>
          <w:sz w:val="20"/>
          <w:szCs w:val="20"/>
          <w:color w:val="auto"/>
        </w:rPr>
      </w:pPr>
    </w:p>
    <w:p>
      <w:pPr>
        <w:ind w:left="720" w:right="280"/>
        <w:spacing w:after="0" w:line="286" w:lineRule="auto"/>
        <w:rPr>
          <w:sz w:val="20"/>
          <w:szCs w:val="20"/>
          <w:color w:val="auto"/>
        </w:rPr>
      </w:pPr>
      <w:r>
        <w:rPr>
          <w:rFonts w:ascii="Arial" w:cs="Arial" w:eastAsia="Arial" w:hAnsi="Arial"/>
          <w:sz w:val="16"/>
          <w:szCs w:val="16"/>
          <w:color w:val="14202A"/>
        </w:rPr>
        <w:t>Preparing tally sheets outlining current pay opportunities and potential value of severance under various termination scenarios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Market Competitiveness Review</w:t>
      </w:r>
    </w:p>
    <w:p>
      <w:pPr>
        <w:spacing w:after="0" w:line="180"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14202A"/>
        </w:rPr>
        <w:t>When setting Fiscal 2026 compensation, the Human Resources Committee focused on setting aggregate pay levels within a competitive range of the market median. Some roles may be higher or lower in the competitive range based on performance, tenure in role, or other internal considerations. Competitive market data is only one of several factors considered by the committee in setting executive compensation levels.</w:t>
      </w:r>
    </w:p>
    <w:p>
      <w:pPr>
        <w:spacing w:after="0" w:line="151"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14202A"/>
        </w:rPr>
        <w:t>The committee establishes an individual annual bonus and equity incentive target opportunity for each NEO based on the committee’s evaluation of the executive’s experience, level, scope of responsibility and individual performance. Actual cash compensation may be more or less than the target opportunity as a result of performance under the incentive plan. Realized compensation from our equity-based awards may be higher or lower than the target opportunity as a result of our performance relative to the LTIP measures and our stock price performance.</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14202A"/>
        </w:rPr>
        <w:t>In setting compensation, the committee compares base salaries, annual incentive opportunities and long-term compensation for the NEOs to a peer group of similarly sized companies (which we refer to collectively as our compensation peers). The peer group is reviewed and recommended annually by the committee’s independent consultant, Semler Brossy. For Fiscal 2026, the committee selected the companies listed below as our compensation peers based on a determination that they were within a reasonable range of the Company on key financial dimensions, including revenue and market value.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80" w:type="dxa"/>
            <w:vAlign w:val="bottom"/>
            <w:shd w:val="clear" w:color="auto" w:fill="14202A"/>
          </w:tcPr>
          <w:p>
            <w:pPr>
              <w:spacing w:after="0"/>
              <w:rPr>
                <w:sz w:val="22"/>
                <w:szCs w:val="22"/>
                <w:color w:val="auto"/>
              </w:rPr>
            </w:pPr>
          </w:p>
        </w:tc>
        <w:tc>
          <w:tcPr>
            <w:tcW w:w="2800" w:type="dxa"/>
            <w:vAlign w:val="bottom"/>
            <w:shd w:val="clear" w:color="auto" w:fill="14202A"/>
          </w:tcPr>
          <w:p>
            <w:pPr>
              <w:spacing w:after="0"/>
              <w:rPr>
                <w:sz w:val="22"/>
                <w:szCs w:val="22"/>
                <w:color w:val="auto"/>
              </w:rPr>
            </w:pPr>
          </w:p>
        </w:tc>
        <w:tc>
          <w:tcPr>
            <w:tcW w:w="1920" w:type="dxa"/>
            <w:vAlign w:val="bottom"/>
            <w:shd w:val="clear" w:color="auto" w:fill="14202A"/>
          </w:tcPr>
          <w:p>
            <w:pPr>
              <w:ind w:left="640"/>
              <w:spacing w:after="0"/>
              <w:rPr>
                <w:sz w:val="20"/>
                <w:szCs w:val="20"/>
                <w:color w:val="auto"/>
              </w:rPr>
            </w:pPr>
            <w:r>
              <w:rPr>
                <w:rFonts w:ascii="Arial" w:cs="Arial" w:eastAsia="Arial" w:hAnsi="Arial"/>
                <w:sz w:val="13"/>
                <w:szCs w:val="13"/>
                <w:b w:val="1"/>
                <w:bCs w:val="1"/>
                <w:color w:val="FFFFFF"/>
                <w:w w:val="97"/>
              </w:rPr>
              <w:t>Compensation Peers</w:t>
            </w:r>
          </w:p>
        </w:tc>
        <w:tc>
          <w:tcPr>
            <w:tcW w:w="3980" w:type="dxa"/>
            <w:vAlign w:val="bottom"/>
            <w:shd w:val="clear" w:color="auto" w:fill="14202A"/>
          </w:tcPr>
          <w:p>
            <w:pPr>
              <w:spacing w:after="0"/>
              <w:rPr>
                <w:sz w:val="22"/>
                <w:szCs w:val="22"/>
                <w:color w:val="auto"/>
              </w:rPr>
            </w:pPr>
          </w:p>
        </w:tc>
      </w:tr>
      <w:tr>
        <w:trPr>
          <w:trHeight w:val="62"/>
        </w:trPr>
        <w:tc>
          <w:tcPr>
            <w:tcW w:w="3380" w:type="dxa"/>
            <w:vAlign w:val="bottom"/>
            <w:gridSpan w:val="2"/>
            <w:shd w:val="clear" w:color="auto" w:fill="14202A"/>
          </w:tcPr>
          <w:p>
            <w:pPr>
              <w:spacing w:after="0"/>
              <w:rPr>
                <w:sz w:val="5"/>
                <w:szCs w:val="5"/>
                <w:color w:val="auto"/>
              </w:rPr>
            </w:pPr>
          </w:p>
        </w:tc>
        <w:tc>
          <w:tcPr>
            <w:tcW w:w="5900" w:type="dxa"/>
            <w:vAlign w:val="bottom"/>
            <w:gridSpan w:val="2"/>
            <w:shd w:val="clear" w:color="auto" w:fill="14202A"/>
          </w:tcPr>
          <w:p>
            <w:pPr>
              <w:spacing w:after="0"/>
              <w:rPr>
                <w:sz w:val="5"/>
                <w:szCs w:val="5"/>
                <w:color w:val="auto"/>
              </w:rPr>
            </w:pPr>
          </w:p>
        </w:tc>
      </w:tr>
      <w:tr>
        <w:trPr>
          <w:trHeight w:val="262"/>
        </w:trPr>
        <w:tc>
          <w:tcPr>
            <w:tcW w:w="3380" w:type="dxa"/>
            <w:vAlign w:val="bottom"/>
            <w:gridSpan w:val="2"/>
          </w:tcPr>
          <w:p>
            <w:pPr>
              <w:ind w:left="160"/>
              <w:spacing w:after="0"/>
              <w:rPr>
                <w:sz w:val="20"/>
                <w:szCs w:val="20"/>
                <w:color w:val="auto"/>
              </w:rPr>
            </w:pPr>
            <w:r>
              <w:rPr>
                <w:rFonts w:ascii="Arial" w:cs="Arial" w:eastAsia="Arial" w:hAnsi="Arial"/>
                <w:sz w:val="14"/>
                <w:szCs w:val="14"/>
                <w:color w:val="14202A"/>
              </w:rPr>
              <w:t>American Axle – AXL (NYSE)</w:t>
            </w:r>
          </w:p>
        </w:tc>
        <w:tc>
          <w:tcPr>
            <w:tcW w:w="5900" w:type="dxa"/>
            <w:vAlign w:val="bottom"/>
            <w:gridSpan w:val="2"/>
          </w:tcPr>
          <w:p>
            <w:pPr>
              <w:ind w:left="1380"/>
              <w:spacing w:after="0"/>
              <w:rPr>
                <w:sz w:val="20"/>
                <w:szCs w:val="20"/>
                <w:color w:val="auto"/>
              </w:rPr>
            </w:pPr>
            <w:r>
              <w:rPr>
                <w:rFonts w:ascii="Arial" w:cs="Arial" w:eastAsia="Arial" w:hAnsi="Arial"/>
                <w:sz w:val="14"/>
                <w:szCs w:val="14"/>
                <w:color w:val="14202A"/>
              </w:rPr>
              <w:t>Patrick Industries – PATK (NASDAQ)</w:t>
            </w:r>
          </w:p>
        </w:tc>
      </w:tr>
      <w:tr>
        <w:trPr>
          <w:trHeight w:val="49"/>
        </w:trPr>
        <w:tc>
          <w:tcPr>
            <w:tcW w:w="3380" w:type="dxa"/>
            <w:vAlign w:val="bottom"/>
            <w:tcBorders>
              <w:bottom w:val="single" w:sz="8" w:color="14202A"/>
            </w:tcBorders>
            <w:gridSpan w:val="2"/>
          </w:tcPr>
          <w:p>
            <w:pPr>
              <w:spacing w:after="0"/>
              <w:rPr>
                <w:sz w:val="4"/>
                <w:szCs w:val="4"/>
                <w:color w:val="auto"/>
              </w:rPr>
            </w:pPr>
          </w:p>
        </w:tc>
        <w:tc>
          <w:tcPr>
            <w:tcW w:w="5900" w:type="dxa"/>
            <w:vAlign w:val="bottom"/>
            <w:tcBorders>
              <w:bottom w:val="single" w:sz="8" w:color="14202A"/>
            </w:tcBorders>
            <w:gridSpan w:val="2"/>
          </w:tcPr>
          <w:p>
            <w:pPr>
              <w:spacing w:after="0"/>
              <w:rPr>
                <w:sz w:val="4"/>
                <w:szCs w:val="4"/>
                <w:color w:val="auto"/>
              </w:rPr>
            </w:pPr>
          </w:p>
        </w:tc>
      </w:tr>
      <w:tr>
        <w:trPr>
          <w:trHeight w:val="242"/>
        </w:trPr>
        <w:tc>
          <w:tcPr>
            <w:tcW w:w="3380" w:type="dxa"/>
            <w:vAlign w:val="bottom"/>
            <w:gridSpan w:val="2"/>
          </w:tcPr>
          <w:p>
            <w:pPr>
              <w:ind w:left="160"/>
              <w:spacing w:after="0"/>
              <w:rPr>
                <w:sz w:val="20"/>
                <w:szCs w:val="20"/>
                <w:color w:val="auto"/>
              </w:rPr>
            </w:pPr>
            <w:r>
              <w:rPr>
                <w:rFonts w:ascii="Arial" w:cs="Arial" w:eastAsia="Arial" w:hAnsi="Arial"/>
                <w:sz w:val="14"/>
                <w:szCs w:val="14"/>
                <w:color w:val="14202A"/>
              </w:rPr>
              <w:t>Brunswick Corporation – BC (NYSE)</w:t>
            </w:r>
          </w:p>
        </w:tc>
        <w:tc>
          <w:tcPr>
            <w:tcW w:w="5900" w:type="dxa"/>
            <w:vAlign w:val="bottom"/>
            <w:gridSpan w:val="2"/>
          </w:tcPr>
          <w:p>
            <w:pPr>
              <w:ind w:left="1380"/>
              <w:spacing w:after="0"/>
              <w:rPr>
                <w:sz w:val="20"/>
                <w:szCs w:val="20"/>
                <w:color w:val="auto"/>
              </w:rPr>
            </w:pPr>
            <w:r>
              <w:rPr>
                <w:rFonts w:ascii="Arial" w:cs="Arial" w:eastAsia="Arial" w:hAnsi="Arial"/>
                <w:sz w:val="14"/>
                <w:szCs w:val="14"/>
                <w:color w:val="14202A"/>
              </w:rPr>
              <w:t>Polaris – PII (NYSE)</w:t>
            </w:r>
          </w:p>
        </w:tc>
      </w:tr>
      <w:tr>
        <w:trPr>
          <w:trHeight w:val="49"/>
        </w:trPr>
        <w:tc>
          <w:tcPr>
            <w:tcW w:w="3380" w:type="dxa"/>
            <w:vAlign w:val="bottom"/>
            <w:tcBorders>
              <w:bottom w:val="single" w:sz="8" w:color="14202A"/>
            </w:tcBorders>
            <w:gridSpan w:val="2"/>
          </w:tcPr>
          <w:p>
            <w:pPr>
              <w:spacing w:after="0"/>
              <w:rPr>
                <w:sz w:val="4"/>
                <w:szCs w:val="4"/>
                <w:color w:val="auto"/>
              </w:rPr>
            </w:pPr>
          </w:p>
        </w:tc>
        <w:tc>
          <w:tcPr>
            <w:tcW w:w="5900" w:type="dxa"/>
            <w:vAlign w:val="bottom"/>
            <w:tcBorders>
              <w:bottom w:val="single" w:sz="8" w:color="14202A"/>
            </w:tcBorders>
            <w:gridSpan w:val="2"/>
          </w:tcPr>
          <w:p>
            <w:pPr>
              <w:spacing w:after="0"/>
              <w:rPr>
                <w:sz w:val="4"/>
                <w:szCs w:val="4"/>
                <w:color w:val="auto"/>
              </w:rPr>
            </w:pPr>
          </w:p>
        </w:tc>
      </w:tr>
      <w:tr>
        <w:trPr>
          <w:trHeight w:val="242"/>
        </w:trPr>
        <w:tc>
          <w:tcPr>
            <w:tcW w:w="3380" w:type="dxa"/>
            <w:vAlign w:val="bottom"/>
            <w:gridSpan w:val="2"/>
          </w:tcPr>
          <w:p>
            <w:pPr>
              <w:ind w:left="160"/>
              <w:spacing w:after="0"/>
              <w:rPr>
                <w:sz w:val="20"/>
                <w:szCs w:val="20"/>
                <w:color w:val="auto"/>
              </w:rPr>
            </w:pPr>
            <w:r>
              <w:rPr>
                <w:rFonts w:ascii="Arial" w:cs="Arial" w:eastAsia="Arial" w:hAnsi="Arial"/>
                <w:sz w:val="14"/>
                <w:szCs w:val="14"/>
                <w:color w:val="14202A"/>
              </w:rPr>
              <w:t>Crane Co. – CR (NYSE)</w:t>
            </w:r>
          </w:p>
        </w:tc>
        <w:tc>
          <w:tcPr>
            <w:tcW w:w="5900" w:type="dxa"/>
            <w:vAlign w:val="bottom"/>
            <w:gridSpan w:val="2"/>
          </w:tcPr>
          <w:p>
            <w:pPr>
              <w:ind w:left="1380"/>
              <w:spacing w:after="0"/>
              <w:rPr>
                <w:sz w:val="20"/>
                <w:szCs w:val="20"/>
                <w:color w:val="auto"/>
              </w:rPr>
            </w:pPr>
            <w:r>
              <w:rPr>
                <w:rFonts w:ascii="Arial" w:cs="Arial" w:eastAsia="Arial" w:hAnsi="Arial"/>
                <w:sz w:val="14"/>
                <w:szCs w:val="14"/>
                <w:color w:val="14202A"/>
              </w:rPr>
              <w:t>REV Group – REVG (NYSE)</w:t>
            </w:r>
          </w:p>
        </w:tc>
      </w:tr>
      <w:tr>
        <w:trPr>
          <w:trHeight w:val="49"/>
        </w:trPr>
        <w:tc>
          <w:tcPr>
            <w:tcW w:w="3380" w:type="dxa"/>
            <w:vAlign w:val="bottom"/>
            <w:tcBorders>
              <w:bottom w:val="single" w:sz="8" w:color="14202A"/>
            </w:tcBorders>
            <w:gridSpan w:val="2"/>
          </w:tcPr>
          <w:p>
            <w:pPr>
              <w:spacing w:after="0"/>
              <w:rPr>
                <w:sz w:val="4"/>
                <w:szCs w:val="4"/>
                <w:color w:val="auto"/>
              </w:rPr>
            </w:pPr>
          </w:p>
        </w:tc>
        <w:tc>
          <w:tcPr>
            <w:tcW w:w="5900" w:type="dxa"/>
            <w:vAlign w:val="bottom"/>
            <w:tcBorders>
              <w:bottom w:val="single" w:sz="8" w:color="14202A"/>
            </w:tcBorders>
            <w:gridSpan w:val="2"/>
          </w:tcPr>
          <w:p>
            <w:pPr>
              <w:spacing w:after="0"/>
              <w:rPr>
                <w:sz w:val="4"/>
                <w:szCs w:val="4"/>
                <w:color w:val="auto"/>
              </w:rPr>
            </w:pPr>
          </w:p>
        </w:tc>
      </w:tr>
      <w:tr>
        <w:trPr>
          <w:trHeight w:val="242"/>
        </w:trPr>
        <w:tc>
          <w:tcPr>
            <w:tcW w:w="3380" w:type="dxa"/>
            <w:vAlign w:val="bottom"/>
            <w:gridSpan w:val="2"/>
          </w:tcPr>
          <w:p>
            <w:pPr>
              <w:ind w:left="160"/>
              <w:spacing w:after="0"/>
              <w:rPr>
                <w:sz w:val="20"/>
                <w:szCs w:val="20"/>
                <w:color w:val="auto"/>
              </w:rPr>
            </w:pPr>
            <w:r>
              <w:rPr>
                <w:rFonts w:ascii="Arial" w:cs="Arial" w:eastAsia="Arial" w:hAnsi="Arial"/>
                <w:sz w:val="14"/>
                <w:szCs w:val="14"/>
                <w:color w:val="14202A"/>
              </w:rPr>
              <w:t>Donaldson Company, Inc. – DCI (NYSE)</w:t>
            </w:r>
          </w:p>
        </w:tc>
        <w:tc>
          <w:tcPr>
            <w:tcW w:w="5900" w:type="dxa"/>
            <w:vAlign w:val="bottom"/>
            <w:gridSpan w:val="2"/>
          </w:tcPr>
          <w:p>
            <w:pPr>
              <w:ind w:left="1380"/>
              <w:spacing w:after="0"/>
              <w:rPr>
                <w:sz w:val="20"/>
                <w:szCs w:val="20"/>
                <w:color w:val="auto"/>
              </w:rPr>
            </w:pPr>
            <w:r>
              <w:rPr>
                <w:rFonts w:ascii="Arial" w:cs="Arial" w:eastAsia="Arial" w:hAnsi="Arial"/>
                <w:sz w:val="14"/>
                <w:szCs w:val="14"/>
                <w:color w:val="14202A"/>
              </w:rPr>
              <w:t>The Timken Company – TKR (NYSE)</w:t>
            </w:r>
          </w:p>
        </w:tc>
      </w:tr>
      <w:tr>
        <w:trPr>
          <w:trHeight w:val="49"/>
        </w:trPr>
        <w:tc>
          <w:tcPr>
            <w:tcW w:w="580" w:type="dxa"/>
            <w:vAlign w:val="bottom"/>
            <w:tcBorders>
              <w:bottom w:val="single" w:sz="8" w:color="14202A"/>
            </w:tcBorders>
          </w:tcPr>
          <w:p>
            <w:pPr>
              <w:spacing w:after="0"/>
              <w:rPr>
                <w:sz w:val="4"/>
                <w:szCs w:val="4"/>
                <w:color w:val="auto"/>
              </w:rPr>
            </w:pPr>
          </w:p>
        </w:tc>
        <w:tc>
          <w:tcPr>
            <w:tcW w:w="2800" w:type="dxa"/>
            <w:vAlign w:val="bottom"/>
            <w:tcBorders>
              <w:bottom w:val="single" w:sz="8" w:color="14202A"/>
            </w:tcBorders>
          </w:tcPr>
          <w:p>
            <w:pPr>
              <w:spacing w:after="0"/>
              <w:rPr>
                <w:sz w:val="4"/>
                <w:szCs w:val="4"/>
                <w:color w:val="auto"/>
              </w:rPr>
            </w:pPr>
          </w:p>
        </w:tc>
        <w:tc>
          <w:tcPr>
            <w:tcW w:w="5900" w:type="dxa"/>
            <w:vAlign w:val="bottom"/>
            <w:tcBorders>
              <w:bottom w:val="single" w:sz="8" w:color="14202A"/>
            </w:tcBorders>
            <w:gridSpan w:val="2"/>
          </w:tcPr>
          <w:p>
            <w:pPr>
              <w:spacing w:after="0"/>
              <w:rPr>
                <w:sz w:val="4"/>
                <w:szCs w:val="4"/>
                <w:color w:val="auto"/>
              </w:rPr>
            </w:pPr>
          </w:p>
        </w:tc>
      </w:tr>
      <w:tr>
        <w:trPr>
          <w:trHeight w:val="242"/>
        </w:trPr>
        <w:tc>
          <w:tcPr>
            <w:tcW w:w="580" w:type="dxa"/>
            <w:vAlign w:val="bottom"/>
          </w:tcPr>
          <w:p>
            <w:pPr>
              <w:ind w:left="160"/>
              <w:spacing w:after="0"/>
              <w:rPr>
                <w:sz w:val="20"/>
                <w:szCs w:val="20"/>
                <w:color w:val="auto"/>
              </w:rPr>
            </w:pPr>
            <w:r>
              <w:rPr>
                <w:rFonts w:ascii="Arial" w:cs="Arial" w:eastAsia="Arial" w:hAnsi="Arial"/>
                <w:sz w:val="14"/>
                <w:szCs w:val="14"/>
                <w:color w:val="14202A"/>
                <w:w w:val="98"/>
              </w:rPr>
              <w:t>Harley​</w:t>
            </w:r>
          </w:p>
        </w:tc>
        <w:tc>
          <w:tcPr>
            <w:tcW w:w="2800" w:type="dxa"/>
            <w:vAlign w:val="bottom"/>
          </w:tcPr>
          <w:p>
            <w:pPr>
              <w:spacing w:after="0"/>
              <w:rPr>
                <w:sz w:val="20"/>
                <w:szCs w:val="20"/>
                <w:color w:val="auto"/>
              </w:rPr>
            </w:pPr>
            <w:r>
              <w:rPr>
                <w:rFonts w:ascii="Arial" w:cs="Arial" w:eastAsia="Arial" w:hAnsi="Arial"/>
                <w:sz w:val="14"/>
                <w:szCs w:val="14"/>
                <w:color w:val="14202A"/>
              </w:rPr>
              <w:t>-Davidson, Inc. – HOG (NYSE)</w:t>
            </w:r>
          </w:p>
        </w:tc>
        <w:tc>
          <w:tcPr>
            <w:tcW w:w="5900" w:type="dxa"/>
            <w:vAlign w:val="bottom"/>
            <w:gridSpan w:val="2"/>
          </w:tcPr>
          <w:p>
            <w:pPr>
              <w:ind w:left="1380"/>
              <w:spacing w:after="0"/>
              <w:rPr>
                <w:sz w:val="20"/>
                <w:szCs w:val="20"/>
                <w:color w:val="auto"/>
              </w:rPr>
            </w:pPr>
            <w:r>
              <w:rPr>
                <w:rFonts w:ascii="Arial" w:cs="Arial" w:eastAsia="Arial" w:hAnsi="Arial"/>
                <w:sz w:val="14"/>
                <w:szCs w:val="14"/>
                <w:color w:val="14202A"/>
              </w:rPr>
              <w:t>The Toro Company – TTC (NYSE)</w:t>
            </w:r>
          </w:p>
        </w:tc>
      </w:tr>
      <w:tr>
        <w:trPr>
          <w:trHeight w:val="49"/>
        </w:trPr>
        <w:tc>
          <w:tcPr>
            <w:tcW w:w="3380" w:type="dxa"/>
            <w:vAlign w:val="bottom"/>
            <w:tcBorders>
              <w:bottom w:val="single" w:sz="8" w:color="14202A"/>
            </w:tcBorders>
            <w:gridSpan w:val="2"/>
          </w:tcPr>
          <w:p>
            <w:pPr>
              <w:spacing w:after="0"/>
              <w:rPr>
                <w:sz w:val="4"/>
                <w:szCs w:val="4"/>
                <w:color w:val="auto"/>
              </w:rPr>
            </w:pPr>
          </w:p>
        </w:tc>
        <w:tc>
          <w:tcPr>
            <w:tcW w:w="1920" w:type="dxa"/>
            <w:vAlign w:val="bottom"/>
            <w:tcBorders>
              <w:bottom w:val="single" w:sz="8" w:color="14202A"/>
            </w:tcBorders>
          </w:tcPr>
          <w:p>
            <w:pPr>
              <w:spacing w:after="0"/>
              <w:rPr>
                <w:sz w:val="4"/>
                <w:szCs w:val="4"/>
                <w:color w:val="auto"/>
              </w:rPr>
            </w:pPr>
          </w:p>
        </w:tc>
        <w:tc>
          <w:tcPr>
            <w:tcW w:w="3980" w:type="dxa"/>
            <w:vAlign w:val="bottom"/>
            <w:tcBorders>
              <w:bottom w:val="single" w:sz="8" w:color="14202A"/>
            </w:tcBorders>
          </w:tcPr>
          <w:p>
            <w:pPr>
              <w:spacing w:after="0"/>
              <w:rPr>
                <w:sz w:val="4"/>
                <w:szCs w:val="4"/>
                <w:color w:val="auto"/>
              </w:rPr>
            </w:pPr>
          </w:p>
        </w:tc>
      </w:tr>
      <w:tr>
        <w:trPr>
          <w:trHeight w:val="242"/>
        </w:trPr>
        <w:tc>
          <w:tcPr>
            <w:tcW w:w="3380" w:type="dxa"/>
            <w:vAlign w:val="bottom"/>
            <w:gridSpan w:val="2"/>
          </w:tcPr>
          <w:p>
            <w:pPr>
              <w:ind w:left="160"/>
              <w:spacing w:after="0"/>
              <w:rPr>
                <w:sz w:val="20"/>
                <w:szCs w:val="20"/>
                <w:color w:val="auto"/>
              </w:rPr>
            </w:pPr>
            <w:r>
              <w:rPr>
                <w:rFonts w:ascii="Arial" w:cs="Arial" w:eastAsia="Arial" w:hAnsi="Arial"/>
                <w:sz w:val="14"/>
                <w:szCs w:val="14"/>
                <w:color w:val="14202A"/>
              </w:rPr>
              <w:t>Hyster-Yale – HY (NYSE)</w:t>
            </w:r>
          </w:p>
        </w:tc>
        <w:tc>
          <w:tcPr>
            <w:tcW w:w="1920" w:type="dxa"/>
            <w:vAlign w:val="bottom"/>
          </w:tcPr>
          <w:p>
            <w:pPr>
              <w:ind w:left="1380"/>
              <w:spacing w:after="0"/>
              <w:rPr>
                <w:sz w:val="20"/>
                <w:szCs w:val="20"/>
                <w:color w:val="auto"/>
              </w:rPr>
            </w:pPr>
            <w:r>
              <w:rPr>
                <w:rFonts w:ascii="Arial" w:cs="Arial" w:eastAsia="Arial" w:hAnsi="Arial"/>
                <w:sz w:val="14"/>
                <w:szCs w:val="14"/>
                <w:color w:val="14202A"/>
              </w:rPr>
              <w:t>Wabash​</w:t>
            </w:r>
          </w:p>
        </w:tc>
        <w:tc>
          <w:tcPr>
            <w:tcW w:w="3980" w:type="dxa"/>
            <w:vAlign w:val="bottom"/>
          </w:tcPr>
          <w:p>
            <w:pPr>
              <w:ind w:left="20"/>
              <w:spacing w:after="0"/>
              <w:rPr>
                <w:sz w:val="20"/>
                <w:szCs w:val="20"/>
                <w:color w:val="auto"/>
              </w:rPr>
            </w:pPr>
            <w:r>
              <w:rPr>
                <w:rFonts w:ascii="Arial" w:cs="Arial" w:eastAsia="Arial" w:hAnsi="Arial"/>
                <w:sz w:val="14"/>
                <w:szCs w:val="14"/>
                <w:color w:val="14202A"/>
              </w:rPr>
              <w:t>National – WNC (NYSE)</w:t>
            </w:r>
          </w:p>
        </w:tc>
      </w:tr>
      <w:tr>
        <w:trPr>
          <w:trHeight w:val="48"/>
        </w:trPr>
        <w:tc>
          <w:tcPr>
            <w:tcW w:w="3380" w:type="dxa"/>
            <w:vAlign w:val="bottom"/>
            <w:tcBorders>
              <w:bottom w:val="single" w:sz="8" w:color="14202A"/>
            </w:tcBorders>
            <w:gridSpan w:val="2"/>
          </w:tcPr>
          <w:p>
            <w:pPr>
              <w:spacing w:after="0"/>
              <w:rPr>
                <w:sz w:val="4"/>
                <w:szCs w:val="4"/>
                <w:color w:val="auto"/>
              </w:rPr>
            </w:pPr>
          </w:p>
        </w:tc>
        <w:tc>
          <w:tcPr>
            <w:tcW w:w="1920" w:type="dxa"/>
            <w:vAlign w:val="bottom"/>
            <w:tcBorders>
              <w:bottom w:val="single" w:sz="8" w:color="14202A"/>
            </w:tcBorders>
          </w:tcPr>
          <w:p>
            <w:pPr>
              <w:spacing w:after="0"/>
              <w:rPr>
                <w:sz w:val="4"/>
                <w:szCs w:val="4"/>
                <w:color w:val="auto"/>
              </w:rPr>
            </w:pPr>
          </w:p>
        </w:tc>
        <w:tc>
          <w:tcPr>
            <w:tcW w:w="3980" w:type="dxa"/>
            <w:vAlign w:val="bottom"/>
            <w:tcBorders>
              <w:bottom w:val="single" w:sz="8" w:color="14202A"/>
            </w:tcBorders>
          </w:tcPr>
          <w:p>
            <w:pPr>
              <w:spacing w:after="0"/>
              <w:rPr>
                <w:sz w:val="4"/>
                <w:szCs w:val="4"/>
                <w:color w:val="auto"/>
              </w:rPr>
            </w:pPr>
          </w:p>
        </w:tc>
      </w:tr>
      <w:tr>
        <w:trPr>
          <w:trHeight w:val="242"/>
        </w:trPr>
        <w:tc>
          <w:tcPr>
            <w:tcW w:w="3380" w:type="dxa"/>
            <w:vAlign w:val="bottom"/>
            <w:gridSpan w:val="2"/>
          </w:tcPr>
          <w:p>
            <w:pPr>
              <w:ind w:left="160"/>
              <w:spacing w:after="0"/>
              <w:rPr>
                <w:sz w:val="20"/>
                <w:szCs w:val="20"/>
                <w:color w:val="auto"/>
              </w:rPr>
            </w:pPr>
            <w:r>
              <w:rPr>
                <w:rFonts w:ascii="Arial" w:cs="Arial" w:eastAsia="Arial" w:hAnsi="Arial"/>
                <w:sz w:val="14"/>
                <w:szCs w:val="14"/>
                <w:color w:val="14202A"/>
              </w:rPr>
              <w:t>LCI Industries – LCII (NYSE)</w:t>
            </w:r>
          </w:p>
        </w:tc>
        <w:tc>
          <w:tcPr>
            <w:tcW w:w="1920" w:type="dxa"/>
            <w:vAlign w:val="bottom"/>
          </w:tcPr>
          <w:p>
            <w:pPr>
              <w:spacing w:after="0"/>
              <w:rPr>
                <w:sz w:val="21"/>
                <w:szCs w:val="21"/>
                <w:color w:val="auto"/>
              </w:rPr>
            </w:pPr>
          </w:p>
        </w:tc>
        <w:tc>
          <w:tcPr>
            <w:tcW w:w="3980" w:type="dxa"/>
            <w:vAlign w:val="bottom"/>
          </w:tcPr>
          <w:p>
            <w:pPr>
              <w:spacing w:after="0"/>
              <w:rPr>
                <w:sz w:val="21"/>
                <w:szCs w:val="21"/>
                <w:color w:val="auto"/>
              </w:rPr>
            </w:pPr>
          </w:p>
        </w:tc>
      </w:tr>
      <w:tr>
        <w:trPr>
          <w:trHeight w:val="22"/>
        </w:trPr>
        <w:tc>
          <w:tcPr>
            <w:tcW w:w="580" w:type="dxa"/>
            <w:vAlign w:val="bottom"/>
            <w:tcBorders>
              <w:bottom w:val="single" w:sz="8" w:color="14202A"/>
            </w:tcBorders>
          </w:tcPr>
          <w:p>
            <w:pPr>
              <w:spacing w:after="0" w:line="20" w:lineRule="exact"/>
              <w:rPr>
                <w:sz w:val="1"/>
                <w:szCs w:val="1"/>
                <w:color w:val="auto"/>
              </w:rPr>
            </w:pPr>
          </w:p>
        </w:tc>
        <w:tc>
          <w:tcPr>
            <w:tcW w:w="2800" w:type="dxa"/>
            <w:vAlign w:val="bottom"/>
            <w:tcBorders>
              <w:bottom w:val="single" w:sz="8" w:color="14202A"/>
            </w:tcBorders>
          </w:tcPr>
          <w:p>
            <w:pPr>
              <w:spacing w:after="0" w:line="20" w:lineRule="exact"/>
              <w:rPr>
                <w:sz w:val="1"/>
                <w:szCs w:val="1"/>
                <w:color w:val="auto"/>
              </w:rPr>
            </w:pPr>
          </w:p>
        </w:tc>
        <w:tc>
          <w:tcPr>
            <w:tcW w:w="1920" w:type="dxa"/>
            <w:vAlign w:val="bottom"/>
            <w:tcBorders>
              <w:bottom w:val="single" w:sz="8" w:color="14202A"/>
            </w:tcBorders>
          </w:tcPr>
          <w:p>
            <w:pPr>
              <w:spacing w:after="0" w:line="20" w:lineRule="exact"/>
              <w:rPr>
                <w:sz w:val="1"/>
                <w:szCs w:val="1"/>
                <w:color w:val="auto"/>
              </w:rPr>
            </w:pPr>
          </w:p>
        </w:tc>
        <w:tc>
          <w:tcPr>
            <w:tcW w:w="3980" w:type="dxa"/>
            <w:vAlign w:val="bottom"/>
            <w:tcBorders>
              <w:bottom w:val="single" w:sz="8" w:color="14202A"/>
            </w:tcBorders>
          </w:tcPr>
          <w:p>
            <w:pPr>
              <w:spacing w:after="0" w:line="20" w:lineRule="exact"/>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14202A"/>
        </w:rPr>
        <w:t>In addition to the market comparison data based on the compensation peers listed above, to better understand the competitive talent market, the committee also reviewed compensation practices and levels at Thor Industries and Malibu Boats, two companies that operate in similar markets, but whose sizes are not sufficiently similar to be used for market comparisons.</w:t>
      </w:r>
    </w:p>
    <w:p>
      <w:pPr>
        <w:spacing w:after="0" w:line="131"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14202A"/>
        </w:rPr>
        <w:t>For Fiscal 2027, the committee, with input from Semler Brossy, updated the compensation peer group to replace American Axle and REV Group, which were no longer appropriate comparators due to recent M&amp;A activity, with Blue Bird Corporation, Federal Signal Corporation, and Fox Factory Holding Corp.</w:t>
      </w:r>
    </w:p>
    <w:p>
      <w:pPr>
        <w:spacing w:after="0" w:line="131" w:lineRule="exact"/>
        <w:rPr>
          <w:sz w:val="20"/>
          <w:szCs w:val="20"/>
          <w:color w:val="auto"/>
        </w:rPr>
      </w:pPr>
    </w:p>
    <w:p>
      <w:pPr>
        <w:spacing w:after="0" w:line="266" w:lineRule="auto"/>
        <w:rPr>
          <w:sz w:val="20"/>
          <w:szCs w:val="20"/>
          <w:color w:val="auto"/>
        </w:rPr>
      </w:pPr>
      <w:r>
        <w:rPr>
          <w:rFonts w:ascii="Arial" w:cs="Arial" w:eastAsia="Arial" w:hAnsi="Arial"/>
          <w:sz w:val="16"/>
          <w:szCs w:val="16"/>
          <w:color w:val="14202A"/>
        </w:rPr>
        <w:t>In addition to peer group data, Semler Brossy collected market data from compensation surveys for executive positions where the scope of responsibilities for the Company’s executives was not comparable to the peer group named executive officers and where general industry survey data provided a better match for comparable positions in the market.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Fiscal 2026 NEO Compensation Decisions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Base Salary</w:t>
      </w:r>
    </w:p>
    <w:p>
      <w:pPr>
        <w:spacing w:after="0" w:line="193"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14202A"/>
        </w:rPr>
        <w:t>We provide NEOs with a base salary to compensate them for services rendered during the fiscal year. Base salary ranges for NEOs are determined for each executive based on the individual’s position and responsibilities. The base salaries of our executives are also determined by considering such factors as:</w:t>
      </w:r>
    </w:p>
    <w:p>
      <w:pPr>
        <w:spacing w:after="0" w:line="131" w:lineRule="exact"/>
        <w:rPr>
          <w:sz w:val="20"/>
          <w:szCs w:val="20"/>
          <w:color w:val="auto"/>
        </w:rPr>
      </w:pPr>
    </w:p>
    <w:p>
      <w:pPr>
        <w:ind w:left="720" w:right="6580"/>
        <w:spacing w:after="0" w:line="583" w:lineRule="auto"/>
        <w:rPr>
          <w:sz w:val="20"/>
          <w:szCs w:val="20"/>
          <w:color w:val="auto"/>
        </w:rPr>
      </w:pPr>
      <w:r>
        <w:rPr>
          <w:rFonts w:ascii="Arial" w:cs="Arial" w:eastAsia="Arial" w:hAnsi="Arial"/>
          <w:sz w:val="16"/>
          <w:szCs w:val="16"/>
          <w:color w:val="14202A"/>
        </w:rPr>
        <w:t>Experience of the executive Time in position</w:t>
      </w:r>
    </w:p>
    <w:p>
      <w:pPr>
        <w:ind w:left="360"/>
        <w:spacing w:after="0"/>
        <w:rPr>
          <w:sz w:val="20"/>
          <w:szCs w:val="20"/>
          <w:color w:val="auto"/>
        </w:rPr>
      </w:pPr>
      <w:r>
        <w:rPr>
          <w:rFonts w:ascii="Arial" w:cs="Arial" w:eastAsia="Arial" w:hAnsi="Arial"/>
          <w:sz w:val="16"/>
          <w:szCs w:val="16"/>
          <w:color w:val="14202A"/>
        </w:rPr>
        <w:t>Individual performance</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Level of responsibility for the executive</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Economic conditions, Company performance, financial condition and strategic goals</w:t>
      </w:r>
    </w:p>
    <w:p>
      <w:pPr>
        <w:spacing w:after="0" w:line="264"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Competitive market data provided by the committee’s independent compensation consultant</w:t>
      </w:r>
    </w:p>
    <w:p>
      <w:pPr>
        <w:spacing w:after="0" w:line="272"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14202A"/>
        </w:rPr>
        <w:t>In general, base salary determinations are considered each year as part of the committee’s review process as well as upon a promotion or other change in job responsibility. In October 2025, after reviewing our NEOs’ performance, consideration of the above-referenced factors, and with input from the independent compensation consultant and our CEO, the committee recommended and approved the following base salary increases for Fiscal 2026: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3480" w:type="dxa"/>
            <w:vAlign w:val="bottom"/>
            <w:shd w:val="clear" w:color="auto" w:fill="14202A"/>
          </w:tcPr>
          <w:p>
            <w:pPr>
              <w:spacing w:after="0"/>
              <w:rPr>
                <w:sz w:val="19"/>
                <w:szCs w:val="19"/>
                <w:color w:val="auto"/>
              </w:rPr>
            </w:pPr>
          </w:p>
        </w:tc>
        <w:tc>
          <w:tcPr>
            <w:tcW w:w="3280" w:type="dxa"/>
            <w:vAlign w:val="bottom"/>
            <w:shd w:val="clear" w:color="auto" w:fill="14202A"/>
          </w:tcPr>
          <w:p>
            <w:pPr>
              <w:jc w:val="center"/>
              <w:ind w:left="1931"/>
              <w:spacing w:after="0"/>
              <w:rPr>
                <w:sz w:val="20"/>
                <w:szCs w:val="20"/>
                <w:color w:val="auto"/>
              </w:rPr>
            </w:pPr>
            <w:r>
              <w:rPr>
                <w:rFonts w:ascii="Arial" w:cs="Arial" w:eastAsia="Arial" w:hAnsi="Arial"/>
                <w:sz w:val="13"/>
                <w:szCs w:val="13"/>
                <w:b w:val="1"/>
                <w:bCs w:val="1"/>
                <w:color w:val="FFFFFF"/>
                <w:w w:val="97"/>
              </w:rPr>
              <w:t>Fiscal 2026</w:t>
            </w:r>
          </w:p>
        </w:tc>
        <w:tc>
          <w:tcPr>
            <w:tcW w:w="12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Fiscal 2025</w:t>
            </w:r>
          </w:p>
        </w:tc>
        <w:tc>
          <w:tcPr>
            <w:tcW w:w="1140" w:type="dxa"/>
            <w:vAlign w:val="bottom"/>
            <w:shd w:val="clear" w:color="auto" w:fill="14202A"/>
          </w:tcPr>
          <w:p>
            <w:pPr>
              <w:jc w:val="center"/>
              <w:ind w:left="71"/>
              <w:spacing w:after="0"/>
              <w:rPr>
                <w:sz w:val="20"/>
                <w:szCs w:val="20"/>
                <w:color w:val="auto"/>
              </w:rPr>
            </w:pPr>
            <w:r>
              <w:rPr>
                <w:rFonts w:ascii="Arial" w:cs="Arial" w:eastAsia="Arial" w:hAnsi="Arial"/>
                <w:sz w:val="13"/>
                <w:szCs w:val="13"/>
                <w:b w:val="1"/>
                <w:bCs w:val="1"/>
                <w:color w:val="FFFFFF"/>
                <w:w w:val="96"/>
              </w:rPr>
              <w:t>Percentage</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48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3280" w:type="dxa"/>
            <w:vAlign w:val="bottom"/>
            <w:shd w:val="clear" w:color="auto" w:fill="14202A"/>
          </w:tcPr>
          <w:p>
            <w:pPr>
              <w:jc w:val="center"/>
              <w:ind w:left="1911"/>
              <w:spacing w:after="0" w:line="135" w:lineRule="exact"/>
              <w:rPr>
                <w:sz w:val="20"/>
                <w:szCs w:val="20"/>
                <w:color w:val="auto"/>
              </w:rPr>
            </w:pPr>
            <w:r>
              <w:rPr>
                <w:rFonts w:ascii="Arial" w:cs="Arial" w:eastAsia="Arial" w:hAnsi="Arial"/>
                <w:sz w:val="13"/>
                <w:szCs w:val="13"/>
                <w:b w:val="1"/>
                <w:bCs w:val="1"/>
                <w:color w:val="FFFFFF"/>
                <w:w w:val="97"/>
              </w:rPr>
              <w:t>Salary</w:t>
            </w:r>
          </w:p>
        </w:tc>
        <w:tc>
          <w:tcPr>
            <w:tcW w:w="12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Salary</w:t>
            </w:r>
          </w:p>
        </w:tc>
        <w:tc>
          <w:tcPr>
            <w:tcW w:w="1140" w:type="dxa"/>
            <w:vAlign w:val="bottom"/>
            <w:shd w:val="clear" w:color="auto" w:fill="14202A"/>
          </w:tcPr>
          <w:p>
            <w:pPr>
              <w:jc w:val="center"/>
              <w:ind w:left="51"/>
              <w:spacing w:after="0" w:line="135" w:lineRule="exact"/>
              <w:rPr>
                <w:sz w:val="20"/>
                <w:szCs w:val="20"/>
                <w:color w:val="auto"/>
              </w:rPr>
            </w:pPr>
            <w:r>
              <w:rPr>
                <w:rFonts w:ascii="Arial" w:cs="Arial" w:eastAsia="Arial" w:hAnsi="Arial"/>
                <w:sz w:val="13"/>
                <w:szCs w:val="13"/>
                <w:b w:val="1"/>
                <w:bCs w:val="1"/>
                <w:color w:val="FFFFFF"/>
                <w:w w:val="94"/>
              </w:rPr>
              <w:t>Increase</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3480" w:type="dxa"/>
            <w:vAlign w:val="bottom"/>
            <w:vMerge w:val="continue"/>
            <w:shd w:val="clear" w:color="auto" w:fill="14202A"/>
          </w:tcPr>
          <w:p>
            <w:pPr>
              <w:spacing w:after="0"/>
              <w:rPr>
                <w:sz w:val="14"/>
                <w:szCs w:val="14"/>
                <w:color w:val="auto"/>
              </w:rPr>
            </w:pPr>
          </w:p>
        </w:tc>
        <w:tc>
          <w:tcPr>
            <w:tcW w:w="3280" w:type="dxa"/>
            <w:vAlign w:val="bottom"/>
            <w:shd w:val="clear" w:color="auto" w:fill="14202A"/>
          </w:tcPr>
          <w:p>
            <w:pPr>
              <w:jc w:val="center"/>
              <w:ind w:left="1931"/>
              <w:spacing w:after="0"/>
              <w:rPr>
                <w:sz w:val="20"/>
                <w:szCs w:val="20"/>
                <w:color w:val="auto"/>
              </w:rPr>
            </w:pPr>
            <w:r>
              <w:rPr>
                <w:rFonts w:ascii="Arial" w:cs="Arial" w:eastAsia="Arial" w:hAnsi="Arial"/>
                <w:sz w:val="13"/>
                <w:szCs w:val="13"/>
                <w:b w:val="1"/>
                <w:bCs w:val="1"/>
                <w:color w:val="FFFFFF"/>
              </w:rPr>
              <w:t>($)</w:t>
            </w:r>
          </w:p>
        </w:tc>
        <w:tc>
          <w:tcPr>
            <w:tcW w:w="12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140" w:type="dxa"/>
            <w:vAlign w:val="bottom"/>
            <w:shd w:val="clear" w:color="auto" w:fill="14202A"/>
          </w:tcPr>
          <w:p>
            <w:pPr>
              <w:jc w:val="center"/>
              <w:ind w:left="91"/>
              <w:spacing w:after="0"/>
              <w:rPr>
                <w:sz w:val="20"/>
                <w:szCs w:val="20"/>
                <w:color w:val="auto"/>
              </w:rPr>
            </w:pPr>
            <w:r>
              <w:rPr>
                <w:rFonts w:ascii="Arial" w:cs="Arial" w:eastAsia="Arial" w:hAnsi="Arial"/>
                <w:sz w:val="13"/>
                <w:szCs w:val="13"/>
                <w:b w:val="1"/>
                <w:bCs w:val="1"/>
                <w:color w:val="FFFFFF"/>
                <w:w w:val="88"/>
              </w:rPr>
              <w:t>(%)</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3480" w:type="dxa"/>
            <w:vAlign w:val="bottom"/>
            <w:shd w:val="clear" w:color="auto" w:fill="14202A"/>
          </w:tcPr>
          <w:p>
            <w:pPr>
              <w:spacing w:after="0"/>
              <w:rPr>
                <w:sz w:val="5"/>
                <w:szCs w:val="5"/>
                <w:color w:val="auto"/>
              </w:rPr>
            </w:pPr>
          </w:p>
        </w:tc>
        <w:tc>
          <w:tcPr>
            <w:tcW w:w="3280" w:type="dxa"/>
            <w:vAlign w:val="bottom"/>
            <w:shd w:val="clear" w:color="auto" w:fill="14202A"/>
          </w:tcPr>
          <w:p>
            <w:pPr>
              <w:spacing w:after="0"/>
              <w:rPr>
                <w:sz w:val="5"/>
                <w:szCs w:val="5"/>
                <w:color w:val="auto"/>
              </w:rPr>
            </w:pPr>
          </w:p>
        </w:tc>
        <w:tc>
          <w:tcPr>
            <w:tcW w:w="1280" w:type="dxa"/>
            <w:vAlign w:val="bottom"/>
            <w:shd w:val="clear" w:color="auto" w:fill="14202A"/>
          </w:tcPr>
          <w:p>
            <w:pPr>
              <w:spacing w:after="0"/>
              <w:rPr>
                <w:sz w:val="5"/>
                <w:szCs w:val="5"/>
                <w:color w:val="auto"/>
              </w:rPr>
            </w:pPr>
          </w:p>
        </w:tc>
        <w:tc>
          <w:tcPr>
            <w:tcW w:w="114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3480" w:type="dxa"/>
            <w:vAlign w:val="bottom"/>
          </w:tcPr>
          <w:p>
            <w:pPr>
              <w:ind w:left="60"/>
              <w:spacing w:after="0"/>
              <w:rPr>
                <w:sz w:val="20"/>
                <w:szCs w:val="20"/>
                <w:color w:val="auto"/>
              </w:rPr>
            </w:pPr>
            <w:r>
              <w:rPr>
                <w:rFonts w:ascii="Arial" w:cs="Arial" w:eastAsia="Arial" w:hAnsi="Arial"/>
                <w:sz w:val="14"/>
                <w:szCs w:val="14"/>
                <w:color w:val="14202A"/>
              </w:rPr>
              <w:t>Michael J. Happe</w:t>
            </w:r>
          </w:p>
        </w:tc>
        <w:tc>
          <w:tcPr>
            <w:tcW w:w="3280" w:type="dxa"/>
            <w:vAlign w:val="bottom"/>
          </w:tcPr>
          <w:p>
            <w:pPr>
              <w:jc w:val="right"/>
              <w:ind w:right="231"/>
              <w:spacing w:after="0"/>
              <w:rPr>
                <w:sz w:val="20"/>
                <w:szCs w:val="20"/>
                <w:color w:val="auto"/>
              </w:rPr>
            </w:pPr>
            <w:r>
              <w:rPr>
                <w:rFonts w:ascii="Arial" w:cs="Arial" w:eastAsia="Arial" w:hAnsi="Arial"/>
                <w:sz w:val="14"/>
                <w:szCs w:val="14"/>
                <w:color w:val="14202A"/>
              </w:rPr>
              <w:t>1,185,000</w:t>
            </w:r>
          </w:p>
        </w:tc>
        <w:tc>
          <w:tcPr>
            <w:tcW w:w="1280" w:type="dxa"/>
            <w:vAlign w:val="bottom"/>
          </w:tcPr>
          <w:p>
            <w:pPr>
              <w:jc w:val="right"/>
              <w:ind w:right="251"/>
              <w:spacing w:after="0"/>
              <w:rPr>
                <w:sz w:val="20"/>
                <w:szCs w:val="20"/>
                <w:color w:val="auto"/>
              </w:rPr>
            </w:pPr>
            <w:r>
              <w:rPr>
                <w:rFonts w:ascii="Arial" w:cs="Arial" w:eastAsia="Arial" w:hAnsi="Arial"/>
                <w:sz w:val="14"/>
                <w:szCs w:val="14"/>
                <w:color w:val="14202A"/>
              </w:rPr>
              <w:t>1,150,000</w:t>
            </w:r>
          </w:p>
        </w:tc>
        <w:tc>
          <w:tcPr>
            <w:tcW w:w="1140" w:type="dxa"/>
            <w:vAlign w:val="bottom"/>
          </w:tcPr>
          <w:p>
            <w:pPr>
              <w:jc w:val="center"/>
              <w:ind w:left="71"/>
              <w:spacing w:after="0"/>
              <w:rPr>
                <w:sz w:val="20"/>
                <w:szCs w:val="20"/>
                <w:color w:val="auto"/>
              </w:rPr>
            </w:pPr>
            <w:r>
              <w:rPr>
                <w:rFonts w:ascii="Arial" w:cs="Arial" w:eastAsia="Arial" w:hAnsi="Arial"/>
                <w:sz w:val="14"/>
                <w:szCs w:val="14"/>
                <w:color w:val="14202A"/>
              </w:rPr>
              <w:t>3.0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480" w:type="dxa"/>
            <w:vAlign w:val="bottom"/>
            <w:tcBorders>
              <w:bottom w:val="single" w:sz="8" w:color="14202A"/>
            </w:tcBorders>
          </w:tcPr>
          <w:p>
            <w:pPr>
              <w:spacing w:after="0"/>
              <w:rPr>
                <w:sz w:val="4"/>
                <w:szCs w:val="4"/>
                <w:color w:val="auto"/>
              </w:rPr>
            </w:pPr>
          </w:p>
        </w:tc>
        <w:tc>
          <w:tcPr>
            <w:tcW w:w="328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1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480" w:type="dxa"/>
            <w:vAlign w:val="bottom"/>
          </w:tcPr>
          <w:p>
            <w:pPr>
              <w:ind w:left="60"/>
              <w:spacing w:after="0"/>
              <w:rPr>
                <w:sz w:val="20"/>
                <w:szCs w:val="20"/>
                <w:color w:val="auto"/>
              </w:rPr>
            </w:pPr>
            <w:r>
              <w:rPr>
                <w:rFonts w:ascii="Arial" w:cs="Arial" w:eastAsia="Arial" w:hAnsi="Arial"/>
                <w:sz w:val="14"/>
                <w:szCs w:val="14"/>
                <w:color w:val="14202A"/>
              </w:rPr>
              <w:t>Bryan L. Hughes</w:t>
            </w:r>
          </w:p>
        </w:tc>
        <w:tc>
          <w:tcPr>
            <w:tcW w:w="3280" w:type="dxa"/>
            <w:vAlign w:val="bottom"/>
          </w:tcPr>
          <w:p>
            <w:pPr>
              <w:jc w:val="right"/>
              <w:ind w:right="231"/>
              <w:spacing w:after="0"/>
              <w:rPr>
                <w:sz w:val="20"/>
                <w:szCs w:val="20"/>
                <w:color w:val="auto"/>
              </w:rPr>
            </w:pPr>
            <w:r>
              <w:rPr>
                <w:rFonts w:ascii="Arial" w:cs="Arial" w:eastAsia="Arial" w:hAnsi="Arial"/>
                <w:sz w:val="14"/>
                <w:szCs w:val="14"/>
                <w:color w:val="14202A"/>
              </w:rPr>
              <w:t>643,750</w:t>
            </w:r>
          </w:p>
        </w:tc>
        <w:tc>
          <w:tcPr>
            <w:tcW w:w="1280" w:type="dxa"/>
            <w:vAlign w:val="bottom"/>
          </w:tcPr>
          <w:p>
            <w:pPr>
              <w:jc w:val="right"/>
              <w:ind w:right="251"/>
              <w:spacing w:after="0"/>
              <w:rPr>
                <w:sz w:val="20"/>
                <w:szCs w:val="20"/>
                <w:color w:val="auto"/>
              </w:rPr>
            </w:pPr>
            <w:r>
              <w:rPr>
                <w:rFonts w:ascii="Arial" w:cs="Arial" w:eastAsia="Arial" w:hAnsi="Arial"/>
                <w:sz w:val="14"/>
                <w:szCs w:val="14"/>
                <w:color w:val="14202A"/>
              </w:rPr>
              <w:t>625,000</w:t>
            </w:r>
          </w:p>
        </w:tc>
        <w:tc>
          <w:tcPr>
            <w:tcW w:w="1140" w:type="dxa"/>
            <w:vAlign w:val="bottom"/>
          </w:tcPr>
          <w:p>
            <w:pPr>
              <w:jc w:val="center"/>
              <w:ind w:left="71"/>
              <w:spacing w:after="0"/>
              <w:rPr>
                <w:sz w:val="20"/>
                <w:szCs w:val="20"/>
                <w:color w:val="auto"/>
              </w:rPr>
            </w:pPr>
            <w:r>
              <w:rPr>
                <w:rFonts w:ascii="Arial" w:cs="Arial" w:eastAsia="Arial" w:hAnsi="Arial"/>
                <w:sz w:val="14"/>
                <w:szCs w:val="14"/>
                <w:color w:val="14202A"/>
              </w:rPr>
              <w:t>3.0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480" w:type="dxa"/>
            <w:vAlign w:val="bottom"/>
            <w:tcBorders>
              <w:bottom w:val="single" w:sz="8" w:color="14202A"/>
            </w:tcBorders>
          </w:tcPr>
          <w:p>
            <w:pPr>
              <w:spacing w:after="0"/>
              <w:rPr>
                <w:sz w:val="4"/>
                <w:szCs w:val="4"/>
                <w:color w:val="auto"/>
              </w:rPr>
            </w:pPr>
          </w:p>
        </w:tc>
        <w:tc>
          <w:tcPr>
            <w:tcW w:w="328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1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480" w:type="dxa"/>
            <w:vAlign w:val="bottom"/>
          </w:tcPr>
          <w:p>
            <w:pPr>
              <w:ind w:left="60"/>
              <w:spacing w:after="0"/>
              <w:rPr>
                <w:sz w:val="20"/>
                <w:szCs w:val="20"/>
                <w:color w:val="auto"/>
              </w:rPr>
            </w:pPr>
            <w:r>
              <w:rPr>
                <w:rFonts w:ascii="Arial" w:cs="Arial" w:eastAsia="Arial" w:hAnsi="Arial"/>
                <w:sz w:val="14"/>
                <w:szCs w:val="14"/>
                <w:color w:val="14202A"/>
              </w:rPr>
              <w:t>Donald J. Clark</w:t>
            </w:r>
          </w:p>
        </w:tc>
        <w:tc>
          <w:tcPr>
            <w:tcW w:w="3280" w:type="dxa"/>
            <w:vAlign w:val="bottom"/>
          </w:tcPr>
          <w:p>
            <w:pPr>
              <w:jc w:val="right"/>
              <w:ind w:right="231"/>
              <w:spacing w:after="0"/>
              <w:rPr>
                <w:sz w:val="20"/>
                <w:szCs w:val="20"/>
                <w:color w:val="auto"/>
              </w:rPr>
            </w:pPr>
            <w:r>
              <w:rPr>
                <w:rFonts w:ascii="Arial" w:cs="Arial" w:eastAsia="Arial" w:hAnsi="Arial"/>
                <w:sz w:val="14"/>
                <w:szCs w:val="14"/>
                <w:color w:val="14202A"/>
              </w:rPr>
              <w:t>700,000</w:t>
            </w:r>
          </w:p>
        </w:tc>
        <w:tc>
          <w:tcPr>
            <w:tcW w:w="1280" w:type="dxa"/>
            <w:vAlign w:val="bottom"/>
          </w:tcPr>
          <w:p>
            <w:pPr>
              <w:jc w:val="right"/>
              <w:ind w:right="251"/>
              <w:spacing w:after="0"/>
              <w:rPr>
                <w:sz w:val="20"/>
                <w:szCs w:val="20"/>
                <w:color w:val="auto"/>
              </w:rPr>
            </w:pPr>
            <w:r>
              <w:rPr>
                <w:rFonts w:ascii="Arial" w:cs="Arial" w:eastAsia="Arial" w:hAnsi="Arial"/>
                <w:sz w:val="14"/>
                <w:szCs w:val="14"/>
                <w:color w:val="14202A"/>
              </w:rPr>
              <w:t>700,000</w:t>
            </w:r>
          </w:p>
        </w:tc>
        <w:tc>
          <w:tcPr>
            <w:tcW w:w="1140" w:type="dxa"/>
            <w:vAlign w:val="bottom"/>
          </w:tcPr>
          <w:p>
            <w:pPr>
              <w:jc w:val="center"/>
              <w:ind w:left="71"/>
              <w:spacing w:after="0"/>
              <w:rPr>
                <w:sz w:val="20"/>
                <w:szCs w:val="20"/>
                <w:color w:val="auto"/>
              </w:rPr>
            </w:pPr>
            <w:r>
              <w:rPr>
                <w:rFonts w:ascii="Arial" w:cs="Arial" w:eastAsia="Arial" w:hAnsi="Arial"/>
                <w:sz w:val="14"/>
                <w:szCs w:val="14"/>
                <w:color w:val="14202A"/>
              </w:rPr>
              <w:t>0.0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480" w:type="dxa"/>
            <w:vAlign w:val="bottom"/>
            <w:tcBorders>
              <w:bottom w:val="single" w:sz="8" w:color="14202A"/>
            </w:tcBorders>
          </w:tcPr>
          <w:p>
            <w:pPr>
              <w:spacing w:after="0"/>
              <w:rPr>
                <w:sz w:val="4"/>
                <w:szCs w:val="4"/>
                <w:color w:val="auto"/>
              </w:rPr>
            </w:pPr>
          </w:p>
        </w:tc>
        <w:tc>
          <w:tcPr>
            <w:tcW w:w="328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1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480" w:type="dxa"/>
            <w:vAlign w:val="bottom"/>
          </w:tcPr>
          <w:p>
            <w:pPr>
              <w:ind w:left="60"/>
              <w:spacing w:after="0"/>
              <w:rPr>
                <w:sz w:val="20"/>
                <w:szCs w:val="20"/>
                <w:color w:val="auto"/>
              </w:rPr>
            </w:pPr>
            <w:r>
              <w:rPr>
                <w:rFonts w:ascii="Arial" w:cs="Arial" w:eastAsia="Arial" w:hAnsi="Arial"/>
                <w:sz w:val="14"/>
                <w:szCs w:val="14"/>
                <w:color w:val="14202A"/>
              </w:rPr>
              <w:t>Casey J. Tubman</w:t>
            </w:r>
          </w:p>
        </w:tc>
        <w:tc>
          <w:tcPr>
            <w:tcW w:w="3280" w:type="dxa"/>
            <w:vAlign w:val="bottom"/>
          </w:tcPr>
          <w:p>
            <w:pPr>
              <w:jc w:val="right"/>
              <w:ind w:right="231"/>
              <w:spacing w:after="0"/>
              <w:rPr>
                <w:sz w:val="20"/>
                <w:szCs w:val="20"/>
                <w:color w:val="auto"/>
              </w:rPr>
            </w:pPr>
            <w:r>
              <w:rPr>
                <w:rFonts w:ascii="Arial" w:cs="Arial" w:eastAsia="Arial" w:hAnsi="Arial"/>
                <w:sz w:val="14"/>
                <w:szCs w:val="14"/>
                <w:color w:val="14202A"/>
              </w:rPr>
              <w:t>590,000</w:t>
            </w:r>
          </w:p>
        </w:tc>
        <w:tc>
          <w:tcPr>
            <w:tcW w:w="1280" w:type="dxa"/>
            <w:vAlign w:val="bottom"/>
          </w:tcPr>
          <w:p>
            <w:pPr>
              <w:jc w:val="right"/>
              <w:ind w:right="251"/>
              <w:spacing w:after="0"/>
              <w:rPr>
                <w:sz w:val="20"/>
                <w:szCs w:val="20"/>
                <w:color w:val="auto"/>
              </w:rPr>
            </w:pPr>
            <w:r>
              <w:rPr>
                <w:rFonts w:ascii="Arial" w:cs="Arial" w:eastAsia="Arial" w:hAnsi="Arial"/>
                <w:sz w:val="14"/>
                <w:szCs w:val="14"/>
                <w:color w:val="14202A"/>
              </w:rPr>
              <w:t>560,000</w:t>
            </w:r>
          </w:p>
        </w:tc>
        <w:tc>
          <w:tcPr>
            <w:tcW w:w="1140" w:type="dxa"/>
            <w:vAlign w:val="bottom"/>
          </w:tcPr>
          <w:p>
            <w:pPr>
              <w:jc w:val="center"/>
              <w:ind w:left="71"/>
              <w:spacing w:after="0"/>
              <w:rPr>
                <w:sz w:val="20"/>
                <w:szCs w:val="20"/>
                <w:color w:val="auto"/>
              </w:rPr>
            </w:pPr>
            <w:r>
              <w:rPr>
                <w:rFonts w:ascii="Arial" w:cs="Arial" w:eastAsia="Arial" w:hAnsi="Arial"/>
                <w:sz w:val="14"/>
                <w:szCs w:val="14"/>
                <w:color w:val="14202A"/>
              </w:rPr>
              <w:t>5.4</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480" w:type="dxa"/>
            <w:vAlign w:val="bottom"/>
            <w:tcBorders>
              <w:bottom w:val="single" w:sz="8" w:color="14202A"/>
            </w:tcBorders>
          </w:tcPr>
          <w:p>
            <w:pPr>
              <w:spacing w:after="0"/>
              <w:rPr>
                <w:sz w:val="4"/>
                <w:szCs w:val="4"/>
                <w:color w:val="auto"/>
              </w:rPr>
            </w:pPr>
          </w:p>
        </w:tc>
        <w:tc>
          <w:tcPr>
            <w:tcW w:w="328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1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480" w:type="dxa"/>
            <w:vAlign w:val="bottom"/>
          </w:tcPr>
          <w:p>
            <w:pPr>
              <w:ind w:left="60"/>
              <w:spacing w:after="0"/>
              <w:rPr>
                <w:sz w:val="20"/>
                <w:szCs w:val="20"/>
                <w:color w:val="auto"/>
              </w:rPr>
            </w:pPr>
            <w:r>
              <w:rPr>
                <w:rFonts w:ascii="Arial" w:cs="Arial" w:eastAsia="Arial" w:hAnsi="Arial"/>
                <w:sz w:val="14"/>
                <w:szCs w:val="14"/>
                <w:color w:val="14202A"/>
              </w:rPr>
              <w:t>Stacy L. Bogart</w:t>
            </w:r>
          </w:p>
        </w:tc>
        <w:tc>
          <w:tcPr>
            <w:tcW w:w="3280" w:type="dxa"/>
            <w:vAlign w:val="bottom"/>
          </w:tcPr>
          <w:p>
            <w:pPr>
              <w:jc w:val="right"/>
              <w:ind w:right="231"/>
              <w:spacing w:after="0"/>
              <w:rPr>
                <w:sz w:val="20"/>
                <w:szCs w:val="20"/>
                <w:color w:val="auto"/>
              </w:rPr>
            </w:pPr>
            <w:r>
              <w:rPr>
                <w:rFonts w:ascii="Arial" w:cs="Arial" w:eastAsia="Arial" w:hAnsi="Arial"/>
                <w:sz w:val="14"/>
                <w:szCs w:val="14"/>
                <w:color w:val="14202A"/>
              </w:rPr>
              <w:t>570,263</w:t>
            </w:r>
          </w:p>
        </w:tc>
        <w:tc>
          <w:tcPr>
            <w:tcW w:w="1280" w:type="dxa"/>
            <w:vAlign w:val="bottom"/>
          </w:tcPr>
          <w:p>
            <w:pPr>
              <w:jc w:val="right"/>
              <w:ind w:right="251"/>
              <w:spacing w:after="0"/>
              <w:rPr>
                <w:sz w:val="20"/>
                <w:szCs w:val="20"/>
                <w:color w:val="auto"/>
              </w:rPr>
            </w:pPr>
            <w:r>
              <w:rPr>
                <w:rFonts w:ascii="Arial" w:cs="Arial" w:eastAsia="Arial" w:hAnsi="Arial"/>
                <w:sz w:val="14"/>
                <w:szCs w:val="14"/>
                <w:color w:val="14202A"/>
              </w:rPr>
              <w:t>555,000</w:t>
            </w:r>
          </w:p>
        </w:tc>
        <w:tc>
          <w:tcPr>
            <w:tcW w:w="1140" w:type="dxa"/>
            <w:vAlign w:val="bottom"/>
          </w:tcPr>
          <w:p>
            <w:pPr>
              <w:jc w:val="center"/>
              <w:ind w:left="71"/>
              <w:spacing w:after="0"/>
              <w:rPr>
                <w:sz w:val="20"/>
                <w:szCs w:val="20"/>
                <w:color w:val="auto"/>
              </w:rPr>
            </w:pPr>
            <w:r>
              <w:rPr>
                <w:rFonts w:ascii="Arial" w:cs="Arial" w:eastAsia="Arial" w:hAnsi="Arial"/>
                <w:sz w:val="14"/>
                <w:szCs w:val="14"/>
                <w:color w:val="14202A"/>
              </w:rPr>
              <w:t>2.8</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480" w:type="dxa"/>
            <w:vAlign w:val="bottom"/>
            <w:tcBorders>
              <w:bottom w:val="single" w:sz="8" w:color="14202A"/>
            </w:tcBorders>
          </w:tcPr>
          <w:p>
            <w:pPr>
              <w:spacing w:after="0" w:line="20" w:lineRule="exact"/>
              <w:rPr>
                <w:sz w:val="1"/>
                <w:szCs w:val="1"/>
                <w:color w:val="auto"/>
              </w:rPr>
            </w:pPr>
          </w:p>
        </w:tc>
        <w:tc>
          <w:tcPr>
            <w:tcW w:w="3280" w:type="dxa"/>
            <w:vAlign w:val="bottom"/>
            <w:tcBorders>
              <w:bottom w:val="single" w:sz="8" w:color="14202A"/>
            </w:tcBorders>
          </w:tcPr>
          <w:p>
            <w:pPr>
              <w:spacing w:after="0" w:line="20" w:lineRule="exact"/>
              <w:rPr>
                <w:sz w:val="1"/>
                <w:szCs w:val="1"/>
                <w:color w:val="auto"/>
              </w:rPr>
            </w:pPr>
          </w:p>
        </w:tc>
        <w:tc>
          <w:tcPr>
            <w:tcW w:w="128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Annual Incentive Plan — Officers Incentive Compensation Plan (OICP)</w:t>
      </w:r>
    </w:p>
    <w:p>
      <w:pPr>
        <w:spacing w:after="0" w:line="18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14202A"/>
        </w:rPr>
        <w:t>The OICP is designed to motivate and reward the successful completion of our annual performance goals as set by the Human Resources Committee. Seventy percent (70%) of the participants’ annual incentive compensation earned for a given fiscal year is calculated under the OICP in direct proportion to our financial performance expressed as a percentage (financial factor) against each participant’s compensation targets as determined by the committee. Thirty percent (30%) of the participants’ annual incentive compensation is earned to the extent each participant meets or exceeds individual performance goals. Each NEO, except for Mr. Clark, is eligible for a target award denominated as a percentage of Fiscal 2026 base salary. NEOs may earn from 0% of the target award up to a maximum of 200% of the target award under the OICP. In setting the target award percentages for the NEOs, the committee considers competitive data in the compensation peer studies, individual performance evaluations, and internal equity factors.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Fiscal 2026 OICP</w:t>
      </w:r>
    </w:p>
    <w:p>
      <w:pPr>
        <w:spacing w:after="0" w:line="180"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14202A"/>
        </w:rPr>
        <w:t>Net revenue, operating income, net working capital, and individual objectives related to each NEO’s particular responsibilities were chosen by the committee as the performance measures under the OICP for Fiscal 2026. The following financial performance metrics represented 70% of OICP for all NEOs, other than Mr. Clark, measured at the enterprise-wide level (for Messrs. Happe and Hughes and Ms. Bogart) or at a combination of business unit and enterprise levels (for Mr. Tubman), which metrics were weighted as set forth in the tables below. For Mr. Tubman, the 70% financial component was weighted 70% on Newmar business unit performance (40% net revenue, 50% operating income, 10% net working capital), 25% on Winnebago Motorhome and Specialty Vehicles performance (30% net revenue, 50% operating income, 20% net working capital), and 5% on enterprise-level performance (40% net revenue, 50% operating income, 10% net working capital). Ms. Bogart’s financial objectives were weighted 60% operating income and 40% net revenue. The enterprise-level performance metrics were:</w:t>
      </w:r>
    </w:p>
    <w:p>
      <w:pPr>
        <w:spacing w:after="0" w:line="145" w:lineRule="exact"/>
        <w:rPr>
          <w:sz w:val="20"/>
          <w:szCs w:val="20"/>
          <w:color w:val="auto"/>
        </w:rPr>
      </w:pPr>
    </w:p>
    <w:p>
      <w:pPr>
        <w:ind w:left="720" w:right="1600"/>
        <w:spacing w:after="0" w:line="589" w:lineRule="auto"/>
        <w:rPr>
          <w:sz w:val="20"/>
          <w:szCs w:val="20"/>
          <w:color w:val="auto"/>
        </w:rPr>
      </w:pPr>
      <w:r>
        <w:rPr>
          <w:rFonts w:ascii="Arial" w:cs="Arial" w:eastAsia="Arial" w:hAnsi="Arial"/>
          <w:sz w:val="16"/>
          <w:szCs w:val="16"/>
          <w:color w:val="14202A"/>
        </w:rPr>
        <w:t>Net Revenue — focuses on overall enterprise and/or business unit growth; drives customer focus Operating Income — reinforces the importance of profitable growth</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Net Working Capital — helps measure overall financial health</w:t>
      </w:r>
    </w:p>
    <w:p>
      <w:pPr>
        <w:spacing w:after="0" w:line="262" w:lineRule="exact"/>
        <w:rPr>
          <w:sz w:val="20"/>
          <w:szCs w:val="20"/>
          <w:color w:val="auto"/>
        </w:rPr>
      </w:pPr>
    </w:p>
    <w:p>
      <w:pPr>
        <w:spacing w:after="0" w:line="253" w:lineRule="auto"/>
        <w:rPr>
          <w:sz w:val="20"/>
          <w:szCs w:val="20"/>
          <w:color w:val="auto"/>
        </w:rPr>
      </w:pPr>
      <w:r>
        <w:rPr>
          <w:rFonts w:ascii="Arial" w:cs="Arial" w:eastAsia="Arial" w:hAnsi="Arial"/>
          <w:sz w:val="16"/>
          <w:szCs w:val="16"/>
          <w:color w:val="14202A"/>
        </w:rPr>
        <w:t>Given the financial challenges of establishing an annual plan in a cyclical industry, the committee decided to continue separating the OICP into two measurement periods. There are two six-month performance periods established under the OICP, each of which has threshold, target and maximum goals for net revenue, operating income, and net working capital. The financial performance metrics are set at the beginning of the fiscal year for the first six-month performance period and at the beginning of the second six-month performance period for that period. Following the completion of the first six-month performance period, the results are computed for that period, and the payout results are banked until the end of the full 12-month performance period. The six-month performance periods are equally weighted.</w:t>
      </w:r>
    </w:p>
    <w:p>
      <w:pPr>
        <w:spacing w:after="0" w:line="154"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14202A"/>
        </w:rPr>
        <w:t>Individual objectives (30% of the OICP for the NEOs other than Mr. Clark) provide actionable and measurable objectives controlled by each individual to achieve financial and non-financial goals.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14202A"/>
        </w:rPr>
        <w:t>Individual goals for our NEOs during Fiscal 2026 included the following:</w:t>
      </w:r>
    </w:p>
    <w:p>
      <w:pPr>
        <w:spacing w:after="0" w:line="181" w:lineRule="exact"/>
        <w:rPr>
          <w:sz w:val="20"/>
          <w:szCs w:val="20"/>
          <w:color w:val="auto"/>
        </w:rPr>
      </w:pPr>
    </w:p>
    <w:p>
      <w:pPr>
        <w:spacing w:after="0" w:line="266" w:lineRule="auto"/>
        <w:rPr>
          <w:sz w:val="20"/>
          <w:szCs w:val="20"/>
          <w:color w:val="auto"/>
        </w:rPr>
      </w:pPr>
      <w:r>
        <w:rPr>
          <w:rFonts w:ascii="Arial" w:cs="Arial" w:eastAsia="Arial" w:hAnsi="Arial"/>
          <w:sz w:val="16"/>
          <w:szCs w:val="16"/>
          <w:color w:val="14202A"/>
        </w:rPr>
        <w:t>For Mr. Happe, to continue driving enterprise-wide strategic priorities including delivering profitable share improvement across our RV and marine businesses; strengthening our financial profile through cost discipline and improved cash flow; and investing in sustainable differentiation through digital capabilities, data and AI initiatives, and product technology innovation.</w:t>
      </w:r>
    </w:p>
    <w:p>
      <w:pPr>
        <w:spacing w:after="0" w:line="144"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14202A"/>
        </w:rPr>
        <w:t>For Mr. Hughes, to continue evolving our finance capabilities by driving cash and capital excellence, building a connected and data-driven finance function, leading cost discipline and financial accountability across the enterprise, and strengthening governance, risk management, and talent resilience.</w:t>
      </w:r>
    </w:p>
    <w:p>
      <w:pPr>
        <w:spacing w:after="0" w:line="13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14202A"/>
        </w:rPr>
        <w:t>For Mr. Tubman, to continue building a high-performing culture focused on safety and employee engagement, maintaining discipline on costs and investments, and unlocking productivity through technology, while also working to improve quality, elevate the customer journey, and launch new products.</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14202A"/>
        </w:rPr>
        <w:t>For Ms. Bogart, to continue enhancing our innovation culture and protecting our inventions as assets, elevating product safety prevention and compliance, accelerating AI adoption to improve efficiency, strengthening sustainability and community impact, and building awareness with elected officials that represent areas in which we operate.</w:t>
      </w:r>
    </w:p>
    <w:p>
      <w:pPr>
        <w:spacing w:after="0" w:line="131" w:lineRule="exact"/>
        <w:rPr>
          <w:sz w:val="20"/>
          <w:szCs w:val="20"/>
          <w:color w:val="auto"/>
        </w:rPr>
      </w:pPr>
    </w:p>
    <w:p>
      <w:pPr>
        <w:spacing w:after="0" w:line="248" w:lineRule="auto"/>
        <w:rPr>
          <w:sz w:val="20"/>
          <w:szCs w:val="20"/>
          <w:color w:val="auto"/>
        </w:rPr>
      </w:pPr>
      <w:r>
        <w:rPr>
          <w:rFonts w:ascii="Arial" w:cs="Arial" w:eastAsia="Arial" w:hAnsi="Arial"/>
          <w:sz w:val="16"/>
          <w:szCs w:val="16"/>
          <w:color w:val="14202A"/>
        </w:rPr>
        <w:t>Following the completion of the first six-month performance period, in March of 2026, the committee evaluated performance for the first six-month performance period against the established OICP financial performance metrics and determined that the net revenue performance met the target metric; the operating income performance met the maximum metric; and the net working capital performance met the target metric. These results were “banked” for inclusion in the full-year payout determination. In October of 2026, the committee (i) evaluated performance for the second six-month performance period against the established OICP financial performance metrics and determined that each of the net revenue performance, operating income performance, and net working capital performance met the threshold metric, resulting in a 109.8% payout for Messrs. Happe and Hughes, a 113.2% payout for Ms. Bogart, in each case based on enterprise-wide performance and a 128.1% payout for Mr. Tubman based on a combination of Newmar business unit, Winnebago Motorhome and Specialty Vehicles, and enterprise-level performance and</w:t>
      </w:r>
    </w:p>
    <w:p>
      <w:pPr>
        <w:spacing w:after="0" w:line="6" w:lineRule="exact"/>
        <w:rPr>
          <w:sz w:val="20"/>
          <w:szCs w:val="20"/>
          <w:color w:val="auto"/>
        </w:rPr>
      </w:pPr>
    </w:p>
    <w:p>
      <w:pPr>
        <w:ind w:right="680"/>
        <w:spacing w:after="0" w:line="265" w:lineRule="auto"/>
        <w:tabs>
          <w:tab w:leader="none" w:pos="225" w:val="left"/>
        </w:tabs>
        <w:numPr>
          <w:ilvl w:val="0"/>
          <w:numId w:val="25"/>
        </w:numPr>
        <w:rPr>
          <w:rFonts w:ascii="Arial" w:cs="Arial" w:eastAsia="Arial" w:hAnsi="Arial"/>
          <w:sz w:val="16"/>
          <w:szCs w:val="16"/>
          <w:color w:val="14202A"/>
        </w:rPr>
      </w:pPr>
      <w:r>
        <w:rPr>
          <w:rFonts w:ascii="Arial" w:cs="Arial" w:eastAsia="Arial" w:hAnsi="Arial"/>
          <w:sz w:val="16"/>
          <w:szCs w:val="16"/>
          <w:color w:val="14202A"/>
        </w:rPr>
        <w:t>assessed the performance of each of the NEOs against his or her individual objectives to determine the OICP payout achieved as set forth below.</w:t>
      </w:r>
    </w:p>
    <w:p>
      <w:pPr>
        <w:spacing w:after="0" w:line="131"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14202A"/>
        </w:rPr>
        <w:t>The tables below reflect the Fiscal 2026 OICP financial metric payout thresholds and targets for each period, as well as our performance against these metrics ($ in millions):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Enterprise-Wide Financial Performance Metrics for the First Six-Month Fiscal Year Period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1720" w:type="dxa"/>
            <w:vAlign w:val="bottom"/>
            <w:shd w:val="clear" w:color="auto" w:fill="14202A"/>
          </w:tcPr>
          <w:p>
            <w:pPr>
              <w:spacing w:after="0"/>
              <w:rPr>
                <w:sz w:val="19"/>
                <w:szCs w:val="19"/>
                <w:color w:val="auto"/>
              </w:rPr>
            </w:pPr>
          </w:p>
        </w:tc>
        <w:tc>
          <w:tcPr>
            <w:tcW w:w="960" w:type="dxa"/>
            <w:vAlign w:val="bottom"/>
            <w:shd w:val="clear" w:color="auto" w:fill="14202A"/>
          </w:tcPr>
          <w:p>
            <w:pPr>
              <w:spacing w:after="0"/>
              <w:rPr>
                <w:sz w:val="19"/>
                <w:szCs w:val="19"/>
                <w:color w:val="auto"/>
              </w:rPr>
            </w:pPr>
          </w:p>
        </w:tc>
        <w:tc>
          <w:tcPr>
            <w:tcW w:w="960" w:type="dxa"/>
            <w:vAlign w:val="bottom"/>
            <w:gridSpan w:val="2"/>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Threshold</w:t>
            </w:r>
          </w:p>
        </w:tc>
        <w:tc>
          <w:tcPr>
            <w:tcW w:w="1740" w:type="dxa"/>
            <w:vAlign w:val="bottom"/>
            <w:gridSpan w:val="2"/>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1100" w:type="dxa"/>
            <w:vAlign w:val="bottom"/>
            <w:gridSpan w:val="2"/>
            <w:vMerge w:val="restart"/>
            <w:shd w:val="clear" w:color="auto" w:fill="14202A"/>
          </w:tcPr>
          <w:p>
            <w:pPr>
              <w:jc w:val="center"/>
              <w:ind w:right="5"/>
              <w:spacing w:after="0"/>
              <w:rPr>
                <w:sz w:val="20"/>
                <w:szCs w:val="20"/>
                <w:color w:val="auto"/>
              </w:rPr>
            </w:pPr>
            <w:r>
              <w:rPr>
                <w:rFonts w:ascii="Arial" w:cs="Arial" w:eastAsia="Arial" w:hAnsi="Arial"/>
                <w:sz w:val="13"/>
                <w:szCs w:val="13"/>
                <w:b w:val="1"/>
                <w:bCs w:val="1"/>
                <w:color w:val="FFFFFF"/>
                <w:w w:val="96"/>
              </w:rPr>
              <w:t>Maximum</w:t>
            </w:r>
          </w:p>
        </w:tc>
        <w:tc>
          <w:tcPr>
            <w:tcW w:w="340" w:type="dxa"/>
            <w:vAlign w:val="bottom"/>
            <w:shd w:val="clear" w:color="auto" w:fill="14202A"/>
          </w:tcPr>
          <w:p>
            <w:pPr>
              <w:spacing w:after="0"/>
              <w:rPr>
                <w:sz w:val="19"/>
                <w:szCs w:val="19"/>
                <w:color w:val="auto"/>
              </w:rPr>
            </w:pPr>
          </w:p>
        </w:tc>
        <w:tc>
          <w:tcPr>
            <w:tcW w:w="820" w:type="dxa"/>
            <w:vAlign w:val="bottom"/>
            <w:shd w:val="clear" w:color="auto" w:fill="14202A"/>
          </w:tcPr>
          <w:p>
            <w:pPr>
              <w:spacing w:after="0"/>
              <w:rPr>
                <w:sz w:val="19"/>
                <w:szCs w:val="19"/>
                <w:color w:val="auto"/>
              </w:rPr>
            </w:pPr>
          </w:p>
        </w:tc>
        <w:tc>
          <w:tcPr>
            <w:tcW w:w="15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Actual</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720" w:type="dxa"/>
            <w:vAlign w:val="bottom"/>
            <w:shd w:val="clear" w:color="auto" w:fill="14202A"/>
          </w:tcPr>
          <w:p>
            <w:pPr>
              <w:spacing w:after="0"/>
              <w:rPr>
                <w:sz w:val="11"/>
                <w:szCs w:val="11"/>
                <w:color w:val="auto"/>
              </w:rPr>
            </w:pPr>
          </w:p>
        </w:tc>
        <w:tc>
          <w:tcPr>
            <w:tcW w:w="960" w:type="dxa"/>
            <w:vAlign w:val="bottom"/>
            <w:shd w:val="clear" w:color="auto" w:fill="14202A"/>
          </w:tcPr>
          <w:p>
            <w:pPr>
              <w:spacing w:after="0"/>
              <w:rPr>
                <w:sz w:val="11"/>
                <w:szCs w:val="11"/>
                <w:color w:val="auto"/>
              </w:rPr>
            </w:pPr>
          </w:p>
        </w:tc>
        <w:tc>
          <w:tcPr>
            <w:tcW w:w="960" w:type="dxa"/>
            <w:vAlign w:val="bottom"/>
            <w:gridSpan w:val="2"/>
            <w:vMerge w:val="continue"/>
            <w:shd w:val="clear" w:color="auto" w:fill="14202A"/>
          </w:tcPr>
          <w:p>
            <w:pPr>
              <w:spacing w:after="0"/>
              <w:rPr>
                <w:sz w:val="11"/>
                <w:szCs w:val="11"/>
                <w:color w:val="auto"/>
              </w:rPr>
            </w:pPr>
          </w:p>
        </w:tc>
        <w:tc>
          <w:tcPr>
            <w:tcW w:w="1740" w:type="dxa"/>
            <w:vAlign w:val="bottom"/>
            <w:gridSpan w:val="2"/>
            <w:vMerge w:val="continue"/>
            <w:shd w:val="clear" w:color="auto" w:fill="14202A"/>
          </w:tcPr>
          <w:p>
            <w:pPr>
              <w:spacing w:after="0"/>
              <w:rPr>
                <w:sz w:val="11"/>
                <w:szCs w:val="11"/>
                <w:color w:val="auto"/>
              </w:rPr>
            </w:pPr>
          </w:p>
        </w:tc>
        <w:tc>
          <w:tcPr>
            <w:tcW w:w="1100" w:type="dxa"/>
            <w:vAlign w:val="bottom"/>
            <w:gridSpan w:val="2"/>
            <w:vMerge w:val="continue"/>
            <w:shd w:val="clear" w:color="auto" w:fill="14202A"/>
          </w:tcPr>
          <w:p>
            <w:pPr>
              <w:spacing w:after="0"/>
              <w:rPr>
                <w:sz w:val="11"/>
                <w:szCs w:val="11"/>
                <w:color w:val="auto"/>
              </w:rPr>
            </w:pPr>
          </w:p>
        </w:tc>
        <w:tc>
          <w:tcPr>
            <w:tcW w:w="1160" w:type="dxa"/>
            <w:vAlign w:val="bottom"/>
            <w:gridSpan w:val="2"/>
            <w:vMerge w:val="restart"/>
            <w:shd w:val="clear" w:color="auto" w:fill="14202A"/>
          </w:tcPr>
          <w:p>
            <w:pPr>
              <w:jc w:val="right"/>
              <w:ind w:right="200"/>
              <w:spacing w:after="0"/>
              <w:rPr>
                <w:sz w:val="20"/>
                <w:szCs w:val="20"/>
                <w:color w:val="auto"/>
              </w:rPr>
            </w:pPr>
            <w:r>
              <w:rPr>
                <w:rFonts w:ascii="Arial" w:cs="Arial" w:eastAsia="Arial" w:hAnsi="Arial"/>
                <w:sz w:val="13"/>
                <w:szCs w:val="13"/>
                <w:b w:val="1"/>
                <w:bCs w:val="1"/>
                <w:color w:val="FFFFFF"/>
              </w:rPr>
              <w:t>Fiscal 2026</w:t>
            </w:r>
          </w:p>
        </w:tc>
        <w:tc>
          <w:tcPr>
            <w:tcW w:w="15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Payout % for Messrs.</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72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Metric</w:t>
            </w:r>
          </w:p>
        </w:tc>
        <w:tc>
          <w:tcPr>
            <w:tcW w:w="960" w:type="dxa"/>
            <w:vAlign w:val="bottom"/>
            <w:vMerge w:val="restart"/>
            <w:shd w:val="clear" w:color="auto" w:fill="14202A"/>
          </w:tcPr>
          <w:p>
            <w:pPr>
              <w:jc w:val="right"/>
              <w:ind w:right="84"/>
              <w:spacing w:after="0"/>
              <w:rPr>
                <w:sz w:val="20"/>
                <w:szCs w:val="20"/>
                <w:color w:val="auto"/>
              </w:rPr>
            </w:pPr>
            <w:r>
              <w:rPr>
                <w:rFonts w:ascii="Arial" w:cs="Arial" w:eastAsia="Arial" w:hAnsi="Arial"/>
                <w:sz w:val="13"/>
                <w:szCs w:val="13"/>
                <w:b w:val="1"/>
                <w:bCs w:val="1"/>
                <w:color w:val="FFFFFF"/>
              </w:rPr>
              <w:t>Weight</w:t>
            </w:r>
            <w:r>
              <w:rPr>
                <w:rFonts w:ascii="Arial" w:cs="Arial" w:eastAsia="Arial" w:hAnsi="Arial"/>
                <w:sz w:val="20"/>
                <w:szCs w:val="20"/>
                <w:b w:val="1"/>
                <w:bCs w:val="1"/>
                <w:color w:val="FFFFFF"/>
                <w:vertAlign w:val="superscript"/>
              </w:rPr>
              <w:t>(1)</w:t>
            </w:r>
          </w:p>
        </w:tc>
        <w:tc>
          <w:tcPr>
            <w:tcW w:w="280" w:type="dxa"/>
            <w:vAlign w:val="bottom"/>
            <w:shd w:val="clear" w:color="auto" w:fill="14202A"/>
          </w:tcPr>
          <w:p>
            <w:pPr>
              <w:spacing w:after="0"/>
              <w:rPr>
                <w:sz w:val="11"/>
                <w:szCs w:val="11"/>
                <w:color w:val="auto"/>
              </w:rPr>
            </w:pPr>
          </w:p>
        </w:tc>
        <w:tc>
          <w:tcPr>
            <w:tcW w:w="680" w:type="dxa"/>
            <w:vAlign w:val="bottom"/>
            <w:shd w:val="clear" w:color="auto" w:fill="14202A"/>
          </w:tcPr>
          <w:p>
            <w:pPr>
              <w:jc w:val="center"/>
              <w:ind w:right="264"/>
              <w:spacing w:after="0" w:line="135" w:lineRule="exact"/>
              <w:rPr>
                <w:sz w:val="20"/>
                <w:szCs w:val="20"/>
                <w:color w:val="auto"/>
              </w:rPr>
            </w:pPr>
            <w:r>
              <w:rPr>
                <w:rFonts w:ascii="Arial" w:cs="Arial" w:eastAsia="Arial" w:hAnsi="Arial"/>
                <w:sz w:val="13"/>
                <w:szCs w:val="13"/>
                <w:b w:val="1"/>
                <w:bCs w:val="1"/>
                <w:color w:val="FFFFFF"/>
                <w:w w:val="98"/>
              </w:rPr>
              <w:t>(50%</w:t>
            </w:r>
          </w:p>
        </w:tc>
        <w:tc>
          <w:tcPr>
            <w:tcW w:w="1740" w:type="dxa"/>
            <w:vAlign w:val="bottom"/>
            <w:gridSpan w:val="2"/>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(100%</w:t>
            </w:r>
          </w:p>
        </w:tc>
        <w:tc>
          <w:tcPr>
            <w:tcW w:w="240" w:type="dxa"/>
            <w:vAlign w:val="bottom"/>
            <w:shd w:val="clear" w:color="auto" w:fill="14202A"/>
          </w:tcPr>
          <w:p>
            <w:pPr>
              <w:spacing w:after="0"/>
              <w:rPr>
                <w:sz w:val="11"/>
                <w:szCs w:val="11"/>
                <w:color w:val="auto"/>
              </w:rPr>
            </w:pPr>
          </w:p>
        </w:tc>
        <w:tc>
          <w:tcPr>
            <w:tcW w:w="860" w:type="dxa"/>
            <w:vAlign w:val="bottom"/>
            <w:shd w:val="clear" w:color="auto" w:fill="14202A"/>
          </w:tcPr>
          <w:p>
            <w:pPr>
              <w:jc w:val="center"/>
              <w:ind w:right="225"/>
              <w:spacing w:after="0" w:line="135" w:lineRule="exact"/>
              <w:rPr>
                <w:sz w:val="20"/>
                <w:szCs w:val="20"/>
                <w:color w:val="auto"/>
              </w:rPr>
            </w:pPr>
            <w:r>
              <w:rPr>
                <w:rFonts w:ascii="Arial" w:cs="Arial" w:eastAsia="Arial" w:hAnsi="Arial"/>
                <w:sz w:val="13"/>
                <w:szCs w:val="13"/>
                <w:b w:val="1"/>
                <w:bCs w:val="1"/>
                <w:color w:val="FFFFFF"/>
                <w:w w:val="95"/>
              </w:rPr>
              <w:t>(200%</w:t>
            </w:r>
          </w:p>
        </w:tc>
        <w:tc>
          <w:tcPr>
            <w:tcW w:w="1160" w:type="dxa"/>
            <w:vAlign w:val="bottom"/>
            <w:gridSpan w:val="2"/>
            <w:vMerge w:val="continue"/>
            <w:shd w:val="clear" w:color="auto" w:fill="14202A"/>
          </w:tcPr>
          <w:p>
            <w:pPr>
              <w:spacing w:after="0"/>
              <w:rPr>
                <w:sz w:val="11"/>
                <w:szCs w:val="11"/>
                <w:color w:val="auto"/>
              </w:rPr>
            </w:pPr>
          </w:p>
        </w:tc>
        <w:tc>
          <w:tcPr>
            <w:tcW w:w="15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Happe and Hughes</w:t>
            </w:r>
          </w:p>
        </w:tc>
        <w:tc>
          <w:tcPr>
            <w:tcW w:w="0" w:type="dxa"/>
            <w:vAlign w:val="bottom"/>
          </w:tcPr>
          <w:p>
            <w:pPr>
              <w:spacing w:after="0"/>
              <w:rPr>
                <w:sz w:val="1"/>
                <w:szCs w:val="1"/>
                <w:color w:val="auto"/>
              </w:rPr>
            </w:pPr>
          </w:p>
        </w:tc>
      </w:tr>
      <w:tr>
        <w:trPr>
          <w:trHeight w:val="220"/>
        </w:trPr>
        <w:tc>
          <w:tcPr>
            <w:tcW w:w="100" w:type="dxa"/>
            <w:vAlign w:val="bottom"/>
            <w:shd w:val="clear" w:color="auto" w:fill="14202A"/>
          </w:tcPr>
          <w:p>
            <w:pPr>
              <w:spacing w:after="0"/>
              <w:rPr>
                <w:sz w:val="19"/>
                <w:szCs w:val="19"/>
                <w:color w:val="auto"/>
              </w:rPr>
            </w:pPr>
          </w:p>
        </w:tc>
        <w:tc>
          <w:tcPr>
            <w:tcW w:w="1720" w:type="dxa"/>
            <w:vAlign w:val="bottom"/>
            <w:vMerge w:val="continue"/>
            <w:shd w:val="clear" w:color="auto" w:fill="14202A"/>
          </w:tcPr>
          <w:p>
            <w:pPr>
              <w:spacing w:after="0"/>
              <w:rPr>
                <w:sz w:val="19"/>
                <w:szCs w:val="19"/>
                <w:color w:val="auto"/>
              </w:rPr>
            </w:pPr>
          </w:p>
        </w:tc>
        <w:tc>
          <w:tcPr>
            <w:tcW w:w="960" w:type="dxa"/>
            <w:vAlign w:val="bottom"/>
            <w:vMerge w:val="continue"/>
            <w:shd w:val="clear" w:color="auto" w:fill="14202A"/>
          </w:tcPr>
          <w:p>
            <w:pPr>
              <w:spacing w:after="0"/>
              <w:rPr>
                <w:sz w:val="19"/>
                <w:szCs w:val="19"/>
                <w:color w:val="auto"/>
              </w:rPr>
            </w:pPr>
          </w:p>
        </w:tc>
        <w:tc>
          <w:tcPr>
            <w:tcW w:w="96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74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240" w:type="dxa"/>
            <w:vAlign w:val="bottom"/>
            <w:shd w:val="clear" w:color="auto" w:fill="14202A"/>
          </w:tcPr>
          <w:p>
            <w:pPr>
              <w:spacing w:after="0"/>
              <w:rPr>
                <w:sz w:val="19"/>
                <w:szCs w:val="19"/>
                <w:color w:val="auto"/>
              </w:rPr>
            </w:pPr>
          </w:p>
        </w:tc>
        <w:tc>
          <w:tcPr>
            <w:tcW w:w="860" w:type="dxa"/>
            <w:vAlign w:val="bottom"/>
            <w:shd w:val="clear" w:color="auto" w:fill="14202A"/>
          </w:tcPr>
          <w:p>
            <w:pPr>
              <w:jc w:val="center"/>
              <w:ind w:right="205"/>
              <w:spacing w:after="0"/>
              <w:rPr>
                <w:sz w:val="20"/>
                <w:szCs w:val="20"/>
                <w:color w:val="auto"/>
              </w:rPr>
            </w:pPr>
            <w:r>
              <w:rPr>
                <w:rFonts w:ascii="Arial" w:cs="Arial" w:eastAsia="Arial" w:hAnsi="Arial"/>
                <w:sz w:val="13"/>
                <w:szCs w:val="13"/>
                <w:b w:val="1"/>
                <w:bCs w:val="1"/>
                <w:color w:val="FFFFFF"/>
                <w:w w:val="96"/>
              </w:rPr>
              <w:t>Payout)</w:t>
            </w:r>
          </w:p>
        </w:tc>
        <w:tc>
          <w:tcPr>
            <w:tcW w:w="1160" w:type="dxa"/>
            <w:vAlign w:val="bottom"/>
            <w:gridSpan w:val="2"/>
            <w:shd w:val="clear" w:color="auto" w:fill="14202A"/>
          </w:tcPr>
          <w:p>
            <w:pPr>
              <w:jc w:val="right"/>
              <w:ind w:right="140"/>
              <w:spacing w:after="0"/>
              <w:rPr>
                <w:sz w:val="20"/>
                <w:szCs w:val="20"/>
                <w:color w:val="auto"/>
              </w:rPr>
            </w:pPr>
            <w:r>
              <w:rPr>
                <w:rFonts w:ascii="Arial" w:cs="Arial" w:eastAsia="Arial" w:hAnsi="Arial"/>
                <w:sz w:val="13"/>
                <w:szCs w:val="13"/>
                <w:b w:val="1"/>
                <w:bCs w:val="1"/>
                <w:color w:val="FFFFFF"/>
              </w:rPr>
              <w:t>Performance</w:t>
            </w:r>
          </w:p>
        </w:tc>
        <w:tc>
          <w:tcPr>
            <w:tcW w:w="15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(Weighted)</w:t>
            </w:r>
          </w:p>
        </w:tc>
        <w:tc>
          <w:tcPr>
            <w:tcW w:w="0" w:type="dxa"/>
            <w:vAlign w:val="bottom"/>
          </w:tcPr>
          <w:p>
            <w:pPr>
              <w:spacing w:after="0"/>
              <w:rPr>
                <w:sz w:val="1"/>
                <w:szCs w:val="1"/>
                <w:color w:val="auto"/>
              </w:rPr>
            </w:pPr>
          </w:p>
        </w:tc>
      </w:tr>
      <w:tr>
        <w:trPr>
          <w:trHeight w:val="266"/>
        </w:trPr>
        <w:tc>
          <w:tcPr>
            <w:tcW w:w="100" w:type="dxa"/>
            <w:vAlign w:val="bottom"/>
          </w:tcPr>
          <w:p>
            <w:pPr>
              <w:spacing w:after="0"/>
              <w:rPr>
                <w:sz w:val="23"/>
                <w:szCs w:val="23"/>
                <w:color w:val="auto"/>
              </w:rPr>
            </w:pPr>
          </w:p>
        </w:tc>
        <w:tc>
          <w:tcPr>
            <w:tcW w:w="1720" w:type="dxa"/>
            <w:vAlign w:val="bottom"/>
          </w:tcPr>
          <w:p>
            <w:pPr>
              <w:ind w:left="40"/>
              <w:spacing w:after="0"/>
              <w:rPr>
                <w:sz w:val="20"/>
                <w:szCs w:val="20"/>
                <w:color w:val="auto"/>
              </w:rPr>
            </w:pPr>
            <w:r>
              <w:rPr>
                <w:rFonts w:ascii="Arial" w:cs="Arial" w:eastAsia="Arial" w:hAnsi="Arial"/>
                <w:sz w:val="16"/>
                <w:szCs w:val="16"/>
                <w:color w:val="14202A"/>
              </w:rPr>
              <w:t>Operating Income</w:t>
            </w:r>
          </w:p>
        </w:tc>
        <w:tc>
          <w:tcPr>
            <w:tcW w:w="960" w:type="dxa"/>
            <w:vAlign w:val="bottom"/>
          </w:tcPr>
          <w:p>
            <w:pPr>
              <w:jc w:val="right"/>
              <w:ind w:right="144"/>
              <w:spacing w:after="0"/>
              <w:rPr>
                <w:sz w:val="20"/>
                <w:szCs w:val="20"/>
                <w:color w:val="auto"/>
              </w:rPr>
            </w:pPr>
            <w:r>
              <w:rPr>
                <w:rFonts w:ascii="Arial" w:cs="Arial" w:eastAsia="Arial" w:hAnsi="Arial"/>
                <w:sz w:val="16"/>
                <w:szCs w:val="16"/>
                <w:color w:val="14202A"/>
              </w:rPr>
              <w:t>50%</w:t>
            </w:r>
          </w:p>
        </w:tc>
        <w:tc>
          <w:tcPr>
            <w:tcW w:w="280" w:type="dxa"/>
            <w:vAlign w:val="bottom"/>
          </w:tcPr>
          <w:p>
            <w:pPr>
              <w:jc w:val="right"/>
              <w:spacing w:after="0"/>
              <w:rPr>
                <w:sz w:val="20"/>
                <w:szCs w:val="20"/>
                <w:color w:val="auto"/>
              </w:rPr>
            </w:pPr>
            <w:r>
              <w:rPr>
                <w:rFonts w:ascii="Arial" w:cs="Arial" w:eastAsia="Arial" w:hAnsi="Arial"/>
                <w:sz w:val="16"/>
                <w:szCs w:val="16"/>
                <w:color w:val="14202A"/>
              </w:rPr>
              <w:t>$</w:t>
            </w:r>
          </w:p>
        </w:tc>
        <w:tc>
          <w:tcPr>
            <w:tcW w:w="680" w:type="dxa"/>
            <w:vAlign w:val="bottom"/>
          </w:tcPr>
          <w:p>
            <w:pPr>
              <w:jc w:val="right"/>
              <w:ind w:right="224"/>
              <w:spacing w:after="0"/>
              <w:rPr>
                <w:sz w:val="20"/>
                <w:szCs w:val="20"/>
                <w:color w:val="auto"/>
              </w:rPr>
            </w:pPr>
            <w:r>
              <w:rPr>
                <w:rFonts w:ascii="Arial" w:cs="Arial" w:eastAsia="Arial" w:hAnsi="Arial"/>
                <w:sz w:val="16"/>
                <w:szCs w:val="16"/>
                <w:color w:val="14202A"/>
              </w:rPr>
              <w:t>8.9</w:t>
            </w:r>
          </w:p>
        </w:tc>
        <w:tc>
          <w:tcPr>
            <w:tcW w:w="800" w:type="dxa"/>
            <w:vAlign w:val="bottom"/>
          </w:tcPr>
          <w:p>
            <w:pPr>
              <w:jc w:val="right"/>
              <w:spacing w:after="0"/>
              <w:rPr>
                <w:sz w:val="20"/>
                <w:szCs w:val="20"/>
                <w:color w:val="auto"/>
              </w:rPr>
            </w:pPr>
            <w:r>
              <w:rPr>
                <w:rFonts w:ascii="Arial" w:cs="Arial" w:eastAsia="Arial" w:hAnsi="Arial"/>
                <w:sz w:val="16"/>
                <w:szCs w:val="16"/>
                <w:color w:val="14202A"/>
              </w:rPr>
              <w:t>$16.9</w:t>
            </w:r>
          </w:p>
        </w:tc>
        <w:tc>
          <w:tcPr>
            <w:tcW w:w="940" w:type="dxa"/>
            <w:vAlign w:val="bottom"/>
          </w:tcPr>
          <w:p>
            <w:pPr>
              <w:ind w:left="20"/>
              <w:spacing w:after="0"/>
              <w:rPr>
                <w:sz w:val="20"/>
                <w:szCs w:val="20"/>
                <w:color w:val="auto"/>
              </w:rPr>
            </w:pPr>
            <w:r>
              <w:rPr>
                <w:rFonts w:ascii="Arial" w:cs="Arial" w:eastAsia="Arial" w:hAnsi="Arial"/>
                <w:sz w:val="16"/>
                <w:szCs w:val="16"/>
                <w:color w:val="14202A"/>
              </w:rPr>
              <w:t>– $18.7</w:t>
            </w:r>
          </w:p>
        </w:tc>
        <w:tc>
          <w:tcPr>
            <w:tcW w:w="240" w:type="dxa"/>
            <w:vAlign w:val="bottom"/>
          </w:tcPr>
          <w:p>
            <w:pPr>
              <w:jc w:val="right"/>
              <w:spacing w:after="0"/>
              <w:rPr>
                <w:sz w:val="20"/>
                <w:szCs w:val="20"/>
                <w:color w:val="auto"/>
              </w:rPr>
            </w:pPr>
            <w:r>
              <w:rPr>
                <w:rFonts w:ascii="Arial" w:cs="Arial" w:eastAsia="Arial" w:hAnsi="Arial"/>
                <w:sz w:val="16"/>
                <w:szCs w:val="16"/>
                <w:color w:val="14202A"/>
              </w:rPr>
              <w:t>$</w:t>
            </w:r>
          </w:p>
        </w:tc>
        <w:tc>
          <w:tcPr>
            <w:tcW w:w="860" w:type="dxa"/>
            <w:vAlign w:val="bottom"/>
          </w:tcPr>
          <w:p>
            <w:pPr>
              <w:jc w:val="right"/>
              <w:ind w:right="245"/>
              <w:spacing w:after="0"/>
              <w:rPr>
                <w:sz w:val="20"/>
                <w:szCs w:val="20"/>
                <w:color w:val="auto"/>
              </w:rPr>
            </w:pPr>
            <w:r>
              <w:rPr>
                <w:rFonts w:ascii="Arial" w:cs="Arial" w:eastAsia="Arial" w:hAnsi="Arial"/>
                <w:sz w:val="16"/>
                <w:szCs w:val="16"/>
                <w:color w:val="14202A"/>
              </w:rPr>
              <w:t>22.2</w:t>
            </w:r>
          </w:p>
        </w:tc>
        <w:tc>
          <w:tcPr>
            <w:tcW w:w="340" w:type="dxa"/>
            <w:vAlign w:val="bottom"/>
          </w:tcPr>
          <w:p>
            <w:pPr>
              <w:jc w:val="right"/>
              <w:spacing w:after="0"/>
              <w:rPr>
                <w:sz w:val="20"/>
                <w:szCs w:val="20"/>
                <w:color w:val="auto"/>
              </w:rPr>
            </w:pPr>
            <w:r>
              <w:rPr>
                <w:rFonts w:ascii="Arial" w:cs="Arial" w:eastAsia="Arial" w:hAnsi="Arial"/>
                <w:sz w:val="16"/>
                <w:szCs w:val="16"/>
                <w:color w:val="14202A"/>
              </w:rPr>
              <w:t>$</w:t>
            </w:r>
          </w:p>
        </w:tc>
        <w:tc>
          <w:tcPr>
            <w:tcW w:w="820" w:type="dxa"/>
            <w:vAlign w:val="bottom"/>
          </w:tcPr>
          <w:p>
            <w:pPr>
              <w:jc w:val="right"/>
              <w:ind w:right="220"/>
              <w:spacing w:after="0"/>
              <w:rPr>
                <w:sz w:val="20"/>
                <w:szCs w:val="20"/>
                <w:color w:val="auto"/>
              </w:rPr>
            </w:pPr>
            <w:r>
              <w:rPr>
                <w:rFonts w:ascii="Arial" w:cs="Arial" w:eastAsia="Arial" w:hAnsi="Arial"/>
                <w:sz w:val="16"/>
                <w:szCs w:val="16"/>
                <w:color w:val="14202A"/>
              </w:rPr>
              <w:t>25.6</w:t>
            </w:r>
          </w:p>
        </w:tc>
        <w:tc>
          <w:tcPr>
            <w:tcW w:w="1540" w:type="dxa"/>
            <w:vAlign w:val="bottom"/>
          </w:tcPr>
          <w:p>
            <w:pPr>
              <w:jc w:val="right"/>
              <w:ind w:right="388"/>
              <w:spacing w:after="0"/>
              <w:rPr>
                <w:sz w:val="20"/>
                <w:szCs w:val="20"/>
                <w:color w:val="auto"/>
              </w:rPr>
            </w:pPr>
            <w:r>
              <w:rPr>
                <w:rFonts w:ascii="Arial" w:cs="Arial" w:eastAsia="Arial" w:hAnsi="Arial"/>
                <w:sz w:val="16"/>
                <w:szCs w:val="16"/>
                <w:color w:val="14202A"/>
              </w:rPr>
              <w:t>100%</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72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94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860" w:type="dxa"/>
            <w:vAlign w:val="bottom"/>
            <w:tcBorders>
              <w:bottom w:val="single" w:sz="8" w:color="14202A"/>
            </w:tcBorders>
          </w:tcPr>
          <w:p>
            <w:pPr>
              <w:spacing w:after="0"/>
              <w:rPr>
                <w:sz w:val="5"/>
                <w:szCs w:val="5"/>
                <w:color w:val="auto"/>
              </w:rPr>
            </w:pPr>
          </w:p>
        </w:tc>
        <w:tc>
          <w:tcPr>
            <w:tcW w:w="34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15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1720" w:type="dxa"/>
            <w:vAlign w:val="bottom"/>
          </w:tcPr>
          <w:p>
            <w:pPr>
              <w:ind w:left="40"/>
              <w:spacing w:after="0"/>
              <w:rPr>
                <w:sz w:val="20"/>
                <w:szCs w:val="20"/>
                <w:color w:val="auto"/>
              </w:rPr>
            </w:pPr>
            <w:r>
              <w:rPr>
                <w:rFonts w:ascii="Arial" w:cs="Arial" w:eastAsia="Arial" w:hAnsi="Arial"/>
                <w:sz w:val="16"/>
                <w:szCs w:val="16"/>
                <w:color w:val="14202A"/>
              </w:rPr>
              <w:t>Net Revenue</w:t>
            </w:r>
          </w:p>
        </w:tc>
        <w:tc>
          <w:tcPr>
            <w:tcW w:w="960" w:type="dxa"/>
            <w:vAlign w:val="bottom"/>
          </w:tcPr>
          <w:p>
            <w:pPr>
              <w:jc w:val="right"/>
              <w:ind w:right="144"/>
              <w:spacing w:after="0"/>
              <w:rPr>
                <w:sz w:val="20"/>
                <w:szCs w:val="20"/>
                <w:color w:val="auto"/>
              </w:rPr>
            </w:pPr>
            <w:r>
              <w:rPr>
                <w:rFonts w:ascii="Arial" w:cs="Arial" w:eastAsia="Arial" w:hAnsi="Arial"/>
                <w:sz w:val="16"/>
                <w:szCs w:val="16"/>
                <w:color w:val="14202A"/>
              </w:rPr>
              <w:t>40%</w:t>
            </w:r>
          </w:p>
        </w:tc>
        <w:tc>
          <w:tcPr>
            <w:tcW w:w="280" w:type="dxa"/>
            <w:vAlign w:val="bottom"/>
          </w:tcPr>
          <w:p>
            <w:pPr>
              <w:jc w:val="right"/>
              <w:spacing w:after="0"/>
              <w:rPr>
                <w:sz w:val="20"/>
                <w:szCs w:val="20"/>
                <w:color w:val="auto"/>
              </w:rPr>
            </w:pPr>
            <w:r>
              <w:rPr>
                <w:rFonts w:ascii="Arial" w:cs="Arial" w:eastAsia="Arial" w:hAnsi="Arial"/>
                <w:sz w:val="16"/>
                <w:szCs w:val="16"/>
                <w:color w:val="14202A"/>
              </w:rPr>
              <w:t>$</w:t>
            </w:r>
          </w:p>
        </w:tc>
        <w:tc>
          <w:tcPr>
            <w:tcW w:w="680" w:type="dxa"/>
            <w:vAlign w:val="bottom"/>
          </w:tcPr>
          <w:p>
            <w:pPr>
              <w:jc w:val="right"/>
              <w:ind w:right="204"/>
              <w:spacing w:after="0"/>
              <w:rPr>
                <w:sz w:val="20"/>
                <w:szCs w:val="20"/>
                <w:color w:val="auto"/>
              </w:rPr>
            </w:pPr>
            <w:r>
              <w:rPr>
                <w:rFonts w:ascii="Arial" w:cs="Arial" w:eastAsia="Arial" w:hAnsi="Arial"/>
                <w:sz w:val="16"/>
                <w:szCs w:val="16"/>
                <w:color w:val="14202A"/>
                <w:w w:val="94"/>
              </w:rPr>
              <w:t>804.2</w:t>
            </w:r>
          </w:p>
        </w:tc>
        <w:tc>
          <w:tcPr>
            <w:tcW w:w="800" w:type="dxa"/>
            <w:vAlign w:val="bottom"/>
          </w:tcPr>
          <w:p>
            <w:pPr>
              <w:jc w:val="right"/>
              <w:spacing w:after="0"/>
              <w:rPr>
                <w:sz w:val="20"/>
                <w:szCs w:val="20"/>
                <w:color w:val="auto"/>
              </w:rPr>
            </w:pPr>
            <w:r>
              <w:rPr>
                <w:rFonts w:ascii="Arial" w:cs="Arial" w:eastAsia="Arial" w:hAnsi="Arial"/>
                <w:sz w:val="16"/>
                <w:szCs w:val="16"/>
                <w:color w:val="14202A"/>
              </w:rPr>
              <w:t>$1,273.4</w:t>
            </w:r>
          </w:p>
        </w:tc>
        <w:tc>
          <w:tcPr>
            <w:tcW w:w="940" w:type="dxa"/>
            <w:vAlign w:val="bottom"/>
          </w:tcPr>
          <w:p>
            <w:pPr>
              <w:ind w:left="20"/>
              <w:spacing w:after="0"/>
              <w:rPr>
                <w:sz w:val="20"/>
                <w:szCs w:val="20"/>
                <w:color w:val="auto"/>
              </w:rPr>
            </w:pPr>
            <w:r>
              <w:rPr>
                <w:rFonts w:ascii="Arial" w:cs="Arial" w:eastAsia="Arial" w:hAnsi="Arial"/>
                <w:sz w:val="16"/>
                <w:szCs w:val="16"/>
                <w:color w:val="14202A"/>
              </w:rPr>
              <w:t>– $1,407.4</w:t>
            </w:r>
          </w:p>
        </w:tc>
        <w:tc>
          <w:tcPr>
            <w:tcW w:w="240" w:type="dxa"/>
            <w:vAlign w:val="bottom"/>
          </w:tcPr>
          <w:p>
            <w:pPr>
              <w:jc w:val="right"/>
              <w:spacing w:after="0"/>
              <w:rPr>
                <w:sz w:val="20"/>
                <w:szCs w:val="20"/>
                <w:color w:val="auto"/>
              </w:rPr>
            </w:pPr>
            <w:r>
              <w:rPr>
                <w:rFonts w:ascii="Arial" w:cs="Arial" w:eastAsia="Arial" w:hAnsi="Arial"/>
                <w:sz w:val="16"/>
                <w:szCs w:val="16"/>
                <w:color w:val="14202A"/>
              </w:rPr>
              <w:t>$</w:t>
            </w:r>
          </w:p>
        </w:tc>
        <w:tc>
          <w:tcPr>
            <w:tcW w:w="860" w:type="dxa"/>
            <w:vAlign w:val="bottom"/>
          </w:tcPr>
          <w:p>
            <w:pPr>
              <w:jc w:val="right"/>
              <w:ind w:right="245"/>
              <w:spacing w:after="0"/>
              <w:rPr>
                <w:sz w:val="20"/>
                <w:szCs w:val="20"/>
                <w:color w:val="auto"/>
              </w:rPr>
            </w:pPr>
            <w:r>
              <w:rPr>
                <w:rFonts w:ascii="Arial" w:cs="Arial" w:eastAsia="Arial" w:hAnsi="Arial"/>
                <w:sz w:val="16"/>
                <w:szCs w:val="16"/>
                <w:color w:val="14202A"/>
                <w:w w:val="97"/>
              </w:rPr>
              <w:t>1,608.5</w:t>
            </w:r>
          </w:p>
        </w:tc>
        <w:tc>
          <w:tcPr>
            <w:tcW w:w="340" w:type="dxa"/>
            <w:vAlign w:val="bottom"/>
          </w:tcPr>
          <w:p>
            <w:pPr>
              <w:jc w:val="right"/>
              <w:spacing w:after="0"/>
              <w:rPr>
                <w:sz w:val="20"/>
                <w:szCs w:val="20"/>
                <w:color w:val="auto"/>
              </w:rPr>
            </w:pPr>
            <w:r>
              <w:rPr>
                <w:rFonts w:ascii="Arial" w:cs="Arial" w:eastAsia="Arial" w:hAnsi="Arial"/>
                <w:sz w:val="16"/>
                <w:szCs w:val="16"/>
                <w:color w:val="14202A"/>
              </w:rPr>
              <w:t>$</w:t>
            </w:r>
          </w:p>
        </w:tc>
        <w:tc>
          <w:tcPr>
            <w:tcW w:w="820" w:type="dxa"/>
            <w:vAlign w:val="bottom"/>
          </w:tcPr>
          <w:p>
            <w:pPr>
              <w:jc w:val="right"/>
              <w:ind w:right="220"/>
              <w:spacing w:after="0"/>
              <w:rPr>
                <w:sz w:val="20"/>
                <w:szCs w:val="20"/>
                <w:color w:val="auto"/>
              </w:rPr>
            </w:pPr>
            <w:r>
              <w:rPr>
                <w:rFonts w:ascii="Arial" w:cs="Arial" w:eastAsia="Arial" w:hAnsi="Arial"/>
                <w:sz w:val="16"/>
                <w:szCs w:val="16"/>
                <w:color w:val="14202A"/>
                <w:w w:val="93"/>
              </w:rPr>
              <w:t>1,360.1</w:t>
            </w:r>
          </w:p>
        </w:tc>
        <w:tc>
          <w:tcPr>
            <w:tcW w:w="1540" w:type="dxa"/>
            <w:vAlign w:val="bottom"/>
          </w:tcPr>
          <w:p>
            <w:pPr>
              <w:jc w:val="right"/>
              <w:ind w:right="408"/>
              <w:spacing w:after="0"/>
              <w:rPr>
                <w:sz w:val="20"/>
                <w:szCs w:val="20"/>
                <w:color w:val="auto"/>
              </w:rPr>
            </w:pPr>
            <w:r>
              <w:rPr>
                <w:rFonts w:ascii="Arial" w:cs="Arial" w:eastAsia="Arial" w:hAnsi="Arial"/>
                <w:sz w:val="16"/>
                <w:szCs w:val="16"/>
                <w:color w:val="14202A"/>
              </w:rPr>
              <w:t>40%</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72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94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860" w:type="dxa"/>
            <w:vAlign w:val="bottom"/>
            <w:tcBorders>
              <w:bottom w:val="single" w:sz="8" w:color="14202A"/>
            </w:tcBorders>
          </w:tcPr>
          <w:p>
            <w:pPr>
              <w:spacing w:after="0"/>
              <w:rPr>
                <w:sz w:val="5"/>
                <w:szCs w:val="5"/>
                <w:color w:val="auto"/>
              </w:rPr>
            </w:pPr>
          </w:p>
        </w:tc>
        <w:tc>
          <w:tcPr>
            <w:tcW w:w="34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15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1720" w:type="dxa"/>
            <w:vAlign w:val="bottom"/>
          </w:tcPr>
          <w:p>
            <w:pPr>
              <w:ind w:left="40"/>
              <w:spacing w:after="0"/>
              <w:rPr>
                <w:sz w:val="20"/>
                <w:szCs w:val="20"/>
                <w:color w:val="auto"/>
              </w:rPr>
            </w:pPr>
            <w:r>
              <w:rPr>
                <w:rFonts w:ascii="Arial" w:cs="Arial" w:eastAsia="Arial" w:hAnsi="Arial"/>
                <w:sz w:val="16"/>
                <w:szCs w:val="16"/>
                <w:color w:val="14202A"/>
              </w:rPr>
              <w:t>Net Working Capital</w:t>
            </w:r>
          </w:p>
        </w:tc>
        <w:tc>
          <w:tcPr>
            <w:tcW w:w="960" w:type="dxa"/>
            <w:vAlign w:val="bottom"/>
          </w:tcPr>
          <w:p>
            <w:pPr>
              <w:jc w:val="right"/>
              <w:ind w:right="144"/>
              <w:spacing w:after="0"/>
              <w:rPr>
                <w:sz w:val="20"/>
                <w:szCs w:val="20"/>
                <w:color w:val="auto"/>
              </w:rPr>
            </w:pPr>
            <w:r>
              <w:rPr>
                <w:rFonts w:ascii="Arial" w:cs="Arial" w:eastAsia="Arial" w:hAnsi="Arial"/>
                <w:sz w:val="16"/>
                <w:szCs w:val="16"/>
                <w:color w:val="14202A"/>
              </w:rPr>
              <w:t>10%</w:t>
            </w:r>
          </w:p>
        </w:tc>
        <w:tc>
          <w:tcPr>
            <w:tcW w:w="280" w:type="dxa"/>
            <w:vAlign w:val="bottom"/>
          </w:tcPr>
          <w:p>
            <w:pPr>
              <w:spacing w:after="0"/>
              <w:rPr>
                <w:sz w:val="21"/>
                <w:szCs w:val="21"/>
                <w:color w:val="auto"/>
              </w:rPr>
            </w:pPr>
          </w:p>
        </w:tc>
        <w:tc>
          <w:tcPr>
            <w:tcW w:w="680" w:type="dxa"/>
            <w:vAlign w:val="bottom"/>
          </w:tcPr>
          <w:p>
            <w:pPr>
              <w:jc w:val="right"/>
              <w:ind w:right="64"/>
              <w:spacing w:after="0"/>
              <w:rPr>
                <w:sz w:val="20"/>
                <w:szCs w:val="20"/>
                <w:color w:val="auto"/>
              </w:rPr>
            </w:pPr>
            <w:r>
              <w:rPr>
                <w:rFonts w:ascii="Arial" w:cs="Arial" w:eastAsia="Arial" w:hAnsi="Arial"/>
                <w:sz w:val="16"/>
                <w:szCs w:val="16"/>
                <w:color w:val="14202A"/>
              </w:rPr>
              <w:t>21.8%</w:t>
            </w:r>
          </w:p>
        </w:tc>
        <w:tc>
          <w:tcPr>
            <w:tcW w:w="800" w:type="dxa"/>
            <w:vAlign w:val="bottom"/>
          </w:tcPr>
          <w:p>
            <w:pPr>
              <w:jc w:val="right"/>
              <w:spacing w:after="0"/>
              <w:rPr>
                <w:sz w:val="20"/>
                <w:szCs w:val="20"/>
                <w:color w:val="auto"/>
              </w:rPr>
            </w:pPr>
            <w:r>
              <w:rPr>
                <w:rFonts w:ascii="Arial" w:cs="Arial" w:eastAsia="Arial" w:hAnsi="Arial"/>
                <w:sz w:val="16"/>
                <w:szCs w:val="16"/>
                <w:color w:val="14202A"/>
              </w:rPr>
              <w:t>19.1%</w:t>
            </w:r>
          </w:p>
        </w:tc>
        <w:tc>
          <w:tcPr>
            <w:tcW w:w="940" w:type="dxa"/>
            <w:vAlign w:val="bottom"/>
          </w:tcPr>
          <w:p>
            <w:pPr>
              <w:ind w:left="20"/>
              <w:spacing w:after="0"/>
              <w:rPr>
                <w:sz w:val="20"/>
                <w:szCs w:val="20"/>
                <w:color w:val="auto"/>
              </w:rPr>
            </w:pPr>
            <w:r>
              <w:rPr>
                <w:rFonts w:ascii="Arial" w:cs="Arial" w:eastAsia="Arial" w:hAnsi="Arial"/>
                <w:sz w:val="16"/>
                <w:szCs w:val="16"/>
                <w:color w:val="14202A"/>
              </w:rPr>
              <w:t>– 17.3%</w:t>
            </w:r>
          </w:p>
        </w:tc>
        <w:tc>
          <w:tcPr>
            <w:tcW w:w="240" w:type="dxa"/>
            <w:vAlign w:val="bottom"/>
          </w:tcPr>
          <w:p>
            <w:pPr>
              <w:spacing w:after="0"/>
              <w:rPr>
                <w:sz w:val="21"/>
                <w:szCs w:val="21"/>
                <w:color w:val="auto"/>
              </w:rPr>
            </w:pPr>
          </w:p>
        </w:tc>
        <w:tc>
          <w:tcPr>
            <w:tcW w:w="860" w:type="dxa"/>
            <w:vAlign w:val="bottom"/>
          </w:tcPr>
          <w:p>
            <w:pPr>
              <w:jc w:val="right"/>
              <w:ind w:right="105"/>
              <w:spacing w:after="0"/>
              <w:rPr>
                <w:sz w:val="20"/>
                <w:szCs w:val="20"/>
                <w:color w:val="auto"/>
              </w:rPr>
            </w:pPr>
            <w:r>
              <w:rPr>
                <w:rFonts w:ascii="Arial" w:cs="Arial" w:eastAsia="Arial" w:hAnsi="Arial"/>
                <w:sz w:val="16"/>
                <w:szCs w:val="16"/>
                <w:color w:val="14202A"/>
              </w:rPr>
              <w:t>14.6%</w:t>
            </w:r>
          </w:p>
        </w:tc>
        <w:tc>
          <w:tcPr>
            <w:tcW w:w="34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14202A"/>
              </w:rPr>
              <w:t>18.4%</w:t>
            </w:r>
          </w:p>
        </w:tc>
        <w:tc>
          <w:tcPr>
            <w:tcW w:w="1540" w:type="dxa"/>
            <w:vAlign w:val="bottom"/>
          </w:tcPr>
          <w:p>
            <w:pPr>
              <w:jc w:val="right"/>
              <w:ind w:right="408"/>
              <w:spacing w:after="0"/>
              <w:rPr>
                <w:sz w:val="20"/>
                <w:szCs w:val="20"/>
                <w:color w:val="auto"/>
              </w:rPr>
            </w:pPr>
            <w:r>
              <w:rPr>
                <w:rFonts w:ascii="Arial" w:cs="Arial" w:eastAsia="Arial" w:hAnsi="Arial"/>
                <w:sz w:val="16"/>
                <w:szCs w:val="16"/>
                <w:color w:val="14202A"/>
              </w:rPr>
              <w:t>10%</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72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94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020" w:type="dxa"/>
            <w:vAlign w:val="bottom"/>
            <w:tcBorders>
              <w:bottom w:val="single" w:sz="8" w:color="14202A"/>
            </w:tcBorders>
            <w:gridSpan w:val="3"/>
          </w:tcPr>
          <w:p>
            <w:pPr>
              <w:spacing w:after="0"/>
              <w:rPr>
                <w:sz w:val="5"/>
                <w:szCs w:val="5"/>
                <w:color w:val="auto"/>
              </w:rPr>
            </w:pPr>
          </w:p>
        </w:tc>
        <w:tc>
          <w:tcPr>
            <w:tcW w:w="15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gridSpan w:val="3"/>
          </w:tcPr>
          <w:p>
            <w:pPr>
              <w:jc w:val="right"/>
              <w:ind w:right="60"/>
              <w:spacing w:after="0"/>
              <w:rPr>
                <w:sz w:val="20"/>
                <w:szCs w:val="20"/>
                <w:color w:val="auto"/>
              </w:rPr>
            </w:pPr>
            <w:r>
              <w:rPr>
                <w:rFonts w:ascii="Arial" w:cs="Arial" w:eastAsia="Arial" w:hAnsi="Arial"/>
                <w:sz w:val="16"/>
                <w:szCs w:val="16"/>
                <w:color w:val="14202A"/>
              </w:rPr>
              <w:t>Total Payout Percentage</w:t>
            </w:r>
          </w:p>
        </w:tc>
        <w:tc>
          <w:tcPr>
            <w:tcW w:w="1540" w:type="dxa"/>
            <w:vAlign w:val="bottom"/>
          </w:tcPr>
          <w:p>
            <w:pPr>
              <w:jc w:val="right"/>
              <w:ind w:right="388"/>
              <w:spacing w:after="0"/>
              <w:rPr>
                <w:sz w:val="20"/>
                <w:szCs w:val="20"/>
                <w:color w:val="auto"/>
              </w:rPr>
            </w:pPr>
            <w:r>
              <w:rPr>
                <w:rFonts w:ascii="Arial" w:cs="Arial" w:eastAsia="Arial" w:hAnsi="Arial"/>
                <w:sz w:val="16"/>
                <w:szCs w:val="16"/>
                <w:color w:val="14202A"/>
              </w:rPr>
              <w:t>150%</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72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94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020" w:type="dxa"/>
            <w:vAlign w:val="bottom"/>
            <w:tcBorders>
              <w:bottom w:val="single" w:sz="8" w:color="14202A"/>
            </w:tcBorders>
            <w:gridSpan w:val="3"/>
          </w:tcPr>
          <w:p>
            <w:pPr>
              <w:spacing w:after="0"/>
              <w:rPr>
                <w:sz w:val="5"/>
                <w:szCs w:val="5"/>
                <w:color w:val="auto"/>
              </w:rPr>
            </w:pPr>
          </w:p>
        </w:tc>
        <w:tc>
          <w:tcPr>
            <w:tcW w:w="15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gridSpan w:val="3"/>
          </w:tcPr>
          <w:p>
            <w:pPr>
              <w:jc w:val="right"/>
              <w:ind w:right="60"/>
              <w:spacing w:after="0"/>
              <w:rPr>
                <w:sz w:val="20"/>
                <w:szCs w:val="20"/>
                <w:color w:val="auto"/>
              </w:rPr>
            </w:pPr>
            <w:r>
              <w:rPr>
                <w:rFonts w:ascii="Arial" w:cs="Arial" w:eastAsia="Arial" w:hAnsi="Arial"/>
                <w:sz w:val="16"/>
                <w:szCs w:val="16"/>
                <w:color w:val="14202A"/>
              </w:rPr>
              <w:t>50% of Total Percentage</w:t>
            </w:r>
          </w:p>
        </w:tc>
        <w:tc>
          <w:tcPr>
            <w:tcW w:w="1540" w:type="dxa"/>
            <w:vAlign w:val="bottom"/>
          </w:tcPr>
          <w:p>
            <w:pPr>
              <w:jc w:val="right"/>
              <w:ind w:right="408"/>
              <w:spacing w:after="0"/>
              <w:rPr>
                <w:sz w:val="20"/>
                <w:szCs w:val="20"/>
                <w:color w:val="auto"/>
              </w:rPr>
            </w:pPr>
            <w:r>
              <w:rPr>
                <w:rFonts w:ascii="Arial" w:cs="Arial" w:eastAsia="Arial" w:hAnsi="Arial"/>
                <w:sz w:val="16"/>
                <w:szCs w:val="16"/>
                <w:color w:val="14202A"/>
              </w:rPr>
              <w:t>75%</w:t>
            </w:r>
          </w:p>
        </w:tc>
        <w:tc>
          <w:tcPr>
            <w:tcW w:w="0" w:type="dxa"/>
            <w:vAlign w:val="bottom"/>
          </w:tcPr>
          <w:p>
            <w:pPr>
              <w:spacing w:after="0"/>
              <w:rPr>
                <w:sz w:val="1"/>
                <w:szCs w:val="1"/>
                <w:color w:val="auto"/>
              </w:rPr>
            </w:pPr>
          </w:p>
        </w:tc>
      </w:tr>
      <w:tr>
        <w:trPr>
          <w:trHeight w:val="31"/>
        </w:trPr>
        <w:tc>
          <w:tcPr>
            <w:tcW w:w="100" w:type="dxa"/>
            <w:vAlign w:val="bottom"/>
            <w:tcBorders>
              <w:bottom w:val="single" w:sz="8" w:color="14202A"/>
            </w:tcBorders>
          </w:tcPr>
          <w:p>
            <w:pPr>
              <w:spacing w:after="0"/>
              <w:rPr>
                <w:sz w:val="2"/>
                <w:szCs w:val="2"/>
                <w:color w:val="auto"/>
              </w:rPr>
            </w:pPr>
          </w:p>
        </w:tc>
        <w:tc>
          <w:tcPr>
            <w:tcW w:w="1720" w:type="dxa"/>
            <w:vAlign w:val="bottom"/>
            <w:tcBorders>
              <w:bottom w:val="single" w:sz="8" w:color="14202A"/>
            </w:tcBorders>
          </w:tcPr>
          <w:p>
            <w:pPr>
              <w:spacing w:after="0"/>
              <w:rPr>
                <w:sz w:val="2"/>
                <w:szCs w:val="2"/>
                <w:color w:val="auto"/>
              </w:rPr>
            </w:pPr>
          </w:p>
        </w:tc>
        <w:tc>
          <w:tcPr>
            <w:tcW w:w="960" w:type="dxa"/>
            <w:vAlign w:val="bottom"/>
            <w:tcBorders>
              <w:bottom w:val="single" w:sz="8" w:color="14202A"/>
            </w:tcBorders>
          </w:tcPr>
          <w:p>
            <w:pPr>
              <w:spacing w:after="0"/>
              <w:rPr>
                <w:sz w:val="2"/>
                <w:szCs w:val="2"/>
                <w:color w:val="auto"/>
              </w:rPr>
            </w:pPr>
          </w:p>
        </w:tc>
        <w:tc>
          <w:tcPr>
            <w:tcW w:w="280" w:type="dxa"/>
            <w:vAlign w:val="bottom"/>
            <w:tcBorders>
              <w:bottom w:val="single" w:sz="8" w:color="14202A"/>
            </w:tcBorders>
          </w:tcPr>
          <w:p>
            <w:pPr>
              <w:spacing w:after="0"/>
              <w:rPr>
                <w:sz w:val="2"/>
                <w:szCs w:val="2"/>
                <w:color w:val="auto"/>
              </w:rPr>
            </w:pPr>
          </w:p>
        </w:tc>
        <w:tc>
          <w:tcPr>
            <w:tcW w:w="680" w:type="dxa"/>
            <w:vAlign w:val="bottom"/>
            <w:tcBorders>
              <w:bottom w:val="single" w:sz="8" w:color="14202A"/>
            </w:tcBorders>
          </w:tcPr>
          <w:p>
            <w:pPr>
              <w:spacing w:after="0"/>
              <w:rPr>
                <w:sz w:val="2"/>
                <w:szCs w:val="2"/>
                <w:color w:val="auto"/>
              </w:rPr>
            </w:pPr>
          </w:p>
        </w:tc>
        <w:tc>
          <w:tcPr>
            <w:tcW w:w="800" w:type="dxa"/>
            <w:vAlign w:val="bottom"/>
            <w:tcBorders>
              <w:bottom w:val="single" w:sz="8" w:color="14202A"/>
            </w:tcBorders>
          </w:tcPr>
          <w:p>
            <w:pPr>
              <w:spacing w:after="0"/>
              <w:rPr>
                <w:sz w:val="2"/>
                <w:szCs w:val="2"/>
                <w:color w:val="auto"/>
              </w:rPr>
            </w:pPr>
          </w:p>
        </w:tc>
        <w:tc>
          <w:tcPr>
            <w:tcW w:w="940" w:type="dxa"/>
            <w:vAlign w:val="bottom"/>
            <w:tcBorders>
              <w:bottom w:val="single" w:sz="8" w:color="14202A"/>
            </w:tcBorders>
          </w:tcPr>
          <w:p>
            <w:pPr>
              <w:spacing w:after="0"/>
              <w:rPr>
                <w:sz w:val="2"/>
                <w:szCs w:val="2"/>
                <w:color w:val="auto"/>
              </w:rPr>
            </w:pPr>
          </w:p>
        </w:tc>
        <w:tc>
          <w:tcPr>
            <w:tcW w:w="240" w:type="dxa"/>
            <w:vAlign w:val="bottom"/>
            <w:tcBorders>
              <w:bottom w:val="single" w:sz="8" w:color="14202A"/>
            </w:tcBorders>
          </w:tcPr>
          <w:p>
            <w:pPr>
              <w:spacing w:after="0"/>
              <w:rPr>
                <w:sz w:val="2"/>
                <w:szCs w:val="2"/>
                <w:color w:val="auto"/>
              </w:rPr>
            </w:pPr>
          </w:p>
        </w:tc>
        <w:tc>
          <w:tcPr>
            <w:tcW w:w="860" w:type="dxa"/>
            <w:vAlign w:val="bottom"/>
            <w:tcBorders>
              <w:bottom w:val="single" w:sz="8" w:color="14202A"/>
            </w:tcBorders>
          </w:tcPr>
          <w:p>
            <w:pPr>
              <w:spacing w:after="0"/>
              <w:rPr>
                <w:sz w:val="2"/>
                <w:szCs w:val="2"/>
                <w:color w:val="auto"/>
              </w:rPr>
            </w:pPr>
          </w:p>
        </w:tc>
        <w:tc>
          <w:tcPr>
            <w:tcW w:w="340" w:type="dxa"/>
            <w:vAlign w:val="bottom"/>
            <w:tcBorders>
              <w:bottom w:val="single" w:sz="8" w:color="14202A"/>
            </w:tcBorders>
          </w:tcPr>
          <w:p>
            <w:pPr>
              <w:spacing w:after="0"/>
              <w:rPr>
                <w:sz w:val="2"/>
                <w:szCs w:val="2"/>
                <w:color w:val="auto"/>
              </w:rPr>
            </w:pPr>
          </w:p>
        </w:tc>
        <w:tc>
          <w:tcPr>
            <w:tcW w:w="820" w:type="dxa"/>
            <w:vAlign w:val="bottom"/>
            <w:tcBorders>
              <w:bottom w:val="single" w:sz="8" w:color="14202A"/>
            </w:tcBorders>
          </w:tcPr>
          <w:p>
            <w:pPr>
              <w:spacing w:after="0"/>
              <w:rPr>
                <w:sz w:val="2"/>
                <w:szCs w:val="2"/>
                <w:color w:val="auto"/>
              </w:rPr>
            </w:pPr>
          </w:p>
        </w:tc>
        <w:tc>
          <w:tcPr>
            <w:tcW w:w="1540" w:type="dxa"/>
            <w:vAlign w:val="bottom"/>
            <w:tcBorders>
              <w:bottom w:val="single" w:sz="8" w:color="14202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120" w:hanging="360"/>
        <w:spacing w:after="0" w:line="243" w:lineRule="auto"/>
        <w:tabs>
          <w:tab w:leader="none" w:pos="360" w:val="left"/>
        </w:tabs>
        <w:numPr>
          <w:ilvl w:val="0"/>
          <w:numId w:val="26"/>
        </w:numPr>
        <w:rPr>
          <w:rFonts w:ascii="Arial" w:cs="Arial" w:eastAsia="Arial" w:hAnsi="Arial"/>
          <w:sz w:val="13"/>
          <w:szCs w:val="13"/>
          <w:color w:val="14202A"/>
        </w:rPr>
      </w:pPr>
      <w:r>
        <w:rPr>
          <w:rFonts w:ascii="Arial" w:cs="Arial" w:eastAsia="Arial" w:hAnsi="Arial"/>
          <w:sz w:val="13"/>
          <w:szCs w:val="13"/>
          <w:color w:val="14202A"/>
        </w:rPr>
        <w:t>Ms. Bogart’s performance metrics are 60% Operating Income and 40% Net Revenue. Based on these weightings, Ms. Bogart’s total payout percentage for the first six-month performance period was 160%, and her 50% of total percentage was 80%.</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Enterprise-Wide Financial Performance Metrics for the Second Six-Month Fiscal Year Period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1720" w:type="dxa"/>
            <w:vAlign w:val="bottom"/>
            <w:shd w:val="clear" w:color="auto" w:fill="14202A"/>
          </w:tcPr>
          <w:p>
            <w:pPr>
              <w:spacing w:after="0"/>
              <w:rPr>
                <w:sz w:val="19"/>
                <w:szCs w:val="19"/>
                <w:color w:val="auto"/>
              </w:rPr>
            </w:pPr>
          </w:p>
        </w:tc>
        <w:tc>
          <w:tcPr>
            <w:tcW w:w="960" w:type="dxa"/>
            <w:vAlign w:val="bottom"/>
            <w:shd w:val="clear" w:color="auto" w:fill="14202A"/>
          </w:tcPr>
          <w:p>
            <w:pPr>
              <w:spacing w:after="0"/>
              <w:rPr>
                <w:sz w:val="19"/>
                <w:szCs w:val="19"/>
                <w:color w:val="auto"/>
              </w:rPr>
            </w:pPr>
          </w:p>
        </w:tc>
        <w:tc>
          <w:tcPr>
            <w:tcW w:w="9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Threshold</w:t>
            </w:r>
          </w:p>
        </w:tc>
        <w:tc>
          <w:tcPr>
            <w:tcW w:w="1760" w:type="dxa"/>
            <w:vAlign w:val="bottom"/>
            <w:gridSpan w:val="2"/>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1100" w:type="dxa"/>
            <w:vAlign w:val="bottom"/>
            <w:gridSpan w:val="2"/>
            <w:vMerge w:val="restart"/>
            <w:shd w:val="clear" w:color="auto" w:fill="14202A"/>
          </w:tcPr>
          <w:p>
            <w:pPr>
              <w:jc w:val="center"/>
              <w:ind w:right="5"/>
              <w:spacing w:after="0"/>
              <w:rPr>
                <w:sz w:val="20"/>
                <w:szCs w:val="20"/>
                <w:color w:val="auto"/>
              </w:rPr>
            </w:pPr>
            <w:r>
              <w:rPr>
                <w:rFonts w:ascii="Arial" w:cs="Arial" w:eastAsia="Arial" w:hAnsi="Arial"/>
                <w:sz w:val="13"/>
                <w:szCs w:val="13"/>
                <w:b w:val="1"/>
                <w:bCs w:val="1"/>
                <w:color w:val="FFFFFF"/>
                <w:w w:val="96"/>
              </w:rPr>
              <w:t>Maximum</w:t>
            </w:r>
          </w:p>
        </w:tc>
        <w:tc>
          <w:tcPr>
            <w:tcW w:w="320" w:type="dxa"/>
            <w:vAlign w:val="bottom"/>
            <w:shd w:val="clear" w:color="auto" w:fill="14202A"/>
          </w:tcPr>
          <w:p>
            <w:pPr>
              <w:spacing w:after="0"/>
              <w:rPr>
                <w:sz w:val="19"/>
                <w:szCs w:val="19"/>
                <w:color w:val="auto"/>
              </w:rPr>
            </w:pPr>
          </w:p>
        </w:tc>
        <w:tc>
          <w:tcPr>
            <w:tcW w:w="820" w:type="dxa"/>
            <w:vAlign w:val="bottom"/>
            <w:shd w:val="clear" w:color="auto" w:fill="14202A"/>
          </w:tcPr>
          <w:p>
            <w:pPr>
              <w:spacing w:after="0"/>
              <w:rPr>
                <w:sz w:val="19"/>
                <w:szCs w:val="19"/>
                <w:color w:val="auto"/>
              </w:rPr>
            </w:pPr>
          </w:p>
        </w:tc>
        <w:tc>
          <w:tcPr>
            <w:tcW w:w="15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Actual</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720" w:type="dxa"/>
            <w:vAlign w:val="bottom"/>
            <w:shd w:val="clear" w:color="auto" w:fill="14202A"/>
          </w:tcPr>
          <w:p>
            <w:pPr>
              <w:spacing w:after="0"/>
              <w:rPr>
                <w:sz w:val="11"/>
                <w:szCs w:val="11"/>
                <w:color w:val="auto"/>
              </w:rPr>
            </w:pPr>
          </w:p>
        </w:tc>
        <w:tc>
          <w:tcPr>
            <w:tcW w:w="960" w:type="dxa"/>
            <w:vAlign w:val="bottom"/>
            <w:shd w:val="clear" w:color="auto" w:fill="14202A"/>
          </w:tcPr>
          <w:p>
            <w:pPr>
              <w:spacing w:after="0"/>
              <w:rPr>
                <w:sz w:val="11"/>
                <w:szCs w:val="11"/>
                <w:color w:val="auto"/>
              </w:rPr>
            </w:pPr>
          </w:p>
        </w:tc>
        <w:tc>
          <w:tcPr>
            <w:tcW w:w="960" w:type="dxa"/>
            <w:vAlign w:val="bottom"/>
            <w:vMerge w:val="continue"/>
            <w:shd w:val="clear" w:color="auto" w:fill="14202A"/>
          </w:tcPr>
          <w:p>
            <w:pPr>
              <w:spacing w:after="0"/>
              <w:rPr>
                <w:sz w:val="11"/>
                <w:szCs w:val="11"/>
                <w:color w:val="auto"/>
              </w:rPr>
            </w:pPr>
          </w:p>
        </w:tc>
        <w:tc>
          <w:tcPr>
            <w:tcW w:w="1760" w:type="dxa"/>
            <w:vAlign w:val="bottom"/>
            <w:gridSpan w:val="2"/>
            <w:vMerge w:val="continue"/>
            <w:shd w:val="clear" w:color="auto" w:fill="14202A"/>
          </w:tcPr>
          <w:p>
            <w:pPr>
              <w:spacing w:after="0"/>
              <w:rPr>
                <w:sz w:val="11"/>
                <w:szCs w:val="11"/>
                <w:color w:val="auto"/>
              </w:rPr>
            </w:pPr>
          </w:p>
        </w:tc>
        <w:tc>
          <w:tcPr>
            <w:tcW w:w="1100" w:type="dxa"/>
            <w:vAlign w:val="bottom"/>
            <w:gridSpan w:val="2"/>
            <w:vMerge w:val="continue"/>
            <w:shd w:val="clear" w:color="auto" w:fill="14202A"/>
          </w:tcPr>
          <w:p>
            <w:pPr>
              <w:spacing w:after="0"/>
              <w:rPr>
                <w:sz w:val="11"/>
                <w:szCs w:val="11"/>
                <w:color w:val="auto"/>
              </w:rPr>
            </w:pPr>
          </w:p>
        </w:tc>
        <w:tc>
          <w:tcPr>
            <w:tcW w:w="1140" w:type="dxa"/>
            <w:vAlign w:val="bottom"/>
            <w:gridSpan w:val="2"/>
            <w:vMerge w:val="restart"/>
            <w:shd w:val="clear" w:color="auto" w:fill="14202A"/>
          </w:tcPr>
          <w:p>
            <w:pPr>
              <w:jc w:val="right"/>
              <w:ind w:right="200"/>
              <w:spacing w:after="0"/>
              <w:rPr>
                <w:sz w:val="20"/>
                <w:szCs w:val="20"/>
                <w:color w:val="auto"/>
              </w:rPr>
            </w:pPr>
            <w:r>
              <w:rPr>
                <w:rFonts w:ascii="Arial" w:cs="Arial" w:eastAsia="Arial" w:hAnsi="Arial"/>
                <w:sz w:val="13"/>
                <w:szCs w:val="13"/>
                <w:b w:val="1"/>
                <w:bCs w:val="1"/>
                <w:color w:val="FFFFFF"/>
              </w:rPr>
              <w:t>Fiscal 2026</w:t>
            </w:r>
          </w:p>
        </w:tc>
        <w:tc>
          <w:tcPr>
            <w:tcW w:w="15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Payout % for Messrs.</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72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Metric</w:t>
            </w:r>
          </w:p>
        </w:tc>
        <w:tc>
          <w:tcPr>
            <w:tcW w:w="960" w:type="dxa"/>
            <w:vAlign w:val="bottom"/>
            <w:vMerge w:val="restart"/>
            <w:shd w:val="clear" w:color="auto" w:fill="14202A"/>
          </w:tcPr>
          <w:p>
            <w:pPr>
              <w:jc w:val="right"/>
              <w:ind w:right="84"/>
              <w:spacing w:after="0"/>
              <w:rPr>
                <w:sz w:val="20"/>
                <w:szCs w:val="20"/>
                <w:color w:val="auto"/>
              </w:rPr>
            </w:pPr>
            <w:r>
              <w:rPr>
                <w:rFonts w:ascii="Arial" w:cs="Arial" w:eastAsia="Arial" w:hAnsi="Arial"/>
                <w:sz w:val="13"/>
                <w:szCs w:val="13"/>
                <w:b w:val="1"/>
                <w:bCs w:val="1"/>
                <w:color w:val="FFFFFF"/>
              </w:rPr>
              <w:t>Weight</w:t>
            </w:r>
            <w:r>
              <w:rPr>
                <w:rFonts w:ascii="Arial" w:cs="Arial" w:eastAsia="Arial" w:hAnsi="Arial"/>
                <w:sz w:val="20"/>
                <w:szCs w:val="20"/>
                <w:b w:val="1"/>
                <w:bCs w:val="1"/>
                <w:color w:val="FFFFFF"/>
                <w:vertAlign w:val="superscript"/>
              </w:rPr>
              <w:t>(1)</w:t>
            </w:r>
          </w:p>
        </w:tc>
        <w:tc>
          <w:tcPr>
            <w:tcW w:w="9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8"/>
              </w:rPr>
              <w:t>(50%</w:t>
            </w:r>
          </w:p>
        </w:tc>
        <w:tc>
          <w:tcPr>
            <w:tcW w:w="1760" w:type="dxa"/>
            <w:vAlign w:val="bottom"/>
            <w:gridSpan w:val="2"/>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(100%</w:t>
            </w:r>
          </w:p>
        </w:tc>
        <w:tc>
          <w:tcPr>
            <w:tcW w:w="240" w:type="dxa"/>
            <w:vAlign w:val="bottom"/>
            <w:shd w:val="clear" w:color="auto" w:fill="14202A"/>
          </w:tcPr>
          <w:p>
            <w:pPr>
              <w:spacing w:after="0"/>
              <w:rPr>
                <w:sz w:val="11"/>
                <w:szCs w:val="11"/>
                <w:color w:val="auto"/>
              </w:rPr>
            </w:pPr>
          </w:p>
        </w:tc>
        <w:tc>
          <w:tcPr>
            <w:tcW w:w="860" w:type="dxa"/>
            <w:vAlign w:val="bottom"/>
            <w:shd w:val="clear" w:color="auto" w:fill="14202A"/>
          </w:tcPr>
          <w:p>
            <w:pPr>
              <w:jc w:val="center"/>
              <w:ind w:right="265"/>
              <w:spacing w:after="0" w:line="135" w:lineRule="exact"/>
              <w:rPr>
                <w:sz w:val="20"/>
                <w:szCs w:val="20"/>
                <w:color w:val="auto"/>
              </w:rPr>
            </w:pPr>
            <w:r>
              <w:rPr>
                <w:rFonts w:ascii="Arial" w:cs="Arial" w:eastAsia="Arial" w:hAnsi="Arial"/>
                <w:sz w:val="13"/>
                <w:szCs w:val="13"/>
                <w:b w:val="1"/>
                <w:bCs w:val="1"/>
                <w:color w:val="FFFFFF"/>
                <w:w w:val="95"/>
              </w:rPr>
              <w:t>(200%</w:t>
            </w:r>
          </w:p>
        </w:tc>
        <w:tc>
          <w:tcPr>
            <w:tcW w:w="1140" w:type="dxa"/>
            <w:vAlign w:val="bottom"/>
            <w:gridSpan w:val="2"/>
            <w:vMerge w:val="continue"/>
            <w:shd w:val="clear" w:color="auto" w:fill="14202A"/>
          </w:tcPr>
          <w:p>
            <w:pPr>
              <w:spacing w:after="0"/>
              <w:rPr>
                <w:sz w:val="11"/>
                <w:szCs w:val="11"/>
                <w:color w:val="auto"/>
              </w:rPr>
            </w:pPr>
          </w:p>
        </w:tc>
        <w:tc>
          <w:tcPr>
            <w:tcW w:w="15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Happe and Hughes</w:t>
            </w:r>
          </w:p>
        </w:tc>
        <w:tc>
          <w:tcPr>
            <w:tcW w:w="0" w:type="dxa"/>
            <w:vAlign w:val="bottom"/>
          </w:tcPr>
          <w:p>
            <w:pPr>
              <w:spacing w:after="0"/>
              <w:rPr>
                <w:sz w:val="1"/>
                <w:szCs w:val="1"/>
                <w:color w:val="auto"/>
              </w:rPr>
            </w:pPr>
          </w:p>
        </w:tc>
      </w:tr>
      <w:tr>
        <w:trPr>
          <w:trHeight w:val="220"/>
        </w:trPr>
        <w:tc>
          <w:tcPr>
            <w:tcW w:w="100" w:type="dxa"/>
            <w:vAlign w:val="bottom"/>
            <w:shd w:val="clear" w:color="auto" w:fill="14202A"/>
          </w:tcPr>
          <w:p>
            <w:pPr>
              <w:spacing w:after="0"/>
              <w:rPr>
                <w:sz w:val="19"/>
                <w:szCs w:val="19"/>
                <w:color w:val="auto"/>
              </w:rPr>
            </w:pPr>
          </w:p>
        </w:tc>
        <w:tc>
          <w:tcPr>
            <w:tcW w:w="1720" w:type="dxa"/>
            <w:vAlign w:val="bottom"/>
            <w:vMerge w:val="continue"/>
            <w:shd w:val="clear" w:color="auto" w:fill="14202A"/>
          </w:tcPr>
          <w:p>
            <w:pPr>
              <w:spacing w:after="0"/>
              <w:rPr>
                <w:sz w:val="19"/>
                <w:szCs w:val="19"/>
                <w:color w:val="auto"/>
              </w:rPr>
            </w:pPr>
          </w:p>
        </w:tc>
        <w:tc>
          <w:tcPr>
            <w:tcW w:w="960" w:type="dxa"/>
            <w:vAlign w:val="bottom"/>
            <w:vMerge w:val="continue"/>
            <w:shd w:val="clear" w:color="auto" w:fill="14202A"/>
          </w:tcPr>
          <w:p>
            <w:pPr>
              <w:spacing w:after="0"/>
              <w:rPr>
                <w:sz w:val="19"/>
                <w:szCs w:val="19"/>
                <w:color w:val="auto"/>
              </w:rPr>
            </w:pPr>
          </w:p>
        </w:tc>
        <w:tc>
          <w:tcPr>
            <w:tcW w:w="9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76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240" w:type="dxa"/>
            <w:vAlign w:val="bottom"/>
            <w:shd w:val="clear" w:color="auto" w:fill="14202A"/>
          </w:tcPr>
          <w:p>
            <w:pPr>
              <w:spacing w:after="0"/>
              <w:rPr>
                <w:sz w:val="19"/>
                <w:szCs w:val="19"/>
                <w:color w:val="auto"/>
              </w:rPr>
            </w:pPr>
          </w:p>
        </w:tc>
        <w:tc>
          <w:tcPr>
            <w:tcW w:w="860" w:type="dxa"/>
            <w:vAlign w:val="bottom"/>
            <w:shd w:val="clear" w:color="auto" w:fill="14202A"/>
          </w:tcPr>
          <w:p>
            <w:pPr>
              <w:jc w:val="center"/>
              <w:ind w:right="205"/>
              <w:spacing w:after="0"/>
              <w:rPr>
                <w:sz w:val="20"/>
                <w:szCs w:val="20"/>
                <w:color w:val="auto"/>
              </w:rPr>
            </w:pPr>
            <w:r>
              <w:rPr>
                <w:rFonts w:ascii="Arial" w:cs="Arial" w:eastAsia="Arial" w:hAnsi="Arial"/>
                <w:sz w:val="13"/>
                <w:szCs w:val="13"/>
                <w:b w:val="1"/>
                <w:bCs w:val="1"/>
                <w:color w:val="FFFFFF"/>
                <w:w w:val="96"/>
              </w:rPr>
              <w:t>Payout)</w:t>
            </w:r>
          </w:p>
        </w:tc>
        <w:tc>
          <w:tcPr>
            <w:tcW w:w="1140" w:type="dxa"/>
            <w:vAlign w:val="bottom"/>
            <w:gridSpan w:val="2"/>
            <w:shd w:val="clear" w:color="auto" w:fill="14202A"/>
          </w:tcPr>
          <w:p>
            <w:pPr>
              <w:jc w:val="right"/>
              <w:ind w:right="120"/>
              <w:spacing w:after="0"/>
              <w:rPr>
                <w:sz w:val="20"/>
                <w:szCs w:val="20"/>
                <w:color w:val="auto"/>
              </w:rPr>
            </w:pPr>
            <w:r>
              <w:rPr>
                <w:rFonts w:ascii="Arial" w:cs="Arial" w:eastAsia="Arial" w:hAnsi="Arial"/>
                <w:sz w:val="13"/>
                <w:szCs w:val="13"/>
                <w:b w:val="1"/>
                <w:bCs w:val="1"/>
                <w:color w:val="FFFFFF"/>
              </w:rPr>
              <w:t>Performance</w:t>
            </w:r>
          </w:p>
        </w:tc>
        <w:tc>
          <w:tcPr>
            <w:tcW w:w="15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(Weighted)</w:t>
            </w:r>
          </w:p>
        </w:tc>
        <w:tc>
          <w:tcPr>
            <w:tcW w:w="0" w:type="dxa"/>
            <w:vAlign w:val="bottom"/>
          </w:tcPr>
          <w:p>
            <w:pPr>
              <w:spacing w:after="0"/>
              <w:rPr>
                <w:sz w:val="1"/>
                <w:szCs w:val="1"/>
                <w:color w:val="auto"/>
              </w:rPr>
            </w:pPr>
          </w:p>
        </w:tc>
      </w:tr>
      <w:tr>
        <w:trPr>
          <w:trHeight w:val="266"/>
        </w:trPr>
        <w:tc>
          <w:tcPr>
            <w:tcW w:w="100" w:type="dxa"/>
            <w:vAlign w:val="bottom"/>
          </w:tcPr>
          <w:p>
            <w:pPr>
              <w:spacing w:after="0"/>
              <w:rPr>
                <w:sz w:val="23"/>
                <w:szCs w:val="23"/>
                <w:color w:val="auto"/>
              </w:rPr>
            </w:pPr>
          </w:p>
        </w:tc>
        <w:tc>
          <w:tcPr>
            <w:tcW w:w="1720" w:type="dxa"/>
            <w:vAlign w:val="bottom"/>
          </w:tcPr>
          <w:p>
            <w:pPr>
              <w:ind w:left="40"/>
              <w:spacing w:after="0"/>
              <w:rPr>
                <w:sz w:val="20"/>
                <w:szCs w:val="20"/>
                <w:color w:val="auto"/>
              </w:rPr>
            </w:pPr>
            <w:r>
              <w:rPr>
                <w:rFonts w:ascii="Arial" w:cs="Arial" w:eastAsia="Arial" w:hAnsi="Arial"/>
                <w:sz w:val="16"/>
                <w:szCs w:val="16"/>
                <w:color w:val="14202A"/>
              </w:rPr>
              <w:t>Operating Income</w:t>
            </w:r>
          </w:p>
        </w:tc>
        <w:tc>
          <w:tcPr>
            <w:tcW w:w="960" w:type="dxa"/>
            <w:vAlign w:val="bottom"/>
          </w:tcPr>
          <w:p>
            <w:pPr>
              <w:jc w:val="right"/>
              <w:ind w:right="144"/>
              <w:spacing w:after="0"/>
              <w:rPr>
                <w:sz w:val="20"/>
                <w:szCs w:val="20"/>
                <w:color w:val="auto"/>
              </w:rPr>
            </w:pPr>
            <w:r>
              <w:rPr>
                <w:rFonts w:ascii="Arial" w:cs="Arial" w:eastAsia="Arial" w:hAnsi="Arial"/>
                <w:sz w:val="16"/>
                <w:szCs w:val="16"/>
                <w:color w:val="14202A"/>
              </w:rPr>
              <w:t>50%</w:t>
            </w:r>
          </w:p>
        </w:tc>
        <w:tc>
          <w:tcPr>
            <w:tcW w:w="960" w:type="dxa"/>
            <w:vAlign w:val="bottom"/>
          </w:tcPr>
          <w:p>
            <w:pPr>
              <w:jc w:val="right"/>
              <w:ind w:right="228"/>
              <w:spacing w:after="0"/>
              <w:rPr>
                <w:sz w:val="20"/>
                <w:szCs w:val="20"/>
                <w:color w:val="auto"/>
              </w:rPr>
            </w:pPr>
            <w:r>
              <w:rPr>
                <w:rFonts w:ascii="Arial" w:cs="Arial" w:eastAsia="Arial" w:hAnsi="Arial"/>
                <w:sz w:val="16"/>
                <w:szCs w:val="16"/>
                <w:color w:val="14202A"/>
              </w:rPr>
              <w:t>$ 37.9</w:t>
            </w:r>
          </w:p>
        </w:tc>
        <w:tc>
          <w:tcPr>
            <w:tcW w:w="800" w:type="dxa"/>
            <w:vAlign w:val="bottom"/>
          </w:tcPr>
          <w:p>
            <w:pPr>
              <w:jc w:val="right"/>
              <w:spacing w:after="0"/>
              <w:rPr>
                <w:sz w:val="20"/>
                <w:szCs w:val="20"/>
                <w:color w:val="auto"/>
              </w:rPr>
            </w:pPr>
            <w:r>
              <w:rPr>
                <w:rFonts w:ascii="Arial" w:cs="Arial" w:eastAsia="Arial" w:hAnsi="Arial"/>
                <w:sz w:val="16"/>
                <w:szCs w:val="16"/>
                <w:color w:val="14202A"/>
              </w:rPr>
              <w:t>$72.1</w:t>
            </w:r>
          </w:p>
        </w:tc>
        <w:tc>
          <w:tcPr>
            <w:tcW w:w="960" w:type="dxa"/>
            <w:vAlign w:val="bottom"/>
          </w:tcPr>
          <w:p>
            <w:pPr>
              <w:ind w:left="20"/>
              <w:spacing w:after="0"/>
              <w:rPr>
                <w:sz w:val="20"/>
                <w:szCs w:val="20"/>
                <w:color w:val="auto"/>
              </w:rPr>
            </w:pPr>
            <w:r>
              <w:rPr>
                <w:rFonts w:ascii="Arial" w:cs="Arial" w:eastAsia="Arial" w:hAnsi="Arial"/>
                <w:sz w:val="16"/>
                <w:szCs w:val="16"/>
                <w:color w:val="14202A"/>
              </w:rPr>
              <w:t>– $79.7</w:t>
            </w:r>
          </w:p>
        </w:tc>
        <w:tc>
          <w:tcPr>
            <w:tcW w:w="240" w:type="dxa"/>
            <w:vAlign w:val="bottom"/>
          </w:tcPr>
          <w:p>
            <w:pPr>
              <w:jc w:val="right"/>
              <w:spacing w:after="0"/>
              <w:rPr>
                <w:sz w:val="20"/>
                <w:szCs w:val="20"/>
                <w:color w:val="auto"/>
              </w:rPr>
            </w:pPr>
            <w:r>
              <w:rPr>
                <w:rFonts w:ascii="Arial" w:cs="Arial" w:eastAsia="Arial" w:hAnsi="Arial"/>
                <w:sz w:val="16"/>
                <w:szCs w:val="16"/>
                <w:color w:val="14202A"/>
              </w:rPr>
              <w:t>$</w:t>
            </w:r>
          </w:p>
        </w:tc>
        <w:tc>
          <w:tcPr>
            <w:tcW w:w="860" w:type="dxa"/>
            <w:vAlign w:val="bottom"/>
          </w:tcPr>
          <w:p>
            <w:pPr>
              <w:jc w:val="right"/>
              <w:ind w:right="245"/>
              <w:spacing w:after="0"/>
              <w:rPr>
                <w:sz w:val="20"/>
                <w:szCs w:val="20"/>
                <w:color w:val="auto"/>
              </w:rPr>
            </w:pPr>
            <w:r>
              <w:rPr>
                <w:rFonts w:ascii="Arial" w:cs="Arial" w:eastAsia="Arial" w:hAnsi="Arial"/>
                <w:sz w:val="16"/>
                <w:szCs w:val="16"/>
                <w:color w:val="14202A"/>
              </w:rPr>
              <w:t>94.8</w:t>
            </w:r>
          </w:p>
        </w:tc>
        <w:tc>
          <w:tcPr>
            <w:tcW w:w="320" w:type="dxa"/>
            <w:vAlign w:val="bottom"/>
          </w:tcPr>
          <w:p>
            <w:pPr>
              <w:jc w:val="right"/>
              <w:spacing w:after="0"/>
              <w:rPr>
                <w:sz w:val="20"/>
                <w:szCs w:val="20"/>
                <w:color w:val="auto"/>
              </w:rPr>
            </w:pPr>
            <w:r>
              <w:rPr>
                <w:rFonts w:ascii="Arial" w:cs="Arial" w:eastAsia="Arial" w:hAnsi="Arial"/>
                <w:sz w:val="16"/>
                <w:szCs w:val="16"/>
                <w:color w:val="14202A"/>
              </w:rPr>
              <w:t>$</w:t>
            </w:r>
          </w:p>
        </w:tc>
        <w:tc>
          <w:tcPr>
            <w:tcW w:w="820" w:type="dxa"/>
            <w:vAlign w:val="bottom"/>
          </w:tcPr>
          <w:p>
            <w:pPr>
              <w:jc w:val="right"/>
              <w:ind w:right="220"/>
              <w:spacing w:after="0"/>
              <w:rPr>
                <w:sz w:val="20"/>
                <w:szCs w:val="20"/>
                <w:color w:val="auto"/>
              </w:rPr>
            </w:pPr>
            <w:r>
              <w:rPr>
                <w:rFonts w:ascii="Arial" w:cs="Arial" w:eastAsia="Arial" w:hAnsi="Arial"/>
                <w:sz w:val="16"/>
                <w:szCs w:val="16"/>
                <w:color w:val="14202A"/>
              </w:rPr>
              <w:t>40.6</w:t>
            </w:r>
          </w:p>
        </w:tc>
        <w:tc>
          <w:tcPr>
            <w:tcW w:w="1540" w:type="dxa"/>
            <w:vAlign w:val="bottom"/>
          </w:tcPr>
          <w:p>
            <w:pPr>
              <w:jc w:val="right"/>
              <w:ind w:right="388"/>
              <w:spacing w:after="0"/>
              <w:rPr>
                <w:sz w:val="20"/>
                <w:szCs w:val="20"/>
                <w:color w:val="auto"/>
              </w:rPr>
            </w:pPr>
            <w:r>
              <w:rPr>
                <w:rFonts w:ascii="Arial" w:cs="Arial" w:eastAsia="Arial" w:hAnsi="Arial"/>
                <w:sz w:val="16"/>
                <w:szCs w:val="16"/>
                <w:color w:val="14202A"/>
              </w:rPr>
              <w:t>26.9%</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72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860" w:type="dxa"/>
            <w:vAlign w:val="bottom"/>
            <w:tcBorders>
              <w:bottom w:val="single" w:sz="8" w:color="14202A"/>
            </w:tcBorders>
          </w:tcPr>
          <w:p>
            <w:pPr>
              <w:spacing w:after="0"/>
              <w:rPr>
                <w:sz w:val="5"/>
                <w:szCs w:val="5"/>
                <w:color w:val="auto"/>
              </w:rPr>
            </w:pPr>
          </w:p>
        </w:tc>
        <w:tc>
          <w:tcPr>
            <w:tcW w:w="32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15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1720" w:type="dxa"/>
            <w:vAlign w:val="bottom"/>
          </w:tcPr>
          <w:p>
            <w:pPr>
              <w:ind w:left="40"/>
              <w:spacing w:after="0"/>
              <w:rPr>
                <w:sz w:val="20"/>
                <w:szCs w:val="20"/>
                <w:color w:val="auto"/>
              </w:rPr>
            </w:pPr>
            <w:r>
              <w:rPr>
                <w:rFonts w:ascii="Arial" w:cs="Arial" w:eastAsia="Arial" w:hAnsi="Arial"/>
                <w:sz w:val="16"/>
                <w:szCs w:val="16"/>
                <w:color w:val="14202A"/>
              </w:rPr>
              <w:t>Net Revenue</w:t>
            </w:r>
          </w:p>
        </w:tc>
        <w:tc>
          <w:tcPr>
            <w:tcW w:w="960" w:type="dxa"/>
            <w:vAlign w:val="bottom"/>
          </w:tcPr>
          <w:p>
            <w:pPr>
              <w:jc w:val="right"/>
              <w:ind w:right="144"/>
              <w:spacing w:after="0"/>
              <w:rPr>
                <w:sz w:val="20"/>
                <w:szCs w:val="20"/>
                <w:color w:val="auto"/>
              </w:rPr>
            </w:pPr>
            <w:r>
              <w:rPr>
                <w:rFonts w:ascii="Arial" w:cs="Arial" w:eastAsia="Arial" w:hAnsi="Arial"/>
                <w:sz w:val="16"/>
                <w:szCs w:val="16"/>
                <w:color w:val="14202A"/>
              </w:rPr>
              <w:t>40%</w:t>
            </w:r>
          </w:p>
        </w:tc>
        <w:tc>
          <w:tcPr>
            <w:tcW w:w="960" w:type="dxa"/>
            <w:vAlign w:val="bottom"/>
          </w:tcPr>
          <w:p>
            <w:pPr>
              <w:jc w:val="right"/>
              <w:ind w:right="208"/>
              <w:spacing w:after="0"/>
              <w:rPr>
                <w:sz w:val="20"/>
                <w:szCs w:val="20"/>
                <w:color w:val="auto"/>
              </w:rPr>
            </w:pPr>
            <w:r>
              <w:rPr>
                <w:rFonts w:ascii="Arial" w:cs="Arial" w:eastAsia="Arial" w:hAnsi="Arial"/>
                <w:sz w:val="16"/>
                <w:szCs w:val="16"/>
                <w:color w:val="14202A"/>
              </w:rPr>
              <w:t>$950.8</w:t>
            </w:r>
          </w:p>
        </w:tc>
        <w:tc>
          <w:tcPr>
            <w:tcW w:w="800" w:type="dxa"/>
            <w:vAlign w:val="bottom"/>
          </w:tcPr>
          <w:p>
            <w:pPr>
              <w:jc w:val="right"/>
              <w:spacing w:after="0"/>
              <w:rPr>
                <w:sz w:val="20"/>
                <w:szCs w:val="20"/>
                <w:color w:val="auto"/>
              </w:rPr>
            </w:pPr>
            <w:r>
              <w:rPr>
                <w:rFonts w:ascii="Arial" w:cs="Arial" w:eastAsia="Arial" w:hAnsi="Arial"/>
                <w:sz w:val="16"/>
                <w:szCs w:val="16"/>
                <w:color w:val="14202A"/>
              </w:rPr>
              <w:t>$1,505.4</w:t>
            </w:r>
          </w:p>
        </w:tc>
        <w:tc>
          <w:tcPr>
            <w:tcW w:w="960" w:type="dxa"/>
            <w:vAlign w:val="bottom"/>
          </w:tcPr>
          <w:p>
            <w:pPr>
              <w:ind w:left="20"/>
              <w:spacing w:after="0"/>
              <w:rPr>
                <w:sz w:val="20"/>
                <w:szCs w:val="20"/>
                <w:color w:val="auto"/>
              </w:rPr>
            </w:pPr>
            <w:r>
              <w:rPr>
                <w:rFonts w:ascii="Arial" w:cs="Arial" w:eastAsia="Arial" w:hAnsi="Arial"/>
                <w:sz w:val="16"/>
                <w:szCs w:val="16"/>
                <w:color w:val="14202A"/>
              </w:rPr>
              <w:t>– $1,663.9</w:t>
            </w:r>
          </w:p>
        </w:tc>
        <w:tc>
          <w:tcPr>
            <w:tcW w:w="240" w:type="dxa"/>
            <w:vAlign w:val="bottom"/>
          </w:tcPr>
          <w:p>
            <w:pPr>
              <w:jc w:val="right"/>
              <w:spacing w:after="0"/>
              <w:rPr>
                <w:sz w:val="20"/>
                <w:szCs w:val="20"/>
                <w:color w:val="auto"/>
              </w:rPr>
            </w:pPr>
            <w:r>
              <w:rPr>
                <w:rFonts w:ascii="Arial" w:cs="Arial" w:eastAsia="Arial" w:hAnsi="Arial"/>
                <w:sz w:val="16"/>
                <w:szCs w:val="16"/>
                <w:color w:val="14202A"/>
              </w:rPr>
              <w:t>$</w:t>
            </w:r>
          </w:p>
        </w:tc>
        <w:tc>
          <w:tcPr>
            <w:tcW w:w="860" w:type="dxa"/>
            <w:vAlign w:val="bottom"/>
          </w:tcPr>
          <w:p>
            <w:pPr>
              <w:jc w:val="right"/>
              <w:ind w:right="245"/>
              <w:spacing w:after="0"/>
              <w:rPr>
                <w:sz w:val="20"/>
                <w:szCs w:val="20"/>
                <w:color w:val="auto"/>
              </w:rPr>
            </w:pPr>
            <w:r>
              <w:rPr>
                <w:rFonts w:ascii="Arial" w:cs="Arial" w:eastAsia="Arial" w:hAnsi="Arial"/>
                <w:sz w:val="16"/>
                <w:szCs w:val="16"/>
                <w:color w:val="14202A"/>
                <w:w w:val="97"/>
              </w:rPr>
              <w:t>1,901.6</w:t>
            </w:r>
          </w:p>
        </w:tc>
        <w:tc>
          <w:tcPr>
            <w:tcW w:w="320" w:type="dxa"/>
            <w:vAlign w:val="bottom"/>
          </w:tcPr>
          <w:p>
            <w:pPr>
              <w:jc w:val="right"/>
              <w:spacing w:after="0"/>
              <w:rPr>
                <w:sz w:val="20"/>
                <w:szCs w:val="20"/>
                <w:color w:val="auto"/>
              </w:rPr>
            </w:pPr>
            <w:r>
              <w:rPr>
                <w:rFonts w:ascii="Arial" w:cs="Arial" w:eastAsia="Arial" w:hAnsi="Arial"/>
                <w:sz w:val="16"/>
                <w:szCs w:val="16"/>
                <w:color w:val="14202A"/>
              </w:rPr>
              <w:t>$</w:t>
            </w:r>
          </w:p>
        </w:tc>
        <w:tc>
          <w:tcPr>
            <w:tcW w:w="820" w:type="dxa"/>
            <w:vAlign w:val="bottom"/>
          </w:tcPr>
          <w:p>
            <w:pPr>
              <w:jc w:val="right"/>
              <w:ind w:right="220"/>
              <w:spacing w:after="0"/>
              <w:rPr>
                <w:sz w:val="20"/>
                <w:szCs w:val="20"/>
                <w:color w:val="auto"/>
              </w:rPr>
            </w:pPr>
            <w:r>
              <w:rPr>
                <w:rFonts w:ascii="Arial" w:cs="Arial" w:eastAsia="Arial" w:hAnsi="Arial"/>
                <w:sz w:val="16"/>
                <w:szCs w:val="16"/>
                <w:color w:val="14202A"/>
                <w:w w:val="93"/>
              </w:rPr>
              <w:t>1,343.7</w:t>
            </w:r>
          </w:p>
        </w:tc>
        <w:tc>
          <w:tcPr>
            <w:tcW w:w="1540" w:type="dxa"/>
            <w:vAlign w:val="bottom"/>
          </w:tcPr>
          <w:p>
            <w:pPr>
              <w:jc w:val="right"/>
              <w:ind w:right="388"/>
              <w:spacing w:after="0"/>
              <w:rPr>
                <w:sz w:val="20"/>
                <w:szCs w:val="20"/>
                <w:color w:val="auto"/>
              </w:rPr>
            </w:pPr>
            <w:r>
              <w:rPr>
                <w:rFonts w:ascii="Arial" w:cs="Arial" w:eastAsia="Arial" w:hAnsi="Arial"/>
                <w:sz w:val="16"/>
                <w:szCs w:val="16"/>
                <w:color w:val="14202A"/>
              </w:rPr>
              <w:t>34.2%</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72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860" w:type="dxa"/>
            <w:vAlign w:val="bottom"/>
            <w:tcBorders>
              <w:bottom w:val="single" w:sz="8" w:color="14202A"/>
            </w:tcBorders>
          </w:tcPr>
          <w:p>
            <w:pPr>
              <w:spacing w:after="0"/>
              <w:rPr>
                <w:sz w:val="5"/>
                <w:szCs w:val="5"/>
                <w:color w:val="auto"/>
              </w:rPr>
            </w:pPr>
          </w:p>
        </w:tc>
        <w:tc>
          <w:tcPr>
            <w:tcW w:w="32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15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1720" w:type="dxa"/>
            <w:vAlign w:val="bottom"/>
          </w:tcPr>
          <w:p>
            <w:pPr>
              <w:ind w:left="40"/>
              <w:spacing w:after="0"/>
              <w:rPr>
                <w:sz w:val="20"/>
                <w:szCs w:val="20"/>
                <w:color w:val="auto"/>
              </w:rPr>
            </w:pPr>
            <w:r>
              <w:rPr>
                <w:rFonts w:ascii="Arial" w:cs="Arial" w:eastAsia="Arial" w:hAnsi="Arial"/>
                <w:sz w:val="16"/>
                <w:szCs w:val="16"/>
                <w:color w:val="14202A"/>
              </w:rPr>
              <w:t>Net Working Capital</w:t>
            </w:r>
          </w:p>
        </w:tc>
        <w:tc>
          <w:tcPr>
            <w:tcW w:w="960" w:type="dxa"/>
            <w:vAlign w:val="bottom"/>
          </w:tcPr>
          <w:p>
            <w:pPr>
              <w:jc w:val="right"/>
              <w:ind w:right="144"/>
              <w:spacing w:after="0"/>
              <w:rPr>
                <w:sz w:val="20"/>
                <w:szCs w:val="20"/>
                <w:color w:val="auto"/>
              </w:rPr>
            </w:pPr>
            <w:r>
              <w:rPr>
                <w:rFonts w:ascii="Arial" w:cs="Arial" w:eastAsia="Arial" w:hAnsi="Arial"/>
                <w:sz w:val="16"/>
                <w:szCs w:val="16"/>
                <w:color w:val="14202A"/>
              </w:rPr>
              <w:t>10%</w:t>
            </w:r>
          </w:p>
        </w:tc>
        <w:tc>
          <w:tcPr>
            <w:tcW w:w="960" w:type="dxa"/>
            <w:vAlign w:val="bottom"/>
          </w:tcPr>
          <w:p>
            <w:pPr>
              <w:jc w:val="right"/>
              <w:ind w:right="68"/>
              <w:spacing w:after="0"/>
              <w:rPr>
                <w:sz w:val="20"/>
                <w:szCs w:val="20"/>
                <w:color w:val="auto"/>
              </w:rPr>
            </w:pPr>
            <w:r>
              <w:rPr>
                <w:rFonts w:ascii="Arial" w:cs="Arial" w:eastAsia="Arial" w:hAnsi="Arial"/>
                <w:sz w:val="16"/>
                <w:szCs w:val="16"/>
                <w:color w:val="14202A"/>
              </w:rPr>
              <w:t>21.2%</w:t>
            </w:r>
          </w:p>
        </w:tc>
        <w:tc>
          <w:tcPr>
            <w:tcW w:w="800" w:type="dxa"/>
            <w:vAlign w:val="bottom"/>
          </w:tcPr>
          <w:p>
            <w:pPr>
              <w:jc w:val="right"/>
              <w:spacing w:after="0"/>
              <w:rPr>
                <w:sz w:val="20"/>
                <w:szCs w:val="20"/>
                <w:color w:val="auto"/>
              </w:rPr>
            </w:pPr>
            <w:r>
              <w:rPr>
                <w:rFonts w:ascii="Arial" w:cs="Arial" w:eastAsia="Arial" w:hAnsi="Arial"/>
                <w:sz w:val="16"/>
                <w:szCs w:val="16"/>
                <w:color w:val="14202A"/>
              </w:rPr>
              <w:t>18.6%</w:t>
            </w:r>
          </w:p>
        </w:tc>
        <w:tc>
          <w:tcPr>
            <w:tcW w:w="960" w:type="dxa"/>
            <w:vAlign w:val="bottom"/>
          </w:tcPr>
          <w:p>
            <w:pPr>
              <w:ind w:left="20"/>
              <w:spacing w:after="0"/>
              <w:rPr>
                <w:sz w:val="20"/>
                <w:szCs w:val="20"/>
                <w:color w:val="auto"/>
              </w:rPr>
            </w:pPr>
            <w:r>
              <w:rPr>
                <w:rFonts w:ascii="Arial" w:cs="Arial" w:eastAsia="Arial" w:hAnsi="Arial"/>
                <w:sz w:val="16"/>
                <w:szCs w:val="16"/>
                <w:color w:val="14202A"/>
              </w:rPr>
              <w:t>– 16.8%</w:t>
            </w:r>
          </w:p>
        </w:tc>
        <w:tc>
          <w:tcPr>
            <w:tcW w:w="240" w:type="dxa"/>
            <w:vAlign w:val="bottom"/>
          </w:tcPr>
          <w:p>
            <w:pPr>
              <w:spacing w:after="0"/>
              <w:rPr>
                <w:sz w:val="21"/>
                <w:szCs w:val="21"/>
                <w:color w:val="auto"/>
              </w:rPr>
            </w:pPr>
          </w:p>
        </w:tc>
        <w:tc>
          <w:tcPr>
            <w:tcW w:w="860" w:type="dxa"/>
            <w:vAlign w:val="bottom"/>
          </w:tcPr>
          <w:p>
            <w:pPr>
              <w:jc w:val="right"/>
              <w:ind w:right="105"/>
              <w:spacing w:after="0"/>
              <w:rPr>
                <w:sz w:val="20"/>
                <w:szCs w:val="20"/>
                <w:color w:val="auto"/>
              </w:rPr>
            </w:pPr>
            <w:r>
              <w:rPr>
                <w:rFonts w:ascii="Arial" w:cs="Arial" w:eastAsia="Arial" w:hAnsi="Arial"/>
                <w:sz w:val="16"/>
                <w:szCs w:val="16"/>
                <w:color w:val="14202A"/>
              </w:rPr>
              <w:t>14.2%</w:t>
            </w:r>
          </w:p>
        </w:tc>
        <w:tc>
          <w:tcPr>
            <w:tcW w:w="32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14202A"/>
              </w:rPr>
              <w:t>19.4%</w:t>
            </w:r>
          </w:p>
        </w:tc>
        <w:tc>
          <w:tcPr>
            <w:tcW w:w="1540" w:type="dxa"/>
            <w:vAlign w:val="bottom"/>
          </w:tcPr>
          <w:p>
            <w:pPr>
              <w:jc w:val="right"/>
              <w:ind w:right="388"/>
              <w:spacing w:after="0"/>
              <w:rPr>
                <w:sz w:val="20"/>
                <w:szCs w:val="20"/>
                <w:color w:val="auto"/>
              </w:rPr>
            </w:pPr>
            <w:r>
              <w:rPr>
                <w:rFonts w:ascii="Arial" w:cs="Arial" w:eastAsia="Arial" w:hAnsi="Arial"/>
                <w:sz w:val="16"/>
                <w:szCs w:val="16"/>
                <w:color w:val="14202A"/>
              </w:rPr>
              <w:t>8.4%</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72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000" w:type="dxa"/>
            <w:vAlign w:val="bottom"/>
            <w:tcBorders>
              <w:bottom w:val="single" w:sz="8" w:color="14202A"/>
            </w:tcBorders>
            <w:gridSpan w:val="3"/>
          </w:tcPr>
          <w:p>
            <w:pPr>
              <w:spacing w:after="0"/>
              <w:rPr>
                <w:sz w:val="5"/>
                <w:szCs w:val="5"/>
                <w:color w:val="auto"/>
              </w:rPr>
            </w:pPr>
          </w:p>
        </w:tc>
        <w:tc>
          <w:tcPr>
            <w:tcW w:w="15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3"/>
          </w:tcPr>
          <w:p>
            <w:pPr>
              <w:jc w:val="right"/>
              <w:ind w:right="60"/>
              <w:spacing w:after="0"/>
              <w:rPr>
                <w:sz w:val="20"/>
                <w:szCs w:val="20"/>
                <w:color w:val="auto"/>
              </w:rPr>
            </w:pPr>
            <w:r>
              <w:rPr>
                <w:rFonts w:ascii="Arial" w:cs="Arial" w:eastAsia="Arial" w:hAnsi="Arial"/>
                <w:sz w:val="16"/>
                <w:szCs w:val="16"/>
                <w:color w:val="14202A"/>
              </w:rPr>
              <w:t>Total Payout Percentage</w:t>
            </w:r>
          </w:p>
        </w:tc>
        <w:tc>
          <w:tcPr>
            <w:tcW w:w="1540" w:type="dxa"/>
            <w:vAlign w:val="bottom"/>
          </w:tcPr>
          <w:p>
            <w:pPr>
              <w:jc w:val="right"/>
              <w:ind w:right="388"/>
              <w:spacing w:after="0"/>
              <w:rPr>
                <w:sz w:val="20"/>
                <w:szCs w:val="20"/>
                <w:color w:val="auto"/>
              </w:rPr>
            </w:pPr>
            <w:r>
              <w:rPr>
                <w:rFonts w:ascii="Arial" w:cs="Arial" w:eastAsia="Arial" w:hAnsi="Arial"/>
                <w:sz w:val="16"/>
                <w:szCs w:val="16"/>
                <w:color w:val="14202A"/>
              </w:rPr>
              <w:t>69.5%</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72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000" w:type="dxa"/>
            <w:vAlign w:val="bottom"/>
            <w:tcBorders>
              <w:bottom w:val="single" w:sz="8" w:color="14202A"/>
            </w:tcBorders>
            <w:gridSpan w:val="3"/>
          </w:tcPr>
          <w:p>
            <w:pPr>
              <w:spacing w:after="0"/>
              <w:rPr>
                <w:sz w:val="5"/>
                <w:szCs w:val="5"/>
                <w:color w:val="auto"/>
              </w:rPr>
            </w:pPr>
          </w:p>
        </w:tc>
        <w:tc>
          <w:tcPr>
            <w:tcW w:w="15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3"/>
          </w:tcPr>
          <w:p>
            <w:pPr>
              <w:jc w:val="right"/>
              <w:ind w:right="60"/>
              <w:spacing w:after="0"/>
              <w:rPr>
                <w:sz w:val="20"/>
                <w:szCs w:val="20"/>
                <w:color w:val="auto"/>
              </w:rPr>
            </w:pPr>
            <w:r>
              <w:rPr>
                <w:rFonts w:ascii="Arial" w:cs="Arial" w:eastAsia="Arial" w:hAnsi="Arial"/>
                <w:sz w:val="16"/>
                <w:szCs w:val="16"/>
                <w:color w:val="14202A"/>
              </w:rPr>
              <w:t>50% of Total Percentage</w:t>
            </w:r>
          </w:p>
        </w:tc>
        <w:tc>
          <w:tcPr>
            <w:tcW w:w="1540" w:type="dxa"/>
            <w:vAlign w:val="bottom"/>
          </w:tcPr>
          <w:p>
            <w:pPr>
              <w:jc w:val="right"/>
              <w:ind w:right="388"/>
              <w:spacing w:after="0"/>
              <w:rPr>
                <w:sz w:val="20"/>
                <w:szCs w:val="20"/>
                <w:color w:val="auto"/>
              </w:rPr>
            </w:pPr>
            <w:r>
              <w:rPr>
                <w:rFonts w:ascii="Arial" w:cs="Arial" w:eastAsia="Arial" w:hAnsi="Arial"/>
                <w:sz w:val="16"/>
                <w:szCs w:val="16"/>
                <w:color w:val="14202A"/>
              </w:rPr>
              <w:t>34.8%</w:t>
            </w:r>
          </w:p>
        </w:tc>
        <w:tc>
          <w:tcPr>
            <w:tcW w:w="0" w:type="dxa"/>
            <w:vAlign w:val="bottom"/>
          </w:tcPr>
          <w:p>
            <w:pPr>
              <w:spacing w:after="0"/>
              <w:rPr>
                <w:sz w:val="1"/>
                <w:szCs w:val="1"/>
                <w:color w:val="auto"/>
              </w:rPr>
            </w:pPr>
          </w:p>
        </w:tc>
      </w:tr>
      <w:tr>
        <w:trPr>
          <w:trHeight w:val="31"/>
        </w:trPr>
        <w:tc>
          <w:tcPr>
            <w:tcW w:w="100" w:type="dxa"/>
            <w:vAlign w:val="bottom"/>
            <w:tcBorders>
              <w:bottom w:val="single" w:sz="8" w:color="14202A"/>
            </w:tcBorders>
          </w:tcPr>
          <w:p>
            <w:pPr>
              <w:spacing w:after="0"/>
              <w:rPr>
                <w:sz w:val="2"/>
                <w:szCs w:val="2"/>
                <w:color w:val="auto"/>
              </w:rPr>
            </w:pPr>
          </w:p>
        </w:tc>
        <w:tc>
          <w:tcPr>
            <w:tcW w:w="1720" w:type="dxa"/>
            <w:vAlign w:val="bottom"/>
            <w:tcBorders>
              <w:bottom w:val="single" w:sz="8" w:color="14202A"/>
            </w:tcBorders>
          </w:tcPr>
          <w:p>
            <w:pPr>
              <w:spacing w:after="0"/>
              <w:rPr>
                <w:sz w:val="2"/>
                <w:szCs w:val="2"/>
                <w:color w:val="auto"/>
              </w:rPr>
            </w:pPr>
          </w:p>
        </w:tc>
        <w:tc>
          <w:tcPr>
            <w:tcW w:w="960" w:type="dxa"/>
            <w:vAlign w:val="bottom"/>
            <w:tcBorders>
              <w:bottom w:val="single" w:sz="8" w:color="14202A"/>
            </w:tcBorders>
          </w:tcPr>
          <w:p>
            <w:pPr>
              <w:spacing w:after="0"/>
              <w:rPr>
                <w:sz w:val="2"/>
                <w:szCs w:val="2"/>
                <w:color w:val="auto"/>
              </w:rPr>
            </w:pPr>
          </w:p>
        </w:tc>
        <w:tc>
          <w:tcPr>
            <w:tcW w:w="960" w:type="dxa"/>
            <w:vAlign w:val="bottom"/>
            <w:tcBorders>
              <w:bottom w:val="single" w:sz="8" w:color="14202A"/>
            </w:tcBorders>
          </w:tcPr>
          <w:p>
            <w:pPr>
              <w:spacing w:after="0"/>
              <w:rPr>
                <w:sz w:val="2"/>
                <w:szCs w:val="2"/>
                <w:color w:val="auto"/>
              </w:rPr>
            </w:pPr>
          </w:p>
        </w:tc>
        <w:tc>
          <w:tcPr>
            <w:tcW w:w="800" w:type="dxa"/>
            <w:vAlign w:val="bottom"/>
            <w:tcBorders>
              <w:bottom w:val="single" w:sz="8" w:color="14202A"/>
            </w:tcBorders>
          </w:tcPr>
          <w:p>
            <w:pPr>
              <w:spacing w:after="0"/>
              <w:rPr>
                <w:sz w:val="2"/>
                <w:szCs w:val="2"/>
                <w:color w:val="auto"/>
              </w:rPr>
            </w:pPr>
          </w:p>
        </w:tc>
        <w:tc>
          <w:tcPr>
            <w:tcW w:w="960" w:type="dxa"/>
            <w:vAlign w:val="bottom"/>
            <w:tcBorders>
              <w:bottom w:val="single" w:sz="8" w:color="14202A"/>
            </w:tcBorders>
          </w:tcPr>
          <w:p>
            <w:pPr>
              <w:spacing w:after="0"/>
              <w:rPr>
                <w:sz w:val="2"/>
                <w:szCs w:val="2"/>
                <w:color w:val="auto"/>
              </w:rPr>
            </w:pPr>
          </w:p>
        </w:tc>
        <w:tc>
          <w:tcPr>
            <w:tcW w:w="240" w:type="dxa"/>
            <w:vAlign w:val="bottom"/>
            <w:tcBorders>
              <w:bottom w:val="single" w:sz="8" w:color="14202A"/>
            </w:tcBorders>
          </w:tcPr>
          <w:p>
            <w:pPr>
              <w:spacing w:after="0"/>
              <w:rPr>
                <w:sz w:val="2"/>
                <w:szCs w:val="2"/>
                <w:color w:val="auto"/>
              </w:rPr>
            </w:pPr>
          </w:p>
        </w:tc>
        <w:tc>
          <w:tcPr>
            <w:tcW w:w="860" w:type="dxa"/>
            <w:vAlign w:val="bottom"/>
            <w:tcBorders>
              <w:bottom w:val="single" w:sz="8" w:color="14202A"/>
            </w:tcBorders>
          </w:tcPr>
          <w:p>
            <w:pPr>
              <w:spacing w:after="0"/>
              <w:rPr>
                <w:sz w:val="2"/>
                <w:szCs w:val="2"/>
                <w:color w:val="auto"/>
              </w:rPr>
            </w:pPr>
          </w:p>
        </w:tc>
        <w:tc>
          <w:tcPr>
            <w:tcW w:w="320" w:type="dxa"/>
            <w:vAlign w:val="bottom"/>
            <w:tcBorders>
              <w:bottom w:val="single" w:sz="8" w:color="14202A"/>
            </w:tcBorders>
          </w:tcPr>
          <w:p>
            <w:pPr>
              <w:spacing w:after="0"/>
              <w:rPr>
                <w:sz w:val="2"/>
                <w:szCs w:val="2"/>
                <w:color w:val="auto"/>
              </w:rPr>
            </w:pPr>
          </w:p>
        </w:tc>
        <w:tc>
          <w:tcPr>
            <w:tcW w:w="820" w:type="dxa"/>
            <w:vAlign w:val="bottom"/>
            <w:tcBorders>
              <w:bottom w:val="single" w:sz="8" w:color="14202A"/>
            </w:tcBorders>
          </w:tcPr>
          <w:p>
            <w:pPr>
              <w:spacing w:after="0"/>
              <w:rPr>
                <w:sz w:val="2"/>
                <w:szCs w:val="2"/>
                <w:color w:val="auto"/>
              </w:rPr>
            </w:pPr>
          </w:p>
        </w:tc>
        <w:tc>
          <w:tcPr>
            <w:tcW w:w="1540" w:type="dxa"/>
            <w:vAlign w:val="bottom"/>
            <w:tcBorders>
              <w:bottom w:val="single" w:sz="8" w:color="14202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120" w:hanging="360"/>
        <w:spacing w:after="0" w:line="243" w:lineRule="auto"/>
        <w:tabs>
          <w:tab w:leader="none" w:pos="360" w:val="left"/>
        </w:tabs>
        <w:numPr>
          <w:ilvl w:val="0"/>
          <w:numId w:val="27"/>
        </w:numPr>
        <w:rPr>
          <w:rFonts w:ascii="Arial" w:cs="Arial" w:eastAsia="Arial" w:hAnsi="Arial"/>
          <w:sz w:val="13"/>
          <w:szCs w:val="13"/>
          <w:color w:val="14202A"/>
        </w:rPr>
      </w:pPr>
      <w:r>
        <w:rPr>
          <w:rFonts w:ascii="Arial" w:cs="Arial" w:eastAsia="Arial" w:hAnsi="Arial"/>
          <w:sz w:val="13"/>
          <w:szCs w:val="13"/>
          <w:color w:val="14202A"/>
        </w:rPr>
        <w:t>Ms. Bogart’s performance metrics are 60% Operating Income and 40% Net Revenue. Based on these weightings, Ms. Bogart’s total payout percentage for the second six-month performance period was 66.5%, and her 50% of total percentage was 33.2%.</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80"/>
        <w:spacing w:after="0" w:line="242" w:lineRule="auto"/>
        <w:rPr>
          <w:sz w:val="20"/>
          <w:szCs w:val="20"/>
          <w:color w:val="auto"/>
        </w:rPr>
      </w:pPr>
      <w:r>
        <w:rPr>
          <w:rFonts w:ascii="Arial" w:cs="Arial" w:eastAsia="Arial" w:hAnsi="Arial"/>
          <w:sz w:val="16"/>
          <w:szCs w:val="16"/>
          <w:b w:val="1"/>
          <w:bCs w:val="1"/>
          <w:color w:val="14202A"/>
        </w:rPr>
        <w:t>Full 2026 Fiscal Year Enterprise-Wide Financial Results (70% of the OICP for Messrs. Happe and Hughes, and Ms. Bogart)</w:t>
      </w:r>
      <w:r>
        <w:rPr>
          <w:rFonts w:ascii="Arial" w:cs="Arial" w:eastAsia="Arial" w:hAnsi="Arial"/>
          <w:sz w:val="26"/>
          <w:szCs w:val="26"/>
          <w:b w:val="1"/>
          <w:bCs w:val="1"/>
          <w:color w:val="14202A"/>
          <w:vertAlign w:val="superscript"/>
        </w:rPr>
        <w:t>(1)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60" w:type="dxa"/>
            <w:vAlign w:val="bottom"/>
            <w:shd w:val="clear" w:color="auto" w:fill="14202A"/>
          </w:tcPr>
          <w:p>
            <w:pPr>
              <w:spacing w:after="0"/>
              <w:rPr>
                <w:sz w:val="17"/>
                <w:szCs w:val="17"/>
                <w:color w:val="auto"/>
              </w:rPr>
            </w:pPr>
          </w:p>
        </w:tc>
        <w:tc>
          <w:tcPr>
            <w:tcW w:w="2020" w:type="dxa"/>
            <w:vAlign w:val="bottom"/>
            <w:shd w:val="clear" w:color="auto" w:fill="14202A"/>
          </w:tcPr>
          <w:p>
            <w:pPr>
              <w:jc w:val="center"/>
              <w:ind w:left="610"/>
              <w:spacing w:after="0"/>
              <w:rPr>
                <w:sz w:val="20"/>
                <w:szCs w:val="20"/>
                <w:color w:val="auto"/>
              </w:rPr>
            </w:pPr>
            <w:r>
              <w:rPr>
                <w:rFonts w:ascii="Arial" w:cs="Arial" w:eastAsia="Arial" w:hAnsi="Arial"/>
                <w:sz w:val="13"/>
                <w:szCs w:val="13"/>
                <w:b w:val="1"/>
                <w:bCs w:val="1"/>
                <w:color w:val="FFFFFF"/>
                <w:w w:val="94"/>
              </w:rPr>
              <w:t>Actual Total</w:t>
            </w:r>
          </w:p>
        </w:tc>
      </w:tr>
      <w:tr>
        <w:trPr>
          <w:trHeight w:val="135"/>
        </w:trPr>
        <w:tc>
          <w:tcPr>
            <w:tcW w:w="7260" w:type="dxa"/>
            <w:vAlign w:val="bottom"/>
            <w:shd w:val="clear" w:color="auto" w:fill="14202A"/>
          </w:tcPr>
          <w:p>
            <w:pPr>
              <w:spacing w:after="0"/>
              <w:rPr>
                <w:sz w:val="11"/>
                <w:szCs w:val="11"/>
                <w:color w:val="auto"/>
              </w:rPr>
            </w:pPr>
          </w:p>
        </w:tc>
        <w:tc>
          <w:tcPr>
            <w:tcW w:w="2020" w:type="dxa"/>
            <w:vAlign w:val="bottom"/>
            <w:shd w:val="clear" w:color="auto" w:fill="14202A"/>
          </w:tcPr>
          <w:p>
            <w:pPr>
              <w:jc w:val="center"/>
              <w:ind w:left="590"/>
              <w:spacing w:after="0" w:line="135" w:lineRule="exact"/>
              <w:rPr>
                <w:sz w:val="20"/>
                <w:szCs w:val="20"/>
                <w:color w:val="auto"/>
              </w:rPr>
            </w:pPr>
            <w:r>
              <w:rPr>
                <w:rFonts w:ascii="Arial" w:cs="Arial" w:eastAsia="Arial" w:hAnsi="Arial"/>
                <w:sz w:val="13"/>
                <w:szCs w:val="13"/>
                <w:b w:val="1"/>
                <w:bCs w:val="1"/>
                <w:color w:val="FFFFFF"/>
                <w:w w:val="96"/>
              </w:rPr>
              <w:t>Financial Payout</w:t>
            </w:r>
          </w:p>
        </w:tc>
      </w:tr>
      <w:tr>
        <w:trPr>
          <w:trHeight w:val="200"/>
        </w:trPr>
        <w:tc>
          <w:tcPr>
            <w:tcW w:w="7260" w:type="dxa"/>
            <w:vAlign w:val="bottom"/>
            <w:tcBorders>
              <w:bottom w:val="single" w:sz="8" w:color="14202A"/>
            </w:tcBorders>
            <w:shd w:val="clear" w:color="auto" w:fill="14202A"/>
          </w:tcPr>
          <w:p>
            <w:pPr>
              <w:spacing w:after="0"/>
              <w:rPr>
                <w:sz w:val="17"/>
                <w:szCs w:val="17"/>
                <w:color w:val="auto"/>
              </w:rPr>
            </w:pPr>
          </w:p>
        </w:tc>
        <w:tc>
          <w:tcPr>
            <w:tcW w:w="2020" w:type="dxa"/>
            <w:vAlign w:val="bottom"/>
            <w:tcBorders>
              <w:bottom w:val="single" w:sz="8" w:color="14202A"/>
            </w:tcBorders>
            <w:shd w:val="clear" w:color="auto" w:fill="14202A"/>
          </w:tcPr>
          <w:p>
            <w:pPr>
              <w:jc w:val="center"/>
              <w:ind w:left="630"/>
              <w:spacing w:after="0"/>
              <w:rPr>
                <w:sz w:val="20"/>
                <w:szCs w:val="20"/>
                <w:color w:val="auto"/>
              </w:rPr>
            </w:pPr>
            <w:r>
              <w:rPr>
                <w:rFonts w:ascii="Arial" w:cs="Arial" w:eastAsia="Arial" w:hAnsi="Arial"/>
                <w:sz w:val="13"/>
                <w:szCs w:val="13"/>
                <w:b w:val="1"/>
                <w:bCs w:val="1"/>
                <w:color w:val="FFFFFF"/>
                <w:w w:val="97"/>
              </w:rPr>
              <w:t>% (Weighted)</w:t>
            </w:r>
          </w:p>
        </w:tc>
      </w:tr>
      <w:tr>
        <w:trPr>
          <w:trHeight w:val="244"/>
        </w:trPr>
        <w:tc>
          <w:tcPr>
            <w:tcW w:w="7260" w:type="dxa"/>
            <w:vAlign w:val="bottom"/>
          </w:tcPr>
          <w:p>
            <w:pPr>
              <w:ind w:left="160"/>
              <w:spacing w:after="0"/>
              <w:rPr>
                <w:sz w:val="20"/>
                <w:szCs w:val="20"/>
                <w:color w:val="auto"/>
              </w:rPr>
            </w:pPr>
            <w:r>
              <w:rPr>
                <w:rFonts w:ascii="Arial" w:cs="Arial" w:eastAsia="Arial" w:hAnsi="Arial"/>
                <w:sz w:val="16"/>
                <w:szCs w:val="16"/>
                <w:color w:val="14202A"/>
              </w:rPr>
              <w:t>Total Fiscal Year Financial Performance Metrics Payout Percentage (Messrs. Happe and</w:t>
            </w:r>
          </w:p>
        </w:tc>
        <w:tc>
          <w:tcPr>
            <w:tcW w:w="2020" w:type="dxa"/>
            <w:vAlign w:val="bottom"/>
          </w:tcPr>
          <w:p>
            <w:pPr>
              <w:spacing w:after="0"/>
              <w:rPr>
                <w:sz w:val="21"/>
                <w:szCs w:val="21"/>
                <w:color w:val="auto"/>
              </w:rPr>
            </w:pPr>
          </w:p>
        </w:tc>
      </w:tr>
      <w:tr>
        <w:trPr>
          <w:trHeight w:val="211"/>
        </w:trPr>
        <w:tc>
          <w:tcPr>
            <w:tcW w:w="7260" w:type="dxa"/>
            <w:vAlign w:val="bottom"/>
          </w:tcPr>
          <w:p>
            <w:pPr>
              <w:ind w:left="320"/>
              <w:spacing w:after="0"/>
              <w:rPr>
                <w:sz w:val="20"/>
                <w:szCs w:val="20"/>
                <w:color w:val="auto"/>
              </w:rPr>
            </w:pPr>
            <w:r>
              <w:rPr>
                <w:rFonts w:ascii="Arial" w:cs="Arial" w:eastAsia="Arial" w:hAnsi="Arial"/>
                <w:sz w:val="16"/>
                <w:szCs w:val="16"/>
                <w:color w:val="14202A"/>
              </w:rPr>
              <w:t>Hughes)</w:t>
            </w:r>
          </w:p>
        </w:tc>
        <w:tc>
          <w:tcPr>
            <w:tcW w:w="2020" w:type="dxa"/>
            <w:vAlign w:val="bottom"/>
          </w:tcPr>
          <w:p>
            <w:pPr>
              <w:ind w:left="1180"/>
              <w:spacing w:after="0"/>
              <w:rPr>
                <w:sz w:val="20"/>
                <w:szCs w:val="20"/>
                <w:color w:val="auto"/>
              </w:rPr>
            </w:pPr>
            <w:r>
              <w:rPr>
                <w:rFonts w:ascii="Arial" w:cs="Arial" w:eastAsia="Arial" w:hAnsi="Arial"/>
                <w:sz w:val="16"/>
                <w:szCs w:val="16"/>
                <w:color w:val="14202A"/>
              </w:rPr>
              <w:t>109.8%</w:t>
            </w:r>
          </w:p>
        </w:tc>
      </w:tr>
      <w:tr>
        <w:trPr>
          <w:trHeight w:val="58"/>
        </w:trPr>
        <w:tc>
          <w:tcPr>
            <w:tcW w:w="7260" w:type="dxa"/>
            <w:vAlign w:val="bottom"/>
            <w:tcBorders>
              <w:bottom w:val="single" w:sz="8" w:color="14202A"/>
            </w:tcBorders>
          </w:tcPr>
          <w:p>
            <w:pPr>
              <w:spacing w:after="0"/>
              <w:rPr>
                <w:sz w:val="5"/>
                <w:szCs w:val="5"/>
                <w:color w:val="auto"/>
              </w:rPr>
            </w:pPr>
          </w:p>
        </w:tc>
        <w:tc>
          <w:tcPr>
            <w:tcW w:w="2020" w:type="dxa"/>
            <w:vAlign w:val="bottom"/>
            <w:tcBorders>
              <w:bottom w:val="single" w:sz="8" w:color="14202A"/>
            </w:tcBorders>
          </w:tcPr>
          <w:p>
            <w:pPr>
              <w:spacing w:after="0"/>
              <w:rPr>
                <w:sz w:val="5"/>
                <w:szCs w:val="5"/>
                <w:color w:val="auto"/>
              </w:rPr>
            </w:pPr>
          </w:p>
        </w:tc>
      </w:tr>
      <w:tr>
        <w:trPr>
          <w:trHeight w:val="246"/>
        </w:trPr>
        <w:tc>
          <w:tcPr>
            <w:tcW w:w="7260" w:type="dxa"/>
            <w:vAlign w:val="bottom"/>
          </w:tcPr>
          <w:p>
            <w:pPr>
              <w:ind w:left="160"/>
              <w:spacing w:after="0"/>
              <w:rPr>
                <w:sz w:val="20"/>
                <w:szCs w:val="20"/>
                <w:color w:val="auto"/>
              </w:rPr>
            </w:pPr>
            <w:r>
              <w:rPr>
                <w:rFonts w:ascii="Arial" w:cs="Arial" w:eastAsia="Arial" w:hAnsi="Arial"/>
                <w:sz w:val="16"/>
                <w:szCs w:val="16"/>
                <w:color w:val="14202A"/>
              </w:rPr>
              <w:t>Total Fiscal Year Financial Performance Metrics Payout Percentage (Ms. Bogart)</w:t>
            </w:r>
          </w:p>
        </w:tc>
        <w:tc>
          <w:tcPr>
            <w:tcW w:w="2020" w:type="dxa"/>
            <w:vAlign w:val="bottom"/>
          </w:tcPr>
          <w:p>
            <w:pPr>
              <w:ind w:left="1180"/>
              <w:spacing w:after="0"/>
              <w:rPr>
                <w:sz w:val="20"/>
                <w:szCs w:val="20"/>
                <w:color w:val="auto"/>
              </w:rPr>
            </w:pPr>
            <w:r>
              <w:rPr>
                <w:rFonts w:ascii="Arial" w:cs="Arial" w:eastAsia="Arial" w:hAnsi="Arial"/>
                <w:sz w:val="16"/>
                <w:szCs w:val="16"/>
                <w:color w:val="14202A"/>
              </w:rPr>
              <w:t>113.2%</w:t>
            </w:r>
          </w:p>
        </w:tc>
      </w:tr>
      <w:tr>
        <w:trPr>
          <w:trHeight w:val="31"/>
        </w:trPr>
        <w:tc>
          <w:tcPr>
            <w:tcW w:w="7260" w:type="dxa"/>
            <w:vAlign w:val="bottom"/>
            <w:tcBorders>
              <w:bottom w:val="single" w:sz="8" w:color="14202A"/>
            </w:tcBorders>
          </w:tcPr>
          <w:p>
            <w:pPr>
              <w:spacing w:after="0"/>
              <w:rPr>
                <w:sz w:val="2"/>
                <w:szCs w:val="2"/>
                <w:color w:val="auto"/>
              </w:rPr>
            </w:pPr>
          </w:p>
        </w:tc>
        <w:tc>
          <w:tcPr>
            <w:tcW w:w="2020" w:type="dxa"/>
            <w:vAlign w:val="bottom"/>
            <w:tcBorders>
              <w:bottom w:val="single" w:sz="8" w:color="14202A"/>
            </w:tcBorders>
          </w:tcPr>
          <w:p>
            <w:pPr>
              <w:spacing w:after="0"/>
              <w:rPr>
                <w:sz w:val="2"/>
                <w:szCs w:val="2"/>
                <w:color w:val="auto"/>
              </w:rPr>
            </w:pPr>
          </w:p>
        </w:tc>
      </w:tr>
    </w:tbl>
    <w:p>
      <w:pPr>
        <w:spacing w:after="0" w:line="90" w:lineRule="exact"/>
        <w:rPr>
          <w:sz w:val="20"/>
          <w:szCs w:val="20"/>
          <w:color w:val="auto"/>
        </w:rPr>
      </w:pPr>
    </w:p>
    <w:p>
      <w:pPr>
        <w:ind w:left="360" w:right="100" w:hanging="360"/>
        <w:spacing w:after="0" w:line="233" w:lineRule="auto"/>
        <w:tabs>
          <w:tab w:leader="none" w:pos="360" w:val="left"/>
        </w:tabs>
        <w:numPr>
          <w:ilvl w:val="0"/>
          <w:numId w:val="28"/>
        </w:numPr>
        <w:rPr>
          <w:rFonts w:ascii="Arial" w:cs="Arial" w:eastAsia="Arial" w:hAnsi="Arial"/>
          <w:sz w:val="13"/>
          <w:szCs w:val="13"/>
          <w:color w:val="14202A"/>
        </w:rPr>
      </w:pPr>
      <w:r>
        <w:rPr>
          <w:rFonts w:ascii="Arial" w:cs="Arial" w:eastAsia="Arial" w:hAnsi="Arial"/>
          <w:sz w:val="13"/>
          <w:szCs w:val="13"/>
          <w:color w:val="14202A"/>
        </w:rPr>
        <w:t>Mr. Tubman’s financial performance is weighted 70% on Newmar business unit performance (40% net revenue, 50% operating income, and 10% net working capital), 25% on Winnebago Motorhome and Specialty Vehicles performance (30% net revenue, 50% operating income, and 20% net working capital), and 5% on enterprise-level performance (40% net revenue, 50% operating income, and 10% net working capital).</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14202A"/>
        </w:rPr>
        <w:t>When determining the level of actual performance under the OICP, the committee considered and reviewed the CEO’s evaluation of each eligible NEO’s performance, other than his own. The committee determined that the participating NEOs achieved their individual performance goal opportunities at levels of: 100% of target for Mr. Happe, 100% of target for Mr. Hughes, 105% of target for Mr. Tubman, and 100% of target for Ms. Bogart.</w:t>
      </w:r>
    </w:p>
    <w:p>
      <w:pPr>
        <w:spacing w:after="0" w:line="13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14202A"/>
        </w:rPr>
        <w:t>The following table reflects the Fiscal 2026 year end salary, target OICP percentage and dollar amounts, and actual OICP percentage and dollar amounts earned by the participating NEOs, as approved by the committee. The portion of the OICP payout related to achievement of the metrics set at the beginning of the fiscal year is reported in the Summary Compensation Table under the “Non-Equity Incentive Plan Compensation” column.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0" w:type="dxa"/>
            <w:vAlign w:val="bottom"/>
            <w:shd w:val="clear" w:color="auto" w:fill="14202A"/>
          </w:tcPr>
          <w:p>
            <w:pPr>
              <w:spacing w:after="0"/>
              <w:rPr>
                <w:sz w:val="22"/>
                <w:szCs w:val="22"/>
                <w:color w:val="auto"/>
              </w:rPr>
            </w:pPr>
          </w:p>
        </w:tc>
        <w:tc>
          <w:tcPr>
            <w:tcW w:w="2620" w:type="dxa"/>
            <w:vAlign w:val="bottom"/>
            <w:shd w:val="clear" w:color="auto" w:fill="14202A"/>
          </w:tcPr>
          <w:p>
            <w:pPr>
              <w:spacing w:after="0"/>
              <w:rPr>
                <w:sz w:val="22"/>
                <w:szCs w:val="22"/>
                <w:color w:val="auto"/>
              </w:rPr>
            </w:pPr>
          </w:p>
        </w:tc>
        <w:tc>
          <w:tcPr>
            <w:tcW w:w="660" w:type="dxa"/>
            <w:vAlign w:val="bottom"/>
            <w:shd w:val="clear" w:color="auto" w:fill="14202A"/>
          </w:tcPr>
          <w:p>
            <w:pPr>
              <w:spacing w:after="0"/>
              <w:rPr>
                <w:sz w:val="22"/>
                <w:szCs w:val="22"/>
                <w:color w:val="auto"/>
              </w:rPr>
            </w:pPr>
          </w:p>
        </w:tc>
        <w:tc>
          <w:tcPr>
            <w:tcW w:w="880" w:type="dxa"/>
            <w:vAlign w:val="bottom"/>
            <w:shd w:val="clear" w:color="auto" w:fill="14202A"/>
          </w:tcPr>
          <w:p>
            <w:pPr>
              <w:spacing w:after="0"/>
              <w:rPr>
                <w:sz w:val="22"/>
                <w:szCs w:val="22"/>
                <w:color w:val="auto"/>
              </w:rPr>
            </w:pPr>
          </w:p>
        </w:tc>
        <w:tc>
          <w:tcPr>
            <w:tcW w:w="1920" w:type="dxa"/>
            <w:vAlign w:val="bottom"/>
            <w:gridSpan w:val="3"/>
            <w:shd w:val="clear" w:color="auto" w:fill="14202A"/>
          </w:tcPr>
          <w:p>
            <w:pPr>
              <w:ind w:left="340"/>
              <w:spacing w:after="0"/>
              <w:rPr>
                <w:sz w:val="20"/>
                <w:szCs w:val="20"/>
                <w:color w:val="auto"/>
              </w:rPr>
            </w:pPr>
            <w:r>
              <w:rPr>
                <w:rFonts w:ascii="Arial" w:cs="Arial" w:eastAsia="Arial" w:hAnsi="Arial"/>
                <w:sz w:val="13"/>
                <w:szCs w:val="13"/>
                <w:b w:val="1"/>
                <w:bCs w:val="1"/>
                <w:color w:val="FFFFFF"/>
              </w:rPr>
              <w:t>Fiscal 2026 Target OICP</w:t>
            </w:r>
          </w:p>
        </w:tc>
        <w:tc>
          <w:tcPr>
            <w:tcW w:w="160" w:type="dxa"/>
            <w:vAlign w:val="bottom"/>
            <w:shd w:val="clear" w:color="auto" w:fill="14202A"/>
          </w:tcPr>
          <w:p>
            <w:pPr>
              <w:spacing w:after="0"/>
              <w:rPr>
                <w:sz w:val="22"/>
                <w:szCs w:val="22"/>
                <w:color w:val="auto"/>
              </w:rPr>
            </w:pPr>
          </w:p>
        </w:tc>
        <w:tc>
          <w:tcPr>
            <w:tcW w:w="2820" w:type="dxa"/>
            <w:vAlign w:val="bottom"/>
            <w:gridSpan w:val="3"/>
            <w:shd w:val="clear" w:color="auto" w:fill="14202A"/>
          </w:tcPr>
          <w:p>
            <w:pPr>
              <w:ind w:left="380"/>
              <w:spacing w:after="0"/>
              <w:rPr>
                <w:sz w:val="20"/>
                <w:szCs w:val="20"/>
                <w:color w:val="auto"/>
              </w:rPr>
            </w:pPr>
            <w:r>
              <w:rPr>
                <w:rFonts w:ascii="Arial" w:cs="Arial" w:eastAsia="Arial" w:hAnsi="Arial"/>
                <w:sz w:val="13"/>
                <w:szCs w:val="13"/>
                <w:b w:val="1"/>
                <w:bCs w:val="1"/>
                <w:color w:val="FFFFFF"/>
              </w:rPr>
              <w:t>Fiscal 2026 Actual OICP Performance</w:t>
            </w:r>
          </w:p>
        </w:tc>
        <w:tc>
          <w:tcPr>
            <w:tcW w:w="12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00" w:type="dxa"/>
            <w:vAlign w:val="bottom"/>
            <w:shd w:val="clear" w:color="auto" w:fill="14202A"/>
          </w:tcPr>
          <w:p>
            <w:pPr>
              <w:spacing w:after="0"/>
              <w:rPr>
                <w:sz w:val="22"/>
                <w:szCs w:val="22"/>
                <w:color w:val="auto"/>
              </w:rPr>
            </w:pPr>
          </w:p>
        </w:tc>
        <w:tc>
          <w:tcPr>
            <w:tcW w:w="262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1540" w:type="dxa"/>
            <w:vAlign w:val="bottom"/>
            <w:gridSpan w:val="2"/>
            <w:shd w:val="clear" w:color="auto" w:fill="14202A"/>
          </w:tcPr>
          <w:p>
            <w:pPr>
              <w:ind w:left="500"/>
              <w:spacing w:after="0"/>
              <w:rPr>
                <w:sz w:val="20"/>
                <w:szCs w:val="20"/>
                <w:color w:val="auto"/>
              </w:rPr>
            </w:pPr>
            <w:r>
              <w:rPr>
                <w:rFonts w:ascii="Arial" w:cs="Arial" w:eastAsia="Arial" w:hAnsi="Arial"/>
                <w:sz w:val="13"/>
                <w:szCs w:val="13"/>
                <w:b w:val="1"/>
                <w:bCs w:val="1"/>
                <w:color w:val="FFFFFF"/>
              </w:rPr>
              <w:t>Fiscal 2026</w:t>
            </w:r>
          </w:p>
        </w:tc>
        <w:tc>
          <w:tcPr>
            <w:tcW w:w="1020" w:type="dxa"/>
            <w:vAlign w:val="bottom"/>
            <w:vMerge w:val="restart"/>
            <w:shd w:val="clear" w:color="auto" w:fill="14202A"/>
          </w:tcPr>
          <w:p>
            <w:pPr>
              <w:ind w:left="180"/>
              <w:spacing w:after="0"/>
              <w:rPr>
                <w:sz w:val="20"/>
                <w:szCs w:val="20"/>
                <w:color w:val="auto"/>
              </w:rPr>
            </w:pPr>
            <w:r>
              <w:rPr>
                <w:rFonts w:ascii="Arial" w:cs="Arial" w:eastAsia="Arial" w:hAnsi="Arial"/>
                <w:sz w:val="13"/>
                <w:szCs w:val="13"/>
                <w:b w:val="1"/>
                <w:bCs w:val="1"/>
                <w:color w:val="FFFFFF"/>
              </w:rPr>
              <w:t>% of Salary</w:t>
            </w:r>
          </w:p>
        </w:tc>
        <w:tc>
          <w:tcPr>
            <w:tcW w:w="300" w:type="dxa"/>
            <w:vAlign w:val="bottom"/>
            <w:shd w:val="clear" w:color="auto" w:fill="14202A"/>
          </w:tcPr>
          <w:p>
            <w:pPr>
              <w:spacing w:after="0"/>
              <w:rPr>
                <w:sz w:val="22"/>
                <w:szCs w:val="22"/>
                <w:color w:val="auto"/>
              </w:rPr>
            </w:pPr>
          </w:p>
        </w:tc>
        <w:tc>
          <w:tcPr>
            <w:tcW w:w="600" w:type="dxa"/>
            <w:vAlign w:val="bottom"/>
            <w:shd w:val="clear" w:color="auto" w:fill="14202A"/>
          </w:tcPr>
          <w:p>
            <w:pPr>
              <w:jc w:val="right"/>
              <w:ind w:right="132"/>
              <w:spacing w:after="0"/>
              <w:rPr>
                <w:sz w:val="20"/>
                <w:szCs w:val="20"/>
                <w:color w:val="auto"/>
              </w:rPr>
            </w:pPr>
            <w:r>
              <w:rPr>
                <w:rFonts w:ascii="Arial" w:cs="Arial" w:eastAsia="Arial" w:hAnsi="Arial"/>
                <w:sz w:val="13"/>
                <w:szCs w:val="13"/>
                <w:b w:val="1"/>
                <w:bCs w:val="1"/>
                <w:color w:val="FFFFFF"/>
                <w:w w:val="95"/>
              </w:rPr>
              <w:t>Target</w:t>
            </w:r>
          </w:p>
        </w:tc>
        <w:tc>
          <w:tcPr>
            <w:tcW w:w="160" w:type="dxa"/>
            <w:vAlign w:val="bottom"/>
            <w:shd w:val="clear" w:color="auto" w:fill="14202A"/>
          </w:tcPr>
          <w:p>
            <w:pPr>
              <w:spacing w:after="0"/>
              <w:rPr>
                <w:sz w:val="22"/>
                <w:szCs w:val="22"/>
                <w:color w:val="auto"/>
              </w:rPr>
            </w:pPr>
          </w:p>
        </w:tc>
        <w:tc>
          <w:tcPr>
            <w:tcW w:w="1480" w:type="dxa"/>
            <w:vAlign w:val="bottom"/>
            <w:vMerge w:val="restart"/>
            <w:shd w:val="clear" w:color="auto" w:fill="14202A"/>
          </w:tcPr>
          <w:p>
            <w:pPr>
              <w:jc w:val="right"/>
              <w:ind w:right="317"/>
              <w:spacing w:after="0"/>
              <w:rPr>
                <w:sz w:val="20"/>
                <w:szCs w:val="20"/>
                <w:color w:val="auto"/>
              </w:rPr>
            </w:pPr>
            <w:r>
              <w:rPr>
                <w:rFonts w:ascii="Arial" w:cs="Arial" w:eastAsia="Arial" w:hAnsi="Arial"/>
                <w:sz w:val="13"/>
                <w:szCs w:val="13"/>
                <w:b w:val="1"/>
                <w:bCs w:val="1"/>
                <w:color w:val="FFFFFF"/>
              </w:rPr>
              <w:t>% of Target</w:t>
            </w:r>
          </w:p>
        </w:tc>
        <w:tc>
          <w:tcPr>
            <w:tcW w:w="520" w:type="dxa"/>
            <w:vAlign w:val="bottom"/>
            <w:shd w:val="clear" w:color="auto" w:fill="14202A"/>
          </w:tcPr>
          <w:p>
            <w:pPr>
              <w:spacing w:after="0"/>
              <w:rPr>
                <w:sz w:val="22"/>
                <w:szCs w:val="22"/>
                <w:color w:val="auto"/>
              </w:rPr>
            </w:pPr>
          </w:p>
        </w:tc>
        <w:tc>
          <w:tcPr>
            <w:tcW w:w="82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Payout</w:t>
            </w:r>
          </w:p>
        </w:tc>
        <w:tc>
          <w:tcPr>
            <w:tcW w:w="12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2620" w:type="dxa"/>
            <w:vAlign w:val="bottom"/>
            <w:vMerge w:val="continue"/>
            <w:shd w:val="clear" w:color="auto" w:fill="14202A"/>
          </w:tcPr>
          <w:p>
            <w:pPr>
              <w:spacing w:after="0"/>
              <w:rPr>
                <w:sz w:val="14"/>
                <w:szCs w:val="14"/>
                <w:color w:val="auto"/>
              </w:rPr>
            </w:pPr>
          </w:p>
        </w:tc>
        <w:tc>
          <w:tcPr>
            <w:tcW w:w="1540" w:type="dxa"/>
            <w:vAlign w:val="bottom"/>
            <w:gridSpan w:val="2"/>
            <w:shd w:val="clear" w:color="auto" w:fill="14202A"/>
          </w:tcPr>
          <w:p>
            <w:pPr>
              <w:ind w:left="340"/>
              <w:spacing w:after="0"/>
              <w:rPr>
                <w:sz w:val="20"/>
                <w:szCs w:val="20"/>
                <w:color w:val="auto"/>
              </w:rPr>
            </w:pPr>
            <w:r>
              <w:rPr>
                <w:rFonts w:ascii="Arial" w:cs="Arial" w:eastAsia="Arial" w:hAnsi="Arial"/>
                <w:sz w:val="13"/>
                <w:szCs w:val="13"/>
                <w:b w:val="1"/>
                <w:bCs w:val="1"/>
                <w:color w:val="FFFFFF"/>
              </w:rPr>
              <w:t>Eligible Earnings</w:t>
            </w:r>
          </w:p>
        </w:tc>
        <w:tc>
          <w:tcPr>
            <w:tcW w:w="1020" w:type="dxa"/>
            <w:vAlign w:val="bottom"/>
            <w:vMerge w:val="continue"/>
            <w:shd w:val="clear" w:color="auto" w:fill="14202A"/>
          </w:tcPr>
          <w:p>
            <w:pPr>
              <w:spacing w:after="0"/>
              <w:rPr>
                <w:sz w:val="14"/>
                <w:szCs w:val="14"/>
                <w:color w:val="auto"/>
              </w:rPr>
            </w:pPr>
          </w:p>
        </w:tc>
        <w:tc>
          <w:tcPr>
            <w:tcW w:w="300" w:type="dxa"/>
            <w:vAlign w:val="bottom"/>
            <w:shd w:val="clear" w:color="auto" w:fill="14202A"/>
          </w:tcPr>
          <w:p>
            <w:pPr>
              <w:spacing w:after="0"/>
              <w:rPr>
                <w:sz w:val="14"/>
                <w:szCs w:val="14"/>
                <w:color w:val="auto"/>
              </w:rPr>
            </w:pPr>
          </w:p>
        </w:tc>
        <w:tc>
          <w:tcPr>
            <w:tcW w:w="600" w:type="dxa"/>
            <w:vAlign w:val="bottom"/>
            <w:shd w:val="clear" w:color="auto" w:fill="14202A"/>
          </w:tcPr>
          <w:p>
            <w:pPr>
              <w:jc w:val="right"/>
              <w:ind w:right="112"/>
              <w:spacing w:after="0"/>
              <w:rPr>
                <w:sz w:val="20"/>
                <w:szCs w:val="20"/>
                <w:color w:val="auto"/>
              </w:rPr>
            </w:pPr>
            <w:r>
              <w:rPr>
                <w:rFonts w:ascii="Arial" w:cs="Arial" w:eastAsia="Arial" w:hAnsi="Arial"/>
                <w:sz w:val="13"/>
                <w:szCs w:val="13"/>
                <w:b w:val="1"/>
                <w:bCs w:val="1"/>
                <w:color w:val="FFFFFF"/>
              </w:rPr>
              <w:t>Award</w:t>
            </w:r>
          </w:p>
        </w:tc>
        <w:tc>
          <w:tcPr>
            <w:tcW w:w="160" w:type="dxa"/>
            <w:vAlign w:val="bottom"/>
            <w:shd w:val="clear" w:color="auto" w:fill="14202A"/>
          </w:tcPr>
          <w:p>
            <w:pPr>
              <w:spacing w:after="0"/>
              <w:rPr>
                <w:sz w:val="14"/>
                <w:szCs w:val="14"/>
                <w:color w:val="auto"/>
              </w:rPr>
            </w:pPr>
          </w:p>
        </w:tc>
        <w:tc>
          <w:tcPr>
            <w:tcW w:w="1480" w:type="dxa"/>
            <w:vAlign w:val="bottom"/>
            <w:vMerge w:val="continue"/>
            <w:shd w:val="clear" w:color="auto" w:fill="14202A"/>
          </w:tcPr>
          <w:p>
            <w:pPr>
              <w:spacing w:after="0"/>
              <w:rPr>
                <w:sz w:val="14"/>
                <w:szCs w:val="14"/>
                <w:color w:val="auto"/>
              </w:rPr>
            </w:pPr>
          </w:p>
        </w:tc>
        <w:tc>
          <w:tcPr>
            <w:tcW w:w="520" w:type="dxa"/>
            <w:vAlign w:val="bottom"/>
            <w:shd w:val="clear" w:color="auto" w:fill="14202A"/>
          </w:tcPr>
          <w:p>
            <w:pPr>
              <w:spacing w:after="0"/>
              <w:rPr>
                <w:sz w:val="14"/>
                <w:szCs w:val="14"/>
                <w:color w:val="auto"/>
              </w:rPr>
            </w:pPr>
          </w:p>
        </w:tc>
        <w:tc>
          <w:tcPr>
            <w:tcW w:w="820" w:type="dxa"/>
            <w:vAlign w:val="bottom"/>
            <w:vMerge w:val="continue"/>
            <w:shd w:val="clear" w:color="auto" w:fill="14202A"/>
          </w:tcPr>
          <w:p>
            <w:pPr>
              <w:spacing w:after="0"/>
              <w:rPr>
                <w:sz w:val="14"/>
                <w:szCs w:val="14"/>
                <w:color w:val="auto"/>
              </w:rPr>
            </w:pPr>
          </w:p>
        </w:tc>
        <w:tc>
          <w:tcPr>
            <w:tcW w:w="120" w:type="dxa"/>
            <w:vAlign w:val="bottom"/>
            <w:shd w:val="clear" w:color="auto" w:fill="14202A"/>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2620" w:type="dxa"/>
            <w:vAlign w:val="bottom"/>
            <w:shd w:val="clear" w:color="auto" w:fill="14202A"/>
          </w:tcPr>
          <w:p>
            <w:pPr>
              <w:spacing w:after="0"/>
              <w:rPr>
                <w:sz w:val="5"/>
                <w:szCs w:val="5"/>
                <w:color w:val="auto"/>
              </w:rPr>
            </w:pPr>
          </w:p>
        </w:tc>
        <w:tc>
          <w:tcPr>
            <w:tcW w:w="1540" w:type="dxa"/>
            <w:vAlign w:val="bottom"/>
            <w:gridSpan w:val="2"/>
            <w:shd w:val="clear" w:color="auto" w:fill="14202A"/>
          </w:tcPr>
          <w:p>
            <w:pPr>
              <w:spacing w:after="0"/>
              <w:rPr>
                <w:sz w:val="5"/>
                <w:szCs w:val="5"/>
                <w:color w:val="auto"/>
              </w:rPr>
            </w:pPr>
          </w:p>
        </w:tc>
        <w:tc>
          <w:tcPr>
            <w:tcW w:w="1020" w:type="dxa"/>
            <w:vAlign w:val="bottom"/>
            <w:shd w:val="clear" w:color="auto" w:fill="14202A"/>
          </w:tcPr>
          <w:p>
            <w:pPr>
              <w:spacing w:after="0"/>
              <w:rPr>
                <w:sz w:val="5"/>
                <w:szCs w:val="5"/>
                <w:color w:val="auto"/>
              </w:rPr>
            </w:pPr>
          </w:p>
        </w:tc>
        <w:tc>
          <w:tcPr>
            <w:tcW w:w="900" w:type="dxa"/>
            <w:vAlign w:val="bottom"/>
            <w:gridSpan w:val="2"/>
            <w:shd w:val="clear" w:color="auto" w:fill="14202A"/>
          </w:tcPr>
          <w:p>
            <w:pPr>
              <w:spacing w:after="0"/>
              <w:rPr>
                <w:sz w:val="5"/>
                <w:szCs w:val="5"/>
                <w:color w:val="auto"/>
              </w:rPr>
            </w:pPr>
          </w:p>
        </w:tc>
        <w:tc>
          <w:tcPr>
            <w:tcW w:w="160" w:type="dxa"/>
            <w:vAlign w:val="bottom"/>
            <w:shd w:val="clear" w:color="auto" w:fill="14202A"/>
          </w:tcPr>
          <w:p>
            <w:pPr>
              <w:spacing w:after="0"/>
              <w:rPr>
                <w:sz w:val="5"/>
                <w:szCs w:val="5"/>
                <w:color w:val="auto"/>
              </w:rPr>
            </w:pPr>
          </w:p>
        </w:tc>
        <w:tc>
          <w:tcPr>
            <w:tcW w:w="1480" w:type="dxa"/>
            <w:vAlign w:val="bottom"/>
            <w:shd w:val="clear" w:color="auto" w:fill="14202A"/>
          </w:tcPr>
          <w:p>
            <w:pPr>
              <w:spacing w:after="0"/>
              <w:rPr>
                <w:sz w:val="5"/>
                <w:szCs w:val="5"/>
                <w:color w:val="auto"/>
              </w:rPr>
            </w:pPr>
          </w:p>
        </w:tc>
        <w:tc>
          <w:tcPr>
            <w:tcW w:w="1340" w:type="dxa"/>
            <w:vAlign w:val="bottom"/>
            <w:gridSpan w:val="2"/>
            <w:shd w:val="clear" w:color="auto" w:fill="14202A"/>
          </w:tcPr>
          <w:p>
            <w:pPr>
              <w:spacing w:after="0"/>
              <w:rPr>
                <w:sz w:val="5"/>
                <w:szCs w:val="5"/>
                <w:color w:val="auto"/>
              </w:rPr>
            </w:pPr>
          </w:p>
        </w:tc>
        <w:tc>
          <w:tcPr>
            <w:tcW w:w="12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00" w:type="dxa"/>
            <w:vAlign w:val="bottom"/>
            <w:tcBorders>
              <w:bottom w:val="single" w:sz="8" w:color="14202A"/>
            </w:tcBorders>
          </w:tcPr>
          <w:p>
            <w:pPr>
              <w:spacing w:after="0"/>
              <w:rPr>
                <w:sz w:val="24"/>
                <w:szCs w:val="24"/>
                <w:color w:val="auto"/>
              </w:rPr>
            </w:pPr>
          </w:p>
        </w:tc>
        <w:tc>
          <w:tcPr>
            <w:tcW w:w="2620" w:type="dxa"/>
            <w:vAlign w:val="bottom"/>
            <w:tcBorders>
              <w:bottom w:val="single" w:sz="8" w:color="14202A"/>
            </w:tcBorders>
          </w:tcPr>
          <w:p>
            <w:pPr>
              <w:ind w:left="60"/>
              <w:spacing w:after="0"/>
              <w:rPr>
                <w:sz w:val="20"/>
                <w:szCs w:val="20"/>
                <w:color w:val="auto"/>
              </w:rPr>
            </w:pPr>
            <w:r>
              <w:rPr>
                <w:rFonts w:ascii="Arial" w:cs="Arial" w:eastAsia="Arial" w:hAnsi="Arial"/>
                <w:sz w:val="14"/>
                <w:szCs w:val="14"/>
                <w:color w:val="14202A"/>
              </w:rPr>
              <w:t>Michael J. Happe</w:t>
            </w:r>
          </w:p>
        </w:tc>
        <w:tc>
          <w:tcPr>
            <w:tcW w:w="1540" w:type="dxa"/>
            <w:vAlign w:val="bottom"/>
            <w:tcBorders>
              <w:bottom w:val="single" w:sz="8" w:color="14202A"/>
            </w:tcBorders>
            <w:gridSpan w:val="2"/>
          </w:tcPr>
          <w:p>
            <w:pPr>
              <w:jc w:val="right"/>
              <w:ind w:right="228"/>
              <w:spacing w:after="0"/>
              <w:rPr>
                <w:sz w:val="20"/>
                <w:szCs w:val="20"/>
                <w:color w:val="auto"/>
              </w:rPr>
            </w:pPr>
            <w:r>
              <w:rPr>
                <w:rFonts w:ascii="Arial" w:cs="Arial" w:eastAsia="Arial" w:hAnsi="Arial"/>
                <w:sz w:val="14"/>
                <w:szCs w:val="14"/>
                <w:color w:val="14202A"/>
              </w:rPr>
              <w:t>$1,185,000</w:t>
            </w:r>
          </w:p>
        </w:tc>
        <w:tc>
          <w:tcPr>
            <w:tcW w:w="1020" w:type="dxa"/>
            <w:vAlign w:val="bottom"/>
            <w:tcBorders>
              <w:bottom w:val="single" w:sz="8" w:color="14202A"/>
            </w:tcBorders>
          </w:tcPr>
          <w:p>
            <w:pPr>
              <w:ind w:left="340"/>
              <w:spacing w:after="0"/>
              <w:rPr>
                <w:sz w:val="20"/>
                <w:szCs w:val="20"/>
                <w:color w:val="auto"/>
              </w:rPr>
            </w:pPr>
            <w:r>
              <w:rPr>
                <w:rFonts w:ascii="Arial" w:cs="Arial" w:eastAsia="Arial" w:hAnsi="Arial"/>
                <w:sz w:val="14"/>
                <w:szCs w:val="14"/>
                <w:color w:val="14202A"/>
              </w:rPr>
              <w:t>N/A</w:t>
            </w:r>
            <w:r>
              <w:rPr>
                <w:rFonts w:ascii="Arial" w:cs="Arial" w:eastAsia="Arial" w:hAnsi="Arial"/>
                <w:sz w:val="23"/>
                <w:szCs w:val="23"/>
                <w:color w:val="14202A"/>
                <w:vertAlign w:val="superscript"/>
              </w:rPr>
              <w:t>(1)</w:t>
            </w:r>
          </w:p>
        </w:tc>
        <w:tc>
          <w:tcPr>
            <w:tcW w:w="900" w:type="dxa"/>
            <w:vAlign w:val="bottom"/>
            <w:tcBorders>
              <w:bottom w:val="single" w:sz="8" w:color="14202A"/>
            </w:tcBorders>
            <w:gridSpan w:val="2"/>
          </w:tcPr>
          <w:p>
            <w:pPr>
              <w:ind w:left="180"/>
              <w:spacing w:after="0"/>
              <w:rPr>
                <w:sz w:val="20"/>
                <w:szCs w:val="20"/>
                <w:color w:val="auto"/>
              </w:rPr>
            </w:pPr>
            <w:r>
              <w:rPr>
                <w:rFonts w:ascii="Arial" w:cs="Arial" w:eastAsia="Arial" w:hAnsi="Arial"/>
                <w:sz w:val="14"/>
                <w:szCs w:val="14"/>
                <w:color w:val="14202A"/>
                <w:w w:val="99"/>
              </w:rPr>
              <w:t>$1,250,000</w:t>
            </w:r>
          </w:p>
        </w:tc>
        <w:tc>
          <w:tcPr>
            <w:tcW w:w="1640" w:type="dxa"/>
            <w:vAlign w:val="bottom"/>
            <w:tcBorders>
              <w:bottom w:val="single" w:sz="8" w:color="14202A"/>
            </w:tcBorders>
            <w:gridSpan w:val="2"/>
          </w:tcPr>
          <w:p>
            <w:pPr>
              <w:jc w:val="right"/>
              <w:ind w:right="357"/>
              <w:spacing w:after="0"/>
              <w:rPr>
                <w:sz w:val="20"/>
                <w:szCs w:val="20"/>
                <w:color w:val="auto"/>
              </w:rPr>
            </w:pPr>
            <w:r>
              <w:rPr>
                <w:rFonts w:ascii="Arial" w:cs="Arial" w:eastAsia="Arial" w:hAnsi="Arial"/>
                <w:sz w:val="14"/>
                <w:szCs w:val="14"/>
                <w:color w:val="14202A"/>
              </w:rPr>
              <w:t>106.9%</w:t>
            </w:r>
          </w:p>
        </w:tc>
        <w:tc>
          <w:tcPr>
            <w:tcW w:w="1340" w:type="dxa"/>
            <w:vAlign w:val="bottom"/>
            <w:tcBorders>
              <w:bottom w:val="single" w:sz="8" w:color="14202A"/>
            </w:tcBorders>
            <w:gridSpan w:val="2"/>
          </w:tcPr>
          <w:p>
            <w:pPr>
              <w:ind w:left="400"/>
              <w:spacing w:after="0"/>
              <w:rPr>
                <w:sz w:val="20"/>
                <w:szCs w:val="20"/>
                <w:color w:val="auto"/>
              </w:rPr>
            </w:pPr>
            <w:r>
              <w:rPr>
                <w:rFonts w:ascii="Arial" w:cs="Arial" w:eastAsia="Arial" w:hAnsi="Arial"/>
                <w:sz w:val="14"/>
                <w:szCs w:val="14"/>
                <w:color w:val="14202A"/>
              </w:rPr>
              <w:t>$1,335,750</w:t>
            </w:r>
          </w:p>
        </w:tc>
        <w:tc>
          <w:tcPr>
            <w:tcW w:w="120" w:type="dxa"/>
            <w:vAlign w:val="bottom"/>
            <w:tcBorders>
              <w:bottom w:val="single" w:sz="8" w:color="14202A"/>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Bryan L. Hughes</w:t>
            </w:r>
          </w:p>
        </w:tc>
        <w:tc>
          <w:tcPr>
            <w:tcW w:w="660" w:type="dxa"/>
            <w:vAlign w:val="bottom"/>
          </w:tcPr>
          <w:p>
            <w:pPr>
              <w:ind w:left="520"/>
              <w:spacing w:after="0"/>
              <w:rPr>
                <w:sz w:val="20"/>
                <w:szCs w:val="20"/>
                <w:color w:val="auto"/>
              </w:rPr>
            </w:pPr>
            <w:r>
              <w:rPr>
                <w:rFonts w:ascii="Arial" w:cs="Arial" w:eastAsia="Arial" w:hAnsi="Arial"/>
                <w:sz w:val="14"/>
                <w:szCs w:val="14"/>
                <w:color w:val="14202A"/>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14202A"/>
              </w:rPr>
              <w:t>643,750</w:t>
            </w:r>
          </w:p>
        </w:tc>
        <w:tc>
          <w:tcPr>
            <w:tcW w:w="1020" w:type="dxa"/>
            <w:vAlign w:val="bottom"/>
          </w:tcPr>
          <w:p>
            <w:pPr>
              <w:jc w:val="center"/>
              <w:spacing w:after="0"/>
              <w:rPr>
                <w:sz w:val="20"/>
                <w:szCs w:val="20"/>
                <w:color w:val="auto"/>
              </w:rPr>
            </w:pPr>
            <w:r>
              <w:rPr>
                <w:rFonts w:ascii="Arial" w:cs="Arial" w:eastAsia="Arial" w:hAnsi="Arial"/>
                <w:sz w:val="14"/>
                <w:szCs w:val="14"/>
                <w:color w:val="14202A"/>
              </w:rPr>
              <w:t>100%</w:t>
            </w:r>
          </w:p>
        </w:tc>
        <w:tc>
          <w:tcPr>
            <w:tcW w:w="300" w:type="dxa"/>
            <w:vAlign w:val="bottom"/>
          </w:tcPr>
          <w:p>
            <w:pPr>
              <w:ind w:left="180"/>
              <w:spacing w:after="0"/>
              <w:rPr>
                <w:sz w:val="20"/>
                <w:szCs w:val="20"/>
                <w:color w:val="auto"/>
              </w:rPr>
            </w:pPr>
            <w:r>
              <w:rPr>
                <w:rFonts w:ascii="Arial" w:cs="Arial" w:eastAsia="Arial" w:hAnsi="Arial"/>
                <w:sz w:val="14"/>
                <w:szCs w:val="14"/>
                <w:color w:val="14202A"/>
              </w:rPr>
              <w:t>$</w:t>
            </w:r>
          </w:p>
        </w:tc>
        <w:tc>
          <w:tcPr>
            <w:tcW w:w="600" w:type="dxa"/>
            <w:vAlign w:val="bottom"/>
          </w:tcPr>
          <w:p>
            <w:pPr>
              <w:jc w:val="right"/>
              <w:spacing w:after="0"/>
              <w:rPr>
                <w:sz w:val="20"/>
                <w:szCs w:val="20"/>
                <w:color w:val="auto"/>
              </w:rPr>
            </w:pPr>
            <w:r>
              <w:rPr>
                <w:rFonts w:ascii="Arial" w:cs="Arial" w:eastAsia="Arial" w:hAnsi="Arial"/>
                <w:sz w:val="14"/>
                <w:szCs w:val="14"/>
                <w:color w:val="14202A"/>
              </w:rPr>
              <w:t>643,750</w:t>
            </w:r>
          </w:p>
        </w:tc>
        <w:tc>
          <w:tcPr>
            <w:tcW w:w="1640" w:type="dxa"/>
            <w:vAlign w:val="bottom"/>
            <w:gridSpan w:val="2"/>
          </w:tcPr>
          <w:p>
            <w:pPr>
              <w:jc w:val="right"/>
              <w:ind w:right="357"/>
              <w:spacing w:after="0"/>
              <w:rPr>
                <w:sz w:val="20"/>
                <w:szCs w:val="20"/>
                <w:color w:val="auto"/>
              </w:rPr>
            </w:pPr>
            <w:r>
              <w:rPr>
                <w:rFonts w:ascii="Arial" w:cs="Arial" w:eastAsia="Arial" w:hAnsi="Arial"/>
                <w:sz w:val="14"/>
                <w:szCs w:val="14"/>
                <w:color w:val="14202A"/>
              </w:rPr>
              <w:t>106.9%</w:t>
            </w:r>
          </w:p>
        </w:tc>
        <w:tc>
          <w:tcPr>
            <w:tcW w:w="520" w:type="dxa"/>
            <w:vAlign w:val="bottom"/>
          </w:tcPr>
          <w:p>
            <w:pPr>
              <w:ind w:left="400"/>
              <w:spacing w:after="0"/>
              <w:rPr>
                <w:sz w:val="20"/>
                <w:szCs w:val="20"/>
                <w:color w:val="auto"/>
              </w:rPr>
            </w:pPr>
            <w:r>
              <w:rPr>
                <w:rFonts w:ascii="Arial" w:cs="Arial" w:eastAsia="Arial" w:hAnsi="Arial"/>
                <w:sz w:val="14"/>
                <w:szCs w:val="14"/>
                <w:color w:val="14202A"/>
              </w:rPr>
              <w:t>$</w:t>
            </w:r>
          </w:p>
        </w:tc>
        <w:tc>
          <w:tcPr>
            <w:tcW w:w="820" w:type="dxa"/>
            <w:vAlign w:val="bottom"/>
          </w:tcPr>
          <w:p>
            <w:pPr>
              <w:ind w:left="80"/>
              <w:spacing w:after="0"/>
              <w:rPr>
                <w:sz w:val="20"/>
                <w:szCs w:val="20"/>
                <w:color w:val="auto"/>
              </w:rPr>
            </w:pPr>
            <w:r>
              <w:rPr>
                <w:rFonts w:ascii="Arial" w:cs="Arial" w:eastAsia="Arial" w:hAnsi="Arial"/>
                <w:sz w:val="14"/>
                <w:szCs w:val="14"/>
                <w:color w:val="14202A"/>
              </w:rPr>
              <w:t>687,911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tcPr>
          <w:p>
            <w:pPr>
              <w:spacing w:after="0"/>
              <w:rPr>
                <w:sz w:val="4"/>
                <w:szCs w:val="4"/>
                <w:color w:val="auto"/>
              </w:rPr>
            </w:pPr>
          </w:p>
        </w:tc>
        <w:tc>
          <w:tcPr>
            <w:tcW w:w="880" w:type="dxa"/>
            <w:vAlign w:val="bottom"/>
            <w:tcBorders>
              <w:bottom w:val="single" w:sz="8" w:color="14202A"/>
            </w:tcBorders>
          </w:tcPr>
          <w:p>
            <w:pPr>
              <w:spacing w:after="0"/>
              <w:rPr>
                <w:sz w:val="4"/>
                <w:szCs w:val="4"/>
                <w:color w:val="auto"/>
              </w:rPr>
            </w:pPr>
          </w:p>
        </w:tc>
        <w:tc>
          <w:tcPr>
            <w:tcW w:w="1020" w:type="dxa"/>
            <w:vAlign w:val="bottom"/>
            <w:tcBorders>
              <w:bottom w:val="single" w:sz="8" w:color="14202A"/>
            </w:tcBorders>
          </w:tcPr>
          <w:p>
            <w:pPr>
              <w:spacing w:after="0"/>
              <w:rPr>
                <w:sz w:val="4"/>
                <w:szCs w:val="4"/>
                <w:color w:val="auto"/>
              </w:rPr>
            </w:pPr>
          </w:p>
        </w:tc>
        <w:tc>
          <w:tcPr>
            <w:tcW w:w="300" w:type="dxa"/>
            <w:vAlign w:val="bottom"/>
            <w:tcBorders>
              <w:bottom w:val="single" w:sz="8" w:color="14202A"/>
            </w:tcBorders>
          </w:tcPr>
          <w:p>
            <w:pPr>
              <w:spacing w:after="0"/>
              <w:rPr>
                <w:sz w:val="4"/>
                <w:szCs w:val="4"/>
                <w:color w:val="auto"/>
              </w:rPr>
            </w:pPr>
          </w:p>
        </w:tc>
        <w:tc>
          <w:tcPr>
            <w:tcW w:w="600" w:type="dxa"/>
            <w:vAlign w:val="bottom"/>
            <w:tcBorders>
              <w:bottom w:val="single" w:sz="8" w:color="14202A"/>
            </w:tcBorders>
          </w:tcPr>
          <w:p>
            <w:pPr>
              <w:spacing w:after="0"/>
              <w:rPr>
                <w:sz w:val="4"/>
                <w:szCs w:val="4"/>
                <w:color w:val="auto"/>
              </w:rPr>
            </w:pPr>
          </w:p>
        </w:tc>
        <w:tc>
          <w:tcPr>
            <w:tcW w:w="1640" w:type="dxa"/>
            <w:vAlign w:val="bottom"/>
            <w:tcBorders>
              <w:bottom w:val="single" w:sz="8" w:color="14202A"/>
            </w:tcBorders>
            <w:gridSpan w:val="2"/>
          </w:tcPr>
          <w:p>
            <w:pPr>
              <w:spacing w:after="0"/>
              <w:rPr>
                <w:sz w:val="4"/>
                <w:szCs w:val="4"/>
                <w:color w:val="auto"/>
              </w:rPr>
            </w:pPr>
          </w:p>
        </w:tc>
        <w:tc>
          <w:tcPr>
            <w:tcW w:w="520" w:type="dxa"/>
            <w:vAlign w:val="bottom"/>
            <w:tcBorders>
              <w:bottom w:val="single" w:sz="8" w:color="14202A"/>
            </w:tcBorders>
          </w:tcPr>
          <w:p>
            <w:pPr>
              <w:spacing w:after="0"/>
              <w:rPr>
                <w:sz w:val="4"/>
                <w:szCs w:val="4"/>
                <w:color w:val="auto"/>
              </w:rPr>
            </w:pPr>
          </w:p>
        </w:tc>
        <w:tc>
          <w:tcPr>
            <w:tcW w:w="820" w:type="dxa"/>
            <w:vAlign w:val="bottom"/>
            <w:tcBorders>
              <w:bottom w:val="single" w:sz="8" w:color="14202A"/>
            </w:tcBorders>
          </w:tcPr>
          <w:p>
            <w:pPr>
              <w:spacing w:after="0"/>
              <w:rPr>
                <w:sz w:val="4"/>
                <w:szCs w:val="4"/>
                <w:color w:val="auto"/>
              </w:rPr>
            </w:pPr>
          </w:p>
        </w:tc>
        <w:tc>
          <w:tcPr>
            <w:tcW w:w="1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Casey J. Tubman</w:t>
            </w:r>
          </w:p>
        </w:tc>
        <w:tc>
          <w:tcPr>
            <w:tcW w:w="660" w:type="dxa"/>
            <w:vAlign w:val="bottom"/>
          </w:tcPr>
          <w:p>
            <w:pPr>
              <w:ind w:left="520"/>
              <w:spacing w:after="0"/>
              <w:rPr>
                <w:sz w:val="20"/>
                <w:szCs w:val="20"/>
                <w:color w:val="auto"/>
              </w:rPr>
            </w:pPr>
            <w:r>
              <w:rPr>
                <w:rFonts w:ascii="Arial" w:cs="Arial" w:eastAsia="Arial" w:hAnsi="Arial"/>
                <w:sz w:val="14"/>
                <w:szCs w:val="14"/>
                <w:color w:val="14202A"/>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14202A"/>
              </w:rPr>
              <w:t>590,000</w:t>
            </w:r>
          </w:p>
        </w:tc>
        <w:tc>
          <w:tcPr>
            <w:tcW w:w="1020" w:type="dxa"/>
            <w:vAlign w:val="bottom"/>
          </w:tcPr>
          <w:p>
            <w:pPr>
              <w:jc w:val="center"/>
              <w:spacing w:after="0"/>
              <w:rPr>
                <w:sz w:val="20"/>
                <w:szCs w:val="20"/>
                <w:color w:val="auto"/>
              </w:rPr>
            </w:pPr>
            <w:r>
              <w:rPr>
                <w:rFonts w:ascii="Arial" w:cs="Arial" w:eastAsia="Arial" w:hAnsi="Arial"/>
                <w:sz w:val="14"/>
                <w:szCs w:val="14"/>
                <w:color w:val="14202A"/>
              </w:rPr>
              <w:t>100%​</w:t>
            </w:r>
          </w:p>
        </w:tc>
        <w:tc>
          <w:tcPr>
            <w:tcW w:w="300" w:type="dxa"/>
            <w:vAlign w:val="bottom"/>
          </w:tcPr>
          <w:p>
            <w:pPr>
              <w:ind w:left="180"/>
              <w:spacing w:after="0"/>
              <w:rPr>
                <w:sz w:val="20"/>
                <w:szCs w:val="20"/>
                <w:color w:val="auto"/>
              </w:rPr>
            </w:pPr>
            <w:r>
              <w:rPr>
                <w:rFonts w:ascii="Arial" w:cs="Arial" w:eastAsia="Arial" w:hAnsi="Arial"/>
                <w:sz w:val="14"/>
                <w:szCs w:val="14"/>
                <w:color w:val="14202A"/>
              </w:rPr>
              <w:t>$​</w:t>
            </w:r>
          </w:p>
        </w:tc>
        <w:tc>
          <w:tcPr>
            <w:tcW w:w="600" w:type="dxa"/>
            <w:vAlign w:val="bottom"/>
          </w:tcPr>
          <w:p>
            <w:pPr>
              <w:jc w:val="right"/>
              <w:spacing w:after="0"/>
              <w:rPr>
                <w:sz w:val="20"/>
                <w:szCs w:val="20"/>
                <w:color w:val="auto"/>
              </w:rPr>
            </w:pPr>
            <w:r>
              <w:rPr>
                <w:rFonts w:ascii="Arial" w:cs="Arial" w:eastAsia="Arial" w:hAnsi="Arial"/>
                <w:sz w:val="14"/>
                <w:szCs w:val="14"/>
                <w:color w:val="14202A"/>
              </w:rPr>
              <w:t>590,000</w:t>
            </w:r>
          </w:p>
        </w:tc>
        <w:tc>
          <w:tcPr>
            <w:tcW w:w="1640" w:type="dxa"/>
            <w:vAlign w:val="bottom"/>
            <w:gridSpan w:val="2"/>
          </w:tcPr>
          <w:p>
            <w:pPr>
              <w:jc w:val="right"/>
              <w:ind w:right="357"/>
              <w:spacing w:after="0"/>
              <w:rPr>
                <w:sz w:val="20"/>
                <w:szCs w:val="20"/>
                <w:color w:val="auto"/>
              </w:rPr>
            </w:pPr>
            <w:r>
              <w:rPr>
                <w:rFonts w:ascii="Arial" w:cs="Arial" w:eastAsia="Arial" w:hAnsi="Arial"/>
                <w:sz w:val="14"/>
                <w:szCs w:val="14"/>
                <w:color w:val="14202A"/>
              </w:rPr>
              <w:t>121.2%</w:t>
            </w:r>
          </w:p>
        </w:tc>
        <w:tc>
          <w:tcPr>
            <w:tcW w:w="520" w:type="dxa"/>
            <w:vAlign w:val="bottom"/>
          </w:tcPr>
          <w:p>
            <w:pPr>
              <w:ind w:left="400"/>
              <w:spacing w:after="0"/>
              <w:rPr>
                <w:sz w:val="20"/>
                <w:szCs w:val="20"/>
                <w:color w:val="auto"/>
              </w:rPr>
            </w:pPr>
            <w:r>
              <w:rPr>
                <w:rFonts w:ascii="Arial" w:cs="Arial" w:eastAsia="Arial" w:hAnsi="Arial"/>
                <w:sz w:val="14"/>
                <w:szCs w:val="14"/>
                <w:color w:val="14202A"/>
              </w:rPr>
              <w:t>$​</w:t>
            </w:r>
          </w:p>
        </w:tc>
        <w:tc>
          <w:tcPr>
            <w:tcW w:w="820" w:type="dxa"/>
            <w:vAlign w:val="bottom"/>
          </w:tcPr>
          <w:p>
            <w:pPr>
              <w:ind w:left="80"/>
              <w:spacing w:after="0"/>
              <w:rPr>
                <w:sz w:val="20"/>
                <w:szCs w:val="20"/>
                <w:color w:val="auto"/>
              </w:rPr>
            </w:pPr>
            <w:r>
              <w:rPr>
                <w:rFonts w:ascii="Arial" w:cs="Arial" w:eastAsia="Arial" w:hAnsi="Arial"/>
                <w:sz w:val="14"/>
                <w:szCs w:val="14"/>
                <w:color w:val="14202A"/>
              </w:rPr>
              <w:t>714,862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tcPr>
          <w:p>
            <w:pPr>
              <w:spacing w:after="0"/>
              <w:rPr>
                <w:sz w:val="4"/>
                <w:szCs w:val="4"/>
                <w:color w:val="auto"/>
              </w:rPr>
            </w:pPr>
          </w:p>
        </w:tc>
        <w:tc>
          <w:tcPr>
            <w:tcW w:w="880" w:type="dxa"/>
            <w:vAlign w:val="bottom"/>
            <w:tcBorders>
              <w:bottom w:val="single" w:sz="8" w:color="14202A"/>
            </w:tcBorders>
          </w:tcPr>
          <w:p>
            <w:pPr>
              <w:spacing w:after="0"/>
              <w:rPr>
                <w:sz w:val="4"/>
                <w:szCs w:val="4"/>
                <w:color w:val="auto"/>
              </w:rPr>
            </w:pPr>
          </w:p>
        </w:tc>
        <w:tc>
          <w:tcPr>
            <w:tcW w:w="1020" w:type="dxa"/>
            <w:vAlign w:val="bottom"/>
            <w:tcBorders>
              <w:bottom w:val="single" w:sz="8" w:color="14202A"/>
            </w:tcBorders>
          </w:tcPr>
          <w:p>
            <w:pPr>
              <w:spacing w:after="0"/>
              <w:rPr>
                <w:sz w:val="4"/>
                <w:szCs w:val="4"/>
                <w:color w:val="auto"/>
              </w:rPr>
            </w:pPr>
          </w:p>
        </w:tc>
        <w:tc>
          <w:tcPr>
            <w:tcW w:w="300" w:type="dxa"/>
            <w:vAlign w:val="bottom"/>
            <w:tcBorders>
              <w:bottom w:val="single" w:sz="8" w:color="14202A"/>
            </w:tcBorders>
          </w:tcPr>
          <w:p>
            <w:pPr>
              <w:spacing w:after="0"/>
              <w:rPr>
                <w:sz w:val="4"/>
                <w:szCs w:val="4"/>
                <w:color w:val="auto"/>
              </w:rPr>
            </w:pPr>
          </w:p>
        </w:tc>
        <w:tc>
          <w:tcPr>
            <w:tcW w:w="600" w:type="dxa"/>
            <w:vAlign w:val="bottom"/>
            <w:tcBorders>
              <w:bottom w:val="single" w:sz="8" w:color="14202A"/>
            </w:tcBorders>
          </w:tcPr>
          <w:p>
            <w:pPr>
              <w:spacing w:after="0"/>
              <w:rPr>
                <w:sz w:val="4"/>
                <w:szCs w:val="4"/>
                <w:color w:val="auto"/>
              </w:rPr>
            </w:pPr>
          </w:p>
        </w:tc>
        <w:tc>
          <w:tcPr>
            <w:tcW w:w="1640" w:type="dxa"/>
            <w:vAlign w:val="bottom"/>
            <w:tcBorders>
              <w:bottom w:val="single" w:sz="8" w:color="14202A"/>
            </w:tcBorders>
            <w:gridSpan w:val="2"/>
          </w:tcPr>
          <w:p>
            <w:pPr>
              <w:spacing w:after="0"/>
              <w:rPr>
                <w:sz w:val="4"/>
                <w:szCs w:val="4"/>
                <w:color w:val="auto"/>
              </w:rPr>
            </w:pPr>
          </w:p>
        </w:tc>
        <w:tc>
          <w:tcPr>
            <w:tcW w:w="520" w:type="dxa"/>
            <w:vAlign w:val="bottom"/>
            <w:tcBorders>
              <w:bottom w:val="single" w:sz="8" w:color="14202A"/>
            </w:tcBorders>
          </w:tcPr>
          <w:p>
            <w:pPr>
              <w:spacing w:after="0"/>
              <w:rPr>
                <w:sz w:val="4"/>
                <w:szCs w:val="4"/>
                <w:color w:val="auto"/>
              </w:rPr>
            </w:pPr>
          </w:p>
        </w:tc>
        <w:tc>
          <w:tcPr>
            <w:tcW w:w="820" w:type="dxa"/>
            <w:vAlign w:val="bottom"/>
            <w:tcBorders>
              <w:bottom w:val="single" w:sz="8" w:color="14202A"/>
            </w:tcBorders>
          </w:tcPr>
          <w:p>
            <w:pPr>
              <w:spacing w:after="0"/>
              <w:rPr>
                <w:sz w:val="4"/>
                <w:szCs w:val="4"/>
                <w:color w:val="auto"/>
              </w:rPr>
            </w:pPr>
          </w:p>
        </w:tc>
        <w:tc>
          <w:tcPr>
            <w:tcW w:w="1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Stacy L. Bogart</w:t>
            </w:r>
          </w:p>
        </w:tc>
        <w:tc>
          <w:tcPr>
            <w:tcW w:w="660" w:type="dxa"/>
            <w:vAlign w:val="bottom"/>
          </w:tcPr>
          <w:p>
            <w:pPr>
              <w:ind w:left="520"/>
              <w:spacing w:after="0"/>
              <w:rPr>
                <w:sz w:val="20"/>
                <w:szCs w:val="20"/>
                <w:color w:val="auto"/>
              </w:rPr>
            </w:pPr>
            <w:r>
              <w:rPr>
                <w:rFonts w:ascii="Arial" w:cs="Arial" w:eastAsia="Arial" w:hAnsi="Arial"/>
                <w:sz w:val="14"/>
                <w:szCs w:val="14"/>
                <w:color w:val="14202A"/>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14202A"/>
              </w:rPr>
              <w:t>570,263</w:t>
            </w:r>
          </w:p>
        </w:tc>
        <w:tc>
          <w:tcPr>
            <w:tcW w:w="1020" w:type="dxa"/>
            <w:vAlign w:val="bottom"/>
          </w:tcPr>
          <w:p>
            <w:pPr>
              <w:jc w:val="center"/>
              <w:spacing w:after="0"/>
              <w:rPr>
                <w:sz w:val="20"/>
                <w:szCs w:val="20"/>
                <w:color w:val="auto"/>
              </w:rPr>
            </w:pPr>
            <w:r>
              <w:rPr>
                <w:rFonts w:ascii="Arial" w:cs="Arial" w:eastAsia="Arial" w:hAnsi="Arial"/>
                <w:sz w:val="14"/>
                <w:szCs w:val="14"/>
                <w:color w:val="14202A"/>
                <w:w w:val="99"/>
              </w:rPr>
              <w:t>85%</w:t>
            </w:r>
          </w:p>
        </w:tc>
        <w:tc>
          <w:tcPr>
            <w:tcW w:w="300" w:type="dxa"/>
            <w:vAlign w:val="bottom"/>
          </w:tcPr>
          <w:p>
            <w:pPr>
              <w:ind w:left="180"/>
              <w:spacing w:after="0"/>
              <w:rPr>
                <w:sz w:val="20"/>
                <w:szCs w:val="20"/>
                <w:color w:val="auto"/>
              </w:rPr>
            </w:pPr>
            <w:r>
              <w:rPr>
                <w:rFonts w:ascii="Arial" w:cs="Arial" w:eastAsia="Arial" w:hAnsi="Arial"/>
                <w:sz w:val="14"/>
                <w:szCs w:val="14"/>
                <w:color w:val="14202A"/>
              </w:rPr>
              <w:t>$</w:t>
            </w:r>
          </w:p>
        </w:tc>
        <w:tc>
          <w:tcPr>
            <w:tcW w:w="600" w:type="dxa"/>
            <w:vAlign w:val="bottom"/>
          </w:tcPr>
          <w:p>
            <w:pPr>
              <w:jc w:val="right"/>
              <w:spacing w:after="0"/>
              <w:rPr>
                <w:sz w:val="20"/>
                <w:szCs w:val="20"/>
                <w:color w:val="auto"/>
              </w:rPr>
            </w:pPr>
            <w:r>
              <w:rPr>
                <w:rFonts w:ascii="Arial" w:cs="Arial" w:eastAsia="Arial" w:hAnsi="Arial"/>
                <w:sz w:val="14"/>
                <w:szCs w:val="14"/>
                <w:color w:val="14202A"/>
              </w:rPr>
              <w:t>484,724</w:t>
            </w:r>
          </w:p>
        </w:tc>
        <w:tc>
          <w:tcPr>
            <w:tcW w:w="1640" w:type="dxa"/>
            <w:vAlign w:val="bottom"/>
            <w:gridSpan w:val="2"/>
          </w:tcPr>
          <w:p>
            <w:pPr>
              <w:jc w:val="right"/>
              <w:ind w:right="357"/>
              <w:spacing w:after="0"/>
              <w:rPr>
                <w:sz w:val="20"/>
                <w:szCs w:val="20"/>
                <w:color w:val="auto"/>
              </w:rPr>
            </w:pPr>
            <w:r>
              <w:rPr>
                <w:rFonts w:ascii="Arial" w:cs="Arial" w:eastAsia="Arial" w:hAnsi="Arial"/>
                <w:sz w:val="14"/>
                <w:szCs w:val="14"/>
                <w:color w:val="14202A"/>
              </w:rPr>
              <w:t>109.2%</w:t>
            </w:r>
          </w:p>
        </w:tc>
        <w:tc>
          <w:tcPr>
            <w:tcW w:w="520" w:type="dxa"/>
            <w:vAlign w:val="bottom"/>
          </w:tcPr>
          <w:p>
            <w:pPr>
              <w:ind w:left="400"/>
              <w:spacing w:after="0"/>
              <w:rPr>
                <w:sz w:val="20"/>
                <w:szCs w:val="20"/>
                <w:color w:val="auto"/>
              </w:rPr>
            </w:pPr>
            <w:r>
              <w:rPr>
                <w:rFonts w:ascii="Arial" w:cs="Arial" w:eastAsia="Arial" w:hAnsi="Arial"/>
                <w:sz w:val="14"/>
                <w:szCs w:val="14"/>
                <w:color w:val="14202A"/>
              </w:rPr>
              <w:t>$</w:t>
            </w:r>
          </w:p>
        </w:tc>
        <w:tc>
          <w:tcPr>
            <w:tcW w:w="820" w:type="dxa"/>
            <w:vAlign w:val="bottom"/>
          </w:tcPr>
          <w:p>
            <w:pPr>
              <w:ind w:left="80"/>
              <w:spacing w:after="0"/>
              <w:rPr>
                <w:sz w:val="20"/>
                <w:szCs w:val="20"/>
                <w:color w:val="auto"/>
              </w:rPr>
            </w:pPr>
            <w:r>
              <w:rPr>
                <w:rFonts w:ascii="Arial" w:cs="Arial" w:eastAsia="Arial" w:hAnsi="Arial"/>
                <w:sz w:val="14"/>
                <w:szCs w:val="14"/>
                <w:color w:val="14202A"/>
              </w:rPr>
              <w:t>529,512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2620" w:type="dxa"/>
            <w:vAlign w:val="bottom"/>
            <w:tcBorders>
              <w:bottom w:val="single" w:sz="8" w:color="14202A"/>
            </w:tcBorders>
          </w:tcPr>
          <w:p>
            <w:pPr>
              <w:spacing w:after="0" w:line="20" w:lineRule="exact"/>
              <w:rPr>
                <w:sz w:val="1"/>
                <w:szCs w:val="1"/>
                <w:color w:val="auto"/>
              </w:rPr>
            </w:pPr>
          </w:p>
        </w:tc>
        <w:tc>
          <w:tcPr>
            <w:tcW w:w="660" w:type="dxa"/>
            <w:vAlign w:val="bottom"/>
            <w:tcBorders>
              <w:bottom w:val="single" w:sz="8" w:color="14202A"/>
            </w:tcBorders>
          </w:tcPr>
          <w:p>
            <w:pPr>
              <w:spacing w:after="0" w:line="20" w:lineRule="exact"/>
              <w:rPr>
                <w:sz w:val="1"/>
                <w:szCs w:val="1"/>
                <w:color w:val="auto"/>
              </w:rPr>
            </w:pPr>
          </w:p>
        </w:tc>
        <w:tc>
          <w:tcPr>
            <w:tcW w:w="880" w:type="dxa"/>
            <w:vAlign w:val="bottom"/>
            <w:tcBorders>
              <w:bottom w:val="single" w:sz="8" w:color="14202A"/>
            </w:tcBorders>
          </w:tcPr>
          <w:p>
            <w:pPr>
              <w:spacing w:after="0" w:line="20" w:lineRule="exact"/>
              <w:rPr>
                <w:sz w:val="1"/>
                <w:szCs w:val="1"/>
                <w:color w:val="auto"/>
              </w:rPr>
            </w:pPr>
          </w:p>
        </w:tc>
        <w:tc>
          <w:tcPr>
            <w:tcW w:w="1020" w:type="dxa"/>
            <w:vAlign w:val="bottom"/>
            <w:tcBorders>
              <w:bottom w:val="single" w:sz="8" w:color="14202A"/>
            </w:tcBorders>
          </w:tcPr>
          <w:p>
            <w:pPr>
              <w:spacing w:after="0" w:line="20" w:lineRule="exact"/>
              <w:rPr>
                <w:sz w:val="1"/>
                <w:szCs w:val="1"/>
                <w:color w:val="auto"/>
              </w:rPr>
            </w:pPr>
          </w:p>
        </w:tc>
        <w:tc>
          <w:tcPr>
            <w:tcW w:w="300" w:type="dxa"/>
            <w:vAlign w:val="bottom"/>
            <w:tcBorders>
              <w:bottom w:val="single" w:sz="8" w:color="14202A"/>
            </w:tcBorders>
          </w:tcPr>
          <w:p>
            <w:pPr>
              <w:spacing w:after="0" w:line="20" w:lineRule="exact"/>
              <w:rPr>
                <w:sz w:val="1"/>
                <w:szCs w:val="1"/>
                <w:color w:val="auto"/>
              </w:rPr>
            </w:pPr>
          </w:p>
        </w:tc>
        <w:tc>
          <w:tcPr>
            <w:tcW w:w="600" w:type="dxa"/>
            <w:vAlign w:val="bottom"/>
            <w:tcBorders>
              <w:bottom w:val="single" w:sz="8" w:color="14202A"/>
            </w:tcBorders>
          </w:tcPr>
          <w:p>
            <w:pPr>
              <w:spacing w:after="0" w:line="20" w:lineRule="exact"/>
              <w:rPr>
                <w:sz w:val="1"/>
                <w:szCs w:val="1"/>
                <w:color w:val="auto"/>
              </w:rPr>
            </w:pPr>
          </w:p>
        </w:tc>
        <w:tc>
          <w:tcPr>
            <w:tcW w:w="160" w:type="dxa"/>
            <w:vAlign w:val="bottom"/>
            <w:tcBorders>
              <w:bottom w:val="single" w:sz="8" w:color="14202A"/>
            </w:tcBorders>
          </w:tcPr>
          <w:p>
            <w:pPr>
              <w:spacing w:after="0" w:line="20" w:lineRule="exact"/>
              <w:rPr>
                <w:sz w:val="1"/>
                <w:szCs w:val="1"/>
                <w:color w:val="auto"/>
              </w:rPr>
            </w:pPr>
          </w:p>
        </w:tc>
        <w:tc>
          <w:tcPr>
            <w:tcW w:w="1480" w:type="dxa"/>
            <w:vAlign w:val="bottom"/>
            <w:tcBorders>
              <w:bottom w:val="single" w:sz="8" w:color="14202A"/>
            </w:tcBorders>
          </w:tcPr>
          <w:p>
            <w:pPr>
              <w:spacing w:after="0" w:line="20" w:lineRule="exact"/>
              <w:rPr>
                <w:sz w:val="1"/>
                <w:szCs w:val="1"/>
                <w:color w:val="auto"/>
              </w:rPr>
            </w:pPr>
          </w:p>
        </w:tc>
        <w:tc>
          <w:tcPr>
            <w:tcW w:w="520" w:type="dxa"/>
            <w:vAlign w:val="bottom"/>
            <w:tcBorders>
              <w:bottom w:val="single" w:sz="8" w:color="14202A"/>
            </w:tcBorders>
          </w:tcPr>
          <w:p>
            <w:pPr>
              <w:spacing w:after="0" w:line="20" w:lineRule="exact"/>
              <w:rPr>
                <w:sz w:val="1"/>
                <w:szCs w:val="1"/>
                <w:color w:val="auto"/>
              </w:rPr>
            </w:pPr>
          </w:p>
        </w:tc>
        <w:tc>
          <w:tcPr>
            <w:tcW w:w="820" w:type="dxa"/>
            <w:vAlign w:val="bottom"/>
            <w:tcBorders>
              <w:bottom w:val="single" w:sz="8" w:color="14202A"/>
            </w:tcBorders>
          </w:tcPr>
          <w:p>
            <w:pPr>
              <w:spacing w:after="0" w:line="20" w:lineRule="exact"/>
              <w:rPr>
                <w:sz w:val="1"/>
                <w:szCs w:val="1"/>
                <w:color w:val="auto"/>
              </w:rPr>
            </w:pPr>
          </w:p>
        </w:tc>
        <w:tc>
          <w:tcPr>
            <w:tcW w:w="12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-1070610</wp:posOffset>
            </wp:positionV>
            <wp:extent cx="30003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70" w:lineRule="exact"/>
        <w:rPr>
          <w:sz w:val="20"/>
          <w:szCs w:val="20"/>
          <w:color w:val="auto"/>
        </w:rPr>
      </w:pPr>
    </w:p>
    <w:p>
      <w:pPr>
        <w:ind w:left="360" w:hanging="360"/>
        <w:spacing w:after="0"/>
        <w:tabs>
          <w:tab w:leader="none" w:pos="360" w:val="left"/>
        </w:tabs>
        <w:numPr>
          <w:ilvl w:val="0"/>
          <w:numId w:val="29"/>
        </w:numPr>
        <w:rPr>
          <w:rFonts w:ascii="Arial" w:cs="Arial" w:eastAsia="Arial" w:hAnsi="Arial"/>
          <w:sz w:val="13"/>
          <w:szCs w:val="13"/>
          <w:color w:val="14202A"/>
        </w:rPr>
      </w:pPr>
      <w:r>
        <w:rPr>
          <w:rFonts w:ascii="Arial" w:cs="Arial" w:eastAsia="Arial" w:hAnsi="Arial"/>
          <w:sz w:val="13"/>
          <w:szCs w:val="13"/>
          <w:color w:val="14202A"/>
        </w:rPr>
        <w:t>Mr. Happe’s target OICP is set at the listed target award amount and is not calculated as a percent of his base salary.</w:t>
      </w:r>
    </w:p>
    <w:p>
      <w:pPr>
        <w:spacing w:after="0" w:line="17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14202A"/>
        </w:rPr>
        <w:t>Mr. Clark does not participate in the OICP. For Fiscal 2026, Mr. Clark received an incentive bonus of $2,871,251 under the Grand Design MIP, which is described in more detail below.</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Grand Design Management Incentive Plan</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6"/>
          <w:szCs w:val="16"/>
          <w:color w:val="14202A"/>
        </w:rPr>
        <w:t>The Grand Design MIP is a pre-existing management incentive plan that was in place prior to the Company’s acquisition of Grand Design in November 2016 and was continued pursuant to the terms of Mr. Clark’s employment agreement. Under the Grand Design MIP, Mr. Clark is eligible to receive a quarterly incentive bonus calculated as 3.5% of the pretax net income of the Grand Design business (before taking into account any bonus payments under the plan). Payment under the Grand Design MIP is 90% dependent on pretax net income performance of the Grand Design business and 10% dependent on Grand Design’s performance against an operating target set by the Company. Any incentive bonus earned under the Grand Design MIP is paid in quarterly cash installments, with each payment made within 30 days after the Company determines the pretax net income for the applicable fiscal quarter. Mr. Clark is not eligible to participate in any other Winnebago Industries cash or stock incentive program, including the OICP or LTIP.</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Winnebago Motorhome Profitability Improvement Bonus Plan</w:t>
      </w:r>
    </w:p>
    <w:p>
      <w:pPr>
        <w:spacing w:after="0" w:line="193" w:lineRule="exact"/>
        <w:rPr>
          <w:sz w:val="20"/>
          <w:szCs w:val="20"/>
          <w:color w:val="auto"/>
        </w:rPr>
      </w:pPr>
    </w:p>
    <w:p>
      <w:pPr>
        <w:ind w:right="500"/>
        <w:spacing w:after="0" w:line="253" w:lineRule="auto"/>
        <w:rPr>
          <w:sz w:val="20"/>
          <w:szCs w:val="20"/>
          <w:color w:val="auto"/>
        </w:rPr>
      </w:pPr>
      <w:r>
        <w:rPr>
          <w:rFonts w:ascii="Arial" w:cs="Arial" w:eastAsia="Arial" w:hAnsi="Arial"/>
          <w:sz w:val="16"/>
          <w:szCs w:val="16"/>
          <w:color w:val="14202A"/>
        </w:rPr>
        <w:t>On October 20, 2025, the committee approved the Motorhome Bonus Plan for key members of our Winnebago Motorhome leadership team, including Mr. Tubman. The plan is designed to promote the growth and profitability of our Winnebago Motorhome business by providing an opportunity to earn some or all of a certain bonus amount ($0.9 million in the case of</w:t>
      </w:r>
    </w:p>
    <w:p>
      <w:pPr>
        <w:spacing w:after="0" w:line="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14202A"/>
        </w:rPr>
        <w:t>Mr. Tubman) over a three-year performance period from Fiscal 2026 to Fiscal 2028. Amounts earned under the plan will be paid one-half in cash and one-half in restricted stock units.</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Fiscal 2026 Equity Awards</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14202A"/>
        </w:rPr>
        <w:t>We recognize long-term incentive opportunities as an important element of the total executive compensation program for NEOs. Long-term incentives are intended to retain and motivate executives and to encourage a strong link between management objectives and long-term shareholder interests. In Fiscal 2026, we awarded long-term incentives under our 2019 Plan in the form of annual LTIP performance share units, restricted stock units and stock options.</w:t>
      </w:r>
    </w:p>
    <w:p>
      <w:pPr>
        <w:spacing w:after="0" w:line="13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14202A"/>
        </w:rPr>
        <w:t>Mr. Clark does not receive equity awards under the long-term incentive program because he participates in the Grand Design MIP in lieu of other incentive compensation.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LTIP / Performance Share Units</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14202A"/>
        </w:rPr>
        <w:t>Each year, the committee establishes a three-year performance plan to promote our long-term growth and profitability and to attract and retain executives by providing them an incentive award consisting of performance share units that settle, when and to the extent earned and vested, in shares of the Company’s common stock. The amount of an NEO’s performance share incentive compensation earned for the three-year period is calculated to be in direct linear proportion to our measured financial performance expressed as a percentage against compensation targets as approved by the committee.</w:t>
      </w:r>
    </w:p>
    <w:p>
      <w:pPr>
        <w:spacing w:after="0" w:line="13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14202A"/>
        </w:rPr>
        <w:t>In general, the awards are based on our financial performance as measured against the three-year performance plan approved by the committee. The committee approved financial measurements and weightings for each specific three-year plan (as set forth in the following chart).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14202A"/>
        </w:rPr>
        <w:t>For the Fiscal 2026-2028 LTIP performance share units, the committee selected the following Company performance metrics: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940" w:type="dxa"/>
            <w:vAlign w:val="bottom"/>
            <w:shd w:val="clear" w:color="auto" w:fill="14202A"/>
          </w:tcPr>
          <w:p>
            <w:pPr>
              <w:ind w:left="160"/>
              <w:spacing w:after="0"/>
              <w:rPr>
                <w:sz w:val="20"/>
                <w:szCs w:val="20"/>
                <w:color w:val="auto"/>
              </w:rPr>
            </w:pPr>
            <w:r>
              <w:rPr>
                <w:rFonts w:ascii="Arial" w:cs="Arial" w:eastAsia="Arial" w:hAnsi="Arial"/>
                <w:sz w:val="13"/>
                <w:szCs w:val="13"/>
                <w:b w:val="1"/>
                <w:bCs w:val="1"/>
                <w:color w:val="FFFFFF"/>
              </w:rPr>
              <w:t>Metric</w:t>
            </w:r>
          </w:p>
        </w:tc>
        <w:tc>
          <w:tcPr>
            <w:tcW w:w="4340" w:type="dxa"/>
            <w:vAlign w:val="bottom"/>
            <w:shd w:val="clear" w:color="auto" w:fill="14202A"/>
          </w:tcPr>
          <w:p>
            <w:pPr>
              <w:jc w:val="right"/>
              <w:ind w:right="71"/>
              <w:spacing w:after="0"/>
              <w:rPr>
                <w:sz w:val="20"/>
                <w:szCs w:val="20"/>
                <w:color w:val="auto"/>
              </w:rPr>
            </w:pPr>
            <w:r>
              <w:rPr>
                <w:rFonts w:ascii="Arial" w:cs="Arial" w:eastAsia="Arial" w:hAnsi="Arial"/>
                <w:sz w:val="13"/>
                <w:szCs w:val="13"/>
                <w:b w:val="1"/>
                <w:bCs w:val="1"/>
                <w:color w:val="FFFFFF"/>
              </w:rPr>
              <w:t>Weight</w:t>
            </w:r>
          </w:p>
        </w:tc>
      </w:tr>
      <w:tr>
        <w:trPr>
          <w:trHeight w:val="62"/>
        </w:trPr>
        <w:tc>
          <w:tcPr>
            <w:tcW w:w="4940" w:type="dxa"/>
            <w:vAlign w:val="bottom"/>
            <w:shd w:val="clear" w:color="auto" w:fill="14202A"/>
          </w:tcPr>
          <w:p>
            <w:pPr>
              <w:spacing w:after="0"/>
              <w:rPr>
                <w:sz w:val="5"/>
                <w:szCs w:val="5"/>
                <w:color w:val="auto"/>
              </w:rPr>
            </w:pPr>
          </w:p>
        </w:tc>
        <w:tc>
          <w:tcPr>
            <w:tcW w:w="4340" w:type="dxa"/>
            <w:vAlign w:val="bottom"/>
            <w:shd w:val="clear" w:color="auto" w:fill="14202A"/>
          </w:tcPr>
          <w:p>
            <w:pPr>
              <w:spacing w:after="0"/>
              <w:rPr>
                <w:sz w:val="5"/>
                <w:szCs w:val="5"/>
                <w:color w:val="auto"/>
              </w:rPr>
            </w:pPr>
          </w:p>
        </w:tc>
      </w:tr>
      <w:tr>
        <w:trPr>
          <w:trHeight w:val="262"/>
        </w:trPr>
        <w:tc>
          <w:tcPr>
            <w:tcW w:w="4940" w:type="dxa"/>
            <w:vAlign w:val="bottom"/>
          </w:tcPr>
          <w:p>
            <w:pPr>
              <w:ind w:left="160"/>
              <w:spacing w:after="0"/>
              <w:rPr>
                <w:sz w:val="20"/>
                <w:szCs w:val="20"/>
                <w:color w:val="auto"/>
              </w:rPr>
            </w:pPr>
            <w:r>
              <w:rPr>
                <w:rFonts w:ascii="Arial" w:cs="Arial" w:eastAsia="Arial" w:hAnsi="Arial"/>
                <w:sz w:val="14"/>
                <w:szCs w:val="14"/>
                <w:color w:val="14202A"/>
              </w:rPr>
              <w:t>Incentive ROIC</w:t>
            </w:r>
          </w:p>
        </w:tc>
        <w:tc>
          <w:tcPr>
            <w:tcW w:w="4340" w:type="dxa"/>
            <w:vAlign w:val="bottom"/>
          </w:tcPr>
          <w:p>
            <w:pPr>
              <w:jc w:val="right"/>
              <w:ind w:right="71"/>
              <w:spacing w:after="0"/>
              <w:rPr>
                <w:sz w:val="20"/>
                <w:szCs w:val="20"/>
                <w:color w:val="auto"/>
              </w:rPr>
            </w:pPr>
            <w:r>
              <w:rPr>
                <w:rFonts w:ascii="Arial" w:cs="Arial" w:eastAsia="Arial" w:hAnsi="Arial"/>
                <w:sz w:val="14"/>
                <w:szCs w:val="14"/>
                <w:color w:val="14202A"/>
              </w:rPr>
              <w:t>50%</w:t>
            </w:r>
          </w:p>
        </w:tc>
      </w:tr>
      <w:tr>
        <w:trPr>
          <w:trHeight w:val="49"/>
        </w:trPr>
        <w:tc>
          <w:tcPr>
            <w:tcW w:w="4940" w:type="dxa"/>
            <w:vAlign w:val="bottom"/>
            <w:tcBorders>
              <w:bottom w:val="single" w:sz="8" w:color="14202A"/>
            </w:tcBorders>
          </w:tcPr>
          <w:p>
            <w:pPr>
              <w:spacing w:after="0"/>
              <w:rPr>
                <w:sz w:val="4"/>
                <w:szCs w:val="4"/>
                <w:color w:val="auto"/>
              </w:rPr>
            </w:pPr>
          </w:p>
        </w:tc>
        <w:tc>
          <w:tcPr>
            <w:tcW w:w="4340" w:type="dxa"/>
            <w:vAlign w:val="bottom"/>
            <w:tcBorders>
              <w:bottom w:val="single" w:sz="8" w:color="14202A"/>
            </w:tcBorders>
          </w:tcPr>
          <w:p>
            <w:pPr>
              <w:spacing w:after="0"/>
              <w:rPr>
                <w:sz w:val="4"/>
                <w:szCs w:val="4"/>
                <w:color w:val="auto"/>
              </w:rPr>
            </w:pPr>
          </w:p>
        </w:tc>
      </w:tr>
      <w:tr>
        <w:trPr>
          <w:trHeight w:val="242"/>
        </w:trPr>
        <w:tc>
          <w:tcPr>
            <w:tcW w:w="4940" w:type="dxa"/>
            <w:vAlign w:val="bottom"/>
          </w:tcPr>
          <w:p>
            <w:pPr>
              <w:ind w:left="160"/>
              <w:spacing w:after="0"/>
              <w:rPr>
                <w:sz w:val="20"/>
                <w:szCs w:val="20"/>
                <w:color w:val="auto"/>
              </w:rPr>
            </w:pPr>
            <w:r>
              <w:rPr>
                <w:rFonts w:ascii="Arial" w:cs="Arial" w:eastAsia="Arial" w:hAnsi="Arial"/>
                <w:sz w:val="14"/>
                <w:szCs w:val="14"/>
                <w:color w:val="14202A"/>
              </w:rPr>
              <w:t>Incentive EPS</w:t>
            </w:r>
          </w:p>
        </w:tc>
        <w:tc>
          <w:tcPr>
            <w:tcW w:w="4340" w:type="dxa"/>
            <w:vAlign w:val="bottom"/>
          </w:tcPr>
          <w:p>
            <w:pPr>
              <w:jc w:val="right"/>
              <w:ind w:right="71"/>
              <w:spacing w:after="0"/>
              <w:rPr>
                <w:sz w:val="20"/>
                <w:szCs w:val="20"/>
                <w:color w:val="auto"/>
              </w:rPr>
            </w:pPr>
            <w:r>
              <w:rPr>
                <w:rFonts w:ascii="Arial" w:cs="Arial" w:eastAsia="Arial" w:hAnsi="Arial"/>
                <w:sz w:val="14"/>
                <w:szCs w:val="14"/>
                <w:color w:val="14202A"/>
              </w:rPr>
              <w:t>50%</w:t>
            </w:r>
          </w:p>
        </w:tc>
      </w:tr>
      <w:tr>
        <w:trPr>
          <w:trHeight w:val="22"/>
        </w:trPr>
        <w:tc>
          <w:tcPr>
            <w:tcW w:w="4940" w:type="dxa"/>
            <w:vAlign w:val="bottom"/>
            <w:tcBorders>
              <w:bottom w:val="single" w:sz="8" w:color="14202A"/>
            </w:tcBorders>
          </w:tcPr>
          <w:p>
            <w:pPr>
              <w:spacing w:after="0" w:line="20" w:lineRule="exact"/>
              <w:rPr>
                <w:sz w:val="1"/>
                <w:szCs w:val="1"/>
                <w:color w:val="auto"/>
              </w:rPr>
            </w:pPr>
          </w:p>
        </w:tc>
        <w:tc>
          <w:tcPr>
            <w:tcW w:w="4340" w:type="dxa"/>
            <w:vAlign w:val="bottom"/>
            <w:tcBorders>
              <w:bottom w:val="single" w:sz="8" w:color="14202A"/>
            </w:tcBorders>
          </w:tcPr>
          <w:p>
            <w:pPr>
              <w:spacing w:after="0" w:line="20" w:lineRule="exact"/>
              <w:rPr>
                <w:sz w:val="1"/>
                <w:szCs w:val="1"/>
                <w:color w:val="auto"/>
              </w:rPr>
            </w:pPr>
          </w:p>
        </w:tc>
      </w:tr>
    </w:tbl>
    <w:p>
      <w:pPr>
        <w:spacing w:after="0" w:line="283"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14202A"/>
        </w:rPr>
        <w:t>The definitions of Incentive ROIC and Incentive EPS incorporate adjustments for Board-approved non-recurring disclosure items affecting comparability, including adjustments for acquisitions and divestitures where appropriate, which generally align with our non-GAAP financial reporting.</w:t>
      </w:r>
    </w:p>
    <w:p>
      <w:pPr>
        <w:spacing w:after="0" w:line="131"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14202A"/>
        </w:rPr>
        <w:t>Given the financial challenges of establishing a three-year performance plan in a cyclical industry, the committee decided to continue using four measurement periods for the Fiscal 2026-2028 LTIP. The performance goals are set at the beginning of the one-year performance period for Period 1 and the three-year performance period for Period 4, established at the start of fiscal year 2027 for Period 2 and established at the start of fiscal year 2028 for Period 3. The measurement periods and associated payout weightings are indicated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000" w:type="dxa"/>
            <w:vAlign w:val="bottom"/>
            <w:tcBorders>
              <w:bottom w:val="single" w:sz="8" w:color="14202A"/>
            </w:tcBorders>
            <w:shd w:val="clear" w:color="auto" w:fill="14202A"/>
          </w:tcPr>
          <w:p>
            <w:pPr>
              <w:ind w:left="160"/>
              <w:spacing w:after="0"/>
              <w:rPr>
                <w:sz w:val="20"/>
                <w:szCs w:val="20"/>
                <w:color w:val="auto"/>
              </w:rPr>
            </w:pPr>
            <w:r>
              <w:rPr>
                <w:rFonts w:ascii="Arial" w:cs="Arial" w:eastAsia="Arial" w:hAnsi="Arial"/>
                <w:sz w:val="13"/>
                <w:szCs w:val="13"/>
                <w:b w:val="1"/>
                <w:bCs w:val="1"/>
                <w:color w:val="FFFFFF"/>
              </w:rPr>
              <w:t>Measurement Period</w:t>
            </w:r>
          </w:p>
        </w:tc>
        <w:tc>
          <w:tcPr>
            <w:tcW w:w="1280" w:type="dxa"/>
            <w:vAlign w:val="bottom"/>
            <w:tcBorders>
              <w:bottom w:val="single" w:sz="8" w:color="14202A"/>
            </w:tcBorders>
            <w:shd w:val="clear" w:color="auto" w:fill="14202A"/>
          </w:tcPr>
          <w:p>
            <w:pPr>
              <w:jc w:val="right"/>
              <w:ind w:right="70"/>
              <w:spacing w:after="0"/>
              <w:rPr>
                <w:sz w:val="20"/>
                <w:szCs w:val="20"/>
                <w:color w:val="auto"/>
              </w:rPr>
            </w:pPr>
            <w:r>
              <w:rPr>
                <w:rFonts w:ascii="Arial" w:cs="Arial" w:eastAsia="Arial" w:hAnsi="Arial"/>
                <w:sz w:val="13"/>
                <w:szCs w:val="13"/>
                <w:b w:val="1"/>
                <w:bCs w:val="1"/>
                <w:color w:val="FFFFFF"/>
              </w:rPr>
              <w:t>Weight</w:t>
            </w:r>
          </w:p>
        </w:tc>
      </w:tr>
      <w:tr>
        <w:trPr>
          <w:trHeight w:val="250"/>
        </w:trPr>
        <w:tc>
          <w:tcPr>
            <w:tcW w:w="800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 xml:space="preserve">Period 1: </w:t>
            </w:r>
            <w:r>
              <w:rPr>
                <w:rFonts w:ascii="Arial" w:cs="Arial" w:eastAsia="Arial" w:hAnsi="Arial"/>
                <w:sz w:val="14"/>
                <w:szCs w:val="14"/>
                <w:color w:val="14202A"/>
              </w:rPr>
              <w:t>Fiscal 2026 (financial performance measured against Fiscal 2026 financial plan)</w:t>
            </w:r>
          </w:p>
        </w:tc>
        <w:tc>
          <w:tcPr>
            <w:tcW w:w="1280" w:type="dxa"/>
            <w:vAlign w:val="bottom"/>
            <w:tcBorders>
              <w:bottom w:val="single" w:sz="8" w:color="14202A"/>
            </w:tcBorders>
          </w:tcPr>
          <w:p>
            <w:pPr>
              <w:jc w:val="right"/>
              <w:ind w:right="70"/>
              <w:spacing w:after="0"/>
              <w:rPr>
                <w:sz w:val="20"/>
                <w:szCs w:val="20"/>
                <w:color w:val="auto"/>
              </w:rPr>
            </w:pPr>
            <w:r>
              <w:rPr>
                <w:rFonts w:ascii="Arial" w:cs="Arial" w:eastAsia="Arial" w:hAnsi="Arial"/>
                <w:sz w:val="14"/>
                <w:szCs w:val="14"/>
                <w:color w:val="14202A"/>
              </w:rPr>
              <w:t>25%</w:t>
            </w:r>
          </w:p>
        </w:tc>
      </w:tr>
      <w:tr>
        <w:trPr>
          <w:trHeight w:val="237"/>
        </w:trPr>
        <w:tc>
          <w:tcPr>
            <w:tcW w:w="800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 xml:space="preserve">Period 2: </w:t>
            </w:r>
            <w:r>
              <w:rPr>
                <w:rFonts w:ascii="Arial" w:cs="Arial" w:eastAsia="Arial" w:hAnsi="Arial"/>
                <w:sz w:val="14"/>
                <w:szCs w:val="14"/>
                <w:color w:val="14202A"/>
              </w:rPr>
              <w:t>Fiscal 2027 (financial performance measured against Fiscal 2027 financial plan)</w:t>
            </w:r>
          </w:p>
        </w:tc>
        <w:tc>
          <w:tcPr>
            <w:tcW w:w="1280" w:type="dxa"/>
            <w:vAlign w:val="bottom"/>
            <w:tcBorders>
              <w:bottom w:val="single" w:sz="8" w:color="14202A"/>
            </w:tcBorders>
          </w:tcPr>
          <w:p>
            <w:pPr>
              <w:jc w:val="right"/>
              <w:ind w:right="70"/>
              <w:spacing w:after="0"/>
              <w:rPr>
                <w:sz w:val="20"/>
                <w:szCs w:val="20"/>
                <w:color w:val="auto"/>
              </w:rPr>
            </w:pPr>
            <w:r>
              <w:rPr>
                <w:rFonts w:ascii="Arial" w:cs="Arial" w:eastAsia="Arial" w:hAnsi="Arial"/>
                <w:sz w:val="14"/>
                <w:szCs w:val="14"/>
                <w:color w:val="14202A"/>
              </w:rPr>
              <w:t>25%</w:t>
            </w:r>
          </w:p>
        </w:tc>
      </w:tr>
      <w:tr>
        <w:trPr>
          <w:trHeight w:val="236"/>
        </w:trPr>
        <w:tc>
          <w:tcPr>
            <w:tcW w:w="800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 xml:space="preserve">Period 3: </w:t>
            </w:r>
            <w:r>
              <w:rPr>
                <w:rFonts w:ascii="Arial" w:cs="Arial" w:eastAsia="Arial" w:hAnsi="Arial"/>
                <w:sz w:val="14"/>
                <w:szCs w:val="14"/>
                <w:color w:val="14202A"/>
              </w:rPr>
              <w:t>Fiscal 2028 (financial performance measured against Fiscal 2028 financial plan)</w:t>
            </w:r>
          </w:p>
        </w:tc>
        <w:tc>
          <w:tcPr>
            <w:tcW w:w="1280" w:type="dxa"/>
            <w:vAlign w:val="bottom"/>
            <w:tcBorders>
              <w:bottom w:val="single" w:sz="8" w:color="14202A"/>
            </w:tcBorders>
          </w:tcPr>
          <w:p>
            <w:pPr>
              <w:jc w:val="right"/>
              <w:ind w:right="70"/>
              <w:spacing w:after="0"/>
              <w:rPr>
                <w:sz w:val="20"/>
                <w:szCs w:val="20"/>
                <w:color w:val="auto"/>
              </w:rPr>
            </w:pPr>
            <w:r>
              <w:rPr>
                <w:rFonts w:ascii="Arial" w:cs="Arial" w:eastAsia="Arial" w:hAnsi="Arial"/>
                <w:sz w:val="14"/>
                <w:szCs w:val="14"/>
                <w:color w:val="14202A"/>
              </w:rPr>
              <w:t>25%</w:t>
            </w:r>
          </w:p>
        </w:tc>
      </w:tr>
      <w:tr>
        <w:trPr>
          <w:trHeight w:val="237"/>
        </w:trPr>
        <w:tc>
          <w:tcPr>
            <w:tcW w:w="800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 xml:space="preserve">Period 4: </w:t>
            </w:r>
            <w:r>
              <w:rPr>
                <w:rFonts w:ascii="Arial" w:cs="Arial" w:eastAsia="Arial" w:hAnsi="Arial"/>
                <w:sz w:val="14"/>
                <w:szCs w:val="14"/>
                <w:color w:val="14202A"/>
              </w:rPr>
              <w:t>Fiscal 2026-2028 (financial performance measured against financial plan for Fiscal 2026-2028 period)</w:t>
            </w:r>
          </w:p>
        </w:tc>
        <w:tc>
          <w:tcPr>
            <w:tcW w:w="1280" w:type="dxa"/>
            <w:vAlign w:val="bottom"/>
            <w:tcBorders>
              <w:bottom w:val="single" w:sz="8" w:color="14202A"/>
            </w:tcBorders>
          </w:tcPr>
          <w:p>
            <w:pPr>
              <w:jc w:val="right"/>
              <w:ind w:right="70"/>
              <w:spacing w:after="0"/>
              <w:rPr>
                <w:sz w:val="20"/>
                <w:szCs w:val="20"/>
                <w:color w:val="auto"/>
              </w:rPr>
            </w:pPr>
            <w:r>
              <w:rPr>
                <w:rFonts w:ascii="Arial" w:cs="Arial" w:eastAsia="Arial" w:hAnsi="Arial"/>
                <w:sz w:val="14"/>
                <w:szCs w:val="14"/>
                <w:color w:val="14202A"/>
              </w:rPr>
              <w:t>25%</w:t>
            </w:r>
          </w:p>
        </w:tc>
      </w:tr>
    </w:tbl>
    <w:p>
      <w:pPr>
        <w:spacing w:after="0" w:line="26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14202A"/>
        </w:rPr>
        <w:t>Following the completion of each of these measurement periods, the results are computed, and the payout results are “banked” until the end of Period 4. Employees must be employed by the Company on the date of payout, following the end of Period 4, to receive any payout, except in the case of an employee’s retirement (as more fully described under the “Long-Term Incentive Program and Performance Share Units” section below). The number of performance share units that may be earned ranges from 0% to 200% of the target number of shares.</w:t>
      </w:r>
    </w:p>
    <w:p>
      <w:pPr>
        <w:spacing w:after="0" w:line="153" w:lineRule="exact"/>
        <w:rPr>
          <w:sz w:val="20"/>
          <w:szCs w:val="20"/>
          <w:color w:val="auto"/>
        </w:rPr>
      </w:pPr>
    </w:p>
    <w:p>
      <w:pPr>
        <w:spacing w:after="0" w:line="286" w:lineRule="auto"/>
        <w:rPr>
          <w:sz w:val="20"/>
          <w:szCs w:val="20"/>
          <w:color w:val="auto"/>
        </w:rPr>
      </w:pPr>
      <w:r>
        <w:rPr>
          <w:rFonts w:ascii="Arial" w:cs="Arial" w:eastAsia="Arial" w:hAnsi="Arial"/>
          <w:sz w:val="16"/>
          <w:szCs w:val="16"/>
          <w:color w:val="14202A"/>
        </w:rPr>
        <w:t>We do not disclose the specific performance goals or targets for performance-based equity awards while the performance periods are in-progress because revealing our specific targets during the performance periods would</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6"/>
          <w:szCs w:val="16"/>
          <w:color w:val="14202A"/>
        </w:rPr>
        <w:t>provide competitors and other parties with insights into our confidential planning process and strategies, which would result in competitive harm to us. The committee believes the attainment of the target performance levels, while uncertain, could be reasonably achieved with strong execution. Threshold goals represent the minimum level of performance necessary for there to be a payout for that performance measure, and the committee believes the threshold goals are rigorous, but likely to be achieved. Maximum goals represent levels of performance at which the committee determined a payout of 200% of target would be appropriate. The committee believes that the maximum goals established are more aggressive goals.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Restricted Stock Units</w:t>
      </w:r>
    </w:p>
    <w:p>
      <w:pPr>
        <w:spacing w:after="0" w:line="180"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14202A"/>
        </w:rPr>
        <w:t>In Fiscal 2026, NEOs were granted restricted stock units that vest annually over three years in equal installments, beginning on the first anniversary of the grant date.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Stock Options</w:t>
      </w:r>
    </w:p>
    <w:p>
      <w:pPr>
        <w:spacing w:after="0" w:line="180"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14202A"/>
        </w:rPr>
        <w:t>In Fiscal 2026, NEOs were granted stock options that vest over three years in equal installments, beginning on the first anniversary of the grant date, and once vested, can be exercised until the 10-year anniversary of the grant date.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Fiscal 2026 Awards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14202A"/>
        </w:rPr>
        <w:t>The target value of the annual equity incentive awards granted to the NEOs in Fiscal 2026 was as set forth below. 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5897880" cy="7454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97880" cy="745490"/>
                    </a:xfrm>
                    <a:prstGeom prst="rect">
                      <a:avLst/>
                    </a:prstGeom>
                    <a:noFill/>
                  </pic:spPr>
                </pic:pic>
              </a:graphicData>
            </a:graphic>
          </wp:anchor>
        </w:drawing>
      </w:r>
    </w:p>
    <w:p>
      <w:pPr>
        <w:spacing w:after="0" w:line="168" w:lineRule="exact"/>
        <w:rPr>
          <w:sz w:val="20"/>
          <w:szCs w:val="20"/>
          <w:color w:val="auto"/>
        </w:rPr>
      </w:pPr>
    </w:p>
    <w:p>
      <w:pPr>
        <w:jc w:val="center"/>
        <w:ind w:right="1440"/>
        <w:spacing w:after="0"/>
        <w:rPr>
          <w:sz w:val="20"/>
          <w:szCs w:val="20"/>
          <w:color w:val="auto"/>
        </w:rPr>
      </w:pPr>
      <w:r>
        <w:rPr>
          <w:rFonts w:ascii="Arial" w:cs="Arial" w:eastAsia="Arial" w:hAnsi="Arial"/>
          <w:sz w:val="13"/>
          <w:szCs w:val="13"/>
          <w:b w:val="1"/>
          <w:bCs w:val="1"/>
          <w:color w:val="FFFFFF"/>
        </w:rPr>
        <w:t>Annual Awards</w:t>
      </w:r>
    </w:p>
    <w:p>
      <w:pPr>
        <w:jc w:val="center"/>
        <w:ind w:right="1440"/>
        <w:spacing w:after="0"/>
        <w:rPr>
          <w:sz w:val="20"/>
          <w:szCs w:val="20"/>
          <w:color w:val="auto"/>
        </w:rPr>
      </w:pPr>
      <w:r>
        <w:rPr>
          <w:rFonts w:ascii="Arial" w:cs="Arial" w:eastAsia="Arial" w:hAnsi="Arial"/>
          <w:sz w:val="13"/>
          <w:szCs w:val="13"/>
          <w:b w:val="1"/>
          <w:bCs w:val="1"/>
          <w:color w:val="FFFFFF"/>
        </w:rPr>
        <w:t>Weighting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0" w:type="dxa"/>
            <w:vAlign w:val="bottom"/>
          </w:tcPr>
          <w:p>
            <w:pPr>
              <w:spacing w:after="0"/>
              <w:rPr>
                <w:sz w:val="16"/>
                <w:szCs w:val="16"/>
                <w:color w:val="auto"/>
              </w:rPr>
            </w:pPr>
          </w:p>
        </w:tc>
        <w:tc>
          <w:tcPr>
            <w:tcW w:w="640" w:type="dxa"/>
            <w:vAlign w:val="bottom"/>
            <w:shd w:val="clear" w:color="auto" w:fill="14202A"/>
          </w:tcPr>
          <w:p>
            <w:pPr>
              <w:spacing w:after="0"/>
              <w:rPr>
                <w:sz w:val="16"/>
                <w:szCs w:val="16"/>
                <w:color w:val="auto"/>
              </w:rPr>
            </w:pPr>
          </w:p>
        </w:tc>
        <w:tc>
          <w:tcPr>
            <w:tcW w:w="900" w:type="dxa"/>
            <w:vAlign w:val="bottom"/>
            <w:shd w:val="clear" w:color="auto" w:fill="14202A"/>
          </w:tcPr>
          <w:p>
            <w:pPr>
              <w:jc w:val="center"/>
              <w:ind w:right="352"/>
              <w:spacing w:after="0"/>
              <w:rPr>
                <w:sz w:val="20"/>
                <w:szCs w:val="20"/>
                <w:color w:val="auto"/>
              </w:rPr>
            </w:pPr>
            <w:r>
              <w:rPr>
                <w:rFonts w:ascii="Arial" w:cs="Arial" w:eastAsia="Arial" w:hAnsi="Arial"/>
                <w:sz w:val="13"/>
                <w:szCs w:val="13"/>
                <w:b w:val="1"/>
                <w:bCs w:val="1"/>
                <w:color w:val="FFFFFF"/>
                <w:w w:val="90"/>
              </w:rPr>
              <w:t>LTIP /</w:t>
            </w:r>
          </w:p>
        </w:tc>
        <w:tc>
          <w:tcPr>
            <w:tcW w:w="420" w:type="dxa"/>
            <w:vAlign w:val="bottom"/>
            <w:shd w:val="clear" w:color="auto" w:fill="14202A"/>
          </w:tcPr>
          <w:p>
            <w:pPr>
              <w:spacing w:after="0"/>
              <w:rPr>
                <w:sz w:val="16"/>
                <w:szCs w:val="16"/>
                <w:color w:val="auto"/>
              </w:rPr>
            </w:pPr>
          </w:p>
        </w:tc>
        <w:tc>
          <w:tcPr>
            <w:tcW w:w="840" w:type="dxa"/>
            <w:vAlign w:val="bottom"/>
            <w:shd w:val="clear" w:color="auto" w:fill="14202A"/>
          </w:tcPr>
          <w:p>
            <w:pPr>
              <w:spacing w:after="0"/>
              <w:rPr>
                <w:sz w:val="16"/>
                <w:szCs w:val="16"/>
                <w:color w:val="auto"/>
              </w:rPr>
            </w:pPr>
          </w:p>
        </w:tc>
        <w:tc>
          <w:tcPr>
            <w:tcW w:w="860" w:type="dxa"/>
            <w:vAlign w:val="bottom"/>
            <w:shd w:val="clear" w:color="auto" w:fill="14202A"/>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shd w:val="clear" w:color="auto" w:fill="14202A"/>
          </w:tcPr>
          <w:p>
            <w:pPr>
              <w:spacing w:after="0"/>
              <w:rPr>
                <w:sz w:val="16"/>
                <w:szCs w:val="16"/>
                <w:color w:val="auto"/>
              </w:rPr>
            </w:pPr>
          </w:p>
        </w:tc>
        <w:tc>
          <w:tcPr>
            <w:tcW w:w="840" w:type="dxa"/>
            <w:vAlign w:val="bottom"/>
            <w:shd w:val="clear" w:color="auto" w:fill="14202A"/>
          </w:tcPr>
          <w:p>
            <w:pPr>
              <w:spacing w:after="0"/>
              <w:rPr>
                <w:sz w:val="16"/>
                <w:szCs w:val="16"/>
                <w:color w:val="auto"/>
              </w:rPr>
            </w:pPr>
          </w:p>
        </w:tc>
        <w:tc>
          <w:tcPr>
            <w:tcW w:w="400" w:type="dxa"/>
            <w:vAlign w:val="bottom"/>
            <w:shd w:val="clear" w:color="auto" w:fill="14202A"/>
          </w:tcPr>
          <w:p>
            <w:pPr>
              <w:spacing w:after="0"/>
              <w:rPr>
                <w:sz w:val="16"/>
                <w:szCs w:val="16"/>
                <w:color w:val="auto"/>
              </w:rPr>
            </w:pPr>
          </w:p>
        </w:tc>
        <w:tc>
          <w:tcPr>
            <w:tcW w:w="840" w:type="dxa"/>
            <w:vAlign w:val="bottom"/>
            <w:shd w:val="clear" w:color="auto" w:fill="14202A"/>
          </w:tcPr>
          <w:p>
            <w:pPr>
              <w:spacing w:after="0"/>
              <w:rPr>
                <w:sz w:val="16"/>
                <w:szCs w:val="16"/>
                <w:color w:val="auto"/>
              </w:rPr>
            </w:pPr>
          </w:p>
        </w:tc>
        <w:tc>
          <w:tcPr>
            <w:tcW w:w="1120" w:type="dxa"/>
            <w:vAlign w:val="bottom"/>
            <w:shd w:val="clear" w:color="auto" w:fill="14202A"/>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800" w:type="dxa"/>
            <w:vAlign w:val="bottom"/>
          </w:tcPr>
          <w:p>
            <w:pPr>
              <w:spacing w:after="0"/>
              <w:rPr>
                <w:sz w:val="14"/>
                <w:szCs w:val="14"/>
                <w:color w:val="auto"/>
              </w:rPr>
            </w:pPr>
          </w:p>
        </w:tc>
        <w:tc>
          <w:tcPr>
            <w:tcW w:w="1540" w:type="dxa"/>
            <w:vAlign w:val="bottom"/>
            <w:gridSpan w:val="2"/>
            <w:shd w:val="clear" w:color="auto" w:fill="14202A"/>
          </w:tcPr>
          <w:p>
            <w:pPr>
              <w:ind w:left="500"/>
              <w:spacing w:after="0"/>
              <w:rPr>
                <w:sz w:val="20"/>
                <w:szCs w:val="20"/>
                <w:color w:val="auto"/>
              </w:rPr>
            </w:pPr>
            <w:r>
              <w:rPr>
                <w:rFonts w:ascii="Arial" w:cs="Arial" w:eastAsia="Arial" w:hAnsi="Arial"/>
                <w:sz w:val="13"/>
                <w:szCs w:val="13"/>
                <w:b w:val="1"/>
                <w:bCs w:val="1"/>
                <w:color w:val="FFFFFF"/>
              </w:rPr>
              <w:t>Performance</w:t>
            </w:r>
          </w:p>
        </w:tc>
        <w:tc>
          <w:tcPr>
            <w:tcW w:w="126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Restricted</w:t>
            </w:r>
          </w:p>
        </w:tc>
        <w:tc>
          <w:tcPr>
            <w:tcW w:w="860" w:type="dxa"/>
            <w:vAlign w:val="bottom"/>
            <w:shd w:val="clear" w:color="auto" w:fill="14202A"/>
          </w:tcPr>
          <w:p>
            <w:pPr>
              <w:jc w:val="center"/>
              <w:ind w:left="131"/>
              <w:spacing w:after="0"/>
              <w:rPr>
                <w:sz w:val="20"/>
                <w:szCs w:val="20"/>
                <w:color w:val="auto"/>
              </w:rPr>
            </w:pPr>
            <w:r>
              <w:rPr>
                <w:rFonts w:ascii="Arial" w:cs="Arial" w:eastAsia="Arial" w:hAnsi="Arial"/>
                <w:sz w:val="13"/>
                <w:szCs w:val="13"/>
                <w:b w:val="1"/>
                <w:bCs w:val="1"/>
                <w:color w:val="FFFFFF"/>
                <w:w w:val="95"/>
              </w:rPr>
              <w:t>Stock</w:t>
            </w:r>
          </w:p>
        </w:tc>
        <w:tc>
          <w:tcPr>
            <w:tcW w:w="240" w:type="dxa"/>
            <w:vAlign w:val="bottom"/>
          </w:tcPr>
          <w:p>
            <w:pPr>
              <w:spacing w:after="0"/>
              <w:rPr>
                <w:sz w:val="14"/>
                <w:szCs w:val="14"/>
                <w:color w:val="auto"/>
              </w:rPr>
            </w:pPr>
          </w:p>
        </w:tc>
        <w:tc>
          <w:tcPr>
            <w:tcW w:w="380" w:type="dxa"/>
            <w:vAlign w:val="bottom"/>
            <w:shd w:val="clear" w:color="auto" w:fill="14202A"/>
          </w:tcPr>
          <w:p>
            <w:pPr>
              <w:spacing w:after="0"/>
              <w:rPr>
                <w:sz w:val="14"/>
                <w:szCs w:val="14"/>
                <w:color w:val="auto"/>
              </w:rPr>
            </w:pPr>
          </w:p>
        </w:tc>
        <w:tc>
          <w:tcPr>
            <w:tcW w:w="840" w:type="dxa"/>
            <w:vAlign w:val="bottom"/>
            <w:shd w:val="clear" w:color="auto" w:fill="14202A"/>
          </w:tcPr>
          <w:p>
            <w:pPr>
              <w:spacing w:after="0"/>
              <w:rPr>
                <w:sz w:val="14"/>
                <w:szCs w:val="14"/>
                <w:color w:val="auto"/>
              </w:rPr>
            </w:pPr>
          </w:p>
        </w:tc>
        <w:tc>
          <w:tcPr>
            <w:tcW w:w="400" w:type="dxa"/>
            <w:vAlign w:val="bottom"/>
            <w:shd w:val="clear" w:color="auto" w:fill="14202A"/>
          </w:tcPr>
          <w:p>
            <w:pPr>
              <w:spacing w:after="0"/>
              <w:rPr>
                <w:sz w:val="14"/>
                <w:szCs w:val="14"/>
                <w:color w:val="auto"/>
              </w:rPr>
            </w:pPr>
          </w:p>
        </w:tc>
        <w:tc>
          <w:tcPr>
            <w:tcW w:w="840" w:type="dxa"/>
            <w:vAlign w:val="bottom"/>
            <w:shd w:val="clear" w:color="auto" w:fill="14202A"/>
          </w:tcPr>
          <w:p>
            <w:pPr>
              <w:spacing w:after="0"/>
              <w:rPr>
                <w:sz w:val="14"/>
                <w:szCs w:val="14"/>
                <w:color w:val="auto"/>
              </w:rPr>
            </w:pPr>
          </w:p>
        </w:tc>
        <w:tc>
          <w:tcPr>
            <w:tcW w:w="1120" w:type="dxa"/>
            <w:vAlign w:val="bottom"/>
            <w:vMerge w:val="restart"/>
            <w:shd w:val="clear" w:color="auto" w:fill="14202A"/>
          </w:tcPr>
          <w:p>
            <w:pPr>
              <w:jc w:val="center"/>
              <w:ind w:left="31"/>
              <w:spacing w:after="0"/>
              <w:rPr>
                <w:sz w:val="20"/>
                <w:szCs w:val="20"/>
                <w:color w:val="auto"/>
              </w:rPr>
            </w:pPr>
            <w:r>
              <w:rPr>
                <w:rFonts w:ascii="Arial" w:cs="Arial" w:eastAsia="Arial" w:hAnsi="Arial"/>
                <w:sz w:val="13"/>
                <w:szCs w:val="13"/>
                <w:b w:val="1"/>
                <w:bCs w:val="1"/>
                <w:color w:val="FFFFFF"/>
                <w:w w:val="97"/>
              </w:rPr>
              <w:t>% Increase/</w:t>
            </w:r>
          </w:p>
        </w:tc>
        <w:tc>
          <w:tcPr>
            <w:tcW w:w="0" w:type="dxa"/>
            <w:vAlign w:val="bottom"/>
          </w:tcPr>
          <w:p>
            <w:pPr>
              <w:spacing w:after="0"/>
              <w:rPr>
                <w:sz w:val="1"/>
                <w:szCs w:val="1"/>
                <w:color w:val="auto"/>
              </w:rPr>
            </w:pPr>
          </w:p>
        </w:tc>
      </w:tr>
      <w:tr>
        <w:trPr>
          <w:trHeight w:val="135"/>
        </w:trPr>
        <w:tc>
          <w:tcPr>
            <w:tcW w:w="1800" w:type="dxa"/>
            <w:vAlign w:val="bottom"/>
            <w:vMerge w:val="restart"/>
          </w:tcPr>
          <w:p>
            <w:pPr>
              <w:ind w:left="140"/>
              <w:spacing w:after="0"/>
              <w:rPr>
                <w:sz w:val="20"/>
                <w:szCs w:val="20"/>
                <w:color w:val="auto"/>
              </w:rPr>
            </w:pPr>
            <w:r>
              <w:rPr>
                <w:rFonts w:ascii="Arial" w:cs="Arial" w:eastAsia="Arial" w:hAnsi="Arial"/>
                <w:sz w:val="13"/>
                <w:szCs w:val="13"/>
                <w:b w:val="1"/>
                <w:bCs w:val="1"/>
                <w:color w:val="FFFFFF"/>
              </w:rPr>
              <w:t>Name</w:t>
            </w:r>
          </w:p>
        </w:tc>
        <w:tc>
          <w:tcPr>
            <w:tcW w:w="640" w:type="dxa"/>
            <w:vAlign w:val="bottom"/>
            <w:shd w:val="clear" w:color="auto" w:fill="14202A"/>
          </w:tcPr>
          <w:p>
            <w:pPr>
              <w:spacing w:after="0"/>
              <w:rPr>
                <w:sz w:val="11"/>
                <w:szCs w:val="11"/>
                <w:color w:val="auto"/>
              </w:rPr>
            </w:pPr>
          </w:p>
        </w:tc>
        <w:tc>
          <w:tcPr>
            <w:tcW w:w="900" w:type="dxa"/>
            <w:vAlign w:val="bottom"/>
            <w:shd w:val="clear" w:color="auto" w:fill="14202A"/>
          </w:tcPr>
          <w:p>
            <w:pPr>
              <w:jc w:val="center"/>
              <w:ind w:right="292"/>
              <w:spacing w:after="0" w:line="135" w:lineRule="exact"/>
              <w:rPr>
                <w:sz w:val="20"/>
                <w:szCs w:val="20"/>
                <w:color w:val="auto"/>
              </w:rPr>
            </w:pPr>
            <w:r>
              <w:rPr>
                <w:rFonts w:ascii="Arial" w:cs="Arial" w:eastAsia="Arial" w:hAnsi="Arial"/>
                <w:sz w:val="13"/>
                <w:szCs w:val="13"/>
                <w:b w:val="1"/>
                <w:bCs w:val="1"/>
                <w:color w:val="FFFFFF"/>
                <w:w w:val="96"/>
              </w:rPr>
              <w:t>Shares</w:t>
            </w:r>
          </w:p>
        </w:tc>
        <w:tc>
          <w:tcPr>
            <w:tcW w:w="1260" w:type="dxa"/>
            <w:vAlign w:val="bottom"/>
            <w:gridSpan w:val="2"/>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Stock Units</w:t>
            </w:r>
          </w:p>
        </w:tc>
        <w:tc>
          <w:tcPr>
            <w:tcW w:w="860" w:type="dxa"/>
            <w:vAlign w:val="bottom"/>
            <w:shd w:val="clear" w:color="auto" w:fill="14202A"/>
          </w:tcPr>
          <w:p>
            <w:pPr>
              <w:jc w:val="center"/>
              <w:ind w:left="151"/>
              <w:spacing w:after="0" w:line="135" w:lineRule="exact"/>
              <w:rPr>
                <w:sz w:val="20"/>
                <w:szCs w:val="20"/>
                <w:color w:val="auto"/>
              </w:rPr>
            </w:pPr>
            <w:r>
              <w:rPr>
                <w:rFonts w:ascii="Arial" w:cs="Arial" w:eastAsia="Arial" w:hAnsi="Arial"/>
                <w:sz w:val="13"/>
                <w:szCs w:val="13"/>
                <w:b w:val="1"/>
                <w:bCs w:val="1"/>
                <w:color w:val="FFFFFF"/>
                <w:w w:val="97"/>
              </w:rPr>
              <w:t>Options</w:t>
            </w:r>
          </w:p>
        </w:tc>
        <w:tc>
          <w:tcPr>
            <w:tcW w:w="240" w:type="dxa"/>
            <w:vAlign w:val="bottom"/>
          </w:tcPr>
          <w:p>
            <w:pPr>
              <w:spacing w:after="0"/>
              <w:rPr>
                <w:sz w:val="11"/>
                <w:szCs w:val="11"/>
                <w:color w:val="auto"/>
              </w:rPr>
            </w:pPr>
          </w:p>
        </w:tc>
        <w:tc>
          <w:tcPr>
            <w:tcW w:w="1220" w:type="dxa"/>
            <w:vAlign w:val="bottom"/>
            <w:gridSpan w:val="2"/>
            <w:vMerge w:val="restart"/>
            <w:shd w:val="clear" w:color="auto" w:fill="14202A"/>
          </w:tcPr>
          <w:p>
            <w:pPr>
              <w:jc w:val="right"/>
              <w:ind w:right="188"/>
              <w:spacing w:after="0"/>
              <w:rPr>
                <w:sz w:val="20"/>
                <w:szCs w:val="20"/>
                <w:color w:val="auto"/>
              </w:rPr>
            </w:pPr>
            <w:r>
              <w:rPr>
                <w:rFonts w:ascii="Arial" w:cs="Arial" w:eastAsia="Arial" w:hAnsi="Arial"/>
                <w:sz w:val="13"/>
                <w:szCs w:val="13"/>
                <w:b w:val="1"/>
                <w:bCs w:val="1"/>
                <w:color w:val="FFFFFF"/>
              </w:rPr>
              <w:t>Fiscal 2026</w:t>
            </w:r>
          </w:p>
        </w:tc>
        <w:tc>
          <w:tcPr>
            <w:tcW w:w="1240" w:type="dxa"/>
            <w:vAlign w:val="bottom"/>
            <w:gridSpan w:val="2"/>
            <w:vMerge w:val="restart"/>
            <w:shd w:val="clear" w:color="auto" w:fill="14202A"/>
          </w:tcPr>
          <w:p>
            <w:pPr>
              <w:jc w:val="right"/>
              <w:ind w:right="208"/>
              <w:spacing w:after="0"/>
              <w:rPr>
                <w:sz w:val="20"/>
                <w:szCs w:val="20"/>
                <w:color w:val="auto"/>
              </w:rPr>
            </w:pPr>
            <w:r>
              <w:rPr>
                <w:rFonts w:ascii="Arial" w:cs="Arial" w:eastAsia="Arial" w:hAnsi="Arial"/>
                <w:sz w:val="13"/>
                <w:szCs w:val="13"/>
                <w:b w:val="1"/>
                <w:bCs w:val="1"/>
                <w:color w:val="FFFFFF"/>
              </w:rPr>
              <w:t>Fiscal 2025</w:t>
            </w:r>
          </w:p>
        </w:tc>
        <w:tc>
          <w:tcPr>
            <w:tcW w:w="1120" w:type="dxa"/>
            <w:vAlign w:val="bottom"/>
            <w:vMerge w:val="continue"/>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800" w:type="dxa"/>
            <w:vAlign w:val="bottom"/>
            <w:vMerge w:val="continue"/>
          </w:tcPr>
          <w:p>
            <w:pPr>
              <w:spacing w:after="0"/>
              <w:rPr>
                <w:sz w:val="19"/>
                <w:szCs w:val="19"/>
                <w:color w:val="auto"/>
              </w:rPr>
            </w:pPr>
          </w:p>
        </w:tc>
        <w:tc>
          <w:tcPr>
            <w:tcW w:w="640" w:type="dxa"/>
            <w:vAlign w:val="bottom"/>
            <w:shd w:val="clear" w:color="auto" w:fill="14202A"/>
          </w:tcPr>
          <w:p>
            <w:pPr>
              <w:spacing w:after="0"/>
              <w:rPr>
                <w:sz w:val="19"/>
                <w:szCs w:val="19"/>
                <w:color w:val="auto"/>
              </w:rPr>
            </w:pPr>
          </w:p>
        </w:tc>
        <w:tc>
          <w:tcPr>
            <w:tcW w:w="900" w:type="dxa"/>
            <w:vAlign w:val="bottom"/>
            <w:shd w:val="clear" w:color="auto" w:fill="14202A"/>
          </w:tcPr>
          <w:p>
            <w:pPr>
              <w:jc w:val="center"/>
              <w:ind w:right="312"/>
              <w:spacing w:after="0"/>
              <w:rPr>
                <w:sz w:val="20"/>
                <w:szCs w:val="20"/>
                <w:color w:val="auto"/>
              </w:rPr>
            </w:pPr>
            <w:r>
              <w:rPr>
                <w:rFonts w:ascii="Arial" w:cs="Arial" w:eastAsia="Arial" w:hAnsi="Arial"/>
                <w:sz w:val="13"/>
                <w:szCs w:val="13"/>
                <w:b w:val="1"/>
                <w:bCs w:val="1"/>
                <w:color w:val="FFFFFF"/>
                <w:w w:val="94"/>
              </w:rPr>
              <w:t>(50%)</w:t>
            </w:r>
            <w:r>
              <w:rPr>
                <w:rFonts w:ascii="Arial" w:cs="Arial" w:eastAsia="Arial" w:hAnsi="Arial"/>
                <w:sz w:val="20"/>
                <w:szCs w:val="20"/>
                <w:b w:val="1"/>
                <w:bCs w:val="1"/>
                <w:color w:val="FFFFFF"/>
                <w:w w:val="94"/>
                <w:vertAlign w:val="superscript"/>
              </w:rPr>
              <w:t>(1)</w:t>
            </w:r>
          </w:p>
        </w:tc>
        <w:tc>
          <w:tcPr>
            <w:tcW w:w="420" w:type="dxa"/>
            <w:vAlign w:val="bottom"/>
            <w:shd w:val="clear" w:color="auto" w:fill="14202A"/>
          </w:tcPr>
          <w:p>
            <w:pPr>
              <w:spacing w:after="0"/>
              <w:rPr>
                <w:sz w:val="19"/>
                <w:szCs w:val="19"/>
                <w:color w:val="auto"/>
              </w:rPr>
            </w:pPr>
          </w:p>
        </w:tc>
        <w:tc>
          <w:tcPr>
            <w:tcW w:w="840" w:type="dxa"/>
            <w:vAlign w:val="bottom"/>
            <w:shd w:val="clear" w:color="auto" w:fill="14202A"/>
          </w:tcPr>
          <w:p>
            <w:pPr>
              <w:jc w:val="center"/>
              <w:ind w:right="310"/>
              <w:spacing w:after="0"/>
              <w:rPr>
                <w:sz w:val="20"/>
                <w:szCs w:val="20"/>
                <w:color w:val="auto"/>
              </w:rPr>
            </w:pPr>
            <w:r>
              <w:rPr>
                <w:rFonts w:ascii="Arial" w:cs="Arial" w:eastAsia="Arial" w:hAnsi="Arial"/>
                <w:sz w:val="13"/>
                <w:szCs w:val="13"/>
                <w:b w:val="1"/>
                <w:bCs w:val="1"/>
                <w:color w:val="FFFFFF"/>
                <w:w w:val="97"/>
              </w:rPr>
              <w:t>(35%)</w:t>
            </w:r>
          </w:p>
        </w:tc>
        <w:tc>
          <w:tcPr>
            <w:tcW w:w="860" w:type="dxa"/>
            <w:vAlign w:val="bottom"/>
            <w:shd w:val="clear" w:color="auto" w:fill="14202A"/>
          </w:tcPr>
          <w:p>
            <w:pPr>
              <w:jc w:val="center"/>
              <w:ind w:left="171"/>
              <w:spacing w:after="0"/>
              <w:rPr>
                <w:sz w:val="20"/>
                <w:szCs w:val="20"/>
                <w:color w:val="auto"/>
              </w:rPr>
            </w:pPr>
            <w:r>
              <w:rPr>
                <w:rFonts w:ascii="Arial" w:cs="Arial" w:eastAsia="Arial" w:hAnsi="Arial"/>
                <w:sz w:val="13"/>
                <w:szCs w:val="13"/>
                <w:b w:val="1"/>
                <w:bCs w:val="1"/>
                <w:color w:val="FFFFFF"/>
                <w:w w:val="97"/>
              </w:rPr>
              <w:t>(15%)</w:t>
            </w:r>
          </w:p>
        </w:tc>
        <w:tc>
          <w:tcPr>
            <w:tcW w:w="240" w:type="dxa"/>
            <w:vAlign w:val="bottom"/>
          </w:tcPr>
          <w:p>
            <w:pPr>
              <w:spacing w:after="0"/>
              <w:rPr>
                <w:sz w:val="19"/>
                <w:szCs w:val="19"/>
                <w:color w:val="auto"/>
              </w:rPr>
            </w:pPr>
          </w:p>
        </w:tc>
        <w:tc>
          <w:tcPr>
            <w:tcW w:w="1220" w:type="dxa"/>
            <w:vAlign w:val="bottom"/>
            <w:gridSpan w:val="2"/>
            <w:vMerge w:val="continue"/>
            <w:shd w:val="clear" w:color="auto" w:fill="14202A"/>
          </w:tcPr>
          <w:p>
            <w:pPr>
              <w:spacing w:after="0"/>
              <w:rPr>
                <w:sz w:val="19"/>
                <w:szCs w:val="19"/>
                <w:color w:val="auto"/>
              </w:rPr>
            </w:pPr>
          </w:p>
        </w:tc>
        <w:tc>
          <w:tcPr>
            <w:tcW w:w="1240" w:type="dxa"/>
            <w:vAlign w:val="bottom"/>
            <w:gridSpan w:val="2"/>
            <w:vMerge w:val="continue"/>
            <w:shd w:val="clear" w:color="auto" w:fill="14202A"/>
          </w:tcPr>
          <w:p>
            <w:pPr>
              <w:spacing w:after="0"/>
              <w:rPr>
                <w:sz w:val="19"/>
                <w:szCs w:val="19"/>
                <w:color w:val="auto"/>
              </w:rPr>
            </w:pPr>
          </w:p>
        </w:tc>
        <w:tc>
          <w:tcPr>
            <w:tcW w:w="1120" w:type="dxa"/>
            <w:vAlign w:val="bottom"/>
            <w:shd w:val="clear" w:color="auto" w:fill="14202A"/>
          </w:tcPr>
          <w:p>
            <w:pPr>
              <w:jc w:val="center"/>
              <w:ind w:left="71"/>
              <w:spacing w:after="0"/>
              <w:rPr>
                <w:sz w:val="20"/>
                <w:szCs w:val="20"/>
                <w:color w:val="auto"/>
              </w:rPr>
            </w:pPr>
            <w:r>
              <w:rPr>
                <w:rFonts w:ascii="Arial" w:cs="Arial" w:eastAsia="Arial" w:hAnsi="Arial"/>
                <w:sz w:val="13"/>
                <w:szCs w:val="13"/>
                <w:b w:val="1"/>
                <w:bCs w:val="1"/>
                <w:color w:val="FFFFFF"/>
                <w:w w:val="94"/>
              </w:rPr>
              <w:t>Decrease</w:t>
            </w:r>
            <w:r>
              <w:rPr>
                <w:rFonts w:ascii="Arial" w:cs="Arial" w:eastAsia="Arial" w:hAnsi="Arial"/>
                <w:sz w:val="20"/>
                <w:szCs w:val="20"/>
                <w:b w:val="1"/>
                <w:bCs w:val="1"/>
                <w:color w:val="FFFFFF"/>
                <w:w w:val="94"/>
                <w:vertAlign w:val="superscript"/>
              </w:rPr>
              <w:t>(2)</w:t>
            </w:r>
          </w:p>
        </w:tc>
        <w:tc>
          <w:tcPr>
            <w:tcW w:w="0" w:type="dxa"/>
            <w:vAlign w:val="bottom"/>
          </w:tcPr>
          <w:p>
            <w:pPr>
              <w:spacing w:after="0"/>
              <w:rPr>
                <w:sz w:val="1"/>
                <w:szCs w:val="1"/>
                <w:color w:val="auto"/>
              </w:rPr>
            </w:pPr>
          </w:p>
        </w:tc>
      </w:tr>
      <w:tr>
        <w:trPr>
          <w:trHeight w:val="248"/>
        </w:trPr>
        <w:tc>
          <w:tcPr>
            <w:tcW w:w="1800" w:type="dxa"/>
            <w:vAlign w:val="bottom"/>
          </w:tcPr>
          <w:p>
            <w:pPr>
              <w:ind w:left="140"/>
              <w:spacing w:after="0"/>
              <w:rPr>
                <w:sz w:val="20"/>
                <w:szCs w:val="20"/>
                <w:color w:val="auto"/>
              </w:rPr>
            </w:pPr>
            <w:r>
              <w:rPr>
                <w:rFonts w:ascii="Arial" w:cs="Arial" w:eastAsia="Arial" w:hAnsi="Arial"/>
                <w:sz w:val="14"/>
                <w:szCs w:val="14"/>
                <w:color w:val="14202A"/>
              </w:rPr>
              <w:t>Michael J. Happe</w:t>
            </w:r>
          </w:p>
        </w:tc>
        <w:tc>
          <w:tcPr>
            <w:tcW w:w="1540" w:type="dxa"/>
            <w:vAlign w:val="bottom"/>
            <w:gridSpan w:val="2"/>
          </w:tcPr>
          <w:p>
            <w:pPr>
              <w:jc w:val="right"/>
              <w:ind w:right="232"/>
              <w:spacing w:after="0"/>
              <w:rPr>
                <w:sz w:val="20"/>
                <w:szCs w:val="20"/>
                <w:color w:val="auto"/>
              </w:rPr>
            </w:pPr>
            <w:r>
              <w:rPr>
                <w:rFonts w:ascii="Arial" w:cs="Arial" w:eastAsia="Arial" w:hAnsi="Arial"/>
                <w:sz w:val="14"/>
                <w:szCs w:val="14"/>
                <w:color w:val="14202A"/>
              </w:rPr>
              <w:t>$3,050,000</w:t>
            </w:r>
          </w:p>
        </w:tc>
        <w:tc>
          <w:tcPr>
            <w:tcW w:w="1260" w:type="dxa"/>
            <w:vAlign w:val="bottom"/>
            <w:gridSpan w:val="2"/>
          </w:tcPr>
          <w:p>
            <w:pPr>
              <w:ind w:left="280"/>
              <w:spacing w:after="0"/>
              <w:rPr>
                <w:sz w:val="20"/>
                <w:szCs w:val="20"/>
                <w:color w:val="auto"/>
              </w:rPr>
            </w:pPr>
            <w:r>
              <w:rPr>
                <w:rFonts w:ascii="Arial" w:cs="Arial" w:eastAsia="Arial" w:hAnsi="Arial"/>
                <w:sz w:val="14"/>
                <w:szCs w:val="14"/>
                <w:color w:val="14202A"/>
              </w:rPr>
              <w:t>$2,135,003</w:t>
            </w:r>
          </w:p>
        </w:tc>
        <w:tc>
          <w:tcPr>
            <w:tcW w:w="860" w:type="dxa"/>
            <w:vAlign w:val="bottom"/>
          </w:tcPr>
          <w:p>
            <w:pPr>
              <w:jc w:val="center"/>
              <w:ind w:left="151"/>
              <w:spacing w:after="0"/>
              <w:rPr>
                <w:sz w:val="20"/>
                <w:szCs w:val="20"/>
                <w:color w:val="auto"/>
              </w:rPr>
            </w:pPr>
            <w:r>
              <w:rPr>
                <w:rFonts w:ascii="Arial" w:cs="Arial" w:eastAsia="Arial" w:hAnsi="Arial"/>
                <w:sz w:val="14"/>
                <w:szCs w:val="14"/>
                <w:color w:val="14202A"/>
              </w:rPr>
              <w:t>$914,997</w:t>
            </w:r>
          </w:p>
        </w:tc>
        <w:tc>
          <w:tcPr>
            <w:tcW w:w="1460" w:type="dxa"/>
            <w:vAlign w:val="bottom"/>
            <w:gridSpan w:val="3"/>
          </w:tcPr>
          <w:p>
            <w:pPr>
              <w:jc w:val="right"/>
              <w:ind w:right="188"/>
              <w:spacing w:after="0"/>
              <w:rPr>
                <w:sz w:val="20"/>
                <w:szCs w:val="20"/>
                <w:color w:val="auto"/>
              </w:rPr>
            </w:pPr>
            <w:r>
              <w:rPr>
                <w:rFonts w:ascii="Arial" w:cs="Arial" w:eastAsia="Arial" w:hAnsi="Arial"/>
                <w:sz w:val="14"/>
                <w:szCs w:val="14"/>
                <w:color w:val="14202A"/>
              </w:rPr>
              <w:t>$6,100,000</w:t>
            </w:r>
          </w:p>
        </w:tc>
        <w:tc>
          <w:tcPr>
            <w:tcW w:w="1240" w:type="dxa"/>
            <w:vAlign w:val="bottom"/>
            <w:gridSpan w:val="2"/>
          </w:tcPr>
          <w:p>
            <w:pPr>
              <w:jc w:val="right"/>
              <w:ind w:right="188"/>
              <w:spacing w:after="0"/>
              <w:rPr>
                <w:sz w:val="20"/>
                <w:szCs w:val="20"/>
                <w:color w:val="auto"/>
              </w:rPr>
            </w:pPr>
            <w:r>
              <w:rPr>
                <w:rFonts w:ascii="Arial" w:cs="Arial" w:eastAsia="Arial" w:hAnsi="Arial"/>
                <w:sz w:val="14"/>
                <w:szCs w:val="14"/>
                <w:color w:val="14202A"/>
              </w:rPr>
              <w:t>$6,099,981</w:t>
            </w:r>
          </w:p>
        </w:tc>
        <w:tc>
          <w:tcPr>
            <w:tcW w:w="1120" w:type="dxa"/>
            <w:vAlign w:val="bottom"/>
          </w:tcPr>
          <w:p>
            <w:pPr>
              <w:jc w:val="right"/>
              <w:ind w:right="191"/>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49"/>
        </w:trPr>
        <w:tc>
          <w:tcPr>
            <w:tcW w:w="180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420" w:type="dxa"/>
            <w:vAlign w:val="bottom"/>
            <w:tcBorders>
              <w:bottom w:val="single" w:sz="8" w:color="14202A"/>
            </w:tcBorders>
          </w:tcPr>
          <w:p>
            <w:pPr>
              <w:spacing w:after="0"/>
              <w:rPr>
                <w:sz w:val="4"/>
                <w:szCs w:val="4"/>
                <w:color w:val="auto"/>
              </w:rPr>
            </w:pPr>
          </w:p>
        </w:tc>
        <w:tc>
          <w:tcPr>
            <w:tcW w:w="840" w:type="dxa"/>
            <w:vAlign w:val="bottom"/>
            <w:tcBorders>
              <w:bottom w:val="single" w:sz="8" w:color="14202A"/>
            </w:tcBorders>
          </w:tcPr>
          <w:p>
            <w:pPr>
              <w:spacing w:after="0"/>
              <w:rPr>
                <w:sz w:val="4"/>
                <w:szCs w:val="4"/>
                <w:color w:val="auto"/>
              </w:rPr>
            </w:pPr>
          </w:p>
        </w:tc>
        <w:tc>
          <w:tcPr>
            <w:tcW w:w="860" w:type="dxa"/>
            <w:vAlign w:val="bottom"/>
            <w:tcBorders>
              <w:bottom w:val="single" w:sz="8" w:color="14202A"/>
            </w:tcBorders>
          </w:tcPr>
          <w:p>
            <w:pPr>
              <w:spacing w:after="0"/>
              <w:rPr>
                <w:sz w:val="4"/>
                <w:szCs w:val="4"/>
                <w:color w:val="auto"/>
              </w:rPr>
            </w:pPr>
          </w:p>
        </w:tc>
        <w:tc>
          <w:tcPr>
            <w:tcW w:w="1460" w:type="dxa"/>
            <w:vAlign w:val="bottom"/>
            <w:tcBorders>
              <w:bottom w:val="single" w:sz="8" w:color="14202A"/>
            </w:tcBorders>
            <w:gridSpan w:val="3"/>
          </w:tcPr>
          <w:p>
            <w:pPr>
              <w:spacing w:after="0"/>
              <w:rPr>
                <w:sz w:val="4"/>
                <w:szCs w:val="4"/>
                <w:color w:val="auto"/>
              </w:rPr>
            </w:pPr>
          </w:p>
        </w:tc>
        <w:tc>
          <w:tcPr>
            <w:tcW w:w="1240" w:type="dxa"/>
            <w:vAlign w:val="bottom"/>
            <w:tcBorders>
              <w:bottom w:val="single" w:sz="8" w:color="14202A"/>
            </w:tcBorders>
            <w:gridSpan w:val="2"/>
          </w:tcPr>
          <w:p>
            <w:pPr>
              <w:spacing w:after="0"/>
              <w:rPr>
                <w:sz w:val="4"/>
                <w:szCs w:val="4"/>
                <w:color w:val="auto"/>
              </w:rPr>
            </w:pPr>
          </w:p>
        </w:tc>
        <w:tc>
          <w:tcPr>
            <w:tcW w:w="11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800" w:type="dxa"/>
            <w:vAlign w:val="bottom"/>
          </w:tcPr>
          <w:p>
            <w:pPr>
              <w:ind w:left="140"/>
              <w:spacing w:after="0"/>
              <w:rPr>
                <w:sz w:val="20"/>
                <w:szCs w:val="20"/>
                <w:color w:val="auto"/>
              </w:rPr>
            </w:pPr>
            <w:r>
              <w:rPr>
                <w:rFonts w:ascii="Arial" w:cs="Arial" w:eastAsia="Arial" w:hAnsi="Arial"/>
                <w:sz w:val="14"/>
                <w:szCs w:val="14"/>
                <w:color w:val="14202A"/>
              </w:rPr>
              <w:t>Bryan L. Hughes</w:t>
            </w:r>
          </w:p>
        </w:tc>
        <w:tc>
          <w:tcPr>
            <w:tcW w:w="640" w:type="dxa"/>
            <w:vAlign w:val="bottom"/>
          </w:tcPr>
          <w:p>
            <w:pPr>
              <w:ind w:left="520"/>
              <w:spacing w:after="0"/>
              <w:rPr>
                <w:sz w:val="20"/>
                <w:szCs w:val="20"/>
                <w:color w:val="auto"/>
              </w:rPr>
            </w:pPr>
            <w:r>
              <w:rPr>
                <w:rFonts w:ascii="Arial" w:cs="Arial" w:eastAsia="Arial" w:hAnsi="Arial"/>
                <w:sz w:val="14"/>
                <w:szCs w:val="14"/>
                <w:color w:val="14202A"/>
              </w:rPr>
              <w:t>$</w:t>
            </w:r>
          </w:p>
        </w:tc>
        <w:tc>
          <w:tcPr>
            <w:tcW w:w="900" w:type="dxa"/>
            <w:vAlign w:val="bottom"/>
          </w:tcPr>
          <w:p>
            <w:pPr>
              <w:jc w:val="right"/>
              <w:ind w:right="232"/>
              <w:spacing w:after="0"/>
              <w:rPr>
                <w:sz w:val="20"/>
                <w:szCs w:val="20"/>
                <w:color w:val="auto"/>
              </w:rPr>
            </w:pPr>
            <w:r>
              <w:rPr>
                <w:rFonts w:ascii="Arial" w:cs="Arial" w:eastAsia="Arial" w:hAnsi="Arial"/>
                <w:sz w:val="14"/>
                <w:szCs w:val="14"/>
                <w:color w:val="14202A"/>
              </w:rPr>
              <w:t>643,751</w:t>
            </w:r>
          </w:p>
        </w:tc>
        <w:tc>
          <w:tcPr>
            <w:tcW w:w="420" w:type="dxa"/>
            <w:vAlign w:val="bottom"/>
          </w:tcPr>
          <w:p>
            <w:pPr>
              <w:ind w:left="280"/>
              <w:spacing w:after="0"/>
              <w:rPr>
                <w:sz w:val="20"/>
                <w:szCs w:val="20"/>
                <w:color w:val="auto"/>
              </w:rPr>
            </w:pPr>
            <w:r>
              <w:rPr>
                <w:rFonts w:ascii="Arial" w:cs="Arial" w:eastAsia="Arial" w:hAnsi="Arial"/>
                <w:sz w:val="14"/>
                <w:szCs w:val="14"/>
                <w:color w:val="14202A"/>
              </w:rPr>
              <w:t>$</w:t>
            </w:r>
          </w:p>
        </w:tc>
        <w:tc>
          <w:tcPr>
            <w:tcW w:w="840" w:type="dxa"/>
            <w:vAlign w:val="bottom"/>
          </w:tcPr>
          <w:p>
            <w:pPr>
              <w:ind w:left="60"/>
              <w:spacing w:after="0"/>
              <w:rPr>
                <w:sz w:val="20"/>
                <w:szCs w:val="20"/>
                <w:color w:val="auto"/>
              </w:rPr>
            </w:pPr>
            <w:r>
              <w:rPr>
                <w:rFonts w:ascii="Arial" w:cs="Arial" w:eastAsia="Arial" w:hAnsi="Arial"/>
                <w:sz w:val="14"/>
                <w:szCs w:val="14"/>
                <w:color w:val="14202A"/>
              </w:rPr>
              <w:t>450,611</w:t>
            </w:r>
          </w:p>
        </w:tc>
        <w:tc>
          <w:tcPr>
            <w:tcW w:w="860" w:type="dxa"/>
            <w:vAlign w:val="bottom"/>
          </w:tcPr>
          <w:p>
            <w:pPr>
              <w:jc w:val="center"/>
              <w:ind w:left="151"/>
              <w:spacing w:after="0"/>
              <w:rPr>
                <w:sz w:val="20"/>
                <w:szCs w:val="20"/>
                <w:color w:val="auto"/>
              </w:rPr>
            </w:pPr>
            <w:r>
              <w:rPr>
                <w:rFonts w:ascii="Arial" w:cs="Arial" w:eastAsia="Arial" w:hAnsi="Arial"/>
                <w:sz w:val="14"/>
                <w:szCs w:val="14"/>
                <w:color w:val="14202A"/>
              </w:rPr>
              <w:t>$193,127</w:t>
            </w:r>
          </w:p>
        </w:tc>
        <w:tc>
          <w:tcPr>
            <w:tcW w:w="1460" w:type="dxa"/>
            <w:vAlign w:val="bottom"/>
            <w:gridSpan w:val="3"/>
          </w:tcPr>
          <w:p>
            <w:pPr>
              <w:jc w:val="right"/>
              <w:ind w:right="188"/>
              <w:spacing w:after="0"/>
              <w:rPr>
                <w:sz w:val="20"/>
                <w:szCs w:val="20"/>
                <w:color w:val="auto"/>
              </w:rPr>
            </w:pPr>
            <w:r>
              <w:rPr>
                <w:rFonts w:ascii="Arial" w:cs="Arial" w:eastAsia="Arial" w:hAnsi="Arial"/>
                <w:sz w:val="14"/>
                <w:szCs w:val="14"/>
                <w:color w:val="14202A"/>
              </w:rPr>
              <w:t>$1,287,489</w:t>
            </w:r>
          </w:p>
        </w:tc>
        <w:tc>
          <w:tcPr>
            <w:tcW w:w="1240" w:type="dxa"/>
            <w:vAlign w:val="bottom"/>
            <w:gridSpan w:val="2"/>
          </w:tcPr>
          <w:p>
            <w:pPr>
              <w:jc w:val="right"/>
              <w:ind w:right="188"/>
              <w:spacing w:after="0"/>
              <w:rPr>
                <w:sz w:val="20"/>
                <w:szCs w:val="20"/>
                <w:color w:val="auto"/>
              </w:rPr>
            </w:pPr>
            <w:r>
              <w:rPr>
                <w:rFonts w:ascii="Arial" w:cs="Arial" w:eastAsia="Arial" w:hAnsi="Arial"/>
                <w:sz w:val="14"/>
                <w:szCs w:val="14"/>
                <w:color w:val="14202A"/>
              </w:rPr>
              <w:t>$1,250,056</w:t>
            </w:r>
          </w:p>
        </w:tc>
        <w:tc>
          <w:tcPr>
            <w:tcW w:w="1120" w:type="dxa"/>
            <w:vAlign w:val="bottom"/>
          </w:tcPr>
          <w:p>
            <w:pPr>
              <w:jc w:val="right"/>
              <w:ind w:right="191"/>
              <w:spacing w:after="0"/>
              <w:rPr>
                <w:sz w:val="20"/>
                <w:szCs w:val="20"/>
                <w:color w:val="auto"/>
              </w:rPr>
            </w:pPr>
            <w:r>
              <w:rPr>
                <w:rFonts w:ascii="Arial" w:cs="Arial" w:eastAsia="Arial" w:hAnsi="Arial"/>
                <w:sz w:val="14"/>
                <w:szCs w:val="14"/>
                <w:color w:val="14202A"/>
              </w:rPr>
              <w:t>3.0%</w:t>
            </w:r>
          </w:p>
        </w:tc>
        <w:tc>
          <w:tcPr>
            <w:tcW w:w="0" w:type="dxa"/>
            <w:vAlign w:val="bottom"/>
          </w:tcPr>
          <w:p>
            <w:pPr>
              <w:spacing w:after="0"/>
              <w:rPr>
                <w:sz w:val="1"/>
                <w:szCs w:val="1"/>
                <w:color w:val="auto"/>
              </w:rPr>
            </w:pPr>
          </w:p>
        </w:tc>
      </w:tr>
      <w:tr>
        <w:trPr>
          <w:trHeight w:val="48"/>
        </w:trPr>
        <w:tc>
          <w:tcPr>
            <w:tcW w:w="180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420" w:type="dxa"/>
            <w:vAlign w:val="bottom"/>
            <w:tcBorders>
              <w:bottom w:val="single" w:sz="8" w:color="14202A"/>
            </w:tcBorders>
          </w:tcPr>
          <w:p>
            <w:pPr>
              <w:spacing w:after="0"/>
              <w:rPr>
                <w:sz w:val="4"/>
                <w:szCs w:val="4"/>
                <w:color w:val="auto"/>
              </w:rPr>
            </w:pPr>
          </w:p>
        </w:tc>
        <w:tc>
          <w:tcPr>
            <w:tcW w:w="840" w:type="dxa"/>
            <w:vAlign w:val="bottom"/>
            <w:tcBorders>
              <w:bottom w:val="single" w:sz="8" w:color="14202A"/>
            </w:tcBorders>
          </w:tcPr>
          <w:p>
            <w:pPr>
              <w:spacing w:after="0"/>
              <w:rPr>
                <w:sz w:val="4"/>
                <w:szCs w:val="4"/>
                <w:color w:val="auto"/>
              </w:rPr>
            </w:pPr>
          </w:p>
        </w:tc>
        <w:tc>
          <w:tcPr>
            <w:tcW w:w="860" w:type="dxa"/>
            <w:vAlign w:val="bottom"/>
            <w:tcBorders>
              <w:bottom w:val="single" w:sz="8" w:color="14202A"/>
            </w:tcBorders>
          </w:tcPr>
          <w:p>
            <w:pPr>
              <w:spacing w:after="0"/>
              <w:rPr>
                <w:sz w:val="4"/>
                <w:szCs w:val="4"/>
                <w:color w:val="auto"/>
              </w:rPr>
            </w:pPr>
          </w:p>
        </w:tc>
        <w:tc>
          <w:tcPr>
            <w:tcW w:w="240" w:type="dxa"/>
            <w:vAlign w:val="bottom"/>
            <w:tcBorders>
              <w:bottom w:val="single" w:sz="8" w:color="14202A"/>
            </w:tcBorders>
          </w:tcPr>
          <w:p>
            <w:pPr>
              <w:spacing w:after="0"/>
              <w:rPr>
                <w:sz w:val="4"/>
                <w:szCs w:val="4"/>
                <w:color w:val="auto"/>
              </w:rPr>
            </w:pPr>
          </w:p>
        </w:tc>
        <w:tc>
          <w:tcPr>
            <w:tcW w:w="380" w:type="dxa"/>
            <w:vAlign w:val="bottom"/>
            <w:tcBorders>
              <w:bottom w:val="single" w:sz="8" w:color="14202A"/>
            </w:tcBorders>
          </w:tcPr>
          <w:p>
            <w:pPr>
              <w:spacing w:after="0"/>
              <w:rPr>
                <w:sz w:val="4"/>
                <w:szCs w:val="4"/>
                <w:color w:val="auto"/>
              </w:rPr>
            </w:pPr>
          </w:p>
        </w:tc>
        <w:tc>
          <w:tcPr>
            <w:tcW w:w="840" w:type="dxa"/>
            <w:vAlign w:val="bottom"/>
            <w:tcBorders>
              <w:bottom w:val="single" w:sz="8" w:color="14202A"/>
            </w:tcBorders>
          </w:tcPr>
          <w:p>
            <w:pPr>
              <w:spacing w:after="0"/>
              <w:rPr>
                <w:sz w:val="4"/>
                <w:szCs w:val="4"/>
                <w:color w:val="auto"/>
              </w:rPr>
            </w:pPr>
          </w:p>
        </w:tc>
        <w:tc>
          <w:tcPr>
            <w:tcW w:w="400" w:type="dxa"/>
            <w:vAlign w:val="bottom"/>
            <w:tcBorders>
              <w:bottom w:val="single" w:sz="8" w:color="14202A"/>
            </w:tcBorders>
          </w:tcPr>
          <w:p>
            <w:pPr>
              <w:spacing w:after="0"/>
              <w:rPr>
                <w:sz w:val="4"/>
                <w:szCs w:val="4"/>
                <w:color w:val="auto"/>
              </w:rPr>
            </w:pPr>
          </w:p>
        </w:tc>
        <w:tc>
          <w:tcPr>
            <w:tcW w:w="840" w:type="dxa"/>
            <w:vAlign w:val="bottom"/>
            <w:tcBorders>
              <w:bottom w:val="single" w:sz="8" w:color="14202A"/>
            </w:tcBorders>
          </w:tcPr>
          <w:p>
            <w:pPr>
              <w:spacing w:after="0"/>
              <w:rPr>
                <w:sz w:val="4"/>
                <w:szCs w:val="4"/>
                <w:color w:val="auto"/>
              </w:rPr>
            </w:pPr>
          </w:p>
        </w:tc>
        <w:tc>
          <w:tcPr>
            <w:tcW w:w="11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800" w:type="dxa"/>
            <w:vAlign w:val="bottom"/>
            <w:tcBorders>
              <w:bottom w:val="single" w:sz="8" w:color="14202A"/>
            </w:tcBorders>
          </w:tcPr>
          <w:p>
            <w:pPr>
              <w:ind w:left="140"/>
              <w:spacing w:after="0"/>
              <w:rPr>
                <w:sz w:val="20"/>
                <w:szCs w:val="20"/>
                <w:color w:val="auto"/>
              </w:rPr>
            </w:pPr>
            <w:r>
              <w:rPr>
                <w:rFonts w:ascii="Arial" w:cs="Arial" w:eastAsia="Arial" w:hAnsi="Arial"/>
                <w:sz w:val="14"/>
                <w:szCs w:val="14"/>
                <w:color w:val="14202A"/>
              </w:rPr>
              <w:t>Donald J. Clark</w:t>
            </w:r>
            <w:r>
              <w:rPr>
                <w:rFonts w:ascii="Arial" w:cs="Arial" w:eastAsia="Arial" w:hAnsi="Arial"/>
                <w:sz w:val="23"/>
                <w:szCs w:val="23"/>
                <w:color w:val="14202A"/>
                <w:vertAlign w:val="superscript"/>
              </w:rPr>
              <w:t>(3)</w:t>
            </w:r>
          </w:p>
        </w:tc>
        <w:tc>
          <w:tcPr>
            <w:tcW w:w="640" w:type="dxa"/>
            <w:vAlign w:val="bottom"/>
            <w:tcBorders>
              <w:bottom w:val="single" w:sz="8" w:color="14202A"/>
            </w:tcBorders>
          </w:tcPr>
          <w:p>
            <w:pPr>
              <w:spacing w:after="0"/>
              <w:rPr>
                <w:sz w:val="24"/>
                <w:szCs w:val="24"/>
                <w:color w:val="auto"/>
              </w:rPr>
            </w:pPr>
          </w:p>
        </w:tc>
        <w:tc>
          <w:tcPr>
            <w:tcW w:w="900" w:type="dxa"/>
            <w:vAlign w:val="bottom"/>
            <w:tcBorders>
              <w:bottom w:val="single" w:sz="8" w:color="14202A"/>
            </w:tcBorders>
          </w:tcPr>
          <w:p>
            <w:pPr>
              <w:jc w:val="right"/>
              <w:ind w:right="232"/>
              <w:spacing w:after="0"/>
              <w:rPr>
                <w:sz w:val="20"/>
                <w:szCs w:val="20"/>
                <w:color w:val="auto"/>
              </w:rPr>
            </w:pPr>
            <w:r>
              <w:rPr>
                <w:rFonts w:ascii="Arial" w:cs="Arial" w:eastAsia="Arial" w:hAnsi="Arial"/>
                <w:sz w:val="14"/>
                <w:szCs w:val="14"/>
                <w:color w:val="14202A"/>
              </w:rPr>
              <w:t>N/A</w:t>
            </w:r>
          </w:p>
        </w:tc>
        <w:tc>
          <w:tcPr>
            <w:tcW w:w="420" w:type="dxa"/>
            <w:vAlign w:val="bottom"/>
            <w:tcBorders>
              <w:bottom w:val="single" w:sz="8" w:color="14202A"/>
            </w:tcBorders>
          </w:tcPr>
          <w:p>
            <w:pPr>
              <w:spacing w:after="0"/>
              <w:rPr>
                <w:sz w:val="24"/>
                <w:szCs w:val="24"/>
                <w:color w:val="auto"/>
              </w:rPr>
            </w:pPr>
          </w:p>
        </w:tc>
        <w:tc>
          <w:tcPr>
            <w:tcW w:w="840" w:type="dxa"/>
            <w:vAlign w:val="bottom"/>
            <w:tcBorders>
              <w:bottom w:val="single" w:sz="8" w:color="14202A"/>
            </w:tcBorders>
          </w:tcPr>
          <w:p>
            <w:pPr>
              <w:ind w:left="340"/>
              <w:spacing w:after="0"/>
              <w:rPr>
                <w:sz w:val="20"/>
                <w:szCs w:val="20"/>
                <w:color w:val="auto"/>
              </w:rPr>
            </w:pPr>
            <w:r>
              <w:rPr>
                <w:rFonts w:ascii="Arial" w:cs="Arial" w:eastAsia="Arial" w:hAnsi="Arial"/>
                <w:sz w:val="14"/>
                <w:szCs w:val="14"/>
                <w:color w:val="14202A"/>
              </w:rPr>
              <w:t>N/A</w:t>
            </w:r>
          </w:p>
        </w:tc>
        <w:tc>
          <w:tcPr>
            <w:tcW w:w="860" w:type="dxa"/>
            <w:vAlign w:val="bottom"/>
            <w:tcBorders>
              <w:bottom w:val="single" w:sz="8" w:color="14202A"/>
            </w:tcBorders>
          </w:tcPr>
          <w:p>
            <w:pPr>
              <w:ind w:left="620"/>
              <w:spacing w:after="0"/>
              <w:rPr>
                <w:sz w:val="20"/>
                <w:szCs w:val="20"/>
                <w:color w:val="auto"/>
              </w:rPr>
            </w:pPr>
            <w:r>
              <w:rPr>
                <w:rFonts w:ascii="Arial" w:cs="Arial" w:eastAsia="Arial" w:hAnsi="Arial"/>
                <w:sz w:val="14"/>
                <w:szCs w:val="14"/>
                <w:color w:val="14202A"/>
                <w:w w:val="94"/>
              </w:rPr>
              <w:t>N/A</w:t>
            </w:r>
          </w:p>
        </w:tc>
        <w:tc>
          <w:tcPr>
            <w:tcW w:w="240" w:type="dxa"/>
            <w:vAlign w:val="bottom"/>
            <w:tcBorders>
              <w:bottom w:val="single" w:sz="8" w:color="14202A"/>
            </w:tcBorders>
          </w:tcPr>
          <w:p>
            <w:pPr>
              <w:spacing w:after="0"/>
              <w:rPr>
                <w:sz w:val="24"/>
                <w:szCs w:val="24"/>
                <w:color w:val="auto"/>
              </w:rPr>
            </w:pPr>
          </w:p>
        </w:tc>
        <w:tc>
          <w:tcPr>
            <w:tcW w:w="380" w:type="dxa"/>
            <w:vAlign w:val="bottom"/>
            <w:tcBorders>
              <w:bottom w:val="single" w:sz="8" w:color="14202A"/>
            </w:tcBorders>
          </w:tcPr>
          <w:p>
            <w:pPr>
              <w:spacing w:after="0"/>
              <w:rPr>
                <w:sz w:val="24"/>
                <w:szCs w:val="24"/>
                <w:color w:val="auto"/>
              </w:rPr>
            </w:pPr>
          </w:p>
        </w:tc>
        <w:tc>
          <w:tcPr>
            <w:tcW w:w="840" w:type="dxa"/>
            <w:vAlign w:val="bottom"/>
            <w:tcBorders>
              <w:bottom w:val="single" w:sz="8" w:color="14202A"/>
            </w:tcBorders>
          </w:tcPr>
          <w:p>
            <w:pPr>
              <w:jc w:val="right"/>
              <w:ind w:right="188"/>
              <w:spacing w:after="0"/>
              <w:rPr>
                <w:sz w:val="20"/>
                <w:szCs w:val="20"/>
                <w:color w:val="auto"/>
              </w:rPr>
            </w:pPr>
            <w:r>
              <w:rPr>
                <w:rFonts w:ascii="Arial" w:cs="Arial" w:eastAsia="Arial" w:hAnsi="Arial"/>
                <w:sz w:val="14"/>
                <w:szCs w:val="14"/>
                <w:color w:val="14202A"/>
              </w:rPr>
              <w:t>N/A</w:t>
            </w:r>
          </w:p>
        </w:tc>
        <w:tc>
          <w:tcPr>
            <w:tcW w:w="400" w:type="dxa"/>
            <w:vAlign w:val="bottom"/>
            <w:tcBorders>
              <w:bottom w:val="single" w:sz="8" w:color="14202A"/>
            </w:tcBorders>
          </w:tcPr>
          <w:p>
            <w:pPr>
              <w:spacing w:after="0"/>
              <w:rPr>
                <w:sz w:val="24"/>
                <w:szCs w:val="24"/>
                <w:color w:val="auto"/>
              </w:rPr>
            </w:pPr>
          </w:p>
        </w:tc>
        <w:tc>
          <w:tcPr>
            <w:tcW w:w="840" w:type="dxa"/>
            <w:vAlign w:val="bottom"/>
            <w:tcBorders>
              <w:bottom w:val="single" w:sz="8" w:color="14202A"/>
            </w:tcBorders>
          </w:tcPr>
          <w:p>
            <w:pPr>
              <w:jc w:val="right"/>
              <w:ind w:right="188"/>
              <w:spacing w:after="0"/>
              <w:rPr>
                <w:sz w:val="20"/>
                <w:szCs w:val="20"/>
                <w:color w:val="auto"/>
              </w:rPr>
            </w:pPr>
            <w:r>
              <w:rPr>
                <w:rFonts w:ascii="Arial" w:cs="Arial" w:eastAsia="Arial" w:hAnsi="Arial"/>
                <w:sz w:val="14"/>
                <w:szCs w:val="14"/>
                <w:color w:val="14202A"/>
              </w:rPr>
              <w:t>N/A</w:t>
            </w:r>
          </w:p>
        </w:tc>
        <w:tc>
          <w:tcPr>
            <w:tcW w:w="1120" w:type="dxa"/>
            <w:vAlign w:val="bottom"/>
            <w:tcBorders>
              <w:bottom w:val="single" w:sz="8" w:color="14202A"/>
            </w:tcBorders>
          </w:tcPr>
          <w:p>
            <w:pPr>
              <w:jc w:val="center"/>
              <w:ind w:left="51"/>
              <w:spacing w:after="0"/>
              <w:rPr>
                <w:sz w:val="20"/>
                <w:szCs w:val="20"/>
                <w:color w:val="auto"/>
              </w:rPr>
            </w:pPr>
            <w:r>
              <w:rPr>
                <w:rFonts w:ascii="Arial" w:cs="Arial" w:eastAsia="Arial" w:hAnsi="Arial"/>
                <w:sz w:val="14"/>
                <w:szCs w:val="14"/>
                <w:color w:val="14202A"/>
              </w:rPr>
              <w:t>N/A</w:t>
            </w:r>
          </w:p>
        </w:tc>
        <w:tc>
          <w:tcPr>
            <w:tcW w:w="0" w:type="dxa"/>
            <w:vAlign w:val="bottom"/>
          </w:tcPr>
          <w:p>
            <w:pPr>
              <w:spacing w:after="0"/>
              <w:rPr>
                <w:sz w:val="1"/>
                <w:szCs w:val="1"/>
                <w:color w:val="auto"/>
              </w:rPr>
            </w:pPr>
          </w:p>
        </w:tc>
      </w:tr>
      <w:tr>
        <w:trPr>
          <w:trHeight w:val="304"/>
        </w:trPr>
        <w:tc>
          <w:tcPr>
            <w:tcW w:w="1800" w:type="dxa"/>
            <w:vAlign w:val="bottom"/>
            <w:tcBorders>
              <w:bottom w:val="single" w:sz="8" w:color="14202A"/>
            </w:tcBorders>
          </w:tcPr>
          <w:p>
            <w:pPr>
              <w:ind w:left="140"/>
              <w:spacing w:after="0"/>
              <w:rPr>
                <w:sz w:val="20"/>
                <w:szCs w:val="20"/>
                <w:color w:val="auto"/>
              </w:rPr>
            </w:pPr>
            <w:r>
              <w:rPr>
                <w:rFonts w:ascii="Arial" w:cs="Arial" w:eastAsia="Arial" w:hAnsi="Arial"/>
                <w:sz w:val="14"/>
                <w:szCs w:val="14"/>
                <w:color w:val="14202A"/>
              </w:rPr>
              <w:t>Casey J. Tubman</w:t>
            </w:r>
          </w:p>
        </w:tc>
        <w:tc>
          <w:tcPr>
            <w:tcW w:w="640" w:type="dxa"/>
            <w:vAlign w:val="bottom"/>
            <w:tcBorders>
              <w:bottom w:val="single" w:sz="8" w:color="14202A"/>
            </w:tcBorders>
          </w:tcPr>
          <w:p>
            <w:pPr>
              <w:ind w:left="520"/>
              <w:spacing w:after="0"/>
              <w:rPr>
                <w:sz w:val="20"/>
                <w:szCs w:val="20"/>
                <w:color w:val="auto"/>
              </w:rPr>
            </w:pPr>
            <w:r>
              <w:rPr>
                <w:rFonts w:ascii="Arial" w:cs="Arial" w:eastAsia="Arial" w:hAnsi="Arial"/>
                <w:sz w:val="14"/>
                <w:szCs w:val="14"/>
                <w:color w:val="14202A"/>
              </w:rPr>
              <w:t>$</w:t>
            </w:r>
          </w:p>
        </w:tc>
        <w:tc>
          <w:tcPr>
            <w:tcW w:w="900" w:type="dxa"/>
            <w:vAlign w:val="bottom"/>
            <w:tcBorders>
              <w:bottom w:val="single" w:sz="8" w:color="14202A"/>
            </w:tcBorders>
          </w:tcPr>
          <w:p>
            <w:pPr>
              <w:jc w:val="right"/>
              <w:ind w:right="232"/>
              <w:spacing w:after="0"/>
              <w:rPr>
                <w:sz w:val="20"/>
                <w:szCs w:val="20"/>
                <w:color w:val="auto"/>
              </w:rPr>
            </w:pPr>
            <w:r>
              <w:rPr>
                <w:rFonts w:ascii="Arial" w:cs="Arial" w:eastAsia="Arial" w:hAnsi="Arial"/>
                <w:sz w:val="14"/>
                <w:szCs w:val="14"/>
                <w:color w:val="14202A"/>
              </w:rPr>
              <w:t>472,013</w:t>
            </w:r>
          </w:p>
        </w:tc>
        <w:tc>
          <w:tcPr>
            <w:tcW w:w="420" w:type="dxa"/>
            <w:vAlign w:val="bottom"/>
            <w:tcBorders>
              <w:bottom w:val="single" w:sz="8" w:color="14202A"/>
            </w:tcBorders>
          </w:tcPr>
          <w:p>
            <w:pPr>
              <w:ind w:left="280"/>
              <w:spacing w:after="0"/>
              <w:rPr>
                <w:sz w:val="20"/>
                <w:szCs w:val="20"/>
                <w:color w:val="auto"/>
              </w:rPr>
            </w:pPr>
            <w:r>
              <w:rPr>
                <w:rFonts w:ascii="Arial" w:cs="Arial" w:eastAsia="Arial" w:hAnsi="Arial"/>
                <w:sz w:val="14"/>
                <w:szCs w:val="14"/>
                <w:color w:val="14202A"/>
              </w:rPr>
              <w:t>$</w:t>
            </w:r>
          </w:p>
        </w:tc>
        <w:tc>
          <w:tcPr>
            <w:tcW w:w="840" w:type="dxa"/>
            <w:vAlign w:val="bottom"/>
            <w:tcBorders>
              <w:bottom w:val="single" w:sz="8" w:color="14202A"/>
            </w:tcBorders>
          </w:tcPr>
          <w:p>
            <w:pPr>
              <w:ind w:left="60"/>
              <w:spacing w:after="0"/>
              <w:rPr>
                <w:sz w:val="20"/>
                <w:szCs w:val="20"/>
                <w:color w:val="auto"/>
              </w:rPr>
            </w:pPr>
            <w:r>
              <w:rPr>
                <w:rFonts w:ascii="Arial" w:cs="Arial" w:eastAsia="Arial" w:hAnsi="Arial"/>
                <w:sz w:val="14"/>
                <w:szCs w:val="14"/>
                <w:color w:val="14202A"/>
              </w:rPr>
              <w:t>330,409</w:t>
            </w:r>
          </w:p>
        </w:tc>
        <w:tc>
          <w:tcPr>
            <w:tcW w:w="860" w:type="dxa"/>
            <w:vAlign w:val="bottom"/>
            <w:tcBorders>
              <w:bottom w:val="single" w:sz="8" w:color="14202A"/>
            </w:tcBorders>
          </w:tcPr>
          <w:p>
            <w:pPr>
              <w:jc w:val="center"/>
              <w:ind w:left="151"/>
              <w:spacing w:after="0"/>
              <w:rPr>
                <w:sz w:val="20"/>
                <w:szCs w:val="20"/>
                <w:color w:val="auto"/>
              </w:rPr>
            </w:pPr>
            <w:r>
              <w:rPr>
                <w:rFonts w:ascii="Arial" w:cs="Arial" w:eastAsia="Arial" w:hAnsi="Arial"/>
                <w:sz w:val="14"/>
                <w:szCs w:val="14"/>
                <w:color w:val="14202A"/>
              </w:rPr>
              <w:t>$141,598</w:t>
            </w:r>
          </w:p>
        </w:tc>
        <w:tc>
          <w:tcPr>
            <w:tcW w:w="620" w:type="dxa"/>
            <w:vAlign w:val="bottom"/>
            <w:tcBorders>
              <w:bottom w:val="single" w:sz="8" w:color="14202A"/>
            </w:tcBorders>
            <w:gridSpan w:val="2"/>
          </w:tcPr>
          <w:p>
            <w:pPr>
              <w:jc w:val="right"/>
              <w:spacing w:after="0"/>
              <w:rPr>
                <w:sz w:val="20"/>
                <w:szCs w:val="20"/>
                <w:color w:val="auto"/>
              </w:rPr>
            </w:pPr>
            <w:r>
              <w:rPr>
                <w:rFonts w:ascii="Arial" w:cs="Arial" w:eastAsia="Arial" w:hAnsi="Arial"/>
                <w:sz w:val="14"/>
                <w:szCs w:val="14"/>
                <w:color w:val="14202A"/>
              </w:rPr>
              <w:t>$</w:t>
            </w:r>
          </w:p>
        </w:tc>
        <w:tc>
          <w:tcPr>
            <w:tcW w:w="840" w:type="dxa"/>
            <w:vAlign w:val="bottom"/>
            <w:tcBorders>
              <w:bottom w:val="single" w:sz="8" w:color="14202A"/>
            </w:tcBorders>
          </w:tcPr>
          <w:p>
            <w:pPr>
              <w:jc w:val="right"/>
              <w:ind w:right="188"/>
              <w:spacing w:after="0"/>
              <w:rPr>
                <w:sz w:val="20"/>
                <w:szCs w:val="20"/>
                <w:color w:val="auto"/>
              </w:rPr>
            </w:pPr>
            <w:r>
              <w:rPr>
                <w:rFonts w:ascii="Arial" w:cs="Arial" w:eastAsia="Arial" w:hAnsi="Arial"/>
                <w:sz w:val="14"/>
                <w:szCs w:val="14"/>
                <w:color w:val="14202A"/>
              </w:rPr>
              <w:t>944,020</w:t>
            </w:r>
          </w:p>
        </w:tc>
        <w:tc>
          <w:tcPr>
            <w:tcW w:w="400" w:type="dxa"/>
            <w:vAlign w:val="bottom"/>
            <w:tcBorders>
              <w:bottom w:val="single" w:sz="8" w:color="14202A"/>
            </w:tcBorders>
          </w:tcPr>
          <w:p>
            <w:pPr>
              <w:jc w:val="right"/>
              <w:spacing w:after="0"/>
              <w:rPr>
                <w:sz w:val="20"/>
                <w:szCs w:val="20"/>
                <w:color w:val="auto"/>
              </w:rPr>
            </w:pPr>
            <w:r>
              <w:rPr>
                <w:rFonts w:ascii="Arial" w:cs="Arial" w:eastAsia="Arial" w:hAnsi="Arial"/>
                <w:sz w:val="14"/>
                <w:szCs w:val="14"/>
                <w:color w:val="14202A"/>
              </w:rPr>
              <w:t>$</w:t>
            </w:r>
          </w:p>
        </w:tc>
        <w:tc>
          <w:tcPr>
            <w:tcW w:w="840" w:type="dxa"/>
            <w:vAlign w:val="bottom"/>
            <w:tcBorders>
              <w:bottom w:val="single" w:sz="8" w:color="14202A"/>
            </w:tcBorders>
          </w:tcPr>
          <w:p>
            <w:pPr>
              <w:jc w:val="right"/>
              <w:ind w:right="188"/>
              <w:spacing w:after="0"/>
              <w:rPr>
                <w:sz w:val="20"/>
                <w:szCs w:val="20"/>
                <w:color w:val="auto"/>
              </w:rPr>
            </w:pPr>
            <w:r>
              <w:rPr>
                <w:rFonts w:ascii="Arial" w:cs="Arial" w:eastAsia="Arial" w:hAnsi="Arial"/>
                <w:sz w:val="14"/>
                <w:szCs w:val="14"/>
                <w:color w:val="14202A"/>
              </w:rPr>
              <w:t>671,948</w:t>
            </w:r>
          </w:p>
        </w:tc>
        <w:tc>
          <w:tcPr>
            <w:tcW w:w="1120" w:type="dxa"/>
            <w:vAlign w:val="bottom"/>
            <w:tcBorders>
              <w:bottom w:val="single" w:sz="8" w:color="14202A"/>
            </w:tcBorders>
          </w:tcPr>
          <w:p>
            <w:pPr>
              <w:jc w:val="right"/>
              <w:ind w:right="31"/>
              <w:spacing w:after="0"/>
              <w:rPr>
                <w:sz w:val="20"/>
                <w:szCs w:val="20"/>
                <w:color w:val="auto"/>
              </w:rPr>
            </w:pPr>
            <w:r>
              <w:rPr>
                <w:rFonts w:ascii="Arial" w:cs="Arial" w:eastAsia="Arial" w:hAnsi="Arial"/>
                <w:sz w:val="14"/>
                <w:szCs w:val="14"/>
                <w:color w:val="14202A"/>
              </w:rPr>
              <w:t>40.5%</w:t>
            </w:r>
            <w:r>
              <w:rPr>
                <w:rFonts w:ascii="Arial" w:cs="Arial" w:eastAsia="Arial" w:hAnsi="Arial"/>
                <w:sz w:val="23"/>
                <w:szCs w:val="23"/>
                <w:color w:val="14202A"/>
                <w:vertAlign w:val="superscript"/>
              </w:rPr>
              <w:t>(4)</w:t>
            </w:r>
          </w:p>
        </w:tc>
        <w:tc>
          <w:tcPr>
            <w:tcW w:w="0" w:type="dxa"/>
            <w:vAlign w:val="bottom"/>
          </w:tcPr>
          <w:p>
            <w:pPr>
              <w:spacing w:after="0"/>
              <w:rPr>
                <w:sz w:val="1"/>
                <w:szCs w:val="1"/>
                <w:color w:val="auto"/>
              </w:rPr>
            </w:pPr>
          </w:p>
        </w:tc>
      </w:tr>
      <w:tr>
        <w:trPr>
          <w:trHeight w:val="228"/>
        </w:trPr>
        <w:tc>
          <w:tcPr>
            <w:tcW w:w="1800" w:type="dxa"/>
            <w:vAlign w:val="bottom"/>
          </w:tcPr>
          <w:p>
            <w:pPr>
              <w:ind w:left="140"/>
              <w:spacing w:after="0"/>
              <w:rPr>
                <w:sz w:val="20"/>
                <w:szCs w:val="20"/>
                <w:color w:val="auto"/>
              </w:rPr>
            </w:pPr>
            <w:r>
              <w:rPr>
                <w:rFonts w:ascii="Arial" w:cs="Arial" w:eastAsia="Arial" w:hAnsi="Arial"/>
                <w:sz w:val="14"/>
                <w:szCs w:val="14"/>
                <w:color w:val="14202A"/>
              </w:rPr>
              <w:t>Stacy L. Bogart</w:t>
            </w:r>
          </w:p>
        </w:tc>
        <w:tc>
          <w:tcPr>
            <w:tcW w:w="640" w:type="dxa"/>
            <w:vAlign w:val="bottom"/>
          </w:tcPr>
          <w:p>
            <w:pPr>
              <w:ind w:left="520"/>
              <w:spacing w:after="0"/>
              <w:rPr>
                <w:sz w:val="20"/>
                <w:szCs w:val="20"/>
                <w:color w:val="auto"/>
              </w:rPr>
            </w:pPr>
            <w:r>
              <w:rPr>
                <w:rFonts w:ascii="Arial" w:cs="Arial" w:eastAsia="Arial" w:hAnsi="Arial"/>
                <w:sz w:val="14"/>
                <w:szCs w:val="14"/>
                <w:color w:val="14202A"/>
              </w:rPr>
              <w:t>$</w:t>
            </w:r>
          </w:p>
        </w:tc>
        <w:tc>
          <w:tcPr>
            <w:tcW w:w="900" w:type="dxa"/>
            <w:vAlign w:val="bottom"/>
          </w:tcPr>
          <w:p>
            <w:pPr>
              <w:jc w:val="right"/>
              <w:ind w:right="232"/>
              <w:spacing w:after="0"/>
              <w:rPr>
                <w:sz w:val="20"/>
                <w:szCs w:val="20"/>
                <w:color w:val="auto"/>
              </w:rPr>
            </w:pPr>
            <w:r>
              <w:rPr>
                <w:rFonts w:ascii="Arial" w:cs="Arial" w:eastAsia="Arial" w:hAnsi="Arial"/>
                <w:sz w:val="14"/>
                <w:szCs w:val="14"/>
                <w:color w:val="14202A"/>
              </w:rPr>
              <w:t>441,939</w:t>
            </w:r>
          </w:p>
        </w:tc>
        <w:tc>
          <w:tcPr>
            <w:tcW w:w="420" w:type="dxa"/>
            <w:vAlign w:val="bottom"/>
          </w:tcPr>
          <w:p>
            <w:pPr>
              <w:ind w:left="280"/>
              <w:spacing w:after="0"/>
              <w:rPr>
                <w:sz w:val="20"/>
                <w:szCs w:val="20"/>
                <w:color w:val="auto"/>
              </w:rPr>
            </w:pPr>
            <w:r>
              <w:rPr>
                <w:rFonts w:ascii="Arial" w:cs="Arial" w:eastAsia="Arial" w:hAnsi="Arial"/>
                <w:sz w:val="14"/>
                <w:szCs w:val="14"/>
                <w:color w:val="14202A"/>
              </w:rPr>
              <w:t>$</w:t>
            </w:r>
          </w:p>
        </w:tc>
        <w:tc>
          <w:tcPr>
            <w:tcW w:w="840" w:type="dxa"/>
            <w:vAlign w:val="bottom"/>
          </w:tcPr>
          <w:p>
            <w:pPr>
              <w:ind w:left="60"/>
              <w:spacing w:after="0"/>
              <w:rPr>
                <w:sz w:val="20"/>
                <w:szCs w:val="20"/>
                <w:color w:val="auto"/>
              </w:rPr>
            </w:pPr>
            <w:r>
              <w:rPr>
                <w:rFonts w:ascii="Arial" w:cs="Arial" w:eastAsia="Arial" w:hAnsi="Arial"/>
                <w:sz w:val="14"/>
                <w:szCs w:val="14"/>
                <w:color w:val="14202A"/>
              </w:rPr>
              <w:t>309,376</w:t>
            </w:r>
          </w:p>
        </w:tc>
        <w:tc>
          <w:tcPr>
            <w:tcW w:w="860" w:type="dxa"/>
            <w:vAlign w:val="bottom"/>
          </w:tcPr>
          <w:p>
            <w:pPr>
              <w:jc w:val="center"/>
              <w:ind w:left="151"/>
              <w:spacing w:after="0"/>
              <w:rPr>
                <w:sz w:val="20"/>
                <w:szCs w:val="20"/>
                <w:color w:val="auto"/>
              </w:rPr>
            </w:pPr>
            <w:r>
              <w:rPr>
                <w:rFonts w:ascii="Arial" w:cs="Arial" w:eastAsia="Arial" w:hAnsi="Arial"/>
                <w:sz w:val="14"/>
                <w:szCs w:val="14"/>
                <w:color w:val="14202A"/>
              </w:rPr>
              <w:t>$132,584</w:t>
            </w:r>
          </w:p>
        </w:tc>
        <w:tc>
          <w:tcPr>
            <w:tcW w:w="620" w:type="dxa"/>
            <w:vAlign w:val="bottom"/>
            <w:gridSpan w:val="2"/>
          </w:tcPr>
          <w:p>
            <w:pPr>
              <w:jc w:val="right"/>
              <w:spacing w:after="0"/>
              <w:rPr>
                <w:sz w:val="20"/>
                <w:szCs w:val="20"/>
                <w:color w:val="auto"/>
              </w:rPr>
            </w:pPr>
            <w:r>
              <w:rPr>
                <w:rFonts w:ascii="Arial" w:cs="Arial" w:eastAsia="Arial" w:hAnsi="Arial"/>
                <w:sz w:val="14"/>
                <w:szCs w:val="14"/>
                <w:color w:val="14202A"/>
              </w:rPr>
              <w:t>$</w:t>
            </w:r>
          </w:p>
        </w:tc>
        <w:tc>
          <w:tcPr>
            <w:tcW w:w="840" w:type="dxa"/>
            <w:vAlign w:val="bottom"/>
          </w:tcPr>
          <w:p>
            <w:pPr>
              <w:jc w:val="right"/>
              <w:ind w:right="188"/>
              <w:spacing w:after="0"/>
              <w:rPr>
                <w:sz w:val="20"/>
                <w:szCs w:val="20"/>
                <w:color w:val="auto"/>
              </w:rPr>
            </w:pPr>
            <w:r>
              <w:rPr>
                <w:rFonts w:ascii="Arial" w:cs="Arial" w:eastAsia="Arial" w:hAnsi="Arial"/>
                <w:sz w:val="14"/>
                <w:szCs w:val="14"/>
                <w:color w:val="14202A"/>
              </w:rPr>
              <w:t>883,899</w:t>
            </w:r>
          </w:p>
        </w:tc>
        <w:tc>
          <w:tcPr>
            <w:tcW w:w="400" w:type="dxa"/>
            <w:vAlign w:val="bottom"/>
          </w:tcPr>
          <w:p>
            <w:pPr>
              <w:jc w:val="right"/>
              <w:spacing w:after="0"/>
              <w:rPr>
                <w:sz w:val="20"/>
                <w:szCs w:val="20"/>
                <w:color w:val="auto"/>
              </w:rPr>
            </w:pPr>
            <w:r>
              <w:rPr>
                <w:rFonts w:ascii="Arial" w:cs="Arial" w:eastAsia="Arial" w:hAnsi="Arial"/>
                <w:sz w:val="14"/>
                <w:szCs w:val="14"/>
                <w:color w:val="14202A"/>
              </w:rPr>
              <w:t>$</w:t>
            </w:r>
          </w:p>
        </w:tc>
        <w:tc>
          <w:tcPr>
            <w:tcW w:w="840" w:type="dxa"/>
            <w:vAlign w:val="bottom"/>
          </w:tcPr>
          <w:p>
            <w:pPr>
              <w:jc w:val="right"/>
              <w:ind w:right="188"/>
              <w:spacing w:after="0"/>
              <w:rPr>
                <w:sz w:val="20"/>
                <w:szCs w:val="20"/>
                <w:color w:val="auto"/>
              </w:rPr>
            </w:pPr>
            <w:r>
              <w:rPr>
                <w:rFonts w:ascii="Arial" w:cs="Arial" w:eastAsia="Arial" w:hAnsi="Arial"/>
                <w:sz w:val="14"/>
                <w:szCs w:val="14"/>
                <w:color w:val="14202A"/>
              </w:rPr>
              <w:t>860,194</w:t>
            </w:r>
          </w:p>
        </w:tc>
        <w:tc>
          <w:tcPr>
            <w:tcW w:w="1120" w:type="dxa"/>
            <w:vAlign w:val="bottom"/>
          </w:tcPr>
          <w:p>
            <w:pPr>
              <w:jc w:val="right"/>
              <w:ind w:right="191"/>
              <w:spacing w:after="0"/>
              <w:rPr>
                <w:sz w:val="20"/>
                <w:szCs w:val="20"/>
                <w:color w:val="auto"/>
              </w:rPr>
            </w:pPr>
            <w:r>
              <w:rPr>
                <w:rFonts w:ascii="Arial" w:cs="Arial" w:eastAsia="Arial" w:hAnsi="Arial"/>
                <w:sz w:val="14"/>
                <w:szCs w:val="14"/>
                <w:color w:val="14202A"/>
              </w:rPr>
              <w:t>2.8%</w:t>
            </w:r>
          </w:p>
        </w:tc>
        <w:tc>
          <w:tcPr>
            <w:tcW w:w="0" w:type="dxa"/>
            <w:vAlign w:val="bottom"/>
          </w:tcPr>
          <w:p>
            <w:pPr>
              <w:spacing w:after="0"/>
              <w:rPr>
                <w:sz w:val="1"/>
                <w:szCs w:val="1"/>
                <w:color w:val="auto"/>
              </w:rPr>
            </w:pPr>
          </w:p>
        </w:tc>
      </w:tr>
      <w:tr>
        <w:trPr>
          <w:trHeight w:val="22"/>
        </w:trPr>
        <w:tc>
          <w:tcPr>
            <w:tcW w:w="1800" w:type="dxa"/>
            <w:vAlign w:val="bottom"/>
            <w:tcBorders>
              <w:bottom w:val="single" w:sz="8" w:color="14202A"/>
            </w:tcBorders>
          </w:tcPr>
          <w:p>
            <w:pPr>
              <w:spacing w:after="0" w:line="20" w:lineRule="exact"/>
              <w:rPr>
                <w:sz w:val="1"/>
                <w:szCs w:val="1"/>
                <w:color w:val="auto"/>
              </w:rPr>
            </w:pPr>
          </w:p>
        </w:tc>
        <w:tc>
          <w:tcPr>
            <w:tcW w:w="640" w:type="dxa"/>
            <w:vAlign w:val="bottom"/>
            <w:tcBorders>
              <w:bottom w:val="single" w:sz="8" w:color="14202A"/>
            </w:tcBorders>
          </w:tcPr>
          <w:p>
            <w:pPr>
              <w:spacing w:after="0" w:line="20" w:lineRule="exact"/>
              <w:rPr>
                <w:sz w:val="1"/>
                <w:szCs w:val="1"/>
                <w:color w:val="auto"/>
              </w:rPr>
            </w:pPr>
          </w:p>
        </w:tc>
        <w:tc>
          <w:tcPr>
            <w:tcW w:w="900" w:type="dxa"/>
            <w:vAlign w:val="bottom"/>
            <w:tcBorders>
              <w:bottom w:val="single" w:sz="8" w:color="14202A"/>
            </w:tcBorders>
          </w:tcPr>
          <w:p>
            <w:pPr>
              <w:spacing w:after="0" w:line="20" w:lineRule="exact"/>
              <w:rPr>
                <w:sz w:val="1"/>
                <w:szCs w:val="1"/>
                <w:color w:val="auto"/>
              </w:rPr>
            </w:pPr>
          </w:p>
        </w:tc>
        <w:tc>
          <w:tcPr>
            <w:tcW w:w="420" w:type="dxa"/>
            <w:vAlign w:val="bottom"/>
            <w:tcBorders>
              <w:bottom w:val="single" w:sz="8" w:color="14202A"/>
            </w:tcBorders>
          </w:tcPr>
          <w:p>
            <w:pPr>
              <w:spacing w:after="0" w:line="20" w:lineRule="exact"/>
              <w:rPr>
                <w:sz w:val="1"/>
                <w:szCs w:val="1"/>
                <w:color w:val="auto"/>
              </w:rPr>
            </w:pPr>
          </w:p>
        </w:tc>
        <w:tc>
          <w:tcPr>
            <w:tcW w:w="840" w:type="dxa"/>
            <w:vAlign w:val="bottom"/>
            <w:tcBorders>
              <w:bottom w:val="single" w:sz="8" w:color="14202A"/>
            </w:tcBorders>
          </w:tcPr>
          <w:p>
            <w:pPr>
              <w:spacing w:after="0" w:line="20" w:lineRule="exact"/>
              <w:rPr>
                <w:sz w:val="1"/>
                <w:szCs w:val="1"/>
                <w:color w:val="auto"/>
              </w:rPr>
            </w:pPr>
          </w:p>
        </w:tc>
        <w:tc>
          <w:tcPr>
            <w:tcW w:w="860" w:type="dxa"/>
            <w:vAlign w:val="bottom"/>
            <w:tcBorders>
              <w:bottom w:val="single" w:sz="8" w:color="14202A"/>
            </w:tcBorders>
          </w:tcPr>
          <w:p>
            <w:pPr>
              <w:spacing w:after="0" w:line="20" w:lineRule="exact"/>
              <w:rPr>
                <w:sz w:val="1"/>
                <w:szCs w:val="1"/>
                <w:color w:val="auto"/>
              </w:rPr>
            </w:pPr>
          </w:p>
        </w:tc>
        <w:tc>
          <w:tcPr>
            <w:tcW w:w="240" w:type="dxa"/>
            <w:vAlign w:val="bottom"/>
            <w:tcBorders>
              <w:bottom w:val="single" w:sz="8" w:color="14202A"/>
            </w:tcBorders>
          </w:tcPr>
          <w:p>
            <w:pPr>
              <w:spacing w:after="0" w:line="20" w:lineRule="exact"/>
              <w:rPr>
                <w:sz w:val="1"/>
                <w:szCs w:val="1"/>
                <w:color w:val="auto"/>
              </w:rPr>
            </w:pPr>
          </w:p>
        </w:tc>
        <w:tc>
          <w:tcPr>
            <w:tcW w:w="380" w:type="dxa"/>
            <w:vAlign w:val="bottom"/>
            <w:tcBorders>
              <w:bottom w:val="single" w:sz="8" w:color="14202A"/>
            </w:tcBorders>
          </w:tcPr>
          <w:p>
            <w:pPr>
              <w:spacing w:after="0" w:line="20" w:lineRule="exact"/>
              <w:rPr>
                <w:sz w:val="1"/>
                <w:szCs w:val="1"/>
                <w:color w:val="auto"/>
              </w:rPr>
            </w:pPr>
          </w:p>
        </w:tc>
        <w:tc>
          <w:tcPr>
            <w:tcW w:w="840" w:type="dxa"/>
            <w:vAlign w:val="bottom"/>
            <w:tcBorders>
              <w:bottom w:val="single" w:sz="8" w:color="14202A"/>
            </w:tcBorders>
          </w:tcPr>
          <w:p>
            <w:pPr>
              <w:spacing w:after="0" w:line="20" w:lineRule="exact"/>
              <w:rPr>
                <w:sz w:val="1"/>
                <w:szCs w:val="1"/>
                <w:color w:val="auto"/>
              </w:rPr>
            </w:pPr>
          </w:p>
        </w:tc>
        <w:tc>
          <w:tcPr>
            <w:tcW w:w="400" w:type="dxa"/>
            <w:vAlign w:val="bottom"/>
            <w:tcBorders>
              <w:bottom w:val="single" w:sz="8" w:color="14202A"/>
            </w:tcBorders>
          </w:tcPr>
          <w:p>
            <w:pPr>
              <w:spacing w:after="0" w:line="20" w:lineRule="exact"/>
              <w:rPr>
                <w:sz w:val="1"/>
                <w:szCs w:val="1"/>
                <w:color w:val="auto"/>
              </w:rPr>
            </w:pPr>
          </w:p>
        </w:tc>
        <w:tc>
          <w:tcPr>
            <w:tcW w:w="840" w:type="dxa"/>
            <w:vAlign w:val="bottom"/>
            <w:tcBorders>
              <w:bottom w:val="single" w:sz="8" w:color="14202A"/>
            </w:tcBorders>
          </w:tcPr>
          <w:p>
            <w:pPr>
              <w:spacing w:after="0" w:line="20" w:lineRule="exact"/>
              <w:rPr>
                <w:sz w:val="1"/>
                <w:szCs w:val="1"/>
                <w:color w:val="auto"/>
              </w:rPr>
            </w:pPr>
          </w:p>
        </w:tc>
        <w:tc>
          <w:tcPr>
            <w:tcW w:w="112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60"/>
        <w:spacing w:after="0"/>
        <w:tabs>
          <w:tab w:leader="none" w:pos="360" w:val="left"/>
        </w:tabs>
        <w:numPr>
          <w:ilvl w:val="0"/>
          <w:numId w:val="30"/>
        </w:numPr>
        <w:rPr>
          <w:rFonts w:ascii="Arial" w:cs="Arial" w:eastAsia="Arial" w:hAnsi="Arial"/>
          <w:sz w:val="13"/>
          <w:szCs w:val="13"/>
          <w:color w:val="14202A"/>
        </w:rPr>
      </w:pPr>
      <w:r>
        <w:rPr>
          <w:rFonts w:ascii="Arial" w:cs="Arial" w:eastAsia="Arial" w:hAnsi="Arial"/>
          <w:sz w:val="13"/>
          <w:szCs w:val="13"/>
          <w:color w:val="14202A"/>
        </w:rPr>
        <w:t>To perform this calculation, we assumed that the annual LTIP/performance share unit awards for Fiscal 2026 and Fiscal 2025 were earned at target.</w:t>
      </w:r>
    </w:p>
    <w:p>
      <w:pPr>
        <w:spacing w:after="0" w:line="39" w:lineRule="exact"/>
        <w:rPr>
          <w:rFonts w:ascii="Arial" w:cs="Arial" w:eastAsia="Arial" w:hAnsi="Arial"/>
          <w:sz w:val="13"/>
          <w:szCs w:val="13"/>
          <w:color w:val="14202A"/>
        </w:rPr>
      </w:pPr>
    </w:p>
    <w:p>
      <w:pPr>
        <w:ind w:left="360" w:right="260" w:hanging="360"/>
        <w:spacing w:after="0" w:line="243" w:lineRule="auto"/>
        <w:tabs>
          <w:tab w:leader="none" w:pos="360" w:val="left"/>
        </w:tabs>
        <w:numPr>
          <w:ilvl w:val="0"/>
          <w:numId w:val="30"/>
        </w:numPr>
        <w:rPr>
          <w:rFonts w:ascii="Arial" w:cs="Arial" w:eastAsia="Arial" w:hAnsi="Arial"/>
          <w:sz w:val="13"/>
          <w:szCs w:val="13"/>
          <w:color w:val="14202A"/>
        </w:rPr>
      </w:pPr>
      <w:r>
        <w:rPr>
          <w:rFonts w:ascii="Arial" w:cs="Arial" w:eastAsia="Arial" w:hAnsi="Arial"/>
          <w:sz w:val="13"/>
          <w:szCs w:val="13"/>
          <w:color w:val="14202A"/>
        </w:rPr>
        <w:t>The committee approved the increase in the target value of equity incentive awards granted to these NEOs in Fiscal 2026 based on a review of each NEO’s target value of equity incentive awards as compared to the peer group, market data, and individual performance.</w:t>
      </w:r>
    </w:p>
    <w:p>
      <w:pPr>
        <w:spacing w:after="0" w:line="21" w:lineRule="exact"/>
        <w:rPr>
          <w:rFonts w:ascii="Arial" w:cs="Arial" w:eastAsia="Arial" w:hAnsi="Arial"/>
          <w:sz w:val="13"/>
          <w:szCs w:val="13"/>
          <w:color w:val="14202A"/>
        </w:rPr>
      </w:pPr>
    </w:p>
    <w:p>
      <w:pPr>
        <w:ind w:left="360" w:hanging="360"/>
        <w:spacing w:after="0"/>
        <w:tabs>
          <w:tab w:leader="none" w:pos="360" w:val="left"/>
        </w:tabs>
        <w:numPr>
          <w:ilvl w:val="0"/>
          <w:numId w:val="30"/>
        </w:numPr>
        <w:rPr>
          <w:rFonts w:ascii="Arial" w:cs="Arial" w:eastAsia="Arial" w:hAnsi="Arial"/>
          <w:sz w:val="13"/>
          <w:szCs w:val="13"/>
          <w:color w:val="14202A"/>
        </w:rPr>
      </w:pPr>
      <w:r>
        <w:rPr>
          <w:rFonts w:ascii="Arial" w:cs="Arial" w:eastAsia="Arial" w:hAnsi="Arial"/>
          <w:sz w:val="13"/>
          <w:szCs w:val="13"/>
          <w:color w:val="14202A"/>
        </w:rPr>
        <w:t>Mr. Clark does not receive annual equity awards because he participates in the Grand Design MIP in lieu of other incentive compensation.</w:t>
      </w:r>
    </w:p>
    <w:p>
      <w:pPr>
        <w:spacing w:after="0" w:line="39" w:lineRule="exact"/>
        <w:rPr>
          <w:rFonts w:ascii="Arial" w:cs="Arial" w:eastAsia="Arial" w:hAnsi="Arial"/>
          <w:sz w:val="13"/>
          <w:szCs w:val="13"/>
          <w:color w:val="14202A"/>
        </w:rPr>
      </w:pPr>
    </w:p>
    <w:p>
      <w:pPr>
        <w:ind w:left="360" w:right="280" w:hanging="360"/>
        <w:spacing w:after="0" w:line="243" w:lineRule="auto"/>
        <w:tabs>
          <w:tab w:leader="none" w:pos="360" w:val="left"/>
        </w:tabs>
        <w:numPr>
          <w:ilvl w:val="0"/>
          <w:numId w:val="30"/>
        </w:numPr>
        <w:rPr>
          <w:rFonts w:ascii="Arial" w:cs="Arial" w:eastAsia="Arial" w:hAnsi="Arial"/>
          <w:sz w:val="13"/>
          <w:szCs w:val="13"/>
          <w:color w:val="14202A"/>
        </w:rPr>
      </w:pPr>
      <w:r>
        <w:rPr>
          <w:rFonts w:ascii="Arial" w:cs="Arial" w:eastAsia="Arial" w:hAnsi="Arial"/>
          <w:sz w:val="13"/>
          <w:szCs w:val="13"/>
          <w:color w:val="14202A"/>
        </w:rPr>
        <w:t>Mr. Tubman’s 40.5% increase reflects his increased responsibilities resulting from his promotion to Group President – Newmar &amp; Winnebago Motorized role along with his new responsibilities of overseeing the Company’s Enterprise Corporate Strategic Planning.</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Certification of Results for the Fiscal 2024-2026 LTIP Cycle</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14202A"/>
        </w:rPr>
        <w:t>For the Fiscal 2024-2026 LTIP performance share units, the committee used the metrics of Incentive ROIC and Incentive EPS for each of the following performance periods: (i) Period 1: Fiscal 2024 (financial performance measured against goals established at the beginning of the Fiscal 2024-2026 performance period using the Fiscal 2024-2026 long-range plan); (ii) Period 2: Fiscal 2025 (financial performance measured against goals established at the beginning of Fiscal 2025); (iii) Period 3: Fiscal 2026 (financial performance measured against goals established at the beginning of Fiscal 2026); and (iv) Period 4: Fiscal 2024-2026 (financial performance measured against goals established at the beginning of the Fiscal 2024-2026 performance period using the Fiscal 2024-2026 long-range plan). The award payouts were determined based on our performance against these metrics.</w:t>
      </w:r>
    </w:p>
    <w:p>
      <w:pPr>
        <w:spacing w:after="0" w:line="14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14202A"/>
        </w:rPr>
        <w:t>The definitions of Incentive ROIC and Incentive EPS incorporate adjustments for Board-approved non-recurring disclosure items affecting comparability, including adjustments for acquisitions and divestitures where appropriate, which generally align with our non-GAAP financial reporting. The payout scale provided for a minimum award of 0% of the shares granted and a maximum award of 200% of the shares granted. Subsequent to Fiscal 2026, the committee determined that the metrics for the Fiscal 2024-2026 LTIP performance period did not meet threshold levels, and therefore no performance share units were earned. The table below reflects our performance against the original metrics: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116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Performance</w:t>
            </w:r>
          </w:p>
        </w:tc>
        <w:tc>
          <w:tcPr>
            <w:tcW w:w="760" w:type="dxa"/>
            <w:vAlign w:val="bottom"/>
            <w:shd w:val="clear" w:color="auto" w:fill="14202A"/>
          </w:tcPr>
          <w:p>
            <w:pPr>
              <w:spacing w:after="0"/>
              <w:rPr>
                <w:sz w:val="19"/>
                <w:szCs w:val="19"/>
                <w:color w:val="auto"/>
              </w:rPr>
            </w:pPr>
          </w:p>
        </w:tc>
        <w:tc>
          <w:tcPr>
            <w:tcW w:w="1220" w:type="dxa"/>
            <w:vAlign w:val="bottom"/>
            <w:shd w:val="clear" w:color="auto" w:fill="14202A"/>
          </w:tcPr>
          <w:p>
            <w:pPr>
              <w:spacing w:after="0"/>
              <w:rPr>
                <w:sz w:val="19"/>
                <w:szCs w:val="19"/>
                <w:color w:val="auto"/>
              </w:rPr>
            </w:pPr>
          </w:p>
        </w:tc>
        <w:tc>
          <w:tcPr>
            <w:tcW w:w="720" w:type="dxa"/>
            <w:vAlign w:val="bottom"/>
            <w:shd w:val="clear" w:color="auto" w:fill="14202A"/>
          </w:tcPr>
          <w:p>
            <w:pPr>
              <w:spacing w:after="0"/>
              <w:rPr>
                <w:sz w:val="19"/>
                <w:szCs w:val="19"/>
                <w:color w:val="auto"/>
              </w:rPr>
            </w:pPr>
          </w:p>
        </w:tc>
        <w:tc>
          <w:tcPr>
            <w:tcW w:w="9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Threshold</w:t>
            </w:r>
          </w:p>
        </w:tc>
        <w:tc>
          <w:tcPr>
            <w:tcW w:w="1320" w:type="dxa"/>
            <w:vAlign w:val="bottom"/>
            <w:gridSpan w:val="2"/>
            <w:shd w:val="clear" w:color="auto" w:fill="14202A"/>
          </w:tcPr>
          <w:p>
            <w:pPr>
              <w:jc w:val="right"/>
              <w:ind w:right="368"/>
              <w:spacing w:after="0"/>
              <w:rPr>
                <w:sz w:val="20"/>
                <w:szCs w:val="20"/>
                <w:color w:val="auto"/>
              </w:rPr>
            </w:pPr>
            <w:r>
              <w:rPr>
                <w:rFonts w:ascii="Arial" w:cs="Arial" w:eastAsia="Arial" w:hAnsi="Arial"/>
                <w:sz w:val="13"/>
                <w:szCs w:val="13"/>
                <w:b w:val="1"/>
                <w:bCs w:val="1"/>
                <w:color w:val="FFFFFF"/>
              </w:rPr>
              <w:t>Target</w:t>
            </w:r>
          </w:p>
        </w:tc>
        <w:tc>
          <w:tcPr>
            <w:tcW w:w="10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Maximum</w:t>
            </w:r>
          </w:p>
        </w:tc>
        <w:tc>
          <w:tcPr>
            <w:tcW w:w="1100" w:type="dxa"/>
            <w:vAlign w:val="bottom"/>
            <w:shd w:val="clear" w:color="auto" w:fill="14202A"/>
          </w:tcPr>
          <w:p>
            <w:pPr>
              <w:spacing w:after="0"/>
              <w:rPr>
                <w:sz w:val="19"/>
                <w:szCs w:val="19"/>
                <w:color w:val="auto"/>
              </w:rPr>
            </w:pPr>
          </w:p>
        </w:tc>
        <w:tc>
          <w:tcPr>
            <w:tcW w:w="900" w:type="dxa"/>
            <w:vAlign w:val="bottom"/>
            <w:vMerge w:val="restart"/>
            <w:shd w:val="clear" w:color="auto" w:fill="14202A"/>
          </w:tcPr>
          <w:p>
            <w:pPr>
              <w:jc w:val="right"/>
              <w:ind w:right="229"/>
              <w:spacing w:after="0"/>
              <w:rPr>
                <w:sz w:val="20"/>
                <w:szCs w:val="20"/>
                <w:color w:val="auto"/>
              </w:rPr>
            </w:pPr>
            <w:r>
              <w:rPr>
                <w:rFonts w:ascii="Arial" w:cs="Arial" w:eastAsia="Arial" w:hAnsi="Arial"/>
                <w:sz w:val="13"/>
                <w:szCs w:val="13"/>
                <w:b w:val="1"/>
                <w:bCs w:val="1"/>
                <w:color w:val="FFFFFF"/>
              </w:rPr>
              <w:t>Actual</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160" w:type="dxa"/>
            <w:vAlign w:val="bottom"/>
            <w:vMerge w:val="continue"/>
            <w:shd w:val="clear" w:color="auto" w:fill="14202A"/>
          </w:tcPr>
          <w:p>
            <w:pPr>
              <w:spacing w:after="0"/>
              <w:rPr>
                <w:sz w:val="11"/>
                <w:szCs w:val="11"/>
                <w:color w:val="auto"/>
              </w:rPr>
            </w:pPr>
          </w:p>
        </w:tc>
        <w:tc>
          <w:tcPr>
            <w:tcW w:w="760" w:type="dxa"/>
            <w:vAlign w:val="bottom"/>
            <w:vMerge w:val="restart"/>
            <w:shd w:val="clear" w:color="auto" w:fill="14202A"/>
          </w:tcPr>
          <w:p>
            <w:pPr>
              <w:jc w:val="right"/>
              <w:ind w:right="50"/>
              <w:spacing w:after="0"/>
              <w:rPr>
                <w:sz w:val="20"/>
                <w:szCs w:val="20"/>
                <w:color w:val="auto"/>
              </w:rPr>
            </w:pPr>
            <w:r>
              <w:rPr>
                <w:rFonts w:ascii="Arial" w:cs="Arial" w:eastAsia="Arial" w:hAnsi="Arial"/>
                <w:sz w:val="13"/>
                <w:szCs w:val="13"/>
                <w:b w:val="1"/>
                <w:bCs w:val="1"/>
                <w:color w:val="FFFFFF"/>
              </w:rPr>
              <w:t>Weight</w:t>
            </w:r>
          </w:p>
        </w:tc>
        <w:tc>
          <w:tcPr>
            <w:tcW w:w="122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9"/>
              </w:rPr>
              <w:t>Metric</w:t>
            </w:r>
          </w:p>
        </w:tc>
        <w:tc>
          <w:tcPr>
            <w:tcW w:w="720" w:type="dxa"/>
            <w:vAlign w:val="bottom"/>
            <w:vMerge w:val="restart"/>
            <w:shd w:val="clear" w:color="auto" w:fill="14202A"/>
          </w:tcPr>
          <w:p>
            <w:pPr>
              <w:jc w:val="right"/>
              <w:ind w:right="89"/>
              <w:spacing w:after="0"/>
              <w:rPr>
                <w:sz w:val="20"/>
                <w:szCs w:val="20"/>
                <w:color w:val="auto"/>
              </w:rPr>
            </w:pPr>
            <w:r>
              <w:rPr>
                <w:rFonts w:ascii="Arial" w:cs="Arial" w:eastAsia="Arial" w:hAnsi="Arial"/>
                <w:sz w:val="13"/>
                <w:szCs w:val="13"/>
                <w:b w:val="1"/>
                <w:bCs w:val="1"/>
                <w:color w:val="FFFFFF"/>
              </w:rPr>
              <w:t>Weight</w:t>
            </w:r>
          </w:p>
        </w:tc>
        <w:tc>
          <w:tcPr>
            <w:tcW w:w="9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2"/>
              </w:rPr>
              <w:t>(50%</w:t>
            </w:r>
          </w:p>
        </w:tc>
        <w:tc>
          <w:tcPr>
            <w:tcW w:w="1320" w:type="dxa"/>
            <w:vAlign w:val="bottom"/>
            <w:gridSpan w:val="2"/>
            <w:shd w:val="clear" w:color="auto" w:fill="14202A"/>
          </w:tcPr>
          <w:p>
            <w:pPr>
              <w:jc w:val="right"/>
              <w:ind w:right="388"/>
              <w:spacing w:after="0" w:line="135" w:lineRule="exact"/>
              <w:rPr>
                <w:sz w:val="20"/>
                <w:szCs w:val="20"/>
                <w:color w:val="auto"/>
              </w:rPr>
            </w:pPr>
            <w:r>
              <w:rPr>
                <w:rFonts w:ascii="Arial" w:cs="Arial" w:eastAsia="Arial" w:hAnsi="Arial"/>
                <w:sz w:val="13"/>
                <w:szCs w:val="13"/>
                <w:b w:val="1"/>
                <w:bCs w:val="1"/>
                <w:color w:val="FFFFFF"/>
              </w:rPr>
              <w:t>(100%</w:t>
            </w:r>
          </w:p>
        </w:tc>
        <w:tc>
          <w:tcPr>
            <w:tcW w:w="10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rPr>
              <w:t>(200%</w:t>
            </w:r>
          </w:p>
        </w:tc>
        <w:tc>
          <w:tcPr>
            <w:tcW w:w="1100" w:type="dxa"/>
            <w:vAlign w:val="bottom"/>
            <w:vMerge w:val="restart"/>
            <w:shd w:val="clear" w:color="auto" w:fill="14202A"/>
          </w:tcPr>
          <w:p>
            <w:pPr>
              <w:jc w:val="right"/>
              <w:ind w:right="109"/>
              <w:spacing w:after="0"/>
              <w:rPr>
                <w:sz w:val="20"/>
                <w:szCs w:val="20"/>
                <w:color w:val="auto"/>
              </w:rPr>
            </w:pPr>
            <w:r>
              <w:rPr>
                <w:rFonts w:ascii="Arial" w:cs="Arial" w:eastAsia="Arial" w:hAnsi="Arial"/>
                <w:sz w:val="13"/>
                <w:szCs w:val="13"/>
                <w:b w:val="1"/>
                <w:bCs w:val="1"/>
                <w:color w:val="FFFFFF"/>
              </w:rPr>
              <w:t>Performance</w:t>
            </w:r>
          </w:p>
        </w:tc>
        <w:tc>
          <w:tcPr>
            <w:tcW w:w="900" w:type="dxa"/>
            <w:vAlign w:val="bottom"/>
            <w:vMerge w:val="continue"/>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1160" w:type="dxa"/>
            <w:vAlign w:val="bottom"/>
            <w:shd w:val="clear" w:color="auto" w:fill="14202A"/>
          </w:tcPr>
          <w:p>
            <w:pPr>
              <w:ind w:left="60"/>
              <w:spacing w:after="0"/>
              <w:rPr>
                <w:sz w:val="20"/>
                <w:szCs w:val="20"/>
                <w:color w:val="auto"/>
              </w:rPr>
            </w:pPr>
            <w:r>
              <w:rPr>
                <w:rFonts w:ascii="Arial" w:cs="Arial" w:eastAsia="Arial" w:hAnsi="Arial"/>
                <w:sz w:val="13"/>
                <w:szCs w:val="13"/>
                <w:b w:val="1"/>
                <w:bCs w:val="1"/>
                <w:color w:val="FFFFFF"/>
              </w:rPr>
              <w:t>Period</w:t>
            </w:r>
          </w:p>
        </w:tc>
        <w:tc>
          <w:tcPr>
            <w:tcW w:w="760" w:type="dxa"/>
            <w:vAlign w:val="bottom"/>
            <w:vMerge w:val="continue"/>
            <w:shd w:val="clear" w:color="auto" w:fill="14202A"/>
          </w:tcPr>
          <w:p>
            <w:pPr>
              <w:spacing w:after="0"/>
              <w:rPr>
                <w:sz w:val="14"/>
                <w:szCs w:val="14"/>
                <w:color w:val="auto"/>
              </w:rPr>
            </w:pPr>
          </w:p>
        </w:tc>
        <w:tc>
          <w:tcPr>
            <w:tcW w:w="1220" w:type="dxa"/>
            <w:vAlign w:val="bottom"/>
            <w:vMerge w:val="continue"/>
            <w:shd w:val="clear" w:color="auto" w:fill="14202A"/>
          </w:tcPr>
          <w:p>
            <w:pPr>
              <w:spacing w:after="0"/>
              <w:rPr>
                <w:sz w:val="14"/>
                <w:szCs w:val="14"/>
                <w:color w:val="auto"/>
              </w:rPr>
            </w:pPr>
          </w:p>
        </w:tc>
        <w:tc>
          <w:tcPr>
            <w:tcW w:w="720" w:type="dxa"/>
            <w:vAlign w:val="bottom"/>
            <w:vMerge w:val="continue"/>
            <w:shd w:val="clear" w:color="auto" w:fill="14202A"/>
          </w:tcPr>
          <w:p>
            <w:pPr>
              <w:spacing w:after="0"/>
              <w:rPr>
                <w:sz w:val="14"/>
                <w:szCs w:val="14"/>
                <w:color w:val="auto"/>
              </w:rPr>
            </w:pPr>
          </w:p>
        </w:tc>
        <w:tc>
          <w:tcPr>
            <w:tcW w:w="9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320" w:type="dxa"/>
            <w:vAlign w:val="bottom"/>
            <w:gridSpan w:val="2"/>
            <w:shd w:val="clear" w:color="auto" w:fill="14202A"/>
          </w:tcPr>
          <w:p>
            <w:pPr>
              <w:jc w:val="right"/>
              <w:ind w:right="328"/>
              <w:spacing w:after="0"/>
              <w:rPr>
                <w:sz w:val="20"/>
                <w:szCs w:val="20"/>
                <w:color w:val="auto"/>
              </w:rPr>
            </w:pPr>
            <w:r>
              <w:rPr>
                <w:rFonts w:ascii="Arial" w:cs="Arial" w:eastAsia="Arial" w:hAnsi="Arial"/>
                <w:sz w:val="13"/>
                <w:szCs w:val="13"/>
                <w:b w:val="1"/>
                <w:bCs w:val="1"/>
                <w:color w:val="FFFFFF"/>
              </w:rPr>
              <w:t>Payout)</w:t>
            </w:r>
          </w:p>
        </w:tc>
        <w:tc>
          <w:tcPr>
            <w:tcW w:w="10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100" w:type="dxa"/>
            <w:vAlign w:val="bottom"/>
            <w:vMerge w:val="continue"/>
            <w:shd w:val="clear" w:color="auto" w:fill="14202A"/>
          </w:tcPr>
          <w:p>
            <w:pPr>
              <w:spacing w:after="0"/>
              <w:rPr>
                <w:sz w:val="14"/>
                <w:szCs w:val="14"/>
                <w:color w:val="auto"/>
              </w:rPr>
            </w:pPr>
          </w:p>
        </w:tc>
        <w:tc>
          <w:tcPr>
            <w:tcW w:w="900" w:type="dxa"/>
            <w:vAlign w:val="bottom"/>
            <w:shd w:val="clear" w:color="auto" w:fill="14202A"/>
          </w:tcPr>
          <w:p>
            <w:pPr>
              <w:jc w:val="right"/>
              <w:ind w:right="149"/>
              <w:spacing w:after="0"/>
              <w:rPr>
                <w:sz w:val="20"/>
                <w:szCs w:val="20"/>
                <w:color w:val="auto"/>
              </w:rPr>
            </w:pPr>
            <w:r>
              <w:rPr>
                <w:rFonts w:ascii="Arial" w:cs="Arial" w:eastAsia="Arial" w:hAnsi="Arial"/>
                <w:sz w:val="13"/>
                <w:szCs w:val="13"/>
                <w:b w:val="1"/>
                <w:bCs w:val="1"/>
                <w:color w:val="FFFFFF"/>
              </w:rPr>
              <w:t>Payout %</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1160" w:type="dxa"/>
            <w:vAlign w:val="bottom"/>
            <w:shd w:val="clear" w:color="auto" w:fill="14202A"/>
          </w:tcPr>
          <w:p>
            <w:pPr>
              <w:spacing w:after="0"/>
              <w:rPr>
                <w:sz w:val="5"/>
                <w:szCs w:val="5"/>
                <w:color w:val="auto"/>
              </w:rPr>
            </w:pPr>
          </w:p>
        </w:tc>
        <w:tc>
          <w:tcPr>
            <w:tcW w:w="760" w:type="dxa"/>
            <w:vAlign w:val="bottom"/>
            <w:shd w:val="clear" w:color="auto" w:fill="14202A"/>
          </w:tcPr>
          <w:p>
            <w:pPr>
              <w:spacing w:after="0"/>
              <w:rPr>
                <w:sz w:val="5"/>
                <w:szCs w:val="5"/>
                <w:color w:val="auto"/>
              </w:rPr>
            </w:pPr>
          </w:p>
        </w:tc>
        <w:tc>
          <w:tcPr>
            <w:tcW w:w="1220" w:type="dxa"/>
            <w:vAlign w:val="bottom"/>
            <w:shd w:val="clear" w:color="auto" w:fill="14202A"/>
          </w:tcPr>
          <w:p>
            <w:pPr>
              <w:spacing w:after="0"/>
              <w:rPr>
                <w:sz w:val="5"/>
                <w:szCs w:val="5"/>
                <w:color w:val="auto"/>
              </w:rPr>
            </w:pPr>
          </w:p>
        </w:tc>
        <w:tc>
          <w:tcPr>
            <w:tcW w:w="720" w:type="dxa"/>
            <w:vAlign w:val="bottom"/>
            <w:shd w:val="clear" w:color="auto" w:fill="14202A"/>
          </w:tcPr>
          <w:p>
            <w:pPr>
              <w:spacing w:after="0"/>
              <w:rPr>
                <w:sz w:val="5"/>
                <w:szCs w:val="5"/>
                <w:color w:val="auto"/>
              </w:rPr>
            </w:pPr>
          </w:p>
        </w:tc>
        <w:tc>
          <w:tcPr>
            <w:tcW w:w="960" w:type="dxa"/>
            <w:vAlign w:val="bottom"/>
            <w:shd w:val="clear" w:color="auto" w:fill="14202A"/>
          </w:tcPr>
          <w:p>
            <w:pPr>
              <w:spacing w:after="0"/>
              <w:rPr>
                <w:sz w:val="5"/>
                <w:szCs w:val="5"/>
                <w:color w:val="auto"/>
              </w:rPr>
            </w:pPr>
          </w:p>
        </w:tc>
        <w:tc>
          <w:tcPr>
            <w:tcW w:w="1320" w:type="dxa"/>
            <w:vAlign w:val="bottom"/>
            <w:gridSpan w:val="2"/>
            <w:shd w:val="clear" w:color="auto" w:fill="14202A"/>
          </w:tcPr>
          <w:p>
            <w:pPr>
              <w:spacing w:after="0"/>
              <w:rPr>
                <w:sz w:val="5"/>
                <w:szCs w:val="5"/>
                <w:color w:val="auto"/>
              </w:rPr>
            </w:pPr>
          </w:p>
        </w:tc>
        <w:tc>
          <w:tcPr>
            <w:tcW w:w="1040" w:type="dxa"/>
            <w:vAlign w:val="bottom"/>
            <w:shd w:val="clear" w:color="auto" w:fill="14202A"/>
          </w:tcPr>
          <w:p>
            <w:pPr>
              <w:spacing w:after="0"/>
              <w:rPr>
                <w:sz w:val="5"/>
                <w:szCs w:val="5"/>
                <w:color w:val="auto"/>
              </w:rPr>
            </w:pPr>
          </w:p>
        </w:tc>
        <w:tc>
          <w:tcPr>
            <w:tcW w:w="1100" w:type="dxa"/>
            <w:vAlign w:val="bottom"/>
            <w:shd w:val="clear" w:color="auto" w:fill="14202A"/>
          </w:tcPr>
          <w:p>
            <w:pPr>
              <w:spacing w:after="0"/>
              <w:rPr>
                <w:sz w:val="5"/>
                <w:szCs w:val="5"/>
                <w:color w:val="auto"/>
              </w:rPr>
            </w:pPr>
          </w:p>
        </w:tc>
        <w:tc>
          <w:tcPr>
            <w:tcW w:w="90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14202A"/>
              </w:rPr>
              <w:t>Incentive ROIC</w:t>
            </w:r>
          </w:p>
        </w:tc>
        <w:tc>
          <w:tcPr>
            <w:tcW w:w="720" w:type="dxa"/>
            <w:vAlign w:val="bottom"/>
          </w:tcPr>
          <w:p>
            <w:pPr>
              <w:jc w:val="right"/>
              <w:ind w:right="109"/>
              <w:spacing w:after="0"/>
              <w:rPr>
                <w:sz w:val="20"/>
                <w:szCs w:val="20"/>
                <w:color w:val="auto"/>
              </w:rPr>
            </w:pPr>
            <w:r>
              <w:rPr>
                <w:rFonts w:ascii="Arial" w:cs="Arial" w:eastAsia="Arial" w:hAnsi="Arial"/>
                <w:sz w:val="14"/>
                <w:szCs w:val="14"/>
                <w:color w:val="14202A"/>
              </w:rPr>
              <w:t>50%</w:t>
            </w:r>
          </w:p>
        </w:tc>
        <w:tc>
          <w:tcPr>
            <w:tcW w:w="960" w:type="dxa"/>
            <w:vAlign w:val="bottom"/>
          </w:tcPr>
          <w:p>
            <w:pPr>
              <w:jc w:val="right"/>
              <w:ind w:right="130"/>
              <w:spacing w:after="0"/>
              <w:rPr>
                <w:sz w:val="20"/>
                <w:szCs w:val="20"/>
                <w:color w:val="auto"/>
              </w:rPr>
            </w:pPr>
            <w:r>
              <w:rPr>
                <w:rFonts w:ascii="Arial" w:cs="Arial" w:eastAsia="Arial" w:hAnsi="Arial"/>
                <w:sz w:val="14"/>
                <w:szCs w:val="14"/>
                <w:color w:val="14202A"/>
              </w:rPr>
              <w:t>9.2%</w:t>
            </w:r>
          </w:p>
        </w:tc>
        <w:tc>
          <w:tcPr>
            <w:tcW w:w="1320" w:type="dxa"/>
            <w:vAlign w:val="bottom"/>
            <w:gridSpan w:val="2"/>
          </w:tcPr>
          <w:p>
            <w:pPr>
              <w:jc w:val="right"/>
              <w:ind w:right="108"/>
              <w:spacing w:after="0"/>
              <w:rPr>
                <w:sz w:val="20"/>
                <w:szCs w:val="20"/>
                <w:color w:val="auto"/>
              </w:rPr>
            </w:pPr>
            <w:r>
              <w:rPr>
                <w:rFonts w:ascii="Arial" w:cs="Arial" w:eastAsia="Arial" w:hAnsi="Arial"/>
                <w:sz w:val="14"/>
                <w:szCs w:val="14"/>
                <w:color w:val="14202A"/>
              </w:rPr>
              <w:t>11.7% - 12.9%</w:t>
            </w:r>
          </w:p>
        </w:tc>
        <w:tc>
          <w:tcPr>
            <w:tcW w:w="1040" w:type="dxa"/>
            <w:vAlign w:val="bottom"/>
          </w:tcPr>
          <w:p>
            <w:pPr>
              <w:jc w:val="right"/>
              <w:ind w:right="69"/>
              <w:spacing w:after="0"/>
              <w:rPr>
                <w:sz w:val="20"/>
                <w:szCs w:val="20"/>
                <w:color w:val="auto"/>
              </w:rPr>
            </w:pPr>
            <w:r>
              <w:rPr>
                <w:rFonts w:ascii="Arial" w:cs="Arial" w:eastAsia="Arial" w:hAnsi="Arial"/>
                <w:sz w:val="14"/>
                <w:szCs w:val="14"/>
                <w:color w:val="14202A"/>
              </w:rPr>
              <w:t>14.8%</w:t>
            </w:r>
          </w:p>
        </w:tc>
        <w:tc>
          <w:tcPr>
            <w:tcW w:w="1100" w:type="dxa"/>
            <w:vAlign w:val="bottom"/>
          </w:tcPr>
          <w:p>
            <w:pPr>
              <w:jc w:val="right"/>
              <w:ind w:right="209"/>
              <w:spacing w:after="0"/>
              <w:rPr>
                <w:sz w:val="20"/>
                <w:szCs w:val="20"/>
                <w:color w:val="auto"/>
              </w:rPr>
            </w:pPr>
            <w:r>
              <w:rPr>
                <w:rFonts w:ascii="Arial" w:cs="Arial" w:eastAsia="Arial" w:hAnsi="Arial"/>
                <w:sz w:val="14"/>
                <w:szCs w:val="14"/>
                <w:color w:val="14202A"/>
              </w:rPr>
              <w:t>4.8%</w:t>
            </w:r>
          </w:p>
        </w:tc>
        <w:tc>
          <w:tcPr>
            <w:tcW w:w="900" w:type="dxa"/>
            <w:vAlign w:val="bottom"/>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14"/>
                <w:szCs w:val="14"/>
                <w:b w:val="1"/>
                <w:bCs w:val="1"/>
                <w:color w:val="14202A"/>
              </w:rPr>
              <w:t>Period 1</w:t>
            </w:r>
            <w:r>
              <w:rPr>
                <w:rFonts w:ascii="Arial" w:cs="Arial" w:eastAsia="Arial" w:hAnsi="Arial"/>
                <w:sz w:val="23"/>
                <w:szCs w:val="23"/>
                <w:color w:val="14202A"/>
                <w:vertAlign w:val="superscript"/>
              </w:rPr>
              <w:t>(1)</w:t>
            </w:r>
          </w:p>
        </w:tc>
        <w:tc>
          <w:tcPr>
            <w:tcW w:w="760" w:type="dxa"/>
            <w:vAlign w:val="bottom"/>
            <w:vMerge w:val="restart"/>
          </w:tcPr>
          <w:p>
            <w:pPr>
              <w:jc w:val="right"/>
              <w:ind w:right="50"/>
              <w:spacing w:after="0"/>
              <w:rPr>
                <w:sz w:val="20"/>
                <w:szCs w:val="20"/>
                <w:color w:val="auto"/>
              </w:rPr>
            </w:pPr>
            <w:r>
              <w:rPr>
                <w:rFonts w:ascii="Arial" w:cs="Arial" w:eastAsia="Arial" w:hAnsi="Arial"/>
                <w:sz w:val="14"/>
                <w:szCs w:val="14"/>
                <w:color w:val="14202A"/>
              </w:rPr>
              <w:t>25%</w:t>
            </w:r>
          </w:p>
        </w:tc>
        <w:tc>
          <w:tcPr>
            <w:tcW w:w="122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rPr>
              <w:t>Incentive EPS</w:t>
            </w:r>
          </w:p>
        </w:tc>
        <w:tc>
          <w:tcPr>
            <w:tcW w:w="720" w:type="dxa"/>
            <w:vAlign w:val="bottom"/>
            <w:tcBorders>
              <w:bottom w:val="single" w:sz="8" w:color="14202A"/>
            </w:tcBorders>
          </w:tcPr>
          <w:p>
            <w:pPr>
              <w:jc w:val="right"/>
              <w:ind w:right="109"/>
              <w:spacing w:after="0"/>
              <w:rPr>
                <w:sz w:val="20"/>
                <w:szCs w:val="20"/>
                <w:color w:val="auto"/>
              </w:rPr>
            </w:pPr>
            <w:r>
              <w:rPr>
                <w:rFonts w:ascii="Arial" w:cs="Arial" w:eastAsia="Arial" w:hAnsi="Arial"/>
                <w:sz w:val="14"/>
                <w:szCs w:val="14"/>
                <w:color w:val="14202A"/>
              </w:rPr>
              <w:t>50%</w:t>
            </w:r>
          </w:p>
        </w:tc>
        <w:tc>
          <w:tcPr>
            <w:tcW w:w="960" w:type="dxa"/>
            <w:vAlign w:val="bottom"/>
            <w:tcBorders>
              <w:bottom w:val="single" w:sz="8" w:color="14202A"/>
            </w:tcBorders>
          </w:tcPr>
          <w:p>
            <w:pPr>
              <w:jc w:val="right"/>
              <w:ind w:right="270"/>
              <w:spacing w:after="0"/>
              <w:rPr>
                <w:sz w:val="20"/>
                <w:szCs w:val="20"/>
                <w:color w:val="auto"/>
              </w:rPr>
            </w:pPr>
            <w:r>
              <w:rPr>
                <w:rFonts w:ascii="Arial" w:cs="Arial" w:eastAsia="Arial" w:hAnsi="Arial"/>
                <w:sz w:val="14"/>
                <w:szCs w:val="14"/>
                <w:color w:val="14202A"/>
              </w:rPr>
              <w:t>$5.98</w:t>
            </w:r>
          </w:p>
        </w:tc>
        <w:tc>
          <w:tcPr>
            <w:tcW w:w="640" w:type="dxa"/>
            <w:vAlign w:val="bottom"/>
            <w:tcBorders>
              <w:bottom w:val="single" w:sz="8" w:color="14202A"/>
            </w:tcBorders>
          </w:tcPr>
          <w:p>
            <w:pPr>
              <w:jc w:val="right"/>
              <w:spacing w:after="0"/>
              <w:rPr>
                <w:sz w:val="20"/>
                <w:szCs w:val="20"/>
                <w:color w:val="auto"/>
              </w:rPr>
            </w:pPr>
            <w:r>
              <w:rPr>
                <w:rFonts w:ascii="Arial" w:cs="Arial" w:eastAsia="Arial" w:hAnsi="Arial"/>
                <w:sz w:val="14"/>
                <w:szCs w:val="14"/>
                <w:color w:val="14202A"/>
              </w:rPr>
              <w:t>$7.57</w:t>
            </w:r>
          </w:p>
        </w:tc>
        <w:tc>
          <w:tcPr>
            <w:tcW w:w="680" w:type="dxa"/>
            <w:vAlign w:val="bottom"/>
            <w:tcBorders>
              <w:bottom w:val="single" w:sz="8" w:color="14202A"/>
            </w:tcBorders>
          </w:tcPr>
          <w:p>
            <w:pPr>
              <w:ind w:left="20"/>
              <w:spacing w:after="0"/>
              <w:rPr>
                <w:sz w:val="20"/>
                <w:szCs w:val="20"/>
                <w:color w:val="auto"/>
              </w:rPr>
            </w:pPr>
            <w:r>
              <w:rPr>
                <w:rFonts w:ascii="Arial" w:cs="Arial" w:eastAsia="Arial" w:hAnsi="Arial"/>
                <w:sz w:val="14"/>
                <w:szCs w:val="14"/>
                <w:color w:val="14202A"/>
              </w:rPr>
              <w:t>- $8.37</w:t>
            </w:r>
          </w:p>
        </w:tc>
        <w:tc>
          <w:tcPr>
            <w:tcW w:w="1040" w:type="dxa"/>
            <w:vAlign w:val="bottom"/>
            <w:tcBorders>
              <w:bottom w:val="single" w:sz="8" w:color="14202A"/>
            </w:tcBorders>
          </w:tcPr>
          <w:p>
            <w:pPr>
              <w:jc w:val="right"/>
              <w:ind w:right="189"/>
              <w:spacing w:after="0"/>
              <w:rPr>
                <w:sz w:val="20"/>
                <w:szCs w:val="20"/>
                <w:color w:val="auto"/>
              </w:rPr>
            </w:pPr>
            <w:r>
              <w:rPr>
                <w:rFonts w:ascii="Arial" w:cs="Arial" w:eastAsia="Arial" w:hAnsi="Arial"/>
                <w:sz w:val="14"/>
                <w:szCs w:val="14"/>
                <w:color w:val="14202A"/>
              </w:rPr>
              <w:t>$ 9.56</w:t>
            </w:r>
          </w:p>
        </w:tc>
        <w:tc>
          <w:tcPr>
            <w:tcW w:w="1100" w:type="dxa"/>
            <w:vAlign w:val="bottom"/>
            <w:tcBorders>
              <w:bottom w:val="single" w:sz="8" w:color="14202A"/>
            </w:tcBorders>
          </w:tcPr>
          <w:p>
            <w:pPr>
              <w:jc w:val="right"/>
              <w:ind w:right="329"/>
              <w:spacing w:after="0"/>
              <w:rPr>
                <w:sz w:val="20"/>
                <w:szCs w:val="20"/>
                <w:color w:val="auto"/>
              </w:rPr>
            </w:pPr>
            <w:r>
              <w:rPr>
                <w:rFonts w:ascii="Arial" w:cs="Arial" w:eastAsia="Arial" w:hAnsi="Arial"/>
                <w:sz w:val="14"/>
                <w:szCs w:val="14"/>
                <w:color w:val="14202A"/>
              </w:rPr>
              <w:t>$3.40</w:t>
            </w:r>
          </w:p>
        </w:tc>
        <w:tc>
          <w:tcPr>
            <w:tcW w:w="900" w:type="dxa"/>
            <w:vAlign w:val="bottom"/>
            <w:tcBorders>
              <w:bottom w:val="single" w:sz="8" w:color="14202A"/>
            </w:tcBorders>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1160" w:type="dxa"/>
            <w:vAlign w:val="bottom"/>
            <w:vMerge w:val="restart"/>
          </w:tcPr>
          <w:p>
            <w:pPr>
              <w:ind w:left="60"/>
              <w:spacing w:after="0"/>
              <w:rPr>
                <w:sz w:val="20"/>
                <w:szCs w:val="20"/>
                <w:color w:val="auto"/>
              </w:rPr>
            </w:pPr>
            <w:r>
              <w:rPr>
                <w:rFonts w:ascii="Arial" w:cs="Arial" w:eastAsia="Arial" w:hAnsi="Arial"/>
                <w:sz w:val="14"/>
                <w:szCs w:val="14"/>
                <w:b w:val="1"/>
                <w:bCs w:val="1"/>
                <w:color w:val="14202A"/>
              </w:rPr>
              <w:t>(Fiscal 2024)</w:t>
            </w:r>
          </w:p>
        </w:tc>
        <w:tc>
          <w:tcPr>
            <w:tcW w:w="7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140" w:type="dxa"/>
            <w:vAlign w:val="bottom"/>
            <w:gridSpan w:val="2"/>
            <w:vMerge w:val="restart"/>
          </w:tcPr>
          <w:p>
            <w:pPr>
              <w:jc w:val="right"/>
              <w:ind w:right="49"/>
              <w:spacing w:after="0"/>
              <w:rPr>
                <w:sz w:val="20"/>
                <w:szCs w:val="20"/>
                <w:color w:val="auto"/>
              </w:rPr>
            </w:pPr>
            <w:r>
              <w:rPr>
                <w:rFonts w:ascii="Arial" w:cs="Arial" w:eastAsia="Arial" w:hAnsi="Arial"/>
                <w:sz w:val="14"/>
                <w:szCs w:val="14"/>
                <w:color w:val="14202A"/>
              </w:rPr>
              <w:t>Payout Percentage</w:t>
            </w:r>
          </w:p>
        </w:tc>
        <w:tc>
          <w:tcPr>
            <w:tcW w:w="900" w:type="dxa"/>
            <w:vAlign w:val="bottom"/>
            <w:vMerge w:val="restart"/>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14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14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2140" w:type="dxa"/>
            <w:vAlign w:val="bottom"/>
            <w:tcBorders>
              <w:bottom w:val="single" w:sz="8" w:color="14202A"/>
            </w:tcBorders>
            <w:gridSpan w:val="2"/>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140" w:type="dxa"/>
            <w:vAlign w:val="bottom"/>
            <w:gridSpan w:val="2"/>
          </w:tcPr>
          <w:p>
            <w:pPr>
              <w:jc w:val="right"/>
              <w:ind w:right="49"/>
              <w:spacing w:after="0"/>
              <w:rPr>
                <w:sz w:val="20"/>
                <w:szCs w:val="20"/>
                <w:color w:val="auto"/>
              </w:rPr>
            </w:pPr>
            <w:r>
              <w:rPr>
                <w:rFonts w:ascii="Arial" w:cs="Arial" w:eastAsia="Arial" w:hAnsi="Arial"/>
                <w:sz w:val="14"/>
                <w:szCs w:val="14"/>
                <w:color w:val="14202A"/>
              </w:rPr>
              <w:t>Weighted Payout Percentage</w:t>
            </w:r>
          </w:p>
        </w:tc>
        <w:tc>
          <w:tcPr>
            <w:tcW w:w="900" w:type="dxa"/>
            <w:vAlign w:val="bottom"/>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14202A"/>
              </w:rPr>
              <w:t>Incentive ROIC</w:t>
            </w:r>
          </w:p>
        </w:tc>
        <w:tc>
          <w:tcPr>
            <w:tcW w:w="720" w:type="dxa"/>
            <w:vAlign w:val="bottom"/>
          </w:tcPr>
          <w:p>
            <w:pPr>
              <w:jc w:val="right"/>
              <w:ind w:right="109"/>
              <w:spacing w:after="0"/>
              <w:rPr>
                <w:sz w:val="20"/>
                <w:szCs w:val="20"/>
                <w:color w:val="auto"/>
              </w:rPr>
            </w:pPr>
            <w:r>
              <w:rPr>
                <w:rFonts w:ascii="Arial" w:cs="Arial" w:eastAsia="Arial" w:hAnsi="Arial"/>
                <w:sz w:val="14"/>
                <w:szCs w:val="14"/>
                <w:color w:val="14202A"/>
              </w:rPr>
              <w:t>50%</w:t>
            </w:r>
          </w:p>
        </w:tc>
        <w:tc>
          <w:tcPr>
            <w:tcW w:w="960" w:type="dxa"/>
            <w:vAlign w:val="bottom"/>
          </w:tcPr>
          <w:p>
            <w:pPr>
              <w:jc w:val="right"/>
              <w:ind w:right="130"/>
              <w:spacing w:after="0"/>
              <w:rPr>
                <w:sz w:val="20"/>
                <w:szCs w:val="20"/>
                <w:color w:val="auto"/>
              </w:rPr>
            </w:pPr>
            <w:r>
              <w:rPr>
                <w:rFonts w:ascii="Arial" w:cs="Arial" w:eastAsia="Arial" w:hAnsi="Arial"/>
                <w:sz w:val="14"/>
                <w:szCs w:val="14"/>
                <w:color w:val="14202A"/>
              </w:rPr>
              <w:t>5.9%</w:t>
            </w:r>
          </w:p>
        </w:tc>
        <w:tc>
          <w:tcPr>
            <w:tcW w:w="640" w:type="dxa"/>
            <w:vAlign w:val="bottom"/>
          </w:tcPr>
          <w:p>
            <w:pPr>
              <w:jc w:val="right"/>
              <w:spacing w:after="0"/>
              <w:rPr>
                <w:sz w:val="20"/>
                <w:szCs w:val="20"/>
                <w:color w:val="auto"/>
              </w:rPr>
            </w:pPr>
            <w:r>
              <w:rPr>
                <w:rFonts w:ascii="Arial" w:cs="Arial" w:eastAsia="Arial" w:hAnsi="Arial"/>
                <w:sz w:val="14"/>
                <w:szCs w:val="14"/>
                <w:color w:val="14202A"/>
              </w:rPr>
              <w:t>7.4%</w:t>
            </w:r>
          </w:p>
        </w:tc>
        <w:tc>
          <w:tcPr>
            <w:tcW w:w="680" w:type="dxa"/>
            <w:vAlign w:val="bottom"/>
          </w:tcPr>
          <w:p>
            <w:pPr>
              <w:ind w:left="20"/>
              <w:spacing w:after="0"/>
              <w:rPr>
                <w:sz w:val="20"/>
                <w:szCs w:val="20"/>
                <w:color w:val="auto"/>
              </w:rPr>
            </w:pPr>
            <w:r>
              <w:rPr>
                <w:rFonts w:ascii="Arial" w:cs="Arial" w:eastAsia="Arial" w:hAnsi="Arial"/>
                <w:sz w:val="14"/>
                <w:szCs w:val="14"/>
                <w:color w:val="14202A"/>
              </w:rPr>
              <w:t>- 8.2%</w:t>
            </w:r>
          </w:p>
        </w:tc>
        <w:tc>
          <w:tcPr>
            <w:tcW w:w="1040" w:type="dxa"/>
            <w:vAlign w:val="bottom"/>
          </w:tcPr>
          <w:p>
            <w:pPr>
              <w:jc w:val="right"/>
              <w:ind w:right="69"/>
              <w:spacing w:after="0"/>
              <w:rPr>
                <w:sz w:val="20"/>
                <w:szCs w:val="20"/>
                <w:color w:val="auto"/>
              </w:rPr>
            </w:pPr>
            <w:r>
              <w:rPr>
                <w:rFonts w:ascii="Arial" w:cs="Arial" w:eastAsia="Arial" w:hAnsi="Arial"/>
                <w:sz w:val="14"/>
                <w:szCs w:val="14"/>
                <w:color w:val="14202A"/>
              </w:rPr>
              <w:t>9.4%</w:t>
            </w:r>
          </w:p>
        </w:tc>
        <w:tc>
          <w:tcPr>
            <w:tcW w:w="1100" w:type="dxa"/>
            <w:vAlign w:val="bottom"/>
          </w:tcPr>
          <w:p>
            <w:pPr>
              <w:jc w:val="right"/>
              <w:ind w:right="209"/>
              <w:spacing w:after="0"/>
              <w:rPr>
                <w:sz w:val="20"/>
                <w:szCs w:val="20"/>
                <w:color w:val="auto"/>
              </w:rPr>
            </w:pPr>
            <w:r>
              <w:rPr>
                <w:rFonts w:ascii="Arial" w:cs="Arial" w:eastAsia="Arial" w:hAnsi="Arial"/>
                <w:sz w:val="14"/>
                <w:szCs w:val="14"/>
                <w:color w:val="14202A"/>
              </w:rPr>
              <w:t>3.5%</w:t>
            </w:r>
          </w:p>
        </w:tc>
        <w:tc>
          <w:tcPr>
            <w:tcW w:w="900" w:type="dxa"/>
            <w:vAlign w:val="bottom"/>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14"/>
                <w:szCs w:val="14"/>
                <w:b w:val="1"/>
                <w:bCs w:val="1"/>
                <w:color w:val="14202A"/>
              </w:rPr>
              <w:t>Period 2</w:t>
            </w:r>
            <w:r>
              <w:rPr>
                <w:rFonts w:ascii="Arial" w:cs="Arial" w:eastAsia="Arial" w:hAnsi="Arial"/>
                <w:sz w:val="23"/>
                <w:szCs w:val="23"/>
                <w:color w:val="14202A"/>
                <w:vertAlign w:val="superscript"/>
              </w:rPr>
              <w:t>(2)</w:t>
            </w:r>
          </w:p>
        </w:tc>
        <w:tc>
          <w:tcPr>
            <w:tcW w:w="760" w:type="dxa"/>
            <w:vAlign w:val="bottom"/>
            <w:vMerge w:val="restart"/>
          </w:tcPr>
          <w:p>
            <w:pPr>
              <w:jc w:val="right"/>
              <w:ind w:right="50"/>
              <w:spacing w:after="0"/>
              <w:rPr>
                <w:sz w:val="20"/>
                <w:szCs w:val="20"/>
                <w:color w:val="auto"/>
              </w:rPr>
            </w:pPr>
            <w:r>
              <w:rPr>
                <w:rFonts w:ascii="Arial" w:cs="Arial" w:eastAsia="Arial" w:hAnsi="Arial"/>
                <w:sz w:val="14"/>
                <w:szCs w:val="14"/>
                <w:color w:val="14202A"/>
              </w:rPr>
              <w:t>25%</w:t>
            </w:r>
          </w:p>
        </w:tc>
        <w:tc>
          <w:tcPr>
            <w:tcW w:w="122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rPr>
              <w:t>Incentive EPS</w:t>
            </w:r>
          </w:p>
        </w:tc>
        <w:tc>
          <w:tcPr>
            <w:tcW w:w="720" w:type="dxa"/>
            <w:vAlign w:val="bottom"/>
            <w:tcBorders>
              <w:bottom w:val="single" w:sz="8" w:color="14202A"/>
            </w:tcBorders>
          </w:tcPr>
          <w:p>
            <w:pPr>
              <w:jc w:val="right"/>
              <w:ind w:right="109"/>
              <w:spacing w:after="0"/>
              <w:rPr>
                <w:sz w:val="20"/>
                <w:szCs w:val="20"/>
                <w:color w:val="auto"/>
              </w:rPr>
            </w:pPr>
            <w:r>
              <w:rPr>
                <w:rFonts w:ascii="Arial" w:cs="Arial" w:eastAsia="Arial" w:hAnsi="Arial"/>
                <w:sz w:val="14"/>
                <w:szCs w:val="14"/>
                <w:color w:val="14202A"/>
              </w:rPr>
              <w:t>50%</w:t>
            </w:r>
          </w:p>
        </w:tc>
        <w:tc>
          <w:tcPr>
            <w:tcW w:w="960" w:type="dxa"/>
            <w:vAlign w:val="bottom"/>
            <w:tcBorders>
              <w:bottom w:val="single" w:sz="8" w:color="14202A"/>
            </w:tcBorders>
          </w:tcPr>
          <w:p>
            <w:pPr>
              <w:jc w:val="right"/>
              <w:ind w:right="270"/>
              <w:spacing w:after="0"/>
              <w:rPr>
                <w:sz w:val="20"/>
                <w:szCs w:val="20"/>
                <w:color w:val="auto"/>
              </w:rPr>
            </w:pPr>
            <w:r>
              <w:rPr>
                <w:rFonts w:ascii="Arial" w:cs="Arial" w:eastAsia="Arial" w:hAnsi="Arial"/>
                <w:sz w:val="14"/>
                <w:szCs w:val="14"/>
                <w:color w:val="14202A"/>
              </w:rPr>
              <w:t>$3.38</w:t>
            </w:r>
          </w:p>
        </w:tc>
        <w:tc>
          <w:tcPr>
            <w:tcW w:w="640" w:type="dxa"/>
            <w:vAlign w:val="bottom"/>
            <w:tcBorders>
              <w:bottom w:val="single" w:sz="8" w:color="14202A"/>
            </w:tcBorders>
          </w:tcPr>
          <w:p>
            <w:pPr>
              <w:jc w:val="right"/>
              <w:spacing w:after="0"/>
              <w:rPr>
                <w:sz w:val="20"/>
                <w:szCs w:val="20"/>
                <w:color w:val="auto"/>
              </w:rPr>
            </w:pPr>
            <w:r>
              <w:rPr>
                <w:rFonts w:ascii="Arial" w:cs="Arial" w:eastAsia="Arial" w:hAnsi="Arial"/>
                <w:sz w:val="14"/>
                <w:szCs w:val="14"/>
                <w:color w:val="14202A"/>
              </w:rPr>
              <w:t>$4.28</w:t>
            </w:r>
          </w:p>
        </w:tc>
        <w:tc>
          <w:tcPr>
            <w:tcW w:w="680" w:type="dxa"/>
            <w:vAlign w:val="bottom"/>
            <w:tcBorders>
              <w:bottom w:val="single" w:sz="8" w:color="14202A"/>
            </w:tcBorders>
          </w:tcPr>
          <w:p>
            <w:pPr>
              <w:ind w:left="20"/>
              <w:spacing w:after="0"/>
              <w:rPr>
                <w:sz w:val="20"/>
                <w:szCs w:val="20"/>
                <w:color w:val="auto"/>
              </w:rPr>
            </w:pPr>
            <w:r>
              <w:rPr>
                <w:rFonts w:ascii="Arial" w:cs="Arial" w:eastAsia="Arial" w:hAnsi="Arial"/>
                <w:sz w:val="14"/>
                <w:szCs w:val="14"/>
                <w:color w:val="14202A"/>
              </w:rPr>
              <w:t>- $4.73</w:t>
            </w:r>
          </w:p>
        </w:tc>
        <w:tc>
          <w:tcPr>
            <w:tcW w:w="1040" w:type="dxa"/>
            <w:vAlign w:val="bottom"/>
            <w:tcBorders>
              <w:bottom w:val="single" w:sz="8" w:color="14202A"/>
            </w:tcBorders>
          </w:tcPr>
          <w:p>
            <w:pPr>
              <w:jc w:val="right"/>
              <w:ind w:right="189"/>
              <w:spacing w:after="0"/>
              <w:rPr>
                <w:sz w:val="20"/>
                <w:szCs w:val="20"/>
                <w:color w:val="auto"/>
              </w:rPr>
            </w:pPr>
            <w:r>
              <w:rPr>
                <w:rFonts w:ascii="Arial" w:cs="Arial" w:eastAsia="Arial" w:hAnsi="Arial"/>
                <w:sz w:val="14"/>
                <w:szCs w:val="14"/>
                <w:color w:val="14202A"/>
              </w:rPr>
              <w:t>$ 5.40</w:t>
            </w:r>
          </w:p>
        </w:tc>
        <w:tc>
          <w:tcPr>
            <w:tcW w:w="1100" w:type="dxa"/>
            <w:vAlign w:val="bottom"/>
            <w:tcBorders>
              <w:bottom w:val="single" w:sz="8" w:color="14202A"/>
            </w:tcBorders>
          </w:tcPr>
          <w:p>
            <w:pPr>
              <w:jc w:val="right"/>
              <w:ind w:right="329"/>
              <w:spacing w:after="0"/>
              <w:rPr>
                <w:sz w:val="20"/>
                <w:szCs w:val="20"/>
                <w:color w:val="auto"/>
              </w:rPr>
            </w:pPr>
            <w:r>
              <w:rPr>
                <w:rFonts w:ascii="Arial" w:cs="Arial" w:eastAsia="Arial" w:hAnsi="Arial"/>
                <w:sz w:val="14"/>
                <w:szCs w:val="14"/>
                <w:color w:val="14202A"/>
              </w:rPr>
              <w:t>$1.67</w:t>
            </w:r>
          </w:p>
        </w:tc>
        <w:tc>
          <w:tcPr>
            <w:tcW w:w="900" w:type="dxa"/>
            <w:vAlign w:val="bottom"/>
            <w:tcBorders>
              <w:bottom w:val="single" w:sz="8" w:color="14202A"/>
            </w:tcBorders>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1160" w:type="dxa"/>
            <w:vAlign w:val="bottom"/>
            <w:vMerge w:val="restart"/>
          </w:tcPr>
          <w:p>
            <w:pPr>
              <w:ind w:left="60"/>
              <w:spacing w:after="0"/>
              <w:rPr>
                <w:sz w:val="20"/>
                <w:szCs w:val="20"/>
                <w:color w:val="auto"/>
              </w:rPr>
            </w:pPr>
            <w:r>
              <w:rPr>
                <w:rFonts w:ascii="Arial" w:cs="Arial" w:eastAsia="Arial" w:hAnsi="Arial"/>
                <w:sz w:val="14"/>
                <w:szCs w:val="14"/>
                <w:b w:val="1"/>
                <w:bCs w:val="1"/>
                <w:color w:val="14202A"/>
              </w:rPr>
              <w:t>(Fiscal 2025)</w:t>
            </w:r>
          </w:p>
        </w:tc>
        <w:tc>
          <w:tcPr>
            <w:tcW w:w="7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140" w:type="dxa"/>
            <w:vAlign w:val="bottom"/>
            <w:gridSpan w:val="2"/>
            <w:vMerge w:val="restart"/>
          </w:tcPr>
          <w:p>
            <w:pPr>
              <w:jc w:val="right"/>
              <w:ind w:right="49"/>
              <w:spacing w:after="0"/>
              <w:rPr>
                <w:sz w:val="20"/>
                <w:szCs w:val="20"/>
                <w:color w:val="auto"/>
              </w:rPr>
            </w:pPr>
            <w:r>
              <w:rPr>
                <w:rFonts w:ascii="Arial" w:cs="Arial" w:eastAsia="Arial" w:hAnsi="Arial"/>
                <w:sz w:val="14"/>
                <w:szCs w:val="14"/>
                <w:color w:val="14202A"/>
              </w:rPr>
              <w:t>Payout Percentage</w:t>
            </w:r>
          </w:p>
        </w:tc>
        <w:tc>
          <w:tcPr>
            <w:tcW w:w="900" w:type="dxa"/>
            <w:vAlign w:val="bottom"/>
            <w:vMerge w:val="restart"/>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14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14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2140" w:type="dxa"/>
            <w:vAlign w:val="bottom"/>
            <w:tcBorders>
              <w:bottom w:val="single" w:sz="8" w:color="14202A"/>
            </w:tcBorders>
            <w:gridSpan w:val="2"/>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140" w:type="dxa"/>
            <w:vAlign w:val="bottom"/>
            <w:gridSpan w:val="2"/>
          </w:tcPr>
          <w:p>
            <w:pPr>
              <w:jc w:val="right"/>
              <w:ind w:right="49"/>
              <w:spacing w:after="0"/>
              <w:rPr>
                <w:sz w:val="20"/>
                <w:szCs w:val="20"/>
                <w:color w:val="auto"/>
              </w:rPr>
            </w:pPr>
            <w:r>
              <w:rPr>
                <w:rFonts w:ascii="Arial" w:cs="Arial" w:eastAsia="Arial" w:hAnsi="Arial"/>
                <w:sz w:val="14"/>
                <w:szCs w:val="14"/>
                <w:color w:val="14202A"/>
              </w:rPr>
              <w:t>Weighted Payout Percentage</w:t>
            </w:r>
          </w:p>
        </w:tc>
        <w:tc>
          <w:tcPr>
            <w:tcW w:w="900" w:type="dxa"/>
            <w:vAlign w:val="bottom"/>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14202A"/>
              </w:rPr>
              <w:t>Incentive ROIC</w:t>
            </w:r>
          </w:p>
        </w:tc>
        <w:tc>
          <w:tcPr>
            <w:tcW w:w="720" w:type="dxa"/>
            <w:vAlign w:val="bottom"/>
          </w:tcPr>
          <w:p>
            <w:pPr>
              <w:jc w:val="right"/>
              <w:ind w:right="109"/>
              <w:spacing w:after="0"/>
              <w:rPr>
                <w:sz w:val="20"/>
                <w:szCs w:val="20"/>
                <w:color w:val="auto"/>
              </w:rPr>
            </w:pPr>
            <w:r>
              <w:rPr>
                <w:rFonts w:ascii="Arial" w:cs="Arial" w:eastAsia="Arial" w:hAnsi="Arial"/>
                <w:sz w:val="14"/>
                <w:szCs w:val="14"/>
                <w:color w:val="14202A"/>
              </w:rPr>
              <w:t>50%</w:t>
            </w:r>
          </w:p>
        </w:tc>
        <w:tc>
          <w:tcPr>
            <w:tcW w:w="960" w:type="dxa"/>
            <w:vAlign w:val="bottom"/>
          </w:tcPr>
          <w:p>
            <w:pPr>
              <w:jc w:val="right"/>
              <w:ind w:right="130"/>
              <w:spacing w:after="0"/>
              <w:rPr>
                <w:sz w:val="20"/>
                <w:szCs w:val="20"/>
                <w:color w:val="auto"/>
              </w:rPr>
            </w:pPr>
            <w:r>
              <w:rPr>
                <w:rFonts w:ascii="Arial" w:cs="Arial" w:eastAsia="Arial" w:hAnsi="Arial"/>
                <w:sz w:val="14"/>
                <w:szCs w:val="14"/>
                <w:color w:val="14202A"/>
              </w:rPr>
              <w:t>4.1%</w:t>
            </w:r>
          </w:p>
        </w:tc>
        <w:tc>
          <w:tcPr>
            <w:tcW w:w="640" w:type="dxa"/>
            <w:vAlign w:val="bottom"/>
          </w:tcPr>
          <w:p>
            <w:pPr>
              <w:jc w:val="right"/>
              <w:spacing w:after="0"/>
              <w:rPr>
                <w:sz w:val="20"/>
                <w:szCs w:val="20"/>
                <w:color w:val="auto"/>
              </w:rPr>
            </w:pPr>
            <w:r>
              <w:rPr>
                <w:rFonts w:ascii="Arial" w:cs="Arial" w:eastAsia="Arial" w:hAnsi="Arial"/>
                <w:sz w:val="14"/>
                <w:szCs w:val="14"/>
                <w:color w:val="14202A"/>
              </w:rPr>
              <w:t>5.2%</w:t>
            </w:r>
          </w:p>
        </w:tc>
        <w:tc>
          <w:tcPr>
            <w:tcW w:w="680" w:type="dxa"/>
            <w:vAlign w:val="bottom"/>
          </w:tcPr>
          <w:p>
            <w:pPr>
              <w:ind w:left="20"/>
              <w:spacing w:after="0"/>
              <w:rPr>
                <w:sz w:val="20"/>
                <w:szCs w:val="20"/>
                <w:color w:val="auto"/>
              </w:rPr>
            </w:pPr>
            <w:r>
              <w:rPr>
                <w:rFonts w:ascii="Arial" w:cs="Arial" w:eastAsia="Arial" w:hAnsi="Arial"/>
                <w:sz w:val="14"/>
                <w:szCs w:val="14"/>
                <w:color w:val="14202A"/>
              </w:rPr>
              <w:t>- 5.8%</w:t>
            </w:r>
          </w:p>
        </w:tc>
        <w:tc>
          <w:tcPr>
            <w:tcW w:w="1040" w:type="dxa"/>
            <w:vAlign w:val="bottom"/>
          </w:tcPr>
          <w:p>
            <w:pPr>
              <w:jc w:val="right"/>
              <w:ind w:right="69"/>
              <w:spacing w:after="0"/>
              <w:rPr>
                <w:sz w:val="20"/>
                <w:szCs w:val="20"/>
                <w:color w:val="auto"/>
              </w:rPr>
            </w:pPr>
            <w:r>
              <w:rPr>
                <w:rFonts w:ascii="Arial" w:cs="Arial" w:eastAsia="Arial" w:hAnsi="Arial"/>
                <w:sz w:val="14"/>
                <w:szCs w:val="14"/>
                <w:color w:val="14202A"/>
              </w:rPr>
              <w:t>6.6%</w:t>
            </w:r>
          </w:p>
        </w:tc>
        <w:tc>
          <w:tcPr>
            <w:tcW w:w="1100" w:type="dxa"/>
            <w:vAlign w:val="bottom"/>
          </w:tcPr>
          <w:p>
            <w:pPr>
              <w:jc w:val="right"/>
              <w:ind w:right="209"/>
              <w:spacing w:after="0"/>
              <w:rPr>
                <w:sz w:val="20"/>
                <w:szCs w:val="20"/>
                <w:color w:val="auto"/>
              </w:rPr>
            </w:pPr>
            <w:r>
              <w:rPr>
                <w:rFonts w:ascii="Arial" w:cs="Arial" w:eastAsia="Arial" w:hAnsi="Arial"/>
                <w:sz w:val="14"/>
                <w:szCs w:val="14"/>
                <w:color w:val="14202A"/>
              </w:rPr>
              <w:t>3.9%</w:t>
            </w:r>
          </w:p>
        </w:tc>
        <w:tc>
          <w:tcPr>
            <w:tcW w:w="900" w:type="dxa"/>
            <w:vAlign w:val="bottom"/>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14"/>
                <w:szCs w:val="14"/>
                <w:b w:val="1"/>
                <w:bCs w:val="1"/>
                <w:color w:val="14202A"/>
              </w:rPr>
              <w:t>Period 3</w:t>
            </w:r>
            <w:r>
              <w:rPr>
                <w:rFonts w:ascii="Arial" w:cs="Arial" w:eastAsia="Arial" w:hAnsi="Arial"/>
                <w:sz w:val="23"/>
                <w:szCs w:val="23"/>
                <w:color w:val="14202A"/>
                <w:vertAlign w:val="superscript"/>
              </w:rPr>
              <w:t>(3)</w:t>
            </w:r>
          </w:p>
        </w:tc>
        <w:tc>
          <w:tcPr>
            <w:tcW w:w="760" w:type="dxa"/>
            <w:vAlign w:val="bottom"/>
            <w:vMerge w:val="restart"/>
          </w:tcPr>
          <w:p>
            <w:pPr>
              <w:jc w:val="right"/>
              <w:ind w:right="50"/>
              <w:spacing w:after="0"/>
              <w:rPr>
                <w:sz w:val="20"/>
                <w:szCs w:val="20"/>
                <w:color w:val="auto"/>
              </w:rPr>
            </w:pPr>
            <w:r>
              <w:rPr>
                <w:rFonts w:ascii="Arial" w:cs="Arial" w:eastAsia="Arial" w:hAnsi="Arial"/>
                <w:sz w:val="14"/>
                <w:szCs w:val="14"/>
                <w:color w:val="14202A"/>
              </w:rPr>
              <w:t>25%</w:t>
            </w:r>
          </w:p>
        </w:tc>
        <w:tc>
          <w:tcPr>
            <w:tcW w:w="122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rPr>
              <w:t>Incentive EPS</w:t>
            </w:r>
          </w:p>
        </w:tc>
        <w:tc>
          <w:tcPr>
            <w:tcW w:w="720" w:type="dxa"/>
            <w:vAlign w:val="bottom"/>
            <w:tcBorders>
              <w:bottom w:val="single" w:sz="8" w:color="14202A"/>
            </w:tcBorders>
          </w:tcPr>
          <w:p>
            <w:pPr>
              <w:jc w:val="right"/>
              <w:ind w:right="109"/>
              <w:spacing w:after="0"/>
              <w:rPr>
                <w:sz w:val="20"/>
                <w:szCs w:val="20"/>
                <w:color w:val="auto"/>
              </w:rPr>
            </w:pPr>
            <w:r>
              <w:rPr>
                <w:rFonts w:ascii="Arial" w:cs="Arial" w:eastAsia="Arial" w:hAnsi="Arial"/>
                <w:sz w:val="14"/>
                <w:szCs w:val="14"/>
                <w:color w:val="14202A"/>
              </w:rPr>
              <w:t>50%</w:t>
            </w:r>
          </w:p>
        </w:tc>
        <w:tc>
          <w:tcPr>
            <w:tcW w:w="960" w:type="dxa"/>
            <w:vAlign w:val="bottom"/>
            <w:tcBorders>
              <w:bottom w:val="single" w:sz="8" w:color="14202A"/>
            </w:tcBorders>
          </w:tcPr>
          <w:p>
            <w:pPr>
              <w:jc w:val="right"/>
              <w:ind w:right="270"/>
              <w:spacing w:after="0"/>
              <w:rPr>
                <w:sz w:val="20"/>
                <w:szCs w:val="20"/>
                <w:color w:val="auto"/>
              </w:rPr>
            </w:pPr>
            <w:r>
              <w:rPr>
                <w:rFonts w:ascii="Arial" w:cs="Arial" w:eastAsia="Arial" w:hAnsi="Arial"/>
                <w:sz w:val="14"/>
                <w:szCs w:val="14"/>
                <w:color w:val="14202A"/>
              </w:rPr>
              <w:t>$1.98</w:t>
            </w:r>
          </w:p>
        </w:tc>
        <w:tc>
          <w:tcPr>
            <w:tcW w:w="640" w:type="dxa"/>
            <w:vAlign w:val="bottom"/>
            <w:tcBorders>
              <w:bottom w:val="single" w:sz="8" w:color="14202A"/>
            </w:tcBorders>
          </w:tcPr>
          <w:p>
            <w:pPr>
              <w:jc w:val="right"/>
              <w:spacing w:after="0"/>
              <w:rPr>
                <w:sz w:val="20"/>
                <w:szCs w:val="20"/>
                <w:color w:val="auto"/>
              </w:rPr>
            </w:pPr>
            <w:r>
              <w:rPr>
                <w:rFonts w:ascii="Arial" w:cs="Arial" w:eastAsia="Arial" w:hAnsi="Arial"/>
                <w:sz w:val="14"/>
                <w:szCs w:val="14"/>
                <w:color w:val="14202A"/>
              </w:rPr>
              <w:t>$2.51</w:t>
            </w:r>
          </w:p>
        </w:tc>
        <w:tc>
          <w:tcPr>
            <w:tcW w:w="680" w:type="dxa"/>
            <w:vAlign w:val="bottom"/>
            <w:tcBorders>
              <w:bottom w:val="single" w:sz="8" w:color="14202A"/>
            </w:tcBorders>
          </w:tcPr>
          <w:p>
            <w:pPr>
              <w:ind w:left="20"/>
              <w:spacing w:after="0"/>
              <w:rPr>
                <w:sz w:val="20"/>
                <w:szCs w:val="20"/>
                <w:color w:val="auto"/>
              </w:rPr>
            </w:pPr>
            <w:r>
              <w:rPr>
                <w:rFonts w:ascii="Arial" w:cs="Arial" w:eastAsia="Arial" w:hAnsi="Arial"/>
                <w:sz w:val="14"/>
                <w:szCs w:val="14"/>
                <w:color w:val="14202A"/>
              </w:rPr>
              <w:t>- $2.77</w:t>
            </w:r>
          </w:p>
        </w:tc>
        <w:tc>
          <w:tcPr>
            <w:tcW w:w="1040" w:type="dxa"/>
            <w:vAlign w:val="bottom"/>
            <w:tcBorders>
              <w:bottom w:val="single" w:sz="8" w:color="14202A"/>
            </w:tcBorders>
          </w:tcPr>
          <w:p>
            <w:pPr>
              <w:jc w:val="right"/>
              <w:ind w:right="189"/>
              <w:spacing w:after="0"/>
              <w:rPr>
                <w:sz w:val="20"/>
                <w:szCs w:val="20"/>
                <w:color w:val="auto"/>
              </w:rPr>
            </w:pPr>
            <w:r>
              <w:rPr>
                <w:rFonts w:ascii="Arial" w:cs="Arial" w:eastAsia="Arial" w:hAnsi="Arial"/>
                <w:sz w:val="14"/>
                <w:szCs w:val="14"/>
                <w:color w:val="14202A"/>
              </w:rPr>
              <w:t>$ 3​.17</w:t>
            </w:r>
          </w:p>
        </w:tc>
        <w:tc>
          <w:tcPr>
            <w:tcW w:w="1100" w:type="dxa"/>
            <w:vAlign w:val="bottom"/>
            <w:tcBorders>
              <w:bottom w:val="single" w:sz="8" w:color="14202A"/>
            </w:tcBorders>
          </w:tcPr>
          <w:p>
            <w:pPr>
              <w:jc w:val="right"/>
              <w:ind w:right="329"/>
              <w:spacing w:after="0"/>
              <w:rPr>
                <w:sz w:val="20"/>
                <w:szCs w:val="20"/>
                <w:color w:val="auto"/>
              </w:rPr>
            </w:pPr>
            <w:r>
              <w:rPr>
                <w:rFonts w:ascii="Arial" w:cs="Arial" w:eastAsia="Arial" w:hAnsi="Arial"/>
                <w:sz w:val="14"/>
                <w:szCs w:val="14"/>
                <w:color w:val="14202A"/>
              </w:rPr>
              <w:t>$1.79</w:t>
            </w:r>
          </w:p>
        </w:tc>
        <w:tc>
          <w:tcPr>
            <w:tcW w:w="900" w:type="dxa"/>
            <w:vAlign w:val="bottom"/>
            <w:tcBorders>
              <w:bottom w:val="single" w:sz="8" w:color="14202A"/>
            </w:tcBorders>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1160" w:type="dxa"/>
            <w:vAlign w:val="bottom"/>
            <w:vMerge w:val="restart"/>
          </w:tcPr>
          <w:p>
            <w:pPr>
              <w:ind w:left="60"/>
              <w:spacing w:after="0"/>
              <w:rPr>
                <w:sz w:val="20"/>
                <w:szCs w:val="20"/>
                <w:color w:val="auto"/>
              </w:rPr>
            </w:pPr>
            <w:r>
              <w:rPr>
                <w:rFonts w:ascii="Arial" w:cs="Arial" w:eastAsia="Arial" w:hAnsi="Arial"/>
                <w:sz w:val="14"/>
                <w:szCs w:val="14"/>
                <w:b w:val="1"/>
                <w:bCs w:val="1"/>
                <w:color w:val="14202A"/>
              </w:rPr>
              <w:t>(Fiscal 2026)</w:t>
            </w:r>
          </w:p>
        </w:tc>
        <w:tc>
          <w:tcPr>
            <w:tcW w:w="7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140" w:type="dxa"/>
            <w:vAlign w:val="bottom"/>
            <w:gridSpan w:val="2"/>
            <w:vMerge w:val="restart"/>
          </w:tcPr>
          <w:p>
            <w:pPr>
              <w:jc w:val="right"/>
              <w:ind w:right="49"/>
              <w:spacing w:after="0"/>
              <w:rPr>
                <w:sz w:val="20"/>
                <w:szCs w:val="20"/>
                <w:color w:val="auto"/>
              </w:rPr>
            </w:pPr>
            <w:r>
              <w:rPr>
                <w:rFonts w:ascii="Arial" w:cs="Arial" w:eastAsia="Arial" w:hAnsi="Arial"/>
                <w:sz w:val="14"/>
                <w:szCs w:val="14"/>
                <w:color w:val="14202A"/>
              </w:rPr>
              <w:t>Payout Percentage</w:t>
            </w:r>
          </w:p>
        </w:tc>
        <w:tc>
          <w:tcPr>
            <w:tcW w:w="900" w:type="dxa"/>
            <w:vAlign w:val="bottom"/>
            <w:vMerge w:val="restart"/>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14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14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2140" w:type="dxa"/>
            <w:vAlign w:val="bottom"/>
            <w:tcBorders>
              <w:bottom w:val="single" w:sz="8" w:color="14202A"/>
            </w:tcBorders>
            <w:gridSpan w:val="2"/>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140" w:type="dxa"/>
            <w:vAlign w:val="bottom"/>
            <w:gridSpan w:val="2"/>
          </w:tcPr>
          <w:p>
            <w:pPr>
              <w:jc w:val="right"/>
              <w:ind w:right="49"/>
              <w:spacing w:after="0"/>
              <w:rPr>
                <w:sz w:val="20"/>
                <w:szCs w:val="20"/>
                <w:color w:val="auto"/>
              </w:rPr>
            </w:pPr>
            <w:r>
              <w:rPr>
                <w:rFonts w:ascii="Arial" w:cs="Arial" w:eastAsia="Arial" w:hAnsi="Arial"/>
                <w:sz w:val="14"/>
                <w:szCs w:val="14"/>
                <w:color w:val="14202A"/>
              </w:rPr>
              <w:t>Weighted Payout Percentage</w:t>
            </w:r>
          </w:p>
        </w:tc>
        <w:tc>
          <w:tcPr>
            <w:tcW w:w="900" w:type="dxa"/>
            <w:vAlign w:val="bottom"/>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14202A"/>
              </w:rPr>
              <w:t>Incentive ROIC</w:t>
            </w:r>
          </w:p>
        </w:tc>
        <w:tc>
          <w:tcPr>
            <w:tcW w:w="720" w:type="dxa"/>
            <w:vAlign w:val="bottom"/>
          </w:tcPr>
          <w:p>
            <w:pPr>
              <w:jc w:val="right"/>
              <w:ind w:right="109"/>
              <w:spacing w:after="0"/>
              <w:rPr>
                <w:sz w:val="20"/>
                <w:szCs w:val="20"/>
                <w:color w:val="auto"/>
              </w:rPr>
            </w:pPr>
            <w:r>
              <w:rPr>
                <w:rFonts w:ascii="Arial" w:cs="Arial" w:eastAsia="Arial" w:hAnsi="Arial"/>
                <w:sz w:val="14"/>
                <w:szCs w:val="14"/>
                <w:color w:val="14202A"/>
              </w:rPr>
              <w:t>50%</w:t>
            </w:r>
          </w:p>
        </w:tc>
        <w:tc>
          <w:tcPr>
            <w:tcW w:w="960" w:type="dxa"/>
            <w:vAlign w:val="bottom"/>
          </w:tcPr>
          <w:p>
            <w:pPr>
              <w:jc w:val="right"/>
              <w:ind w:right="150"/>
              <w:spacing w:after="0"/>
              <w:rPr>
                <w:sz w:val="20"/>
                <w:szCs w:val="20"/>
                <w:color w:val="auto"/>
              </w:rPr>
            </w:pPr>
            <w:r>
              <w:rPr>
                <w:rFonts w:ascii="Arial" w:cs="Arial" w:eastAsia="Arial" w:hAnsi="Arial"/>
                <w:sz w:val="14"/>
                <w:szCs w:val="14"/>
                <w:color w:val="14202A"/>
              </w:rPr>
              <w:t>11.6%</w:t>
            </w:r>
          </w:p>
        </w:tc>
        <w:tc>
          <w:tcPr>
            <w:tcW w:w="640" w:type="dxa"/>
            <w:vAlign w:val="bottom"/>
          </w:tcPr>
          <w:p>
            <w:pPr>
              <w:jc w:val="right"/>
              <w:spacing w:after="0"/>
              <w:rPr>
                <w:sz w:val="20"/>
                <w:szCs w:val="20"/>
                <w:color w:val="auto"/>
              </w:rPr>
            </w:pPr>
            <w:r>
              <w:rPr>
                <w:rFonts w:ascii="Arial" w:cs="Arial" w:eastAsia="Arial" w:hAnsi="Arial"/>
                <w:sz w:val="14"/>
                <w:szCs w:val="14"/>
                <w:color w:val="14202A"/>
              </w:rPr>
              <w:t>14.7%</w:t>
            </w:r>
          </w:p>
        </w:tc>
        <w:tc>
          <w:tcPr>
            <w:tcW w:w="680" w:type="dxa"/>
            <w:vAlign w:val="bottom"/>
          </w:tcPr>
          <w:p>
            <w:pPr>
              <w:ind w:left="20"/>
              <w:spacing w:after="0"/>
              <w:rPr>
                <w:sz w:val="20"/>
                <w:szCs w:val="20"/>
                <w:color w:val="auto"/>
              </w:rPr>
            </w:pPr>
            <w:r>
              <w:rPr>
                <w:rFonts w:ascii="Arial" w:cs="Arial" w:eastAsia="Arial" w:hAnsi="Arial"/>
                <w:sz w:val="14"/>
                <w:szCs w:val="14"/>
                <w:color w:val="14202A"/>
              </w:rPr>
              <w:t>- 16.3%</w:t>
            </w:r>
          </w:p>
        </w:tc>
        <w:tc>
          <w:tcPr>
            <w:tcW w:w="1040" w:type="dxa"/>
            <w:vAlign w:val="bottom"/>
          </w:tcPr>
          <w:p>
            <w:pPr>
              <w:jc w:val="right"/>
              <w:ind w:right="69"/>
              <w:spacing w:after="0"/>
              <w:rPr>
                <w:sz w:val="20"/>
                <w:szCs w:val="20"/>
                <w:color w:val="auto"/>
              </w:rPr>
            </w:pPr>
            <w:r>
              <w:rPr>
                <w:rFonts w:ascii="Arial" w:cs="Arial" w:eastAsia="Arial" w:hAnsi="Arial"/>
                <w:sz w:val="14"/>
                <w:szCs w:val="14"/>
                <w:color w:val="14202A"/>
              </w:rPr>
              <w:t>18.6%</w:t>
            </w:r>
          </w:p>
        </w:tc>
        <w:tc>
          <w:tcPr>
            <w:tcW w:w="1100" w:type="dxa"/>
            <w:vAlign w:val="bottom"/>
          </w:tcPr>
          <w:p>
            <w:pPr>
              <w:jc w:val="right"/>
              <w:ind w:right="209"/>
              <w:spacing w:after="0"/>
              <w:rPr>
                <w:sz w:val="20"/>
                <w:szCs w:val="20"/>
                <w:color w:val="auto"/>
              </w:rPr>
            </w:pPr>
            <w:r>
              <w:rPr>
                <w:rFonts w:ascii="Arial" w:cs="Arial" w:eastAsia="Arial" w:hAnsi="Arial"/>
                <w:sz w:val="14"/>
                <w:szCs w:val="14"/>
                <w:color w:val="14202A"/>
              </w:rPr>
              <w:t>3.9%</w:t>
            </w:r>
          </w:p>
        </w:tc>
        <w:tc>
          <w:tcPr>
            <w:tcW w:w="900" w:type="dxa"/>
            <w:vAlign w:val="bottom"/>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1160" w:type="dxa"/>
            <w:vAlign w:val="bottom"/>
            <w:vMerge w:val="restart"/>
          </w:tcPr>
          <w:p>
            <w:pPr>
              <w:ind w:left="60"/>
              <w:spacing w:after="0"/>
              <w:rPr>
                <w:sz w:val="20"/>
                <w:szCs w:val="20"/>
                <w:color w:val="auto"/>
              </w:rPr>
            </w:pPr>
            <w:r>
              <w:rPr>
                <w:rFonts w:ascii="Arial" w:cs="Arial" w:eastAsia="Arial" w:hAnsi="Arial"/>
                <w:sz w:val="14"/>
                <w:szCs w:val="14"/>
                <w:b w:val="1"/>
                <w:bCs w:val="1"/>
                <w:color w:val="14202A"/>
              </w:rPr>
              <w:t>Period 4</w:t>
            </w:r>
            <w:r>
              <w:rPr>
                <w:rFonts w:ascii="Arial" w:cs="Arial" w:eastAsia="Arial" w:hAnsi="Arial"/>
                <w:sz w:val="23"/>
                <w:szCs w:val="23"/>
                <w:color w:val="14202A"/>
                <w:vertAlign w:val="superscript"/>
              </w:rPr>
              <w:t>(4)</w:t>
            </w:r>
          </w:p>
        </w:tc>
        <w:tc>
          <w:tcPr>
            <w:tcW w:w="760" w:type="dxa"/>
            <w:vAlign w:val="bottom"/>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gridSpan w:val="2"/>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4"/>
                <w:szCs w:val="14"/>
                <w:color w:val="14202A"/>
              </w:rPr>
              <w:t>25%</w:t>
            </w:r>
          </w:p>
        </w:tc>
        <w:tc>
          <w:tcPr>
            <w:tcW w:w="1220" w:type="dxa"/>
            <w:vAlign w:val="bottom"/>
          </w:tcPr>
          <w:p>
            <w:pPr>
              <w:jc w:val="center"/>
              <w:spacing w:after="0"/>
              <w:rPr>
                <w:sz w:val="20"/>
                <w:szCs w:val="20"/>
                <w:color w:val="auto"/>
              </w:rPr>
            </w:pPr>
            <w:r>
              <w:rPr>
                <w:rFonts w:ascii="Arial" w:cs="Arial" w:eastAsia="Arial" w:hAnsi="Arial"/>
                <w:sz w:val="14"/>
                <w:szCs w:val="14"/>
                <w:color w:val="14202A"/>
              </w:rPr>
              <w:t>Incentive EPS</w:t>
            </w:r>
          </w:p>
        </w:tc>
        <w:tc>
          <w:tcPr>
            <w:tcW w:w="720" w:type="dxa"/>
            <w:vAlign w:val="bottom"/>
          </w:tcPr>
          <w:p>
            <w:pPr>
              <w:jc w:val="right"/>
              <w:ind w:right="109"/>
              <w:spacing w:after="0"/>
              <w:rPr>
                <w:sz w:val="20"/>
                <w:szCs w:val="20"/>
                <w:color w:val="auto"/>
              </w:rPr>
            </w:pPr>
            <w:r>
              <w:rPr>
                <w:rFonts w:ascii="Arial" w:cs="Arial" w:eastAsia="Arial" w:hAnsi="Arial"/>
                <w:sz w:val="14"/>
                <w:szCs w:val="14"/>
                <w:color w:val="14202A"/>
              </w:rPr>
              <w:t>50%</w:t>
            </w:r>
          </w:p>
        </w:tc>
        <w:tc>
          <w:tcPr>
            <w:tcW w:w="960" w:type="dxa"/>
            <w:vAlign w:val="bottom"/>
          </w:tcPr>
          <w:p>
            <w:pPr>
              <w:jc w:val="right"/>
              <w:ind w:right="270"/>
              <w:spacing w:after="0"/>
              <w:rPr>
                <w:sz w:val="20"/>
                <w:szCs w:val="20"/>
                <w:color w:val="auto"/>
              </w:rPr>
            </w:pPr>
            <w:r>
              <w:rPr>
                <w:rFonts w:ascii="Arial" w:cs="Arial" w:eastAsia="Arial" w:hAnsi="Arial"/>
                <w:sz w:val="14"/>
                <w:szCs w:val="14"/>
                <w:color w:val="14202A"/>
              </w:rPr>
              <w:t>$9.26</w:t>
            </w:r>
          </w:p>
        </w:tc>
        <w:tc>
          <w:tcPr>
            <w:tcW w:w="1320" w:type="dxa"/>
            <w:vAlign w:val="bottom"/>
            <w:gridSpan w:val="2"/>
          </w:tcPr>
          <w:p>
            <w:pPr>
              <w:jc w:val="right"/>
              <w:ind w:right="68"/>
              <w:spacing w:after="0"/>
              <w:rPr>
                <w:sz w:val="20"/>
                <w:szCs w:val="20"/>
                <w:color w:val="auto"/>
              </w:rPr>
            </w:pPr>
            <w:r>
              <w:rPr>
                <w:rFonts w:ascii="Arial" w:cs="Arial" w:eastAsia="Arial" w:hAnsi="Arial"/>
                <w:sz w:val="14"/>
                <w:szCs w:val="14"/>
                <w:color w:val="14202A"/>
              </w:rPr>
              <w:t>$11.72 - $12.96</w:t>
            </w:r>
          </w:p>
        </w:tc>
        <w:tc>
          <w:tcPr>
            <w:tcW w:w="1040" w:type="dxa"/>
            <w:vAlign w:val="bottom"/>
          </w:tcPr>
          <w:p>
            <w:pPr>
              <w:jc w:val="right"/>
              <w:ind w:right="189"/>
              <w:spacing w:after="0"/>
              <w:rPr>
                <w:sz w:val="20"/>
                <w:szCs w:val="20"/>
                <w:color w:val="auto"/>
              </w:rPr>
            </w:pPr>
            <w:r>
              <w:rPr>
                <w:rFonts w:ascii="Arial" w:cs="Arial" w:eastAsia="Arial" w:hAnsi="Arial"/>
                <w:sz w:val="14"/>
                <w:szCs w:val="14"/>
                <w:color w:val="14202A"/>
              </w:rPr>
              <w:t>$14.81</w:t>
            </w:r>
          </w:p>
        </w:tc>
        <w:tc>
          <w:tcPr>
            <w:tcW w:w="1100" w:type="dxa"/>
            <w:vAlign w:val="bottom"/>
          </w:tcPr>
          <w:p>
            <w:pPr>
              <w:jc w:val="right"/>
              <w:ind w:right="329"/>
              <w:spacing w:after="0"/>
              <w:rPr>
                <w:sz w:val="20"/>
                <w:szCs w:val="20"/>
                <w:color w:val="auto"/>
              </w:rPr>
            </w:pPr>
            <w:r>
              <w:rPr>
                <w:rFonts w:ascii="Arial" w:cs="Arial" w:eastAsia="Arial" w:hAnsi="Arial"/>
                <w:sz w:val="14"/>
                <w:szCs w:val="14"/>
                <w:color w:val="14202A"/>
              </w:rPr>
              <w:t>$1.79</w:t>
            </w:r>
          </w:p>
        </w:tc>
        <w:tc>
          <w:tcPr>
            <w:tcW w:w="900" w:type="dxa"/>
            <w:vAlign w:val="bottom"/>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77"/>
        </w:trPr>
        <w:tc>
          <w:tcPr>
            <w:tcW w:w="100" w:type="dxa"/>
            <w:vAlign w:val="bottom"/>
          </w:tcPr>
          <w:p>
            <w:pPr>
              <w:spacing w:after="0"/>
              <w:rPr>
                <w:sz w:val="6"/>
                <w:szCs w:val="6"/>
                <w:color w:val="auto"/>
              </w:rPr>
            </w:pPr>
          </w:p>
        </w:tc>
        <w:tc>
          <w:tcPr>
            <w:tcW w:w="1160" w:type="dxa"/>
            <w:vAlign w:val="bottom"/>
            <w:vMerge w:val="restart"/>
          </w:tcPr>
          <w:p>
            <w:pPr>
              <w:ind w:left="60"/>
              <w:spacing w:after="0"/>
              <w:rPr>
                <w:sz w:val="20"/>
                <w:szCs w:val="20"/>
                <w:color w:val="auto"/>
              </w:rPr>
            </w:pPr>
            <w:r>
              <w:rPr>
                <w:rFonts w:ascii="Arial" w:cs="Arial" w:eastAsia="Arial" w:hAnsi="Arial"/>
                <w:sz w:val="14"/>
                <w:szCs w:val="14"/>
                <w:b w:val="1"/>
                <w:bCs w:val="1"/>
                <w:color w:val="14202A"/>
              </w:rPr>
              <w:t>(Fiscal 2024-</w:t>
            </w:r>
          </w:p>
        </w:tc>
        <w:tc>
          <w:tcPr>
            <w:tcW w:w="760" w:type="dxa"/>
            <w:vAlign w:val="bottom"/>
            <w:vMerge w:val="continue"/>
          </w:tcPr>
          <w:p>
            <w:pPr>
              <w:spacing w:after="0"/>
              <w:rPr>
                <w:sz w:val="6"/>
                <w:szCs w:val="6"/>
                <w:color w:val="auto"/>
              </w:rPr>
            </w:pPr>
          </w:p>
        </w:tc>
        <w:tc>
          <w:tcPr>
            <w:tcW w:w="1220" w:type="dxa"/>
            <w:vAlign w:val="bottom"/>
            <w:tcBorders>
              <w:bottom w:val="single" w:sz="8" w:color="14202A"/>
            </w:tcBorders>
          </w:tcPr>
          <w:p>
            <w:pPr>
              <w:spacing w:after="0"/>
              <w:rPr>
                <w:sz w:val="6"/>
                <w:szCs w:val="6"/>
                <w:color w:val="auto"/>
              </w:rPr>
            </w:pPr>
          </w:p>
        </w:tc>
        <w:tc>
          <w:tcPr>
            <w:tcW w:w="720" w:type="dxa"/>
            <w:vAlign w:val="bottom"/>
            <w:tcBorders>
              <w:bottom w:val="single" w:sz="8" w:color="14202A"/>
            </w:tcBorders>
          </w:tcPr>
          <w:p>
            <w:pPr>
              <w:spacing w:after="0"/>
              <w:rPr>
                <w:sz w:val="6"/>
                <w:szCs w:val="6"/>
                <w:color w:val="auto"/>
              </w:rPr>
            </w:pPr>
          </w:p>
        </w:tc>
        <w:tc>
          <w:tcPr>
            <w:tcW w:w="960" w:type="dxa"/>
            <w:vAlign w:val="bottom"/>
            <w:tcBorders>
              <w:bottom w:val="single" w:sz="8" w:color="14202A"/>
            </w:tcBorders>
          </w:tcPr>
          <w:p>
            <w:pPr>
              <w:spacing w:after="0"/>
              <w:rPr>
                <w:sz w:val="6"/>
                <w:szCs w:val="6"/>
                <w:color w:val="auto"/>
              </w:rPr>
            </w:pPr>
          </w:p>
        </w:tc>
        <w:tc>
          <w:tcPr>
            <w:tcW w:w="640" w:type="dxa"/>
            <w:vAlign w:val="bottom"/>
            <w:tcBorders>
              <w:bottom w:val="single" w:sz="8" w:color="14202A"/>
            </w:tcBorders>
          </w:tcPr>
          <w:p>
            <w:pPr>
              <w:spacing w:after="0"/>
              <w:rPr>
                <w:sz w:val="6"/>
                <w:szCs w:val="6"/>
                <w:color w:val="auto"/>
              </w:rPr>
            </w:pPr>
          </w:p>
        </w:tc>
        <w:tc>
          <w:tcPr>
            <w:tcW w:w="680" w:type="dxa"/>
            <w:vAlign w:val="bottom"/>
            <w:tcBorders>
              <w:bottom w:val="single" w:sz="8" w:color="14202A"/>
            </w:tcBorders>
          </w:tcPr>
          <w:p>
            <w:pPr>
              <w:spacing w:after="0"/>
              <w:rPr>
                <w:sz w:val="6"/>
                <w:szCs w:val="6"/>
                <w:color w:val="auto"/>
              </w:rPr>
            </w:pPr>
          </w:p>
        </w:tc>
        <w:tc>
          <w:tcPr>
            <w:tcW w:w="1040" w:type="dxa"/>
            <w:vAlign w:val="bottom"/>
            <w:tcBorders>
              <w:bottom w:val="single" w:sz="8" w:color="14202A"/>
            </w:tcBorders>
          </w:tcPr>
          <w:p>
            <w:pPr>
              <w:spacing w:after="0"/>
              <w:rPr>
                <w:sz w:val="6"/>
                <w:szCs w:val="6"/>
                <w:color w:val="auto"/>
              </w:rPr>
            </w:pPr>
          </w:p>
        </w:tc>
        <w:tc>
          <w:tcPr>
            <w:tcW w:w="1100" w:type="dxa"/>
            <w:vAlign w:val="bottom"/>
            <w:tcBorders>
              <w:bottom w:val="single" w:sz="8" w:color="14202A"/>
            </w:tcBorders>
          </w:tcPr>
          <w:p>
            <w:pPr>
              <w:spacing w:after="0"/>
              <w:rPr>
                <w:sz w:val="6"/>
                <w:szCs w:val="6"/>
                <w:color w:val="auto"/>
              </w:rPr>
            </w:pPr>
          </w:p>
        </w:tc>
        <w:tc>
          <w:tcPr>
            <w:tcW w:w="900" w:type="dxa"/>
            <w:vAlign w:val="bottom"/>
            <w:tcBorders>
              <w:bottom w:val="single" w:sz="8" w:color="14202A"/>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14202A"/>
              </w:rPr>
              <w:t>2026)</w:t>
            </w: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40" w:type="dxa"/>
            <w:vAlign w:val="bottom"/>
            <w:gridSpan w:val="2"/>
          </w:tcPr>
          <w:p>
            <w:pPr>
              <w:jc w:val="right"/>
              <w:ind w:right="49"/>
              <w:spacing w:after="0"/>
              <w:rPr>
                <w:sz w:val="20"/>
                <w:szCs w:val="20"/>
                <w:color w:val="auto"/>
              </w:rPr>
            </w:pPr>
            <w:r>
              <w:rPr>
                <w:rFonts w:ascii="Arial" w:cs="Arial" w:eastAsia="Arial" w:hAnsi="Arial"/>
                <w:sz w:val="14"/>
                <w:szCs w:val="14"/>
                <w:color w:val="14202A"/>
              </w:rPr>
              <w:t>Payout Percentage</w:t>
            </w:r>
          </w:p>
        </w:tc>
        <w:tc>
          <w:tcPr>
            <w:tcW w:w="900" w:type="dxa"/>
            <w:vAlign w:val="bottom"/>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43"/>
        </w:trPr>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720" w:type="dxa"/>
            <w:vAlign w:val="bottom"/>
            <w:tcBorders>
              <w:bottom w:val="single" w:sz="8" w:color="14202A"/>
            </w:tcBorders>
          </w:tcPr>
          <w:p>
            <w:pPr>
              <w:spacing w:after="0"/>
              <w:rPr>
                <w:sz w:val="3"/>
                <w:szCs w:val="3"/>
                <w:color w:val="auto"/>
              </w:rPr>
            </w:pPr>
          </w:p>
        </w:tc>
        <w:tc>
          <w:tcPr>
            <w:tcW w:w="960" w:type="dxa"/>
            <w:vAlign w:val="bottom"/>
            <w:tcBorders>
              <w:bottom w:val="single" w:sz="8" w:color="14202A"/>
            </w:tcBorders>
          </w:tcPr>
          <w:p>
            <w:pPr>
              <w:spacing w:after="0"/>
              <w:rPr>
                <w:sz w:val="3"/>
                <w:szCs w:val="3"/>
                <w:color w:val="auto"/>
              </w:rPr>
            </w:pPr>
          </w:p>
        </w:tc>
        <w:tc>
          <w:tcPr>
            <w:tcW w:w="640" w:type="dxa"/>
            <w:vAlign w:val="bottom"/>
            <w:tcBorders>
              <w:bottom w:val="single" w:sz="8" w:color="14202A"/>
            </w:tcBorders>
          </w:tcPr>
          <w:p>
            <w:pPr>
              <w:spacing w:after="0"/>
              <w:rPr>
                <w:sz w:val="3"/>
                <w:szCs w:val="3"/>
                <w:color w:val="auto"/>
              </w:rPr>
            </w:pPr>
          </w:p>
        </w:tc>
        <w:tc>
          <w:tcPr>
            <w:tcW w:w="680" w:type="dxa"/>
            <w:vAlign w:val="bottom"/>
            <w:tcBorders>
              <w:bottom w:val="single" w:sz="8" w:color="14202A"/>
            </w:tcBorders>
          </w:tcPr>
          <w:p>
            <w:pPr>
              <w:spacing w:after="0"/>
              <w:rPr>
                <w:sz w:val="3"/>
                <w:szCs w:val="3"/>
                <w:color w:val="auto"/>
              </w:rPr>
            </w:pPr>
          </w:p>
        </w:tc>
        <w:tc>
          <w:tcPr>
            <w:tcW w:w="2140" w:type="dxa"/>
            <w:vAlign w:val="bottom"/>
            <w:tcBorders>
              <w:bottom w:val="single" w:sz="8" w:color="14202A"/>
            </w:tcBorders>
            <w:gridSpan w:val="2"/>
          </w:tcPr>
          <w:p>
            <w:pPr>
              <w:spacing w:after="0"/>
              <w:rPr>
                <w:sz w:val="3"/>
                <w:szCs w:val="3"/>
                <w:color w:val="auto"/>
              </w:rPr>
            </w:pPr>
          </w:p>
        </w:tc>
        <w:tc>
          <w:tcPr>
            <w:tcW w:w="9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140" w:type="dxa"/>
            <w:vAlign w:val="bottom"/>
            <w:gridSpan w:val="2"/>
          </w:tcPr>
          <w:p>
            <w:pPr>
              <w:jc w:val="right"/>
              <w:ind w:right="49"/>
              <w:spacing w:after="0"/>
              <w:rPr>
                <w:sz w:val="20"/>
                <w:szCs w:val="20"/>
                <w:color w:val="auto"/>
              </w:rPr>
            </w:pPr>
            <w:r>
              <w:rPr>
                <w:rFonts w:ascii="Arial" w:cs="Arial" w:eastAsia="Arial" w:hAnsi="Arial"/>
                <w:sz w:val="14"/>
                <w:szCs w:val="14"/>
                <w:color w:val="14202A"/>
              </w:rPr>
              <w:t>Weighted Payout Percentage</w:t>
            </w:r>
          </w:p>
        </w:tc>
        <w:tc>
          <w:tcPr>
            <w:tcW w:w="900" w:type="dxa"/>
            <w:vAlign w:val="bottom"/>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2140" w:type="dxa"/>
            <w:vAlign w:val="bottom"/>
            <w:tcBorders>
              <w:bottom w:val="single" w:sz="8" w:color="14202A"/>
            </w:tcBorders>
            <w:gridSpan w:val="2"/>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00" w:type="dxa"/>
            <w:vAlign w:val="bottom"/>
            <w:tcBorders>
              <w:bottom w:val="single" w:sz="8" w:color="14202A"/>
            </w:tcBorders>
          </w:tcPr>
          <w:p>
            <w:pPr>
              <w:spacing w:after="0"/>
              <w:rPr>
                <w:sz w:val="22"/>
                <w:szCs w:val="22"/>
                <w:color w:val="auto"/>
              </w:rPr>
            </w:pPr>
          </w:p>
        </w:tc>
        <w:tc>
          <w:tcPr>
            <w:tcW w:w="1160" w:type="dxa"/>
            <w:vAlign w:val="bottom"/>
            <w:tcBorders>
              <w:bottom w:val="single" w:sz="8" w:color="14202A"/>
            </w:tcBorders>
          </w:tcPr>
          <w:p>
            <w:pPr>
              <w:spacing w:after="0"/>
              <w:rPr>
                <w:sz w:val="22"/>
                <w:szCs w:val="22"/>
                <w:color w:val="auto"/>
              </w:rPr>
            </w:pPr>
          </w:p>
        </w:tc>
        <w:tc>
          <w:tcPr>
            <w:tcW w:w="760" w:type="dxa"/>
            <w:vAlign w:val="bottom"/>
            <w:tcBorders>
              <w:bottom w:val="single" w:sz="8" w:color="14202A"/>
            </w:tcBorders>
          </w:tcPr>
          <w:p>
            <w:pPr>
              <w:spacing w:after="0"/>
              <w:rPr>
                <w:sz w:val="22"/>
                <w:szCs w:val="22"/>
                <w:color w:val="auto"/>
              </w:rPr>
            </w:pPr>
          </w:p>
        </w:tc>
        <w:tc>
          <w:tcPr>
            <w:tcW w:w="1220" w:type="dxa"/>
            <w:vAlign w:val="bottom"/>
            <w:tcBorders>
              <w:bottom w:val="single" w:sz="8" w:color="14202A"/>
            </w:tcBorders>
          </w:tcPr>
          <w:p>
            <w:pPr>
              <w:spacing w:after="0"/>
              <w:rPr>
                <w:sz w:val="22"/>
                <w:szCs w:val="22"/>
                <w:color w:val="auto"/>
              </w:rPr>
            </w:pPr>
          </w:p>
        </w:tc>
        <w:tc>
          <w:tcPr>
            <w:tcW w:w="720" w:type="dxa"/>
            <w:vAlign w:val="bottom"/>
            <w:tcBorders>
              <w:bottom w:val="single" w:sz="8" w:color="14202A"/>
            </w:tcBorders>
          </w:tcPr>
          <w:p>
            <w:pPr>
              <w:spacing w:after="0"/>
              <w:rPr>
                <w:sz w:val="22"/>
                <w:szCs w:val="22"/>
                <w:color w:val="auto"/>
              </w:rPr>
            </w:pPr>
          </w:p>
        </w:tc>
        <w:tc>
          <w:tcPr>
            <w:tcW w:w="960" w:type="dxa"/>
            <w:vAlign w:val="bottom"/>
            <w:tcBorders>
              <w:bottom w:val="single" w:sz="8" w:color="14202A"/>
            </w:tcBorders>
          </w:tcPr>
          <w:p>
            <w:pPr>
              <w:spacing w:after="0"/>
              <w:rPr>
                <w:sz w:val="22"/>
                <w:szCs w:val="22"/>
                <w:color w:val="auto"/>
              </w:rPr>
            </w:pPr>
          </w:p>
        </w:tc>
        <w:tc>
          <w:tcPr>
            <w:tcW w:w="640" w:type="dxa"/>
            <w:vAlign w:val="bottom"/>
            <w:tcBorders>
              <w:bottom w:val="single" w:sz="8" w:color="14202A"/>
            </w:tcBorders>
          </w:tcPr>
          <w:p>
            <w:pPr>
              <w:spacing w:after="0"/>
              <w:rPr>
                <w:sz w:val="22"/>
                <w:szCs w:val="22"/>
                <w:color w:val="auto"/>
              </w:rPr>
            </w:pPr>
          </w:p>
        </w:tc>
        <w:tc>
          <w:tcPr>
            <w:tcW w:w="680" w:type="dxa"/>
            <w:vAlign w:val="bottom"/>
            <w:tcBorders>
              <w:bottom w:val="single" w:sz="8" w:color="14202A"/>
            </w:tcBorders>
          </w:tcPr>
          <w:p>
            <w:pPr>
              <w:spacing w:after="0"/>
              <w:rPr>
                <w:sz w:val="22"/>
                <w:szCs w:val="22"/>
                <w:color w:val="auto"/>
              </w:rPr>
            </w:pPr>
          </w:p>
        </w:tc>
        <w:tc>
          <w:tcPr>
            <w:tcW w:w="2140" w:type="dxa"/>
            <w:vAlign w:val="bottom"/>
            <w:tcBorders>
              <w:bottom w:val="single" w:sz="8" w:color="14202A"/>
            </w:tcBorders>
            <w:gridSpan w:val="2"/>
          </w:tcPr>
          <w:p>
            <w:pPr>
              <w:jc w:val="right"/>
              <w:ind w:right="49"/>
              <w:spacing w:after="0"/>
              <w:rPr>
                <w:sz w:val="20"/>
                <w:szCs w:val="20"/>
                <w:color w:val="auto"/>
              </w:rPr>
            </w:pPr>
            <w:r>
              <w:rPr>
                <w:rFonts w:ascii="Arial" w:cs="Arial" w:eastAsia="Arial" w:hAnsi="Arial"/>
                <w:sz w:val="14"/>
                <w:szCs w:val="14"/>
                <w:b w:val="1"/>
                <w:bCs w:val="1"/>
                <w:color w:val="14202A"/>
              </w:rPr>
              <w:t>Total Payout Percentage</w:t>
            </w:r>
          </w:p>
        </w:tc>
        <w:tc>
          <w:tcPr>
            <w:tcW w:w="900" w:type="dxa"/>
            <w:vAlign w:val="bottom"/>
            <w:tcBorders>
              <w:bottom w:val="single" w:sz="8" w:color="14202A"/>
            </w:tcBorders>
          </w:tcPr>
          <w:p>
            <w:pPr>
              <w:jc w:val="right"/>
              <w:ind w:right="289"/>
              <w:spacing w:after="0"/>
              <w:rPr>
                <w:sz w:val="20"/>
                <w:szCs w:val="20"/>
                <w:color w:val="auto"/>
              </w:rPr>
            </w:pPr>
            <w:r>
              <w:rPr>
                <w:rFonts w:ascii="Arial" w:cs="Arial" w:eastAsia="Arial" w:hAnsi="Arial"/>
                <w:sz w:val="14"/>
                <w:szCs w:val="14"/>
                <w:b w:val="1"/>
                <w:bCs w:val="1"/>
                <w:color w:val="14202A"/>
              </w:rPr>
              <w:t>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100" w:hanging="360"/>
        <w:spacing w:after="0" w:line="246" w:lineRule="auto"/>
        <w:tabs>
          <w:tab w:leader="none" w:pos="360" w:val="left"/>
        </w:tabs>
        <w:numPr>
          <w:ilvl w:val="0"/>
          <w:numId w:val="31"/>
        </w:numPr>
        <w:rPr>
          <w:rFonts w:ascii="Arial" w:cs="Arial" w:eastAsia="Arial" w:hAnsi="Arial"/>
          <w:sz w:val="12"/>
          <w:szCs w:val="12"/>
          <w:color w:val="14202A"/>
        </w:rPr>
      </w:pPr>
      <w:r>
        <w:rPr>
          <w:rFonts w:ascii="Arial" w:cs="Arial" w:eastAsia="Arial" w:hAnsi="Arial"/>
          <w:sz w:val="12"/>
          <w:szCs w:val="12"/>
          <w:color w:val="14202A"/>
        </w:rPr>
        <w:t>The Incentive ROIC metric was adjusted to exclude the following: (i) the pretax acquisition-related costs associated with the acquisition of Lithionics, (ii) pretax amortization, (iii) the tax impact of the aforementioned adjustments, as applicable. The Incentive EPS metric was adjusted from diluted EPS to exclude the following: (i) the pretax acquisition-related costs associated with the acquisition of Lithionics, (ii) pretax amortization, (iii) pretax earnout valuation adjustments related to the Barletta acquisition, (iv) pretax change in fair value of notes receivable, (v) loss on inducement related to the repurchase of convertible notes, (vi) impact of the goodwill impairment of the Chris-Craft reporting unit, and (vii) the tax impact of the aforementioned adjustments, as applicable.</w:t>
      </w:r>
    </w:p>
    <w:p>
      <w:pPr>
        <w:spacing w:after="0" w:line="21" w:lineRule="exact"/>
        <w:rPr>
          <w:rFonts w:ascii="Arial" w:cs="Arial" w:eastAsia="Arial" w:hAnsi="Arial"/>
          <w:sz w:val="12"/>
          <w:szCs w:val="12"/>
          <w:color w:val="14202A"/>
        </w:rPr>
      </w:pPr>
    </w:p>
    <w:p>
      <w:pPr>
        <w:ind w:left="360" w:hanging="360"/>
        <w:spacing w:after="0"/>
        <w:tabs>
          <w:tab w:leader="none" w:pos="360" w:val="left"/>
        </w:tabs>
        <w:numPr>
          <w:ilvl w:val="0"/>
          <w:numId w:val="31"/>
        </w:numPr>
        <w:rPr>
          <w:rFonts w:ascii="Arial" w:cs="Arial" w:eastAsia="Arial" w:hAnsi="Arial"/>
          <w:sz w:val="12"/>
          <w:szCs w:val="12"/>
          <w:color w:val="14202A"/>
        </w:rPr>
      </w:pPr>
      <w:r>
        <w:rPr>
          <w:rFonts w:ascii="Arial" w:cs="Arial" w:eastAsia="Arial" w:hAnsi="Arial"/>
          <w:sz w:val="12"/>
          <w:szCs w:val="12"/>
          <w:color w:val="14202A"/>
        </w:rPr>
        <w:t>The Incentive ROIC metric was adjusted to exclude the following: (i) pretax amortization, (ii) the tax impact of the aforementioned adjustments, as applicable.</w:t>
      </w:r>
    </w:p>
    <w:p>
      <w:pPr>
        <w:spacing w:after="0" w:line="9" w:lineRule="exact"/>
        <w:rPr>
          <w:rFonts w:ascii="Arial" w:cs="Arial" w:eastAsia="Arial" w:hAnsi="Arial"/>
          <w:sz w:val="12"/>
          <w:szCs w:val="12"/>
          <w:color w:val="14202A"/>
        </w:rPr>
      </w:pPr>
    </w:p>
    <w:p>
      <w:pPr>
        <w:ind w:left="360" w:right="160"/>
        <w:spacing w:after="0" w:line="226" w:lineRule="auto"/>
        <w:rPr>
          <w:rFonts w:ascii="Arial" w:cs="Arial" w:eastAsia="Arial" w:hAnsi="Arial"/>
          <w:sz w:val="12"/>
          <w:szCs w:val="12"/>
          <w:color w:val="14202A"/>
        </w:rPr>
      </w:pPr>
      <w:r>
        <w:rPr>
          <w:rFonts w:ascii="Arial" w:cs="Arial" w:eastAsia="Arial" w:hAnsi="Arial"/>
          <w:sz w:val="13"/>
          <w:szCs w:val="13"/>
          <w:color w:val="14202A"/>
        </w:rPr>
        <w:t>The Incentive EPS metric was adjusted from diluted EPS to exclude the following: (i) pretax amortization, (ii) pretax impact of the loss incurred on the partial repurchase of our Senior Secured Notes, (iii) pretax restructuring and related costs, (iv) pretax asset impairment, and (v) the tax impact of the aforementioned adjustments, as applicable.</w:t>
      </w:r>
    </w:p>
    <w:p>
      <w:pPr>
        <w:spacing w:after="0" w:line="24" w:lineRule="exact"/>
        <w:rPr>
          <w:rFonts w:ascii="Arial" w:cs="Arial" w:eastAsia="Arial" w:hAnsi="Arial"/>
          <w:sz w:val="12"/>
          <w:szCs w:val="12"/>
          <w:color w:val="14202A"/>
        </w:rPr>
      </w:pPr>
    </w:p>
    <w:p>
      <w:pPr>
        <w:ind w:left="360" w:right="240" w:hanging="360"/>
        <w:spacing w:after="0" w:line="243" w:lineRule="auto"/>
        <w:tabs>
          <w:tab w:leader="none" w:pos="360" w:val="left"/>
        </w:tabs>
        <w:numPr>
          <w:ilvl w:val="0"/>
          <w:numId w:val="31"/>
        </w:numPr>
        <w:rPr>
          <w:rFonts w:ascii="Arial" w:cs="Arial" w:eastAsia="Arial" w:hAnsi="Arial"/>
          <w:sz w:val="13"/>
          <w:szCs w:val="13"/>
          <w:color w:val="14202A"/>
        </w:rPr>
      </w:pPr>
      <w:r>
        <w:rPr>
          <w:rFonts w:ascii="Arial" w:cs="Arial" w:eastAsia="Arial" w:hAnsi="Arial"/>
          <w:sz w:val="13"/>
          <w:szCs w:val="13"/>
          <w:color w:val="14202A"/>
        </w:rPr>
        <w:t>The Incentive ROIC metric was adjusted to exclude the following: (i) pretax amortization, (ii) pretax restructuring and related costs, (iii) pretax gain on sale of property, plant and equipment, and (iv) the tax impact of the aforementioned adjustments, as applicable. The Incentive EPS</w:t>
      </w:r>
    </w:p>
    <w:p>
      <w:pPr>
        <w:spacing w:after="0" w:line="291"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172085</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60" w:right="320"/>
        <w:spacing w:after="0" w:line="233" w:lineRule="auto"/>
        <w:rPr>
          <w:sz w:val="20"/>
          <w:szCs w:val="20"/>
          <w:color w:val="auto"/>
        </w:rPr>
      </w:pPr>
      <w:r>
        <w:rPr>
          <w:rFonts w:ascii="Arial" w:cs="Arial" w:eastAsia="Arial" w:hAnsi="Arial"/>
          <w:sz w:val="13"/>
          <w:szCs w:val="13"/>
          <w:color w:val="14202A"/>
        </w:rPr>
        <w:t>metric was adjusted from diluted EPS to exclude the following: (i) pretax amortization, (ii) pretax impact of the loss incurred on the partial repurchase of our Senior Secured Notes, (iii) pretax restructuring and related costs, (iv) pretax gain on sale of property, plant and equipment, and (v) the tax impact of the aforementioned adjustments, as applicable.</w:t>
      </w:r>
    </w:p>
    <w:p>
      <w:pPr>
        <w:spacing w:after="0" w:line="24" w:lineRule="exact"/>
        <w:rPr>
          <w:sz w:val="20"/>
          <w:szCs w:val="20"/>
          <w:color w:val="auto"/>
        </w:rPr>
      </w:pPr>
    </w:p>
    <w:p>
      <w:pPr>
        <w:ind w:left="360" w:right="220" w:hanging="360"/>
        <w:spacing w:after="0" w:line="226" w:lineRule="auto"/>
        <w:tabs>
          <w:tab w:leader="none" w:pos="360" w:val="left"/>
        </w:tabs>
        <w:numPr>
          <w:ilvl w:val="0"/>
          <w:numId w:val="32"/>
        </w:numPr>
        <w:rPr>
          <w:rFonts w:ascii="Arial" w:cs="Arial" w:eastAsia="Arial" w:hAnsi="Arial"/>
          <w:sz w:val="13"/>
          <w:szCs w:val="13"/>
          <w:color w:val="14202A"/>
        </w:rPr>
      </w:pPr>
      <w:r>
        <w:rPr>
          <w:rFonts w:ascii="Arial" w:cs="Arial" w:eastAsia="Arial" w:hAnsi="Arial"/>
          <w:sz w:val="13"/>
          <w:szCs w:val="13"/>
          <w:color w:val="14202A"/>
        </w:rPr>
        <w:t>The Incentive ROIC metric was adjusted to exclude the following: (i) pretax amortization, (ii) pretax restructuring and related costs, (iii) pretax gain on sale of property, plant and equipment, and (iv) the tax impact of the aforementioned adjustments, as applicable. The Incentive EPS metric was adjusted from diluted EPS to exclude the following: (i) pretax amortization, (ii) pretax impact of the loss incurred on the partial repurchase of our Senior Secured Notes, (iii) pretax restructuring and related costs, (iv) pretax gain on sale of property, plant and equipment, and (v) the tax impact of the aforementioned adjustments, as applicable. </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Benefits</w:t>
      </w:r>
    </w:p>
    <w:p>
      <w:pPr>
        <w:spacing w:after="0" w:line="180"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14202A"/>
        </w:rPr>
        <w:t>Our NEOs are eligible to participate in the same benefit plans designed for all our full-time employees. The basic insurance package includes health, dental, disability and basic group life insurance. Except as specifically summarized in this Compensation Discussion and Analysis and the “2014 Plan and 2019 Plan Benefits” and “Annual Incentive Plan Payments” sections below, we do not currently provide retirement payments and benefits for our NEOs, such as defined benefit plans and supplemental executive retirement plans.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Profit Sharing and Deferred Savings and Investment Plan</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14202A"/>
        </w:rPr>
        <w:t>We maintain a 401(k) plan, the Winnebago Industries, Inc. Profit Sharing and Deferred Savings and Investment Plan (the “401(k) Plan”), which is a tax-qualified defined contribution plan maintained for the benefit of substantially all hourly and salaried employees, including our executives. The 401(k) Plan offers NEOs and all other employees the opportunity to defer a percentage of their base compensation and incentive pay (“401(k) Eligible Compensation”). The Company currently matches employee contributions dollar for dollar up to 3% of 401(k) Eligible Compensation and half of employee contributions up to the next 2% of 401(k) Eligible Compensation (subject to IRS limits and 401(k) safe harbor considerations), subject to a two-year, pro-rata vesting period for employees hired after January 1, 2018.</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Executive Deferred Compensation Plan (Non-Qualified Deferred Compensation Plan)</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14202A"/>
        </w:rPr>
        <w:t>Under the Executive Deferred Compensation Plan (“Deferred Compensation Plan”), executive officers and certain key employees may annually choose to defer up to 50% of their salary and up to 100% of their cash incentive awards. The committee has determined that the Deferred Compensation Plan will have the same nominal investment options as the 401(k) Plan. The Company does not provide any matching contributions to the Deferred Compensation Plan.</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Perquisites</w:t>
      </w:r>
    </w:p>
    <w:p>
      <w:pPr>
        <w:spacing w:after="0" w:line="18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14202A"/>
        </w:rPr>
        <w:t>We provide NEOs with limited perquisites that the committee believes are reasonable and consistent with the overall compensation program to better enable us to attract and retain superior employees for key positions. The committee periodically reviews the levels of perquisites and other personal benefits provided to NEOs. Based upon this periodic review, perquisites are awarded or adjusted on an individual basis. Not all NEOs receive the same, or equal levels, of perquisites.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14202A"/>
        </w:rPr>
        <w:t>The perquisites provided to our NEOs include:</w:t>
      </w:r>
    </w:p>
    <w:p>
      <w:pPr>
        <w:spacing w:after="0" w:line="181" w:lineRule="exact"/>
        <w:rPr>
          <w:sz w:val="20"/>
          <w:szCs w:val="20"/>
          <w:color w:val="auto"/>
        </w:rPr>
      </w:pPr>
    </w:p>
    <w:p>
      <w:pPr>
        <w:ind w:left="720" w:right="520"/>
        <w:spacing w:after="0" w:line="286" w:lineRule="auto"/>
        <w:rPr>
          <w:sz w:val="20"/>
          <w:szCs w:val="20"/>
          <w:color w:val="auto"/>
        </w:rPr>
      </w:pPr>
      <w:r>
        <w:rPr>
          <w:rFonts w:ascii="Arial" w:cs="Arial" w:eastAsia="Arial" w:hAnsi="Arial"/>
          <w:sz w:val="16"/>
          <w:szCs w:val="16"/>
          <w:b w:val="1"/>
          <w:bCs w:val="1"/>
          <w:color w:val="14202A"/>
        </w:rPr>
        <w:t xml:space="preserve">Executive Physical. </w:t>
      </w:r>
      <w:r>
        <w:rPr>
          <w:rFonts w:ascii="Arial" w:cs="Arial" w:eastAsia="Arial" w:hAnsi="Arial"/>
          <w:sz w:val="16"/>
          <w:szCs w:val="16"/>
          <w:color w:val="14202A"/>
        </w:rPr>
        <w:t>To encourage executives to monitor and maintain good health, we pay for voluntary annual</w:t>
      </w:r>
      <w:r>
        <w:rPr>
          <w:rFonts w:ascii="Arial" w:cs="Arial" w:eastAsia="Arial" w:hAnsi="Arial"/>
          <w:sz w:val="16"/>
          <w:szCs w:val="16"/>
          <w:b w:val="1"/>
          <w:bCs w:val="1"/>
          <w:color w:val="14202A"/>
        </w:rPr>
        <w:t xml:space="preserve"> </w:t>
      </w:r>
      <w:r>
        <w:rPr>
          <w:rFonts w:ascii="Arial" w:cs="Arial" w:eastAsia="Arial" w:hAnsi="Arial"/>
          <w:sz w:val="16"/>
          <w:szCs w:val="16"/>
          <w:color w:val="14202A"/>
        </w:rPr>
        <w:t>physical examinations for executives, including the NEOs.</w:t>
      </w:r>
    </w:p>
    <w:p>
      <w:pPr>
        <w:spacing w:after="0" w:line="115" w:lineRule="exact"/>
        <w:rPr>
          <w:sz w:val="20"/>
          <w:szCs w:val="20"/>
          <w:color w:val="auto"/>
        </w:rPr>
      </w:pPr>
    </w:p>
    <w:p>
      <w:pPr>
        <w:ind w:left="720" w:right="100"/>
        <w:spacing w:after="0" w:line="259" w:lineRule="auto"/>
        <w:rPr>
          <w:sz w:val="20"/>
          <w:szCs w:val="20"/>
          <w:color w:val="auto"/>
        </w:rPr>
      </w:pPr>
      <w:r>
        <w:rPr>
          <w:rFonts w:ascii="Arial" w:cs="Arial" w:eastAsia="Arial" w:hAnsi="Arial"/>
          <w:sz w:val="16"/>
          <w:szCs w:val="16"/>
          <w:b w:val="1"/>
          <w:bCs w:val="1"/>
          <w:color w:val="14202A"/>
        </w:rPr>
        <w:t xml:space="preserve">Recreational Vehicle and Boat Use. </w:t>
      </w:r>
      <w:r>
        <w:rPr>
          <w:rFonts w:ascii="Arial" w:cs="Arial" w:eastAsia="Arial" w:hAnsi="Arial"/>
          <w:sz w:val="16"/>
          <w:szCs w:val="16"/>
          <w:color w:val="14202A"/>
        </w:rPr>
        <w:t>Our executives, including NEOs, can use our recreational vehicles and boats on</w:t>
      </w:r>
      <w:r>
        <w:rPr>
          <w:rFonts w:ascii="Arial" w:cs="Arial" w:eastAsia="Arial" w:hAnsi="Arial"/>
          <w:sz w:val="16"/>
          <w:szCs w:val="16"/>
          <w:b w:val="1"/>
          <w:bCs w:val="1"/>
          <w:color w:val="14202A"/>
        </w:rPr>
        <w:t xml:space="preserve"> </w:t>
      </w:r>
      <w:r>
        <w:rPr>
          <w:rFonts w:ascii="Arial" w:cs="Arial" w:eastAsia="Arial" w:hAnsi="Arial"/>
          <w:sz w:val="16"/>
          <w:szCs w:val="16"/>
          <w:color w:val="14202A"/>
        </w:rPr>
        <w:t>a periodic and temporary basis. We encourage our executives to have a first-hand understanding of the outdoor lifestyle experienced by our customers and to provide our executives with the opportunity to evaluate product design and efficiency.</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14202A"/>
        </w:rPr>
        <w:t xml:space="preserve">Car Allowance. </w:t>
      </w:r>
      <w:r>
        <w:rPr>
          <w:rFonts w:ascii="Arial" w:cs="Arial" w:eastAsia="Arial" w:hAnsi="Arial"/>
          <w:sz w:val="16"/>
          <w:szCs w:val="16"/>
          <w:color w:val="14202A"/>
        </w:rPr>
        <w:t>A car allowance is provided as frequent travel is required.</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14202A"/>
        </w:rPr>
        <w:t xml:space="preserve">Financial and Tax Planning. </w:t>
      </w:r>
      <w:r>
        <w:rPr>
          <w:rFonts w:ascii="Arial" w:cs="Arial" w:eastAsia="Arial" w:hAnsi="Arial"/>
          <w:sz w:val="16"/>
          <w:szCs w:val="16"/>
          <w:color w:val="14202A"/>
        </w:rPr>
        <w:t>To address complex tax and financial situations, we pay for tax and financial planning.</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Additional Compensation Policies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Policies and Procedures Related to the Grant of Certain Equity Awards</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14202A"/>
        </w:rPr>
        <w:t>The Company does not have any formal policy that requires us to grant, or avoid granting, equity-based compensation to our executive officers at certain times. Our current long-term incentive program includes the grant of stock options, representing 15% of the total long-term incentive value for Fiscal 2026 awards. Consistent with our annual compensation cycle, the committee typically grants annual equity awards, including stock options, to our executive officers in October of each year at the committee’s first meeting of our fiscal year. The dates for these committee meetings are set more than a year in advance on a fairly consistent cadence year over year.</w:t>
      </w:r>
    </w:p>
    <w:p>
      <w:pPr>
        <w:spacing w:after="0" w:line="141"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14202A"/>
        </w:rPr>
        <w:t>The timing of any equity grants to executive officers in connection with new hires, promotions, or other non-routine grants is tied to the event giving rise to the award (such as an executive officer’s commencement of employment or promotion effective date).</w:t>
      </w:r>
    </w:p>
    <w:p>
      <w:pPr>
        <w:spacing w:after="0" w:line="115"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14202A"/>
        </w:rPr>
        <w:t>As a result, in all cases, the timing of grants of equity awards, including stock options, occurs independent of the release of any material nonpublic information, and we do not time the disclosure of material nonpublic information for the purpose of affecting the value of equity-based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Stock Ownership Guidelines</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14202A"/>
        </w:rPr>
        <w:t>The committee has adopted stock ownership guidelines for executive officers. The purpose of the guidelines is to encourage our executive officers to own and retain Company shares, thereby aligning their interests with our shareholders. In general, each executive officer has five years from the date he or she becomes an executive to accumulate the appropriate number of shares. In addition, each executive officer is required to retain 50% of any after-tax shares received from the vesting of awards or exercise of stock options until the applicable stock ownership guideline is met. For purposes of this determination, stock ownership includes shares of our common stock that are owned directly, unvested restricted stock, and unvested restricted stock units (other than stock units subject to achievement of performance targets).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4202A"/>
        </w:rPr>
        <w:t>We review our stock ownership guidelines on a periodic basis. The table below describes the current ownership guidelines for the NEOs. As of August 29, 2026, each of our NEOs had either met his or her stock ownership guideline goal or was on track to meet this goal within the prescribed five-year time frame.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3840" w:type="dxa"/>
            <w:vAlign w:val="bottom"/>
            <w:shd w:val="clear" w:color="auto" w:fill="14202A"/>
          </w:tcPr>
          <w:p>
            <w:pPr>
              <w:spacing w:after="0"/>
              <w:rPr>
                <w:sz w:val="19"/>
                <w:szCs w:val="19"/>
                <w:color w:val="auto"/>
              </w:rPr>
            </w:pPr>
          </w:p>
        </w:tc>
        <w:tc>
          <w:tcPr>
            <w:tcW w:w="3940" w:type="dxa"/>
            <w:vAlign w:val="bottom"/>
            <w:shd w:val="clear" w:color="auto" w:fill="14202A"/>
          </w:tcPr>
          <w:p>
            <w:pPr>
              <w:jc w:val="center"/>
              <w:ind w:left="2372"/>
              <w:spacing w:after="0"/>
              <w:rPr>
                <w:sz w:val="20"/>
                <w:szCs w:val="20"/>
                <w:color w:val="auto"/>
              </w:rPr>
            </w:pPr>
            <w:r>
              <w:rPr>
                <w:rFonts w:ascii="Arial" w:cs="Arial" w:eastAsia="Arial" w:hAnsi="Arial"/>
                <w:sz w:val="13"/>
                <w:szCs w:val="13"/>
                <w:b w:val="1"/>
                <w:bCs w:val="1"/>
                <w:color w:val="FFFFFF"/>
                <w:w w:val="96"/>
              </w:rPr>
              <w:t>Stock Ownership</w:t>
            </w:r>
          </w:p>
        </w:tc>
        <w:tc>
          <w:tcPr>
            <w:tcW w:w="1400" w:type="dxa"/>
            <w:vAlign w:val="bottom"/>
            <w:shd w:val="clear" w:color="auto" w:fill="14202A"/>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840" w:type="dxa"/>
            <w:vAlign w:val="bottom"/>
            <w:shd w:val="clear" w:color="auto" w:fill="14202A"/>
          </w:tcPr>
          <w:p>
            <w:pPr>
              <w:spacing w:after="0"/>
              <w:rPr>
                <w:sz w:val="11"/>
                <w:szCs w:val="11"/>
                <w:color w:val="auto"/>
              </w:rPr>
            </w:pPr>
          </w:p>
        </w:tc>
        <w:tc>
          <w:tcPr>
            <w:tcW w:w="3940" w:type="dxa"/>
            <w:vAlign w:val="bottom"/>
            <w:shd w:val="clear" w:color="auto" w:fill="14202A"/>
          </w:tcPr>
          <w:p>
            <w:pPr>
              <w:jc w:val="center"/>
              <w:ind w:left="2352"/>
              <w:spacing w:after="0" w:line="135" w:lineRule="exact"/>
              <w:rPr>
                <w:sz w:val="20"/>
                <w:szCs w:val="20"/>
                <w:color w:val="auto"/>
              </w:rPr>
            </w:pPr>
            <w:r>
              <w:rPr>
                <w:rFonts w:ascii="Arial" w:cs="Arial" w:eastAsia="Arial" w:hAnsi="Arial"/>
                <w:sz w:val="13"/>
                <w:szCs w:val="13"/>
                <w:b w:val="1"/>
                <w:bCs w:val="1"/>
                <w:color w:val="FFFFFF"/>
                <w:w w:val="96"/>
              </w:rPr>
              <w:t>Guidelines</w:t>
            </w:r>
          </w:p>
        </w:tc>
        <w:tc>
          <w:tcPr>
            <w:tcW w:w="1400" w:type="dxa"/>
            <w:vAlign w:val="bottom"/>
            <w:vMerge w:val="restart"/>
            <w:shd w:val="clear" w:color="auto" w:fill="14202A"/>
          </w:tcPr>
          <w:p>
            <w:pPr>
              <w:jc w:val="center"/>
              <w:ind w:left="31"/>
              <w:spacing w:after="0"/>
              <w:rPr>
                <w:sz w:val="20"/>
                <w:szCs w:val="20"/>
                <w:color w:val="auto"/>
              </w:rPr>
            </w:pPr>
            <w:r>
              <w:rPr>
                <w:rFonts w:ascii="Arial" w:cs="Arial" w:eastAsia="Arial" w:hAnsi="Arial"/>
                <w:sz w:val="13"/>
                <w:szCs w:val="13"/>
                <w:b w:val="1"/>
                <w:bCs w:val="1"/>
                <w:color w:val="FFFFFF"/>
                <w:w w:val="96"/>
              </w:rPr>
              <w:t>In Compliance</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84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3940" w:type="dxa"/>
            <w:vAlign w:val="bottom"/>
            <w:shd w:val="clear" w:color="auto" w:fill="14202A"/>
          </w:tcPr>
          <w:p>
            <w:pPr>
              <w:jc w:val="center"/>
              <w:ind w:left="2352"/>
              <w:spacing w:after="0" w:line="135" w:lineRule="exact"/>
              <w:rPr>
                <w:sz w:val="20"/>
                <w:szCs w:val="20"/>
                <w:color w:val="auto"/>
              </w:rPr>
            </w:pPr>
            <w:r>
              <w:rPr>
                <w:rFonts w:ascii="Arial" w:cs="Arial" w:eastAsia="Arial" w:hAnsi="Arial"/>
                <w:sz w:val="13"/>
                <w:szCs w:val="13"/>
                <w:b w:val="1"/>
                <w:bCs w:val="1"/>
                <w:color w:val="FFFFFF"/>
                <w:w w:val="96"/>
              </w:rPr>
              <w:t>(as a multiple of</w:t>
            </w:r>
          </w:p>
        </w:tc>
        <w:tc>
          <w:tcPr>
            <w:tcW w:w="1400" w:type="dxa"/>
            <w:vAlign w:val="bottom"/>
            <w:vMerge w:val="continue"/>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00" w:type="dxa"/>
            <w:vAlign w:val="bottom"/>
            <w:tcBorders>
              <w:bottom w:val="single" w:sz="8" w:color="14202A"/>
            </w:tcBorders>
            <w:shd w:val="clear" w:color="auto" w:fill="14202A"/>
          </w:tcPr>
          <w:p>
            <w:pPr>
              <w:spacing w:after="0"/>
              <w:rPr>
                <w:sz w:val="17"/>
                <w:szCs w:val="17"/>
                <w:color w:val="auto"/>
              </w:rPr>
            </w:pPr>
          </w:p>
        </w:tc>
        <w:tc>
          <w:tcPr>
            <w:tcW w:w="3840" w:type="dxa"/>
            <w:vAlign w:val="bottom"/>
            <w:tcBorders>
              <w:bottom w:val="single" w:sz="8" w:color="14202A"/>
            </w:tcBorders>
            <w:vMerge w:val="continue"/>
            <w:shd w:val="clear" w:color="auto" w:fill="14202A"/>
          </w:tcPr>
          <w:p>
            <w:pPr>
              <w:spacing w:after="0"/>
              <w:rPr>
                <w:sz w:val="17"/>
                <w:szCs w:val="17"/>
                <w:color w:val="auto"/>
              </w:rPr>
            </w:pPr>
          </w:p>
        </w:tc>
        <w:tc>
          <w:tcPr>
            <w:tcW w:w="3940" w:type="dxa"/>
            <w:vAlign w:val="bottom"/>
            <w:tcBorders>
              <w:bottom w:val="single" w:sz="8" w:color="14202A"/>
            </w:tcBorders>
            <w:shd w:val="clear" w:color="auto" w:fill="14202A"/>
          </w:tcPr>
          <w:p>
            <w:pPr>
              <w:jc w:val="center"/>
              <w:ind w:left="2372"/>
              <w:spacing w:after="0"/>
              <w:rPr>
                <w:sz w:val="20"/>
                <w:szCs w:val="20"/>
                <w:color w:val="auto"/>
              </w:rPr>
            </w:pPr>
            <w:r>
              <w:rPr>
                <w:rFonts w:ascii="Arial" w:cs="Arial" w:eastAsia="Arial" w:hAnsi="Arial"/>
                <w:sz w:val="13"/>
                <w:szCs w:val="13"/>
                <w:b w:val="1"/>
                <w:bCs w:val="1"/>
                <w:color w:val="FFFFFF"/>
                <w:w w:val="98"/>
              </w:rPr>
              <w:t>base salary)</w:t>
            </w:r>
          </w:p>
        </w:tc>
        <w:tc>
          <w:tcPr>
            <w:tcW w:w="1400" w:type="dxa"/>
            <w:vAlign w:val="bottom"/>
            <w:tcBorders>
              <w:bottom w:val="single" w:sz="8" w:color="14202A"/>
            </w:tcBorders>
            <w:shd w:val="clear" w:color="auto" w:fill="14202A"/>
          </w:tcPr>
          <w:p>
            <w:pPr>
              <w:jc w:val="center"/>
              <w:ind w:left="31"/>
              <w:spacing w:after="0"/>
              <w:rPr>
                <w:sz w:val="20"/>
                <w:szCs w:val="20"/>
                <w:color w:val="auto"/>
              </w:rPr>
            </w:pPr>
            <w:r>
              <w:rPr>
                <w:rFonts w:ascii="Arial" w:cs="Arial" w:eastAsia="Arial" w:hAnsi="Arial"/>
                <w:sz w:val="13"/>
                <w:szCs w:val="13"/>
                <w:b w:val="1"/>
                <w:bCs w:val="1"/>
                <w:color w:val="FFFFFF"/>
                <w:w w:val="98"/>
              </w:rPr>
              <w:t>with Guidelines?</w:t>
            </w: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3840" w:type="dxa"/>
            <w:vAlign w:val="bottom"/>
          </w:tcPr>
          <w:p>
            <w:pPr>
              <w:ind w:left="60"/>
              <w:spacing w:after="0"/>
              <w:rPr>
                <w:sz w:val="20"/>
                <w:szCs w:val="20"/>
                <w:color w:val="auto"/>
              </w:rPr>
            </w:pPr>
            <w:r>
              <w:rPr>
                <w:rFonts w:ascii="Arial" w:cs="Arial" w:eastAsia="Arial" w:hAnsi="Arial"/>
                <w:sz w:val="14"/>
                <w:szCs w:val="14"/>
                <w:color w:val="14202A"/>
              </w:rPr>
              <w:t>Michael J. Happe</w:t>
            </w:r>
          </w:p>
        </w:tc>
        <w:tc>
          <w:tcPr>
            <w:tcW w:w="3940" w:type="dxa"/>
            <w:vAlign w:val="bottom"/>
          </w:tcPr>
          <w:p>
            <w:pPr>
              <w:jc w:val="center"/>
              <w:ind w:left="2372"/>
              <w:spacing w:after="0"/>
              <w:rPr>
                <w:sz w:val="20"/>
                <w:szCs w:val="20"/>
                <w:color w:val="auto"/>
              </w:rPr>
            </w:pPr>
            <w:r>
              <w:rPr>
                <w:rFonts w:ascii="Arial" w:cs="Arial" w:eastAsia="Arial" w:hAnsi="Arial"/>
                <w:sz w:val="14"/>
                <w:szCs w:val="14"/>
                <w:color w:val="14202A"/>
                <w:w w:val="94"/>
              </w:rPr>
              <w:t>5x</w:t>
            </w:r>
          </w:p>
        </w:tc>
        <w:tc>
          <w:tcPr>
            <w:tcW w:w="1400" w:type="dxa"/>
            <w:vAlign w:val="bottom"/>
          </w:tcPr>
          <w:p>
            <w:pPr>
              <w:jc w:val="center"/>
              <w:ind w:left="11"/>
              <w:spacing w:after="0"/>
              <w:rPr>
                <w:sz w:val="20"/>
                <w:szCs w:val="20"/>
                <w:color w:val="auto"/>
              </w:rPr>
            </w:pPr>
            <w:r>
              <w:rPr>
                <w:rFonts w:ascii="Arial" w:cs="Arial" w:eastAsia="Arial" w:hAnsi="Arial"/>
                <w:sz w:val="14"/>
                <w:szCs w:val="14"/>
                <w:color w:val="14202A"/>
                <w:w w:val="99"/>
              </w:rPr>
              <w:t>Yes</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840" w:type="dxa"/>
            <w:vAlign w:val="bottom"/>
            <w:tcBorders>
              <w:bottom w:val="single" w:sz="8" w:color="14202A"/>
            </w:tcBorders>
          </w:tcPr>
          <w:p>
            <w:pPr>
              <w:spacing w:after="0"/>
              <w:rPr>
                <w:sz w:val="4"/>
                <w:szCs w:val="4"/>
                <w:color w:val="auto"/>
              </w:rPr>
            </w:pPr>
          </w:p>
        </w:tc>
        <w:tc>
          <w:tcPr>
            <w:tcW w:w="3940" w:type="dxa"/>
            <w:vAlign w:val="bottom"/>
            <w:tcBorders>
              <w:bottom w:val="single" w:sz="8" w:color="14202A"/>
            </w:tcBorders>
          </w:tcPr>
          <w:p>
            <w:pPr>
              <w:spacing w:after="0"/>
              <w:rPr>
                <w:sz w:val="4"/>
                <w:szCs w:val="4"/>
                <w:color w:val="auto"/>
              </w:rPr>
            </w:pPr>
          </w:p>
        </w:tc>
        <w:tc>
          <w:tcPr>
            <w:tcW w:w="14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840" w:type="dxa"/>
            <w:vAlign w:val="bottom"/>
          </w:tcPr>
          <w:p>
            <w:pPr>
              <w:ind w:left="60"/>
              <w:spacing w:after="0"/>
              <w:rPr>
                <w:sz w:val="20"/>
                <w:szCs w:val="20"/>
                <w:color w:val="auto"/>
              </w:rPr>
            </w:pPr>
            <w:r>
              <w:rPr>
                <w:rFonts w:ascii="Arial" w:cs="Arial" w:eastAsia="Arial" w:hAnsi="Arial"/>
                <w:sz w:val="14"/>
                <w:szCs w:val="14"/>
                <w:color w:val="14202A"/>
              </w:rPr>
              <w:t>Bryan L. Hughes</w:t>
            </w:r>
          </w:p>
        </w:tc>
        <w:tc>
          <w:tcPr>
            <w:tcW w:w="3940" w:type="dxa"/>
            <w:vAlign w:val="bottom"/>
          </w:tcPr>
          <w:p>
            <w:pPr>
              <w:jc w:val="center"/>
              <w:ind w:left="2372"/>
              <w:spacing w:after="0"/>
              <w:rPr>
                <w:sz w:val="20"/>
                <w:szCs w:val="20"/>
                <w:color w:val="auto"/>
              </w:rPr>
            </w:pPr>
            <w:r>
              <w:rPr>
                <w:rFonts w:ascii="Arial" w:cs="Arial" w:eastAsia="Arial" w:hAnsi="Arial"/>
                <w:sz w:val="14"/>
                <w:szCs w:val="14"/>
                <w:color w:val="14202A"/>
                <w:w w:val="94"/>
              </w:rPr>
              <w:t>3x</w:t>
            </w:r>
          </w:p>
        </w:tc>
        <w:tc>
          <w:tcPr>
            <w:tcW w:w="1400" w:type="dxa"/>
            <w:vAlign w:val="bottom"/>
          </w:tcPr>
          <w:p>
            <w:pPr>
              <w:jc w:val="center"/>
              <w:ind w:left="11"/>
              <w:spacing w:after="0"/>
              <w:rPr>
                <w:sz w:val="20"/>
                <w:szCs w:val="20"/>
                <w:color w:val="auto"/>
              </w:rPr>
            </w:pPr>
            <w:r>
              <w:rPr>
                <w:rFonts w:ascii="Arial" w:cs="Arial" w:eastAsia="Arial" w:hAnsi="Arial"/>
                <w:sz w:val="14"/>
                <w:szCs w:val="14"/>
                <w:color w:val="14202A"/>
                <w:w w:val="99"/>
              </w:rPr>
              <w:t>Yes</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840" w:type="dxa"/>
            <w:vAlign w:val="bottom"/>
            <w:tcBorders>
              <w:bottom w:val="single" w:sz="8" w:color="14202A"/>
            </w:tcBorders>
          </w:tcPr>
          <w:p>
            <w:pPr>
              <w:spacing w:after="0"/>
              <w:rPr>
                <w:sz w:val="4"/>
                <w:szCs w:val="4"/>
                <w:color w:val="auto"/>
              </w:rPr>
            </w:pPr>
          </w:p>
        </w:tc>
        <w:tc>
          <w:tcPr>
            <w:tcW w:w="3940" w:type="dxa"/>
            <w:vAlign w:val="bottom"/>
            <w:tcBorders>
              <w:bottom w:val="single" w:sz="8" w:color="14202A"/>
            </w:tcBorders>
          </w:tcPr>
          <w:p>
            <w:pPr>
              <w:spacing w:after="0"/>
              <w:rPr>
                <w:sz w:val="4"/>
                <w:szCs w:val="4"/>
                <w:color w:val="auto"/>
              </w:rPr>
            </w:pPr>
          </w:p>
        </w:tc>
        <w:tc>
          <w:tcPr>
            <w:tcW w:w="14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840" w:type="dxa"/>
            <w:vAlign w:val="bottom"/>
          </w:tcPr>
          <w:p>
            <w:pPr>
              <w:ind w:left="60"/>
              <w:spacing w:after="0"/>
              <w:rPr>
                <w:sz w:val="20"/>
                <w:szCs w:val="20"/>
                <w:color w:val="auto"/>
              </w:rPr>
            </w:pPr>
            <w:r>
              <w:rPr>
                <w:rFonts w:ascii="Arial" w:cs="Arial" w:eastAsia="Arial" w:hAnsi="Arial"/>
                <w:sz w:val="14"/>
                <w:szCs w:val="14"/>
                <w:color w:val="14202A"/>
              </w:rPr>
              <w:t>Donald J. Clark</w:t>
            </w:r>
          </w:p>
        </w:tc>
        <w:tc>
          <w:tcPr>
            <w:tcW w:w="3940" w:type="dxa"/>
            <w:vAlign w:val="bottom"/>
          </w:tcPr>
          <w:p>
            <w:pPr>
              <w:jc w:val="center"/>
              <w:ind w:left="2372"/>
              <w:spacing w:after="0"/>
              <w:rPr>
                <w:sz w:val="20"/>
                <w:szCs w:val="20"/>
                <w:color w:val="auto"/>
              </w:rPr>
            </w:pPr>
            <w:r>
              <w:rPr>
                <w:rFonts w:ascii="Arial" w:cs="Arial" w:eastAsia="Arial" w:hAnsi="Arial"/>
                <w:sz w:val="14"/>
                <w:szCs w:val="14"/>
                <w:color w:val="14202A"/>
                <w:w w:val="98"/>
              </w:rPr>
              <w:t>2.5x</w:t>
            </w:r>
          </w:p>
        </w:tc>
        <w:tc>
          <w:tcPr>
            <w:tcW w:w="1400" w:type="dxa"/>
            <w:vAlign w:val="bottom"/>
          </w:tcPr>
          <w:p>
            <w:pPr>
              <w:jc w:val="center"/>
              <w:ind w:left="11"/>
              <w:spacing w:after="0"/>
              <w:rPr>
                <w:sz w:val="20"/>
                <w:szCs w:val="20"/>
                <w:color w:val="auto"/>
              </w:rPr>
            </w:pPr>
            <w:r>
              <w:rPr>
                <w:rFonts w:ascii="Arial" w:cs="Arial" w:eastAsia="Arial" w:hAnsi="Arial"/>
                <w:sz w:val="14"/>
                <w:szCs w:val="14"/>
                <w:color w:val="14202A"/>
                <w:w w:val="99"/>
              </w:rPr>
              <w:t>Yes</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840" w:type="dxa"/>
            <w:vAlign w:val="bottom"/>
            <w:tcBorders>
              <w:bottom w:val="single" w:sz="8" w:color="14202A"/>
            </w:tcBorders>
          </w:tcPr>
          <w:p>
            <w:pPr>
              <w:spacing w:after="0"/>
              <w:rPr>
                <w:sz w:val="4"/>
                <w:szCs w:val="4"/>
                <w:color w:val="auto"/>
              </w:rPr>
            </w:pPr>
          </w:p>
        </w:tc>
        <w:tc>
          <w:tcPr>
            <w:tcW w:w="3940" w:type="dxa"/>
            <w:vAlign w:val="bottom"/>
            <w:tcBorders>
              <w:bottom w:val="single" w:sz="8" w:color="14202A"/>
            </w:tcBorders>
          </w:tcPr>
          <w:p>
            <w:pPr>
              <w:spacing w:after="0"/>
              <w:rPr>
                <w:sz w:val="4"/>
                <w:szCs w:val="4"/>
                <w:color w:val="auto"/>
              </w:rPr>
            </w:pPr>
          </w:p>
        </w:tc>
        <w:tc>
          <w:tcPr>
            <w:tcW w:w="14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840" w:type="dxa"/>
            <w:vAlign w:val="bottom"/>
          </w:tcPr>
          <w:p>
            <w:pPr>
              <w:ind w:left="60"/>
              <w:spacing w:after="0"/>
              <w:rPr>
                <w:sz w:val="20"/>
                <w:szCs w:val="20"/>
                <w:color w:val="auto"/>
              </w:rPr>
            </w:pPr>
            <w:r>
              <w:rPr>
                <w:rFonts w:ascii="Arial" w:cs="Arial" w:eastAsia="Arial" w:hAnsi="Arial"/>
                <w:sz w:val="14"/>
                <w:szCs w:val="14"/>
                <w:color w:val="14202A"/>
              </w:rPr>
              <w:t>Casey J. Tubman</w:t>
            </w:r>
          </w:p>
        </w:tc>
        <w:tc>
          <w:tcPr>
            <w:tcW w:w="3940" w:type="dxa"/>
            <w:vAlign w:val="bottom"/>
          </w:tcPr>
          <w:p>
            <w:pPr>
              <w:jc w:val="center"/>
              <w:ind w:left="2372"/>
              <w:spacing w:after="0"/>
              <w:rPr>
                <w:sz w:val="20"/>
                <w:szCs w:val="20"/>
                <w:color w:val="auto"/>
              </w:rPr>
            </w:pPr>
            <w:r>
              <w:rPr>
                <w:rFonts w:ascii="Arial" w:cs="Arial" w:eastAsia="Arial" w:hAnsi="Arial"/>
                <w:sz w:val="14"/>
                <w:szCs w:val="14"/>
                <w:color w:val="14202A"/>
                <w:w w:val="98"/>
              </w:rPr>
              <w:t>2.5x</w:t>
            </w:r>
          </w:p>
        </w:tc>
        <w:tc>
          <w:tcPr>
            <w:tcW w:w="1400" w:type="dxa"/>
            <w:vAlign w:val="bottom"/>
          </w:tcPr>
          <w:p>
            <w:pPr>
              <w:jc w:val="center"/>
              <w:ind w:left="31"/>
              <w:spacing w:after="0"/>
              <w:rPr>
                <w:sz w:val="20"/>
                <w:szCs w:val="20"/>
                <w:color w:val="auto"/>
              </w:rPr>
            </w:pPr>
            <w:r>
              <w:rPr>
                <w:rFonts w:ascii="Arial" w:cs="Arial" w:eastAsia="Arial" w:hAnsi="Arial"/>
                <w:sz w:val="14"/>
                <w:szCs w:val="14"/>
                <w:color w:val="14202A"/>
              </w:rPr>
              <w:t>On Track</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840" w:type="dxa"/>
            <w:vAlign w:val="bottom"/>
            <w:tcBorders>
              <w:bottom w:val="single" w:sz="8" w:color="14202A"/>
            </w:tcBorders>
          </w:tcPr>
          <w:p>
            <w:pPr>
              <w:spacing w:after="0"/>
              <w:rPr>
                <w:sz w:val="4"/>
                <w:szCs w:val="4"/>
                <w:color w:val="auto"/>
              </w:rPr>
            </w:pPr>
          </w:p>
        </w:tc>
        <w:tc>
          <w:tcPr>
            <w:tcW w:w="3940" w:type="dxa"/>
            <w:vAlign w:val="bottom"/>
            <w:tcBorders>
              <w:bottom w:val="single" w:sz="8" w:color="14202A"/>
            </w:tcBorders>
          </w:tcPr>
          <w:p>
            <w:pPr>
              <w:spacing w:after="0"/>
              <w:rPr>
                <w:sz w:val="4"/>
                <w:szCs w:val="4"/>
                <w:color w:val="auto"/>
              </w:rPr>
            </w:pPr>
          </w:p>
        </w:tc>
        <w:tc>
          <w:tcPr>
            <w:tcW w:w="14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840" w:type="dxa"/>
            <w:vAlign w:val="bottom"/>
          </w:tcPr>
          <w:p>
            <w:pPr>
              <w:ind w:left="60"/>
              <w:spacing w:after="0"/>
              <w:rPr>
                <w:sz w:val="20"/>
                <w:szCs w:val="20"/>
                <w:color w:val="auto"/>
              </w:rPr>
            </w:pPr>
            <w:r>
              <w:rPr>
                <w:rFonts w:ascii="Arial" w:cs="Arial" w:eastAsia="Arial" w:hAnsi="Arial"/>
                <w:sz w:val="14"/>
                <w:szCs w:val="14"/>
                <w:color w:val="14202A"/>
              </w:rPr>
              <w:t>Stacy L. Bogart</w:t>
            </w:r>
          </w:p>
        </w:tc>
        <w:tc>
          <w:tcPr>
            <w:tcW w:w="3940" w:type="dxa"/>
            <w:vAlign w:val="bottom"/>
          </w:tcPr>
          <w:p>
            <w:pPr>
              <w:jc w:val="center"/>
              <w:ind w:left="2372"/>
              <w:spacing w:after="0"/>
              <w:rPr>
                <w:sz w:val="20"/>
                <w:szCs w:val="20"/>
                <w:color w:val="auto"/>
              </w:rPr>
            </w:pPr>
            <w:r>
              <w:rPr>
                <w:rFonts w:ascii="Arial" w:cs="Arial" w:eastAsia="Arial" w:hAnsi="Arial"/>
                <w:sz w:val="14"/>
                <w:szCs w:val="14"/>
                <w:color w:val="14202A"/>
                <w:w w:val="98"/>
              </w:rPr>
              <w:t>2.5x</w:t>
            </w:r>
          </w:p>
        </w:tc>
        <w:tc>
          <w:tcPr>
            <w:tcW w:w="1400" w:type="dxa"/>
            <w:vAlign w:val="bottom"/>
          </w:tcPr>
          <w:p>
            <w:pPr>
              <w:jc w:val="center"/>
              <w:ind w:left="11"/>
              <w:spacing w:after="0"/>
              <w:rPr>
                <w:sz w:val="20"/>
                <w:szCs w:val="20"/>
                <w:color w:val="auto"/>
              </w:rPr>
            </w:pPr>
            <w:r>
              <w:rPr>
                <w:rFonts w:ascii="Arial" w:cs="Arial" w:eastAsia="Arial" w:hAnsi="Arial"/>
                <w:sz w:val="14"/>
                <w:szCs w:val="14"/>
                <w:color w:val="14202A"/>
                <w:w w:val="99"/>
              </w:rPr>
              <w:t>Yes</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840" w:type="dxa"/>
            <w:vAlign w:val="bottom"/>
            <w:tcBorders>
              <w:bottom w:val="single" w:sz="8" w:color="14202A"/>
            </w:tcBorders>
          </w:tcPr>
          <w:p>
            <w:pPr>
              <w:spacing w:after="0" w:line="20" w:lineRule="exact"/>
              <w:rPr>
                <w:sz w:val="1"/>
                <w:szCs w:val="1"/>
                <w:color w:val="auto"/>
              </w:rPr>
            </w:pPr>
          </w:p>
        </w:tc>
        <w:tc>
          <w:tcPr>
            <w:tcW w:w="3940" w:type="dxa"/>
            <w:vAlign w:val="bottom"/>
            <w:tcBorders>
              <w:bottom w:val="single" w:sz="8" w:color="14202A"/>
            </w:tcBorders>
          </w:tcPr>
          <w:p>
            <w:pPr>
              <w:spacing w:after="0" w:line="20" w:lineRule="exact"/>
              <w:rPr>
                <w:sz w:val="1"/>
                <w:szCs w:val="1"/>
                <w:color w:val="auto"/>
              </w:rPr>
            </w:pPr>
          </w:p>
        </w:tc>
        <w:tc>
          <w:tcPr>
            <w:tcW w:w="14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Employment, Severance and Change in Control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Employment Agreements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14202A"/>
        </w:rPr>
        <w:t>Mr. Happe and Mr. Clark are the only NEOs with individual employment agreements with the Company.</w:t>
      </w:r>
    </w:p>
    <w:p>
      <w:pPr>
        <w:spacing w:after="0" w:line="18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14202A"/>
        </w:rPr>
        <w:t>In December 2021, Mr. Happe and the Company entered into an amended and restated employment agreement, which provides that if Mr. Happe is terminated by the Company without cause or terminates employment with the Company for good reason (as such terms are defined in his employment agreement), he is entitled to severance pay of two times his annual base salary, payable in installments over 24 months, and an amount equal to two times his target annual bonus plus the annual COBRA premium cost for Mr. Happe’s group medical, dental and vision insurance coverage, payable in a lump sum. Mr. Happe is also subject to one-year non-competition and non-solicitation covenants following termination of employment.</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6"/>
          <w:szCs w:val="16"/>
          <w:color w:val="14202A"/>
        </w:rPr>
        <w:t>If Mr. Clark is terminated by the Company without cause or terminates employment with the Company for good reason (as such terms are defined in his employment agreement), he is entitled to severance pay of his base salary for 12 months and any earned but unpaid incentive bonus due under the Grand Design MIP through the fiscal quarter in which the termination occurred.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14202A"/>
        </w:rPr>
        <w:t>Mr. Clark is subject to non-compete and non-solicitation covenants that terminate one year following termination of employment.</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Executive Officer Severance Plan</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14202A"/>
        </w:rPr>
        <w:t>In December 2021, the committee approved a Winnebago Executive Officer Severance Plan (the “Executive Severance Plan”) that applies to all of the Company’s executive officers, including the NEOs, other than Messrs. Happe and Clark, and provides severance benefits for eligible executives outside of a change in control of the Company. The Executive Severance Plan provides that, in the event of a termination of an eligible executive’s employment without cause or for good reason, the eligible executive would be entitled to receive 12 months of salary continuation and a payment equal to the target annual incentive under the OICP, as well as 12 months of COBRA premiums, subject to certain conditions.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Executive Change in Control Agreements</w:t>
      </w:r>
    </w:p>
    <w:p>
      <w:pPr>
        <w:spacing w:after="0" w:line="18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14202A"/>
        </w:rPr>
        <w:t>Each of the NEOs, including Mr. Happe and Mr. Clark, has also entered into an Executive Change in Control Agreement (“CIC Agreement”) with the Company.</w:t>
      </w:r>
    </w:p>
    <w:p>
      <w:pPr>
        <w:spacing w:after="0" w:line="12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14202A"/>
        </w:rPr>
        <w:t>The CIC Agreements generally provide that, in the event of a termination of the executive’s employment (for a reason other than death, disability, termination for cause or a voluntary termination of employment by the executive for good reason) within two years of a change of control, such executive will receive severance pay relative to salary and target annual incentives under the OICP (as well as annual COBRA premium cost) at a 2x multiple (or 3x, in the case of Mr. Happe only). The CIC Agreement for Mr. Clark provides that the severance benefit payable would be capped at $3,000,000.</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14202A"/>
        </w:rPr>
        <w:t>The committee believes these arrangements are an important part of the total executive compensation program because they protect our interest in the continuity and stability of the executive group, and facilitate a smooth transition in the event that an executive’s employment is terminated under circumstances covered by the arrangements. The committee also believes that the CIC Agreements will motivate our executives to maximize the value of the Company upon a change in control for the benefit of its shareholders, ensure that the Company will have the continued dedication and objectivity of our executives, notwithstanding the possibility, threat, or occurrence of a change in control, and help keep them focused on minimizing interruptions in business operations by reducing any concerns they may have of being terminated prematurely and without cause during any ownership transition. See “Potential Payments upon Termination or Change in Control-Executive Change in Control Agreements” below for additional detail.</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Clawback Policies</w:t>
      </w:r>
    </w:p>
    <w:p>
      <w:pPr>
        <w:spacing w:after="0" w:line="181"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14202A"/>
        </w:rPr>
        <w:t>Our incentive compensation programs include “clawback” provisions for each of the OICP and LTIP programs, which, in part, provide for the recoupment of incentive compensation payouts if payments are made based on the achievement of financial results that are subsequently restated due to material noncompliance with financial reporting requirements. In addition, our compensation recovery policies (the “Clawback Policies”) provide for the recovery of certain compensation from all of our officers subject to Section 16 of the Exchange Act in certain circumstances. The Clawback Policies provide that the Company will require recovery of erroneously awarded incentive-based compensation in the event of a financial restatement, all as required by the SEC rules and NYSE listing requirements, and such compensation as the committee determines in the event of certain misconduct by the Section 16 officer.</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Tax Considerations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Deductibility of Executive Compensation</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14202A"/>
        </w:rPr>
        <w:t>Section 162(m) of the Internal Revenue Code (“Code”) denies a deduction to any publicly-held corporation for compensation paid to certain “covered employees” in a taxable year to the extent that compensation to the covered employee exceeds $1,000,000. While our committee is mindful of the benefit to us of the deductibility, it believes that we should maintain flexibility in compensating our executive officers in a manner that best promotes our corporate objectives.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Section 409A of the Internal Revenue Code</w:t>
      </w:r>
    </w:p>
    <w:p>
      <w:pPr>
        <w:spacing w:after="0" w:line="18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14202A"/>
        </w:rPr>
        <w:t>Section 409A of the Code (“Section 409A”), which governs the form and timing of payment of deferred compensation, imposes sanctions, including a 20% penalty and an interest penalty, on a recipient of deferred compensation that does not comply with Section 409A. Although the Company makes no guarantees with respect to exemption from, or compliance with, Section 409A, our committee takes into account the potential implications of Section 409A in determining the form and timing of compensation awarded to our executives and strives to structure its non-qualified deferred compensation plans to meet these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Compensation-Related Risk Assessment</w:t>
      </w:r>
    </w:p>
    <w:p>
      <w:pPr>
        <w:spacing w:after="0" w:line="194"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14202A"/>
        </w:rPr>
        <w:t>Our committee has analyzed the potential material risks that may be created by our compensation programs. Because performance-based incentives play a large role in our executive compensation program, it is important to ensure that these incentives do not result in our employees taking actions that may conflict with the Company’s long-term interests. The committee reviewed and concluded that the Company’s compensation programs are designed and administered with the appropriate balance of risk and reward in relation to its overall business strategy and do not encourage employees to take unnecessary or excessive risks.</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Human Resources Committee Report</w:t>
      </w:r>
    </w:p>
    <w:p>
      <w:pPr>
        <w:spacing w:after="0" w:line="204" w:lineRule="exact"/>
        <w:rPr>
          <w:sz w:val="20"/>
          <w:szCs w:val="20"/>
          <w:color w:val="auto"/>
        </w:rPr>
      </w:pPr>
    </w:p>
    <w:p>
      <w:pPr>
        <w:ind w:right="440"/>
        <w:spacing w:after="0" w:line="259" w:lineRule="auto"/>
        <w:rPr>
          <w:sz w:val="20"/>
          <w:szCs w:val="20"/>
          <w:color w:val="auto"/>
        </w:rPr>
      </w:pPr>
      <w:r>
        <w:rPr>
          <w:rFonts w:ascii="Arial" w:cs="Arial" w:eastAsia="Arial" w:hAnsi="Arial"/>
          <w:sz w:val="16"/>
          <w:szCs w:val="16"/>
          <w:color w:val="14202A"/>
        </w:rPr>
        <w:t>The Human Resources Committee of the Board has reviewed and discussed the foregoing Compensation Discussion and Analysis as required by Item 402(b) of Regulation S-K with management and, based on such review and discussion, the committee recommended to the Board that the Compensation Discussion and Analysis be included in the Annual Report on Form 10-K and this Proxy Statement.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14202A"/>
        </w:rPr>
        <w:t>Human Resources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Sara E. Armbruster,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Staci L. Kroon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John M. Murabito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Emily R. Silver</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Human Resources Committee Interlocks and Insider Participation</w:t>
      </w:r>
    </w:p>
    <w:p>
      <w:pPr>
        <w:spacing w:after="0" w:line="180"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14202A"/>
        </w:rPr>
        <w:t>The current members of the Human Resources Committee, Mses. Armbruster, Kroon, and Silver, and Mr. Murabito, were not at any time during Fiscal 2026 or at any other time a Winnebago Industries officer or employee, and no member had any relationship with the Company requiring disclosure under applicable SEC rules. No executive officer has served on the board of directors or compensation committee of any other entity that has or has had one or more executive officers who served as a member of our Board or the Human Resources Committee during Fiscal 2026.</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Compensation Tables and Narrative Disclosure</w:t>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Summary Compensation Table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14202A"/>
        </w:rPr>
        <w:t>The tables below contain compensation information for each of our NEOs for Fiscal 2026, 2025, and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1380" w:type="dxa"/>
            <w:vAlign w:val="bottom"/>
            <w:shd w:val="clear" w:color="auto" w:fill="14202A"/>
          </w:tcPr>
          <w:p>
            <w:pPr>
              <w:spacing w:after="0"/>
              <w:rPr>
                <w:sz w:val="19"/>
                <w:szCs w:val="19"/>
                <w:color w:val="auto"/>
              </w:rPr>
            </w:pPr>
          </w:p>
        </w:tc>
        <w:tc>
          <w:tcPr>
            <w:tcW w:w="520" w:type="dxa"/>
            <w:vAlign w:val="bottom"/>
            <w:shd w:val="clear" w:color="auto" w:fill="14202A"/>
          </w:tcPr>
          <w:p>
            <w:pPr>
              <w:spacing w:after="0"/>
              <w:rPr>
                <w:sz w:val="19"/>
                <w:szCs w:val="19"/>
                <w:color w:val="auto"/>
              </w:rPr>
            </w:pPr>
          </w:p>
        </w:tc>
        <w:tc>
          <w:tcPr>
            <w:tcW w:w="740" w:type="dxa"/>
            <w:vAlign w:val="bottom"/>
            <w:shd w:val="clear" w:color="auto" w:fill="14202A"/>
          </w:tcPr>
          <w:p>
            <w:pPr>
              <w:spacing w:after="0"/>
              <w:rPr>
                <w:sz w:val="19"/>
                <w:szCs w:val="19"/>
                <w:color w:val="auto"/>
              </w:rPr>
            </w:pPr>
          </w:p>
        </w:tc>
        <w:tc>
          <w:tcPr>
            <w:tcW w:w="560" w:type="dxa"/>
            <w:vAlign w:val="bottom"/>
            <w:shd w:val="clear" w:color="auto" w:fill="14202A"/>
          </w:tcPr>
          <w:p>
            <w:pPr>
              <w:spacing w:after="0"/>
              <w:rPr>
                <w:sz w:val="19"/>
                <w:szCs w:val="19"/>
                <w:color w:val="auto"/>
              </w:rPr>
            </w:pPr>
          </w:p>
        </w:tc>
        <w:tc>
          <w:tcPr>
            <w:tcW w:w="760" w:type="dxa"/>
            <w:vAlign w:val="bottom"/>
            <w:shd w:val="clear" w:color="auto" w:fill="14202A"/>
          </w:tcPr>
          <w:p>
            <w:pPr>
              <w:spacing w:after="0"/>
              <w:rPr>
                <w:sz w:val="19"/>
                <w:szCs w:val="19"/>
                <w:color w:val="auto"/>
              </w:rPr>
            </w:pPr>
          </w:p>
        </w:tc>
        <w:tc>
          <w:tcPr>
            <w:tcW w:w="780" w:type="dxa"/>
            <w:vAlign w:val="bottom"/>
            <w:shd w:val="clear" w:color="auto" w:fill="14202A"/>
          </w:tcPr>
          <w:p>
            <w:pPr>
              <w:spacing w:after="0"/>
              <w:rPr>
                <w:sz w:val="19"/>
                <w:szCs w:val="19"/>
                <w:color w:val="auto"/>
              </w:rPr>
            </w:pPr>
          </w:p>
        </w:tc>
        <w:tc>
          <w:tcPr>
            <w:tcW w:w="1240" w:type="dxa"/>
            <w:vAlign w:val="bottom"/>
            <w:shd w:val="clear" w:color="auto" w:fill="14202A"/>
          </w:tcPr>
          <w:p>
            <w:pPr>
              <w:spacing w:after="0"/>
              <w:rPr>
                <w:sz w:val="19"/>
                <w:szCs w:val="19"/>
                <w:color w:val="auto"/>
              </w:rPr>
            </w:pPr>
          </w:p>
        </w:tc>
        <w:tc>
          <w:tcPr>
            <w:tcW w:w="11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Changes in</w:t>
            </w:r>
          </w:p>
        </w:tc>
        <w:tc>
          <w:tcPr>
            <w:tcW w:w="1240" w:type="dxa"/>
            <w:vAlign w:val="bottom"/>
            <w:shd w:val="clear" w:color="auto" w:fill="14202A"/>
          </w:tcPr>
          <w:p>
            <w:pPr>
              <w:spacing w:after="0"/>
              <w:rPr>
                <w:sz w:val="19"/>
                <w:szCs w:val="19"/>
                <w:color w:val="auto"/>
              </w:rPr>
            </w:pPr>
          </w:p>
        </w:tc>
        <w:tc>
          <w:tcPr>
            <w:tcW w:w="820" w:type="dxa"/>
            <w:vAlign w:val="bottom"/>
            <w:shd w:val="clear" w:color="auto" w:fill="14202A"/>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380" w:type="dxa"/>
            <w:vAlign w:val="bottom"/>
            <w:shd w:val="clear" w:color="auto" w:fill="14202A"/>
          </w:tcPr>
          <w:p>
            <w:pPr>
              <w:spacing w:after="0"/>
              <w:rPr>
                <w:sz w:val="11"/>
                <w:szCs w:val="11"/>
                <w:color w:val="auto"/>
              </w:rPr>
            </w:pPr>
          </w:p>
        </w:tc>
        <w:tc>
          <w:tcPr>
            <w:tcW w:w="520" w:type="dxa"/>
            <w:vAlign w:val="bottom"/>
            <w:shd w:val="clear" w:color="auto" w:fill="14202A"/>
          </w:tcPr>
          <w:p>
            <w:pPr>
              <w:spacing w:after="0"/>
              <w:rPr>
                <w:sz w:val="11"/>
                <w:szCs w:val="11"/>
                <w:color w:val="auto"/>
              </w:rPr>
            </w:pPr>
          </w:p>
        </w:tc>
        <w:tc>
          <w:tcPr>
            <w:tcW w:w="740" w:type="dxa"/>
            <w:vAlign w:val="bottom"/>
            <w:shd w:val="clear" w:color="auto" w:fill="14202A"/>
          </w:tcPr>
          <w:p>
            <w:pPr>
              <w:spacing w:after="0"/>
              <w:rPr>
                <w:sz w:val="11"/>
                <w:szCs w:val="11"/>
                <w:color w:val="auto"/>
              </w:rPr>
            </w:pPr>
          </w:p>
        </w:tc>
        <w:tc>
          <w:tcPr>
            <w:tcW w:w="560" w:type="dxa"/>
            <w:vAlign w:val="bottom"/>
            <w:shd w:val="clear" w:color="auto" w:fill="14202A"/>
          </w:tcPr>
          <w:p>
            <w:pPr>
              <w:spacing w:after="0"/>
              <w:rPr>
                <w:sz w:val="11"/>
                <w:szCs w:val="11"/>
                <w:color w:val="auto"/>
              </w:rPr>
            </w:pPr>
          </w:p>
        </w:tc>
        <w:tc>
          <w:tcPr>
            <w:tcW w:w="760" w:type="dxa"/>
            <w:vAlign w:val="bottom"/>
            <w:shd w:val="clear" w:color="auto" w:fill="14202A"/>
          </w:tcPr>
          <w:p>
            <w:pPr>
              <w:spacing w:after="0"/>
              <w:rPr>
                <w:sz w:val="11"/>
                <w:szCs w:val="11"/>
                <w:color w:val="auto"/>
              </w:rPr>
            </w:pPr>
          </w:p>
        </w:tc>
        <w:tc>
          <w:tcPr>
            <w:tcW w:w="780" w:type="dxa"/>
            <w:vAlign w:val="bottom"/>
            <w:shd w:val="clear" w:color="auto" w:fill="14202A"/>
          </w:tcPr>
          <w:p>
            <w:pPr>
              <w:spacing w:after="0"/>
              <w:rPr>
                <w:sz w:val="11"/>
                <w:szCs w:val="11"/>
                <w:color w:val="auto"/>
              </w:rPr>
            </w:pPr>
          </w:p>
        </w:tc>
        <w:tc>
          <w:tcPr>
            <w:tcW w:w="1240" w:type="dxa"/>
            <w:vAlign w:val="bottom"/>
            <w:shd w:val="clear" w:color="auto" w:fill="14202A"/>
          </w:tcPr>
          <w:p>
            <w:pPr>
              <w:spacing w:after="0"/>
              <w:rPr>
                <w:sz w:val="11"/>
                <w:szCs w:val="11"/>
                <w:color w:val="auto"/>
              </w:rPr>
            </w:pPr>
          </w:p>
        </w:tc>
        <w:tc>
          <w:tcPr>
            <w:tcW w:w="11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Pension Value</w:t>
            </w:r>
          </w:p>
        </w:tc>
        <w:tc>
          <w:tcPr>
            <w:tcW w:w="1240" w:type="dxa"/>
            <w:vAlign w:val="bottom"/>
            <w:shd w:val="clear" w:color="auto" w:fill="14202A"/>
          </w:tcPr>
          <w:p>
            <w:pPr>
              <w:spacing w:after="0"/>
              <w:rPr>
                <w:sz w:val="11"/>
                <w:szCs w:val="11"/>
                <w:color w:val="auto"/>
              </w:rPr>
            </w:pPr>
          </w:p>
        </w:tc>
        <w:tc>
          <w:tcPr>
            <w:tcW w:w="8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380" w:type="dxa"/>
            <w:vAlign w:val="bottom"/>
            <w:shd w:val="clear" w:color="auto" w:fill="14202A"/>
          </w:tcPr>
          <w:p>
            <w:pPr>
              <w:spacing w:after="0"/>
              <w:rPr>
                <w:sz w:val="11"/>
                <w:szCs w:val="11"/>
                <w:color w:val="auto"/>
              </w:rPr>
            </w:pPr>
          </w:p>
        </w:tc>
        <w:tc>
          <w:tcPr>
            <w:tcW w:w="520" w:type="dxa"/>
            <w:vAlign w:val="bottom"/>
            <w:shd w:val="clear" w:color="auto" w:fill="14202A"/>
          </w:tcPr>
          <w:p>
            <w:pPr>
              <w:spacing w:after="0"/>
              <w:rPr>
                <w:sz w:val="11"/>
                <w:szCs w:val="11"/>
                <w:color w:val="auto"/>
              </w:rPr>
            </w:pPr>
          </w:p>
        </w:tc>
        <w:tc>
          <w:tcPr>
            <w:tcW w:w="740" w:type="dxa"/>
            <w:vAlign w:val="bottom"/>
            <w:shd w:val="clear" w:color="auto" w:fill="14202A"/>
          </w:tcPr>
          <w:p>
            <w:pPr>
              <w:spacing w:after="0"/>
              <w:rPr>
                <w:sz w:val="11"/>
                <w:szCs w:val="11"/>
                <w:color w:val="auto"/>
              </w:rPr>
            </w:pPr>
          </w:p>
        </w:tc>
        <w:tc>
          <w:tcPr>
            <w:tcW w:w="560" w:type="dxa"/>
            <w:vAlign w:val="bottom"/>
            <w:shd w:val="clear" w:color="auto" w:fill="14202A"/>
          </w:tcPr>
          <w:p>
            <w:pPr>
              <w:spacing w:after="0"/>
              <w:rPr>
                <w:sz w:val="11"/>
                <w:szCs w:val="11"/>
                <w:color w:val="auto"/>
              </w:rPr>
            </w:pPr>
          </w:p>
        </w:tc>
        <w:tc>
          <w:tcPr>
            <w:tcW w:w="760" w:type="dxa"/>
            <w:vAlign w:val="bottom"/>
            <w:shd w:val="clear" w:color="auto" w:fill="14202A"/>
          </w:tcPr>
          <w:p>
            <w:pPr>
              <w:spacing w:after="0"/>
              <w:rPr>
                <w:sz w:val="11"/>
                <w:szCs w:val="11"/>
                <w:color w:val="auto"/>
              </w:rPr>
            </w:pPr>
          </w:p>
        </w:tc>
        <w:tc>
          <w:tcPr>
            <w:tcW w:w="780" w:type="dxa"/>
            <w:vAlign w:val="bottom"/>
            <w:shd w:val="clear" w:color="auto" w:fill="14202A"/>
          </w:tcPr>
          <w:p>
            <w:pPr>
              <w:spacing w:after="0"/>
              <w:rPr>
                <w:sz w:val="11"/>
                <w:szCs w:val="11"/>
                <w:color w:val="auto"/>
              </w:rPr>
            </w:pPr>
          </w:p>
        </w:tc>
        <w:tc>
          <w:tcPr>
            <w:tcW w:w="124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Non-Equity</w:t>
            </w:r>
          </w:p>
        </w:tc>
        <w:tc>
          <w:tcPr>
            <w:tcW w:w="11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and Non-</w:t>
            </w:r>
          </w:p>
        </w:tc>
        <w:tc>
          <w:tcPr>
            <w:tcW w:w="1240" w:type="dxa"/>
            <w:vAlign w:val="bottom"/>
            <w:shd w:val="clear" w:color="auto" w:fill="14202A"/>
          </w:tcPr>
          <w:p>
            <w:pPr>
              <w:spacing w:after="0"/>
              <w:rPr>
                <w:sz w:val="11"/>
                <w:szCs w:val="11"/>
                <w:color w:val="auto"/>
              </w:rPr>
            </w:pPr>
          </w:p>
        </w:tc>
        <w:tc>
          <w:tcPr>
            <w:tcW w:w="8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00" w:type="dxa"/>
            <w:vAlign w:val="bottom"/>
            <w:shd w:val="clear" w:color="auto" w:fill="14202A"/>
          </w:tcPr>
          <w:p>
            <w:pPr>
              <w:spacing w:after="0"/>
              <w:rPr>
                <w:sz w:val="10"/>
                <w:szCs w:val="10"/>
                <w:color w:val="auto"/>
              </w:rPr>
            </w:pPr>
          </w:p>
        </w:tc>
        <w:tc>
          <w:tcPr>
            <w:tcW w:w="1380" w:type="dxa"/>
            <w:vAlign w:val="bottom"/>
            <w:shd w:val="clear" w:color="auto" w:fill="14202A"/>
          </w:tcPr>
          <w:p>
            <w:pPr>
              <w:spacing w:after="0"/>
              <w:rPr>
                <w:sz w:val="10"/>
                <w:szCs w:val="10"/>
                <w:color w:val="auto"/>
              </w:rPr>
            </w:pPr>
          </w:p>
        </w:tc>
        <w:tc>
          <w:tcPr>
            <w:tcW w:w="520" w:type="dxa"/>
            <w:vAlign w:val="bottom"/>
            <w:shd w:val="clear" w:color="auto" w:fill="14202A"/>
          </w:tcPr>
          <w:p>
            <w:pPr>
              <w:spacing w:after="0"/>
              <w:rPr>
                <w:sz w:val="10"/>
                <w:szCs w:val="10"/>
                <w:color w:val="auto"/>
              </w:rPr>
            </w:pPr>
          </w:p>
        </w:tc>
        <w:tc>
          <w:tcPr>
            <w:tcW w:w="740" w:type="dxa"/>
            <w:vAlign w:val="bottom"/>
            <w:shd w:val="clear" w:color="auto" w:fill="14202A"/>
          </w:tcPr>
          <w:p>
            <w:pPr>
              <w:spacing w:after="0"/>
              <w:rPr>
                <w:sz w:val="10"/>
                <w:szCs w:val="10"/>
                <w:color w:val="auto"/>
              </w:rPr>
            </w:pPr>
          </w:p>
        </w:tc>
        <w:tc>
          <w:tcPr>
            <w:tcW w:w="560" w:type="dxa"/>
            <w:vAlign w:val="bottom"/>
            <w:shd w:val="clear" w:color="auto" w:fill="14202A"/>
          </w:tcPr>
          <w:p>
            <w:pPr>
              <w:spacing w:after="0"/>
              <w:rPr>
                <w:sz w:val="10"/>
                <w:szCs w:val="10"/>
                <w:color w:val="auto"/>
              </w:rPr>
            </w:pPr>
          </w:p>
        </w:tc>
        <w:tc>
          <w:tcPr>
            <w:tcW w:w="760" w:type="dxa"/>
            <w:vAlign w:val="bottom"/>
            <w:shd w:val="clear" w:color="auto" w:fill="14202A"/>
          </w:tcPr>
          <w:p>
            <w:pPr>
              <w:spacing w:after="0"/>
              <w:rPr>
                <w:sz w:val="10"/>
                <w:szCs w:val="10"/>
                <w:color w:val="auto"/>
              </w:rPr>
            </w:pPr>
          </w:p>
        </w:tc>
        <w:tc>
          <w:tcPr>
            <w:tcW w:w="780" w:type="dxa"/>
            <w:vAlign w:val="bottom"/>
            <w:shd w:val="clear" w:color="auto" w:fill="14202A"/>
          </w:tcPr>
          <w:p>
            <w:pPr>
              <w:spacing w:after="0"/>
              <w:rPr>
                <w:sz w:val="10"/>
                <w:szCs w:val="10"/>
                <w:color w:val="auto"/>
              </w:rPr>
            </w:pPr>
          </w:p>
        </w:tc>
        <w:tc>
          <w:tcPr>
            <w:tcW w:w="1240" w:type="dxa"/>
            <w:vAlign w:val="bottom"/>
            <w:vMerge w:val="continue"/>
            <w:shd w:val="clear" w:color="auto" w:fill="14202A"/>
          </w:tcPr>
          <w:p>
            <w:pPr>
              <w:spacing w:after="0"/>
              <w:rPr>
                <w:sz w:val="10"/>
                <w:szCs w:val="10"/>
                <w:color w:val="auto"/>
              </w:rPr>
            </w:pPr>
          </w:p>
        </w:tc>
        <w:tc>
          <w:tcPr>
            <w:tcW w:w="1140" w:type="dxa"/>
            <w:vAlign w:val="bottom"/>
            <w:shd w:val="clear" w:color="auto" w:fill="14202A"/>
          </w:tcPr>
          <w:p>
            <w:pPr>
              <w:jc w:val="center"/>
              <w:spacing w:after="0" w:line="126" w:lineRule="exact"/>
              <w:rPr>
                <w:sz w:val="20"/>
                <w:szCs w:val="20"/>
                <w:color w:val="auto"/>
              </w:rPr>
            </w:pPr>
            <w:r>
              <w:rPr>
                <w:rFonts w:ascii="Arial" w:cs="Arial" w:eastAsia="Arial" w:hAnsi="Arial"/>
                <w:sz w:val="13"/>
                <w:szCs w:val="13"/>
                <w:b w:val="1"/>
                <w:bCs w:val="1"/>
                <w:color w:val="FFFFFF"/>
                <w:w w:val="93"/>
              </w:rPr>
              <w:t>qualified</w:t>
            </w:r>
          </w:p>
        </w:tc>
        <w:tc>
          <w:tcPr>
            <w:tcW w:w="1240" w:type="dxa"/>
            <w:vAlign w:val="bottom"/>
            <w:shd w:val="clear" w:color="auto" w:fill="14202A"/>
          </w:tcPr>
          <w:p>
            <w:pPr>
              <w:spacing w:after="0"/>
              <w:rPr>
                <w:sz w:val="10"/>
                <w:szCs w:val="10"/>
                <w:color w:val="auto"/>
              </w:rPr>
            </w:pPr>
          </w:p>
        </w:tc>
        <w:tc>
          <w:tcPr>
            <w:tcW w:w="820" w:type="dxa"/>
            <w:vAlign w:val="bottom"/>
            <w:shd w:val="clear" w:color="auto" w:fill="14202A"/>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38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 and</w:t>
            </w:r>
          </w:p>
        </w:tc>
        <w:tc>
          <w:tcPr>
            <w:tcW w:w="520" w:type="dxa"/>
            <w:vAlign w:val="bottom"/>
            <w:shd w:val="clear" w:color="auto" w:fill="14202A"/>
          </w:tcPr>
          <w:p>
            <w:pPr>
              <w:spacing w:after="0"/>
              <w:rPr>
                <w:sz w:val="11"/>
                <w:szCs w:val="11"/>
                <w:color w:val="auto"/>
              </w:rPr>
            </w:pPr>
          </w:p>
        </w:tc>
        <w:tc>
          <w:tcPr>
            <w:tcW w:w="740" w:type="dxa"/>
            <w:vAlign w:val="bottom"/>
            <w:shd w:val="clear" w:color="auto" w:fill="14202A"/>
          </w:tcPr>
          <w:p>
            <w:pPr>
              <w:spacing w:after="0"/>
              <w:rPr>
                <w:sz w:val="11"/>
                <w:szCs w:val="11"/>
                <w:color w:val="auto"/>
              </w:rPr>
            </w:pPr>
          </w:p>
        </w:tc>
        <w:tc>
          <w:tcPr>
            <w:tcW w:w="560" w:type="dxa"/>
            <w:vAlign w:val="bottom"/>
            <w:shd w:val="clear" w:color="auto" w:fill="14202A"/>
          </w:tcPr>
          <w:p>
            <w:pPr>
              <w:spacing w:after="0"/>
              <w:rPr>
                <w:sz w:val="11"/>
                <w:szCs w:val="11"/>
                <w:color w:val="auto"/>
              </w:rPr>
            </w:pPr>
          </w:p>
        </w:tc>
        <w:tc>
          <w:tcPr>
            <w:tcW w:w="7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7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rPr>
              <w:t>Option</w:t>
            </w:r>
          </w:p>
        </w:tc>
        <w:tc>
          <w:tcPr>
            <w:tcW w:w="12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9"/>
              </w:rPr>
              <w:t>Incentive</w:t>
            </w:r>
          </w:p>
        </w:tc>
        <w:tc>
          <w:tcPr>
            <w:tcW w:w="11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Deferred</w:t>
            </w:r>
          </w:p>
        </w:tc>
        <w:tc>
          <w:tcPr>
            <w:tcW w:w="124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All Other</w:t>
            </w:r>
          </w:p>
        </w:tc>
        <w:tc>
          <w:tcPr>
            <w:tcW w:w="8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380" w:type="dxa"/>
            <w:vAlign w:val="bottom"/>
            <w:vMerge w:val="continue"/>
            <w:shd w:val="clear" w:color="auto" w:fill="14202A"/>
          </w:tcPr>
          <w:p>
            <w:pPr>
              <w:spacing w:after="0"/>
              <w:rPr>
                <w:sz w:val="11"/>
                <w:szCs w:val="11"/>
                <w:color w:val="auto"/>
              </w:rPr>
            </w:pPr>
          </w:p>
        </w:tc>
        <w:tc>
          <w:tcPr>
            <w:tcW w:w="52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Fiscal</w:t>
            </w:r>
          </w:p>
        </w:tc>
        <w:tc>
          <w:tcPr>
            <w:tcW w:w="740" w:type="dxa"/>
            <w:vAlign w:val="bottom"/>
            <w:vMerge w:val="restart"/>
            <w:shd w:val="clear" w:color="auto" w:fill="14202A"/>
          </w:tcPr>
          <w:p>
            <w:pPr>
              <w:jc w:val="right"/>
              <w:ind w:right="117"/>
              <w:spacing w:after="0"/>
              <w:rPr>
                <w:sz w:val="20"/>
                <w:szCs w:val="20"/>
                <w:color w:val="auto"/>
              </w:rPr>
            </w:pPr>
            <w:r>
              <w:rPr>
                <w:rFonts w:ascii="Arial" w:cs="Arial" w:eastAsia="Arial" w:hAnsi="Arial"/>
                <w:sz w:val="13"/>
                <w:szCs w:val="13"/>
                <w:b w:val="1"/>
                <w:bCs w:val="1"/>
                <w:color w:val="FFFFFF"/>
              </w:rPr>
              <w:t>Salary</w:t>
            </w:r>
          </w:p>
        </w:tc>
        <w:tc>
          <w:tcPr>
            <w:tcW w:w="5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Bonus</w:t>
            </w:r>
          </w:p>
        </w:tc>
        <w:tc>
          <w:tcPr>
            <w:tcW w:w="760" w:type="dxa"/>
            <w:vAlign w:val="bottom"/>
            <w:vMerge w:val="continue"/>
            <w:shd w:val="clear" w:color="auto" w:fill="14202A"/>
          </w:tcPr>
          <w:p>
            <w:pPr>
              <w:spacing w:after="0"/>
              <w:rPr>
                <w:sz w:val="11"/>
                <w:szCs w:val="11"/>
                <w:color w:val="auto"/>
              </w:rPr>
            </w:pPr>
          </w:p>
        </w:tc>
        <w:tc>
          <w:tcPr>
            <w:tcW w:w="780" w:type="dxa"/>
            <w:vAlign w:val="bottom"/>
            <w:vMerge w:val="continue"/>
            <w:shd w:val="clear" w:color="auto" w:fill="14202A"/>
          </w:tcPr>
          <w:p>
            <w:pPr>
              <w:spacing w:after="0"/>
              <w:rPr>
                <w:sz w:val="11"/>
                <w:szCs w:val="11"/>
                <w:color w:val="auto"/>
              </w:rPr>
            </w:pPr>
          </w:p>
        </w:tc>
        <w:tc>
          <w:tcPr>
            <w:tcW w:w="12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rPr>
              <w:t>Plan</w:t>
            </w:r>
          </w:p>
        </w:tc>
        <w:tc>
          <w:tcPr>
            <w:tcW w:w="11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Compensation</w:t>
            </w:r>
          </w:p>
        </w:tc>
        <w:tc>
          <w:tcPr>
            <w:tcW w:w="1240" w:type="dxa"/>
            <w:vAlign w:val="bottom"/>
            <w:vMerge w:val="continue"/>
            <w:shd w:val="clear" w:color="auto" w:fill="14202A"/>
          </w:tcPr>
          <w:p>
            <w:pPr>
              <w:spacing w:after="0"/>
              <w:rPr>
                <w:sz w:val="11"/>
                <w:szCs w:val="11"/>
                <w:color w:val="auto"/>
              </w:rPr>
            </w:pPr>
          </w:p>
        </w:tc>
        <w:tc>
          <w:tcPr>
            <w:tcW w:w="820" w:type="dxa"/>
            <w:vAlign w:val="bottom"/>
            <w:vMerge w:val="restart"/>
            <w:shd w:val="clear" w:color="auto" w:fill="14202A"/>
          </w:tcPr>
          <w:p>
            <w:pPr>
              <w:jc w:val="right"/>
              <w:ind w:right="217"/>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44"/>
        </w:trPr>
        <w:tc>
          <w:tcPr>
            <w:tcW w:w="100" w:type="dxa"/>
            <w:vAlign w:val="bottom"/>
            <w:shd w:val="clear" w:color="auto" w:fill="14202A"/>
          </w:tcPr>
          <w:p>
            <w:pPr>
              <w:spacing w:after="0"/>
              <w:rPr>
                <w:sz w:val="12"/>
                <w:szCs w:val="12"/>
                <w:color w:val="auto"/>
              </w:rPr>
            </w:pPr>
          </w:p>
        </w:tc>
        <w:tc>
          <w:tcPr>
            <w:tcW w:w="1380" w:type="dxa"/>
            <w:vAlign w:val="bottom"/>
            <w:shd w:val="clear" w:color="auto" w:fill="14202A"/>
          </w:tcPr>
          <w:p>
            <w:pPr>
              <w:ind w:left="60"/>
              <w:spacing w:after="0" w:line="144" w:lineRule="exact"/>
              <w:rPr>
                <w:sz w:val="20"/>
                <w:szCs w:val="20"/>
                <w:color w:val="auto"/>
              </w:rPr>
            </w:pPr>
            <w:r>
              <w:rPr>
                <w:rFonts w:ascii="Arial" w:cs="Arial" w:eastAsia="Arial" w:hAnsi="Arial"/>
                <w:sz w:val="13"/>
                <w:szCs w:val="13"/>
                <w:b w:val="1"/>
                <w:bCs w:val="1"/>
                <w:color w:val="FFFFFF"/>
              </w:rPr>
              <w:t>Principal</w:t>
            </w:r>
          </w:p>
        </w:tc>
        <w:tc>
          <w:tcPr>
            <w:tcW w:w="520" w:type="dxa"/>
            <w:vAlign w:val="bottom"/>
            <w:vMerge w:val="continue"/>
            <w:shd w:val="clear" w:color="auto" w:fill="14202A"/>
          </w:tcPr>
          <w:p>
            <w:pPr>
              <w:spacing w:after="0"/>
              <w:rPr>
                <w:sz w:val="12"/>
                <w:szCs w:val="12"/>
                <w:color w:val="auto"/>
              </w:rPr>
            </w:pPr>
          </w:p>
        </w:tc>
        <w:tc>
          <w:tcPr>
            <w:tcW w:w="740" w:type="dxa"/>
            <w:vAlign w:val="bottom"/>
            <w:vMerge w:val="continue"/>
            <w:shd w:val="clear" w:color="auto" w:fill="14202A"/>
          </w:tcPr>
          <w:p>
            <w:pPr>
              <w:spacing w:after="0"/>
              <w:rPr>
                <w:sz w:val="12"/>
                <w:szCs w:val="12"/>
                <w:color w:val="auto"/>
              </w:rPr>
            </w:pPr>
          </w:p>
        </w:tc>
        <w:tc>
          <w:tcPr>
            <w:tcW w:w="560" w:type="dxa"/>
            <w:vAlign w:val="bottom"/>
            <w:vMerge w:val="continue"/>
            <w:shd w:val="clear" w:color="auto" w:fill="14202A"/>
          </w:tcPr>
          <w:p>
            <w:pPr>
              <w:spacing w:after="0"/>
              <w:rPr>
                <w:sz w:val="12"/>
                <w:szCs w:val="12"/>
                <w:color w:val="auto"/>
              </w:rPr>
            </w:pPr>
          </w:p>
        </w:tc>
        <w:tc>
          <w:tcPr>
            <w:tcW w:w="760" w:type="dxa"/>
            <w:vAlign w:val="bottom"/>
            <w:shd w:val="clear" w:color="auto" w:fill="14202A"/>
          </w:tcPr>
          <w:p>
            <w:pPr>
              <w:jc w:val="center"/>
              <w:spacing w:after="0" w:line="144"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(1)</w:t>
            </w:r>
          </w:p>
        </w:tc>
        <w:tc>
          <w:tcPr>
            <w:tcW w:w="780" w:type="dxa"/>
            <w:vAlign w:val="bottom"/>
            <w:shd w:val="clear" w:color="auto" w:fill="14202A"/>
          </w:tcPr>
          <w:p>
            <w:pPr>
              <w:jc w:val="center"/>
              <w:spacing w:after="0" w:line="144"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(2)</w:t>
            </w:r>
          </w:p>
        </w:tc>
        <w:tc>
          <w:tcPr>
            <w:tcW w:w="1240" w:type="dxa"/>
            <w:vAlign w:val="bottom"/>
            <w:shd w:val="clear" w:color="auto" w:fill="14202A"/>
          </w:tcPr>
          <w:p>
            <w:pPr>
              <w:jc w:val="center"/>
              <w:spacing w:after="0" w:line="144"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(3)</w:t>
            </w:r>
          </w:p>
        </w:tc>
        <w:tc>
          <w:tcPr>
            <w:tcW w:w="1140" w:type="dxa"/>
            <w:vAlign w:val="bottom"/>
            <w:shd w:val="clear" w:color="auto" w:fill="14202A"/>
          </w:tcPr>
          <w:p>
            <w:pPr>
              <w:jc w:val="center"/>
              <w:spacing w:after="0" w:line="144" w:lineRule="exact"/>
              <w:rPr>
                <w:sz w:val="20"/>
                <w:szCs w:val="20"/>
                <w:color w:val="auto"/>
              </w:rPr>
            </w:pPr>
            <w:r>
              <w:rPr>
                <w:rFonts w:ascii="Arial" w:cs="Arial" w:eastAsia="Arial" w:hAnsi="Arial"/>
                <w:sz w:val="13"/>
                <w:szCs w:val="13"/>
                <w:b w:val="1"/>
                <w:bCs w:val="1"/>
                <w:color w:val="FFFFFF"/>
                <w:w w:val="96"/>
              </w:rPr>
              <w:t>Earnings</w:t>
            </w:r>
          </w:p>
        </w:tc>
        <w:tc>
          <w:tcPr>
            <w:tcW w:w="1240" w:type="dxa"/>
            <w:vAlign w:val="bottom"/>
            <w:shd w:val="clear" w:color="auto" w:fill="14202A"/>
          </w:tcPr>
          <w:p>
            <w:pPr>
              <w:jc w:val="center"/>
              <w:spacing w:after="0" w:line="144"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(4)</w:t>
            </w:r>
          </w:p>
        </w:tc>
        <w:tc>
          <w:tcPr>
            <w:tcW w:w="820" w:type="dxa"/>
            <w:vAlign w:val="bottom"/>
            <w:vMerge w:val="continue"/>
            <w:shd w:val="clear" w:color="auto" w:fill="14202A"/>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1380" w:type="dxa"/>
            <w:vAlign w:val="bottom"/>
            <w:shd w:val="clear" w:color="auto" w:fill="14202A"/>
          </w:tcPr>
          <w:p>
            <w:pPr>
              <w:ind w:left="60"/>
              <w:spacing w:after="0"/>
              <w:rPr>
                <w:sz w:val="20"/>
                <w:szCs w:val="20"/>
                <w:color w:val="auto"/>
              </w:rPr>
            </w:pPr>
            <w:r>
              <w:rPr>
                <w:rFonts w:ascii="Arial" w:cs="Arial" w:eastAsia="Arial" w:hAnsi="Arial"/>
                <w:sz w:val="13"/>
                <w:szCs w:val="13"/>
                <w:b w:val="1"/>
                <w:bCs w:val="1"/>
                <w:color w:val="FFFFFF"/>
              </w:rPr>
              <w:t>Position</w:t>
            </w:r>
          </w:p>
        </w:tc>
        <w:tc>
          <w:tcPr>
            <w:tcW w:w="5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2"/>
              </w:rPr>
              <w:t>Year</w:t>
            </w:r>
          </w:p>
        </w:tc>
        <w:tc>
          <w:tcPr>
            <w:tcW w:w="740" w:type="dxa"/>
            <w:vAlign w:val="bottom"/>
            <w:shd w:val="clear" w:color="auto" w:fill="14202A"/>
          </w:tcPr>
          <w:p>
            <w:pPr>
              <w:jc w:val="right"/>
              <w:ind w:right="217"/>
              <w:spacing w:after="0"/>
              <w:rPr>
                <w:sz w:val="20"/>
                <w:szCs w:val="20"/>
                <w:color w:val="auto"/>
              </w:rPr>
            </w:pPr>
            <w:r>
              <w:rPr>
                <w:rFonts w:ascii="Arial" w:cs="Arial" w:eastAsia="Arial" w:hAnsi="Arial"/>
                <w:sz w:val="13"/>
                <w:szCs w:val="13"/>
                <w:b w:val="1"/>
                <w:bCs w:val="1"/>
                <w:color w:val="FFFFFF"/>
              </w:rPr>
              <w:t>($)</w:t>
            </w:r>
          </w:p>
        </w:tc>
        <w:tc>
          <w:tcPr>
            <w:tcW w:w="5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2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1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2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14202A"/>
          </w:tcPr>
          <w:p>
            <w:pPr>
              <w:jc w:val="right"/>
              <w:ind w:right="27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1380" w:type="dxa"/>
            <w:vAlign w:val="bottom"/>
            <w:shd w:val="clear" w:color="auto" w:fill="14202A"/>
          </w:tcPr>
          <w:p>
            <w:pPr>
              <w:spacing w:after="0"/>
              <w:rPr>
                <w:sz w:val="5"/>
                <w:szCs w:val="5"/>
                <w:color w:val="auto"/>
              </w:rPr>
            </w:pPr>
          </w:p>
        </w:tc>
        <w:tc>
          <w:tcPr>
            <w:tcW w:w="520" w:type="dxa"/>
            <w:vAlign w:val="bottom"/>
            <w:shd w:val="clear" w:color="auto" w:fill="14202A"/>
          </w:tcPr>
          <w:p>
            <w:pPr>
              <w:spacing w:after="0"/>
              <w:rPr>
                <w:sz w:val="5"/>
                <w:szCs w:val="5"/>
                <w:color w:val="auto"/>
              </w:rPr>
            </w:pPr>
          </w:p>
        </w:tc>
        <w:tc>
          <w:tcPr>
            <w:tcW w:w="740" w:type="dxa"/>
            <w:vAlign w:val="bottom"/>
            <w:shd w:val="clear" w:color="auto" w:fill="14202A"/>
          </w:tcPr>
          <w:p>
            <w:pPr>
              <w:spacing w:after="0"/>
              <w:rPr>
                <w:sz w:val="5"/>
                <w:szCs w:val="5"/>
                <w:color w:val="auto"/>
              </w:rPr>
            </w:pPr>
          </w:p>
        </w:tc>
        <w:tc>
          <w:tcPr>
            <w:tcW w:w="560" w:type="dxa"/>
            <w:vAlign w:val="bottom"/>
            <w:shd w:val="clear" w:color="auto" w:fill="14202A"/>
          </w:tcPr>
          <w:p>
            <w:pPr>
              <w:spacing w:after="0"/>
              <w:rPr>
                <w:sz w:val="5"/>
                <w:szCs w:val="5"/>
                <w:color w:val="auto"/>
              </w:rPr>
            </w:pPr>
          </w:p>
        </w:tc>
        <w:tc>
          <w:tcPr>
            <w:tcW w:w="760" w:type="dxa"/>
            <w:vAlign w:val="bottom"/>
            <w:shd w:val="clear" w:color="auto" w:fill="14202A"/>
          </w:tcPr>
          <w:p>
            <w:pPr>
              <w:spacing w:after="0"/>
              <w:rPr>
                <w:sz w:val="5"/>
                <w:szCs w:val="5"/>
                <w:color w:val="auto"/>
              </w:rPr>
            </w:pPr>
          </w:p>
        </w:tc>
        <w:tc>
          <w:tcPr>
            <w:tcW w:w="780" w:type="dxa"/>
            <w:vAlign w:val="bottom"/>
            <w:shd w:val="clear" w:color="auto" w:fill="14202A"/>
          </w:tcPr>
          <w:p>
            <w:pPr>
              <w:spacing w:after="0"/>
              <w:rPr>
                <w:sz w:val="5"/>
                <w:szCs w:val="5"/>
                <w:color w:val="auto"/>
              </w:rPr>
            </w:pPr>
          </w:p>
        </w:tc>
        <w:tc>
          <w:tcPr>
            <w:tcW w:w="1240" w:type="dxa"/>
            <w:vAlign w:val="bottom"/>
            <w:shd w:val="clear" w:color="auto" w:fill="14202A"/>
          </w:tcPr>
          <w:p>
            <w:pPr>
              <w:spacing w:after="0"/>
              <w:rPr>
                <w:sz w:val="5"/>
                <w:szCs w:val="5"/>
                <w:color w:val="auto"/>
              </w:rPr>
            </w:pPr>
          </w:p>
        </w:tc>
        <w:tc>
          <w:tcPr>
            <w:tcW w:w="1140" w:type="dxa"/>
            <w:vAlign w:val="bottom"/>
            <w:shd w:val="clear" w:color="auto" w:fill="14202A"/>
          </w:tcPr>
          <w:p>
            <w:pPr>
              <w:spacing w:after="0"/>
              <w:rPr>
                <w:sz w:val="5"/>
                <w:szCs w:val="5"/>
                <w:color w:val="auto"/>
              </w:rPr>
            </w:pPr>
          </w:p>
        </w:tc>
        <w:tc>
          <w:tcPr>
            <w:tcW w:w="1240" w:type="dxa"/>
            <w:vAlign w:val="bottom"/>
            <w:shd w:val="clear" w:color="auto" w:fill="14202A"/>
          </w:tcPr>
          <w:p>
            <w:pPr>
              <w:spacing w:after="0"/>
              <w:rPr>
                <w:sz w:val="5"/>
                <w:szCs w:val="5"/>
                <w:color w:val="auto"/>
              </w:rPr>
            </w:pPr>
          </w:p>
        </w:tc>
        <w:tc>
          <w:tcPr>
            <w:tcW w:w="82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Michael J. Happe</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2026</w:t>
            </w:r>
          </w:p>
        </w:tc>
        <w:tc>
          <w:tcPr>
            <w:tcW w:w="740" w:type="dxa"/>
            <w:vAlign w:val="bottom"/>
          </w:tcPr>
          <w:p>
            <w:pPr>
              <w:jc w:val="right"/>
              <w:ind w:right="17"/>
              <w:spacing w:after="0"/>
              <w:rPr>
                <w:sz w:val="20"/>
                <w:szCs w:val="20"/>
                <w:color w:val="auto"/>
              </w:rPr>
            </w:pPr>
            <w:r>
              <w:rPr>
                <w:rFonts w:ascii="Arial" w:cs="Arial" w:eastAsia="Arial" w:hAnsi="Arial"/>
                <w:sz w:val="13"/>
                <w:szCs w:val="13"/>
                <w:color w:val="14202A"/>
              </w:rPr>
              <w:t>1,185,000</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5,185,003</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914,997</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1,335,750</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40,911</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8,661,661</w:t>
            </w: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1380" w:type="dxa"/>
            <w:vAlign w:val="bottom"/>
            <w:vMerge w:val="restart"/>
          </w:tcPr>
          <w:p>
            <w:pPr>
              <w:ind w:left="60"/>
              <w:spacing w:after="0"/>
              <w:rPr>
                <w:sz w:val="20"/>
                <w:szCs w:val="20"/>
                <w:color w:val="auto"/>
              </w:rPr>
            </w:pPr>
            <w:r>
              <w:rPr>
                <w:rFonts w:ascii="Arial" w:cs="Arial" w:eastAsia="Arial" w:hAnsi="Arial"/>
                <w:sz w:val="13"/>
                <w:szCs w:val="13"/>
                <w:color w:val="14202A"/>
              </w:rPr>
              <w:t>President and Chief</w:t>
            </w:r>
          </w:p>
        </w:tc>
        <w:tc>
          <w:tcPr>
            <w:tcW w:w="520" w:type="dxa"/>
            <w:vAlign w:val="bottom"/>
            <w:tcBorders>
              <w:bottom w:val="single" w:sz="8" w:color="14202A"/>
            </w:tcBorders>
          </w:tcPr>
          <w:p>
            <w:pPr>
              <w:spacing w:after="0"/>
              <w:rPr>
                <w:sz w:val="7"/>
                <w:szCs w:val="7"/>
                <w:color w:val="auto"/>
              </w:rPr>
            </w:pPr>
          </w:p>
        </w:tc>
        <w:tc>
          <w:tcPr>
            <w:tcW w:w="740" w:type="dxa"/>
            <w:vAlign w:val="bottom"/>
            <w:tcBorders>
              <w:bottom w:val="single" w:sz="8" w:color="14202A"/>
            </w:tcBorders>
          </w:tcPr>
          <w:p>
            <w:pPr>
              <w:spacing w:after="0"/>
              <w:rPr>
                <w:sz w:val="7"/>
                <w:szCs w:val="7"/>
                <w:color w:val="auto"/>
              </w:rPr>
            </w:pPr>
          </w:p>
        </w:tc>
        <w:tc>
          <w:tcPr>
            <w:tcW w:w="56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780" w:type="dxa"/>
            <w:vAlign w:val="bottom"/>
            <w:tcBorders>
              <w:bottom w:val="single" w:sz="8" w:color="14202A"/>
            </w:tcBorders>
          </w:tcPr>
          <w:p>
            <w:pPr>
              <w:spacing w:after="0"/>
              <w:rPr>
                <w:sz w:val="7"/>
                <w:szCs w:val="7"/>
                <w:color w:val="auto"/>
              </w:rPr>
            </w:pPr>
          </w:p>
        </w:tc>
        <w:tc>
          <w:tcPr>
            <w:tcW w:w="1240" w:type="dxa"/>
            <w:vAlign w:val="bottom"/>
            <w:tcBorders>
              <w:bottom w:val="single" w:sz="8" w:color="14202A"/>
            </w:tcBorders>
          </w:tcPr>
          <w:p>
            <w:pPr>
              <w:spacing w:after="0"/>
              <w:rPr>
                <w:sz w:val="7"/>
                <w:szCs w:val="7"/>
                <w:color w:val="auto"/>
              </w:rPr>
            </w:pPr>
          </w:p>
        </w:tc>
        <w:tc>
          <w:tcPr>
            <w:tcW w:w="1140" w:type="dxa"/>
            <w:vAlign w:val="bottom"/>
            <w:tcBorders>
              <w:bottom w:val="single" w:sz="8" w:color="14202A"/>
            </w:tcBorders>
          </w:tcPr>
          <w:p>
            <w:pPr>
              <w:spacing w:after="0"/>
              <w:rPr>
                <w:sz w:val="7"/>
                <w:szCs w:val="7"/>
                <w:color w:val="auto"/>
              </w:rPr>
            </w:pPr>
          </w:p>
        </w:tc>
        <w:tc>
          <w:tcPr>
            <w:tcW w:w="1240" w:type="dxa"/>
            <w:vAlign w:val="bottom"/>
            <w:tcBorders>
              <w:bottom w:val="single" w:sz="8" w:color="14202A"/>
            </w:tcBorders>
          </w:tcPr>
          <w:p>
            <w:pPr>
              <w:spacing w:after="0"/>
              <w:rPr>
                <w:sz w:val="7"/>
                <w:szCs w:val="7"/>
                <w:color w:val="auto"/>
              </w:rPr>
            </w:pPr>
          </w:p>
        </w:tc>
        <w:tc>
          <w:tcPr>
            <w:tcW w:w="82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14202A"/>
                <w:w w:val="96"/>
              </w:rPr>
              <w:t>2025</w:t>
            </w: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14202A"/>
              </w:rPr>
              <w:t>1,150,000</w:t>
            </w:r>
          </w:p>
        </w:tc>
        <w:tc>
          <w:tcPr>
            <w:tcW w:w="560" w:type="dxa"/>
            <w:vAlign w:val="bottom"/>
            <w:vMerge w:val="restart"/>
          </w:tcPr>
          <w:p>
            <w:pPr>
              <w:jc w:val="center"/>
              <w:spacing w:after="0"/>
              <w:rPr>
                <w:sz w:val="20"/>
                <w:szCs w:val="20"/>
                <w:color w:val="auto"/>
              </w:rPr>
            </w:pPr>
            <w:r>
              <w:rPr>
                <w:rFonts w:ascii="Arial" w:cs="Arial" w:eastAsia="Arial" w:hAnsi="Arial"/>
                <w:sz w:val="13"/>
                <w:szCs w:val="13"/>
                <w:color w:val="14202A"/>
              </w:rPr>
              <w:t>—</w:t>
            </w:r>
          </w:p>
        </w:tc>
        <w:tc>
          <w:tcPr>
            <w:tcW w:w="760" w:type="dxa"/>
            <w:vAlign w:val="bottom"/>
            <w:vMerge w:val="restart"/>
          </w:tcPr>
          <w:p>
            <w:pPr>
              <w:jc w:val="right"/>
              <w:ind w:right="38"/>
              <w:spacing w:after="0"/>
              <w:rPr>
                <w:sz w:val="20"/>
                <w:szCs w:val="20"/>
                <w:color w:val="auto"/>
              </w:rPr>
            </w:pPr>
            <w:r>
              <w:rPr>
                <w:rFonts w:ascii="Arial" w:cs="Arial" w:eastAsia="Arial" w:hAnsi="Arial"/>
                <w:sz w:val="13"/>
                <w:szCs w:val="13"/>
                <w:color w:val="14202A"/>
              </w:rPr>
              <w:t>6,185,000</w:t>
            </w:r>
          </w:p>
        </w:tc>
        <w:tc>
          <w:tcPr>
            <w:tcW w:w="780" w:type="dxa"/>
            <w:vAlign w:val="bottom"/>
            <w:vMerge w:val="restart"/>
          </w:tcPr>
          <w:p>
            <w:pPr>
              <w:jc w:val="right"/>
              <w:ind w:right="118"/>
              <w:spacing w:after="0"/>
              <w:rPr>
                <w:sz w:val="20"/>
                <w:szCs w:val="20"/>
                <w:color w:val="auto"/>
              </w:rPr>
            </w:pPr>
            <w:r>
              <w:rPr>
                <w:rFonts w:ascii="Arial" w:cs="Arial" w:eastAsia="Arial" w:hAnsi="Arial"/>
                <w:sz w:val="13"/>
                <w:szCs w:val="13"/>
                <w:color w:val="14202A"/>
              </w:rPr>
              <w:t>915,006</w:t>
            </w:r>
          </w:p>
        </w:tc>
        <w:tc>
          <w:tcPr>
            <w:tcW w:w="1240" w:type="dxa"/>
            <w:vAlign w:val="bottom"/>
            <w:vMerge w:val="restart"/>
          </w:tcPr>
          <w:p>
            <w:pPr>
              <w:jc w:val="right"/>
              <w:ind w:right="318"/>
              <w:spacing w:after="0"/>
              <w:rPr>
                <w:sz w:val="20"/>
                <w:szCs w:val="20"/>
                <w:color w:val="auto"/>
              </w:rPr>
            </w:pPr>
            <w:r>
              <w:rPr>
                <w:rFonts w:ascii="Arial" w:cs="Arial" w:eastAsia="Arial" w:hAnsi="Arial"/>
                <w:sz w:val="13"/>
                <w:szCs w:val="13"/>
                <w:color w:val="14202A"/>
              </w:rPr>
              <w:t>704,000</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14202A"/>
              </w:rPr>
              <w:t>—</w:t>
            </w:r>
          </w:p>
        </w:tc>
        <w:tc>
          <w:tcPr>
            <w:tcW w:w="1240" w:type="dxa"/>
            <w:vAlign w:val="bottom"/>
            <w:vMerge w:val="restart"/>
          </w:tcPr>
          <w:p>
            <w:pPr>
              <w:ind w:left="400"/>
              <w:spacing w:after="0"/>
              <w:rPr>
                <w:sz w:val="20"/>
                <w:szCs w:val="20"/>
                <w:color w:val="auto"/>
              </w:rPr>
            </w:pPr>
            <w:r>
              <w:rPr>
                <w:rFonts w:ascii="Arial" w:cs="Arial" w:eastAsia="Arial" w:hAnsi="Arial"/>
                <w:sz w:val="13"/>
                <w:szCs w:val="13"/>
                <w:color w:val="14202A"/>
              </w:rPr>
              <w:t>45,892</w:t>
            </w:r>
          </w:p>
        </w:tc>
        <w:tc>
          <w:tcPr>
            <w:tcW w:w="820" w:type="dxa"/>
            <w:vAlign w:val="bottom"/>
            <w:vMerge w:val="restart"/>
          </w:tcPr>
          <w:p>
            <w:pPr>
              <w:jc w:val="right"/>
              <w:ind w:right="97"/>
              <w:spacing w:after="0"/>
              <w:rPr>
                <w:sz w:val="20"/>
                <w:szCs w:val="20"/>
                <w:color w:val="auto"/>
              </w:rPr>
            </w:pPr>
            <w:r>
              <w:rPr>
                <w:rFonts w:ascii="Arial" w:cs="Arial" w:eastAsia="Arial" w:hAnsi="Arial"/>
                <w:sz w:val="13"/>
                <w:szCs w:val="13"/>
                <w:color w:val="14202A"/>
              </w:rPr>
              <w:t>8,999,898</w:t>
            </w: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Executive Officer</w:t>
            </w:r>
          </w:p>
        </w:tc>
        <w:tc>
          <w:tcPr>
            <w:tcW w:w="5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740" w:type="dxa"/>
            <w:vAlign w:val="bottom"/>
            <w:tcBorders>
              <w:bottom w:val="single" w:sz="8" w:color="14202A"/>
            </w:tcBorders>
          </w:tcPr>
          <w:p>
            <w:pPr>
              <w:spacing w:after="0"/>
              <w:rPr>
                <w:sz w:val="5"/>
                <w:szCs w:val="5"/>
                <w:color w:val="auto"/>
              </w:rPr>
            </w:pPr>
          </w:p>
        </w:tc>
        <w:tc>
          <w:tcPr>
            <w:tcW w:w="560" w:type="dxa"/>
            <w:vAlign w:val="bottom"/>
            <w:tcBorders>
              <w:bottom w:val="single" w:sz="8" w:color="14202A"/>
            </w:tcBorders>
          </w:tcPr>
          <w:p>
            <w:pPr>
              <w:spacing w:after="0"/>
              <w:rPr>
                <w:sz w:val="5"/>
                <w:szCs w:val="5"/>
                <w:color w:val="auto"/>
              </w:rPr>
            </w:pPr>
          </w:p>
        </w:tc>
        <w:tc>
          <w:tcPr>
            <w:tcW w:w="760" w:type="dxa"/>
            <w:vAlign w:val="bottom"/>
            <w:tcBorders>
              <w:bottom w:val="single" w:sz="8" w:color="14202A"/>
            </w:tcBorders>
          </w:tcPr>
          <w:p>
            <w:pPr>
              <w:spacing w:after="0"/>
              <w:rPr>
                <w:sz w:val="5"/>
                <w:szCs w:val="5"/>
                <w:color w:val="auto"/>
              </w:rPr>
            </w:pPr>
          </w:p>
        </w:tc>
        <w:tc>
          <w:tcPr>
            <w:tcW w:w="780" w:type="dxa"/>
            <w:vAlign w:val="bottom"/>
            <w:tcBorders>
              <w:bottom w:val="single" w:sz="8" w:color="14202A"/>
            </w:tcBorders>
          </w:tcPr>
          <w:p>
            <w:pPr>
              <w:spacing w:after="0"/>
              <w:rPr>
                <w:sz w:val="5"/>
                <w:szCs w:val="5"/>
                <w:color w:val="auto"/>
              </w:rPr>
            </w:pPr>
          </w:p>
        </w:tc>
        <w:tc>
          <w:tcPr>
            <w:tcW w:w="1240" w:type="dxa"/>
            <w:vAlign w:val="bottom"/>
            <w:tcBorders>
              <w:bottom w:val="single" w:sz="8" w:color="14202A"/>
            </w:tcBorders>
          </w:tcPr>
          <w:p>
            <w:pPr>
              <w:spacing w:after="0"/>
              <w:rPr>
                <w:sz w:val="5"/>
                <w:szCs w:val="5"/>
                <w:color w:val="auto"/>
              </w:rPr>
            </w:pPr>
          </w:p>
        </w:tc>
        <w:tc>
          <w:tcPr>
            <w:tcW w:w="1140" w:type="dxa"/>
            <w:vAlign w:val="bottom"/>
            <w:tcBorders>
              <w:bottom w:val="single" w:sz="8" w:color="14202A"/>
            </w:tcBorders>
          </w:tcPr>
          <w:p>
            <w:pPr>
              <w:spacing w:after="0"/>
              <w:rPr>
                <w:sz w:val="5"/>
                <w:szCs w:val="5"/>
                <w:color w:val="auto"/>
              </w:rPr>
            </w:pPr>
          </w:p>
        </w:tc>
        <w:tc>
          <w:tcPr>
            <w:tcW w:w="124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740" w:type="dxa"/>
            <w:vAlign w:val="bottom"/>
          </w:tcPr>
          <w:p>
            <w:pPr>
              <w:jc w:val="right"/>
              <w:ind w:right="17"/>
              <w:spacing w:after="0"/>
              <w:rPr>
                <w:sz w:val="20"/>
                <w:szCs w:val="20"/>
                <w:color w:val="auto"/>
              </w:rPr>
            </w:pPr>
            <w:r>
              <w:rPr>
                <w:rFonts w:ascii="Arial" w:cs="Arial" w:eastAsia="Arial" w:hAnsi="Arial"/>
                <w:sz w:val="13"/>
                <w:szCs w:val="13"/>
                <w:color w:val="14202A"/>
              </w:rPr>
              <w:t>1,121,154</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4,717,461</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832,492</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505,500</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40,624</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7,217,231</w:t>
            </w:r>
          </w:p>
        </w:tc>
        <w:tc>
          <w:tcPr>
            <w:tcW w:w="0" w:type="dxa"/>
            <w:vAlign w:val="bottom"/>
          </w:tcPr>
          <w:p>
            <w:pPr>
              <w:spacing w:after="0"/>
              <w:rPr>
                <w:sz w:val="1"/>
                <w:szCs w:val="1"/>
                <w:color w:val="auto"/>
              </w:rPr>
            </w:pPr>
          </w:p>
        </w:tc>
      </w:tr>
      <w:tr>
        <w:trPr>
          <w:trHeight w:val="68"/>
        </w:trPr>
        <w:tc>
          <w:tcPr>
            <w:tcW w:w="100" w:type="dxa"/>
            <w:vAlign w:val="bottom"/>
            <w:tcBorders>
              <w:bottom w:val="single" w:sz="8" w:color="14202A"/>
            </w:tcBorders>
          </w:tcPr>
          <w:p>
            <w:pPr>
              <w:spacing w:after="0"/>
              <w:rPr>
                <w:sz w:val="5"/>
                <w:szCs w:val="5"/>
                <w:color w:val="auto"/>
              </w:rPr>
            </w:pPr>
          </w:p>
        </w:tc>
        <w:tc>
          <w:tcPr>
            <w:tcW w:w="138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740" w:type="dxa"/>
            <w:vAlign w:val="bottom"/>
            <w:tcBorders>
              <w:bottom w:val="single" w:sz="8" w:color="14202A"/>
            </w:tcBorders>
          </w:tcPr>
          <w:p>
            <w:pPr>
              <w:spacing w:after="0"/>
              <w:rPr>
                <w:sz w:val="5"/>
                <w:szCs w:val="5"/>
                <w:color w:val="auto"/>
              </w:rPr>
            </w:pPr>
          </w:p>
        </w:tc>
        <w:tc>
          <w:tcPr>
            <w:tcW w:w="560" w:type="dxa"/>
            <w:vAlign w:val="bottom"/>
            <w:tcBorders>
              <w:bottom w:val="single" w:sz="8" w:color="14202A"/>
            </w:tcBorders>
          </w:tcPr>
          <w:p>
            <w:pPr>
              <w:spacing w:after="0"/>
              <w:rPr>
                <w:sz w:val="5"/>
                <w:szCs w:val="5"/>
                <w:color w:val="auto"/>
              </w:rPr>
            </w:pPr>
          </w:p>
        </w:tc>
        <w:tc>
          <w:tcPr>
            <w:tcW w:w="760" w:type="dxa"/>
            <w:vAlign w:val="bottom"/>
            <w:tcBorders>
              <w:bottom w:val="single" w:sz="8" w:color="14202A"/>
            </w:tcBorders>
          </w:tcPr>
          <w:p>
            <w:pPr>
              <w:spacing w:after="0"/>
              <w:rPr>
                <w:sz w:val="5"/>
                <w:szCs w:val="5"/>
                <w:color w:val="auto"/>
              </w:rPr>
            </w:pPr>
          </w:p>
        </w:tc>
        <w:tc>
          <w:tcPr>
            <w:tcW w:w="780" w:type="dxa"/>
            <w:vAlign w:val="bottom"/>
            <w:tcBorders>
              <w:bottom w:val="single" w:sz="8" w:color="14202A"/>
            </w:tcBorders>
          </w:tcPr>
          <w:p>
            <w:pPr>
              <w:spacing w:after="0"/>
              <w:rPr>
                <w:sz w:val="5"/>
                <w:szCs w:val="5"/>
                <w:color w:val="auto"/>
              </w:rPr>
            </w:pPr>
          </w:p>
        </w:tc>
        <w:tc>
          <w:tcPr>
            <w:tcW w:w="1240" w:type="dxa"/>
            <w:vAlign w:val="bottom"/>
            <w:tcBorders>
              <w:bottom w:val="single" w:sz="8" w:color="14202A"/>
            </w:tcBorders>
          </w:tcPr>
          <w:p>
            <w:pPr>
              <w:spacing w:after="0"/>
              <w:rPr>
                <w:sz w:val="5"/>
                <w:szCs w:val="5"/>
                <w:color w:val="auto"/>
              </w:rPr>
            </w:pPr>
          </w:p>
        </w:tc>
        <w:tc>
          <w:tcPr>
            <w:tcW w:w="1140" w:type="dxa"/>
            <w:vAlign w:val="bottom"/>
            <w:tcBorders>
              <w:bottom w:val="single" w:sz="8" w:color="14202A"/>
            </w:tcBorders>
          </w:tcPr>
          <w:p>
            <w:pPr>
              <w:spacing w:after="0"/>
              <w:rPr>
                <w:sz w:val="5"/>
                <w:szCs w:val="5"/>
                <w:color w:val="auto"/>
              </w:rPr>
            </w:pPr>
          </w:p>
        </w:tc>
        <w:tc>
          <w:tcPr>
            <w:tcW w:w="124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Bryan L. Hughes</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2026</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643,750</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1,094,362</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193,127</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687,911</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42,532</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2,661,682</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1380" w:type="dxa"/>
            <w:vAlign w:val="bottom"/>
          </w:tcPr>
          <w:p>
            <w:pPr>
              <w:ind w:left="60"/>
              <w:spacing w:after="0" w:line="106" w:lineRule="exact"/>
              <w:rPr>
                <w:sz w:val="20"/>
                <w:szCs w:val="20"/>
                <w:color w:val="auto"/>
              </w:rPr>
            </w:pPr>
            <w:r>
              <w:rPr>
                <w:rFonts w:ascii="Arial" w:cs="Arial" w:eastAsia="Arial" w:hAnsi="Arial"/>
                <w:sz w:val="12"/>
                <w:szCs w:val="12"/>
                <w:color w:val="14202A"/>
              </w:rPr>
              <w:t>Senior Vice President</w:t>
            </w:r>
          </w:p>
        </w:tc>
        <w:tc>
          <w:tcPr>
            <w:tcW w:w="520" w:type="dxa"/>
            <w:vAlign w:val="bottom"/>
            <w:tcBorders>
              <w:bottom w:val="single" w:sz="8" w:color="14202A"/>
            </w:tcBorders>
          </w:tcPr>
          <w:p>
            <w:pPr>
              <w:spacing w:after="0"/>
              <w:rPr>
                <w:sz w:val="9"/>
                <w:szCs w:val="9"/>
                <w:color w:val="auto"/>
              </w:rPr>
            </w:pPr>
          </w:p>
        </w:tc>
        <w:tc>
          <w:tcPr>
            <w:tcW w:w="740" w:type="dxa"/>
            <w:vAlign w:val="bottom"/>
            <w:tcBorders>
              <w:bottom w:val="single" w:sz="8" w:color="14202A"/>
            </w:tcBorders>
          </w:tcPr>
          <w:p>
            <w:pPr>
              <w:spacing w:after="0"/>
              <w:rPr>
                <w:sz w:val="9"/>
                <w:szCs w:val="9"/>
                <w:color w:val="auto"/>
              </w:rPr>
            </w:pPr>
          </w:p>
        </w:tc>
        <w:tc>
          <w:tcPr>
            <w:tcW w:w="560" w:type="dxa"/>
            <w:vAlign w:val="bottom"/>
            <w:tcBorders>
              <w:bottom w:val="single" w:sz="8" w:color="14202A"/>
            </w:tcBorders>
          </w:tcPr>
          <w:p>
            <w:pPr>
              <w:spacing w:after="0"/>
              <w:rPr>
                <w:sz w:val="9"/>
                <w:szCs w:val="9"/>
                <w:color w:val="auto"/>
              </w:rPr>
            </w:pPr>
          </w:p>
        </w:tc>
        <w:tc>
          <w:tcPr>
            <w:tcW w:w="760" w:type="dxa"/>
            <w:vAlign w:val="bottom"/>
            <w:tcBorders>
              <w:bottom w:val="single" w:sz="8" w:color="14202A"/>
            </w:tcBorders>
          </w:tcPr>
          <w:p>
            <w:pPr>
              <w:spacing w:after="0"/>
              <w:rPr>
                <w:sz w:val="9"/>
                <w:szCs w:val="9"/>
                <w:color w:val="auto"/>
              </w:rPr>
            </w:pPr>
          </w:p>
        </w:tc>
        <w:tc>
          <w:tcPr>
            <w:tcW w:w="780" w:type="dxa"/>
            <w:vAlign w:val="bottom"/>
            <w:tcBorders>
              <w:bottom w:val="single" w:sz="8" w:color="14202A"/>
            </w:tcBorders>
          </w:tcPr>
          <w:p>
            <w:pPr>
              <w:spacing w:after="0"/>
              <w:rPr>
                <w:sz w:val="9"/>
                <w:szCs w:val="9"/>
                <w:color w:val="auto"/>
              </w:rPr>
            </w:pPr>
          </w:p>
        </w:tc>
        <w:tc>
          <w:tcPr>
            <w:tcW w:w="1240" w:type="dxa"/>
            <w:vAlign w:val="bottom"/>
            <w:tcBorders>
              <w:bottom w:val="single" w:sz="8" w:color="14202A"/>
            </w:tcBorders>
          </w:tcPr>
          <w:p>
            <w:pPr>
              <w:spacing w:after="0"/>
              <w:rPr>
                <w:sz w:val="9"/>
                <w:szCs w:val="9"/>
                <w:color w:val="auto"/>
              </w:rPr>
            </w:pPr>
          </w:p>
        </w:tc>
        <w:tc>
          <w:tcPr>
            <w:tcW w:w="1140" w:type="dxa"/>
            <w:vAlign w:val="bottom"/>
            <w:tcBorders>
              <w:bottom w:val="single" w:sz="8" w:color="14202A"/>
            </w:tcBorders>
          </w:tcPr>
          <w:p>
            <w:pPr>
              <w:spacing w:after="0"/>
              <w:rPr>
                <w:sz w:val="9"/>
                <w:szCs w:val="9"/>
                <w:color w:val="auto"/>
              </w:rPr>
            </w:pPr>
          </w:p>
        </w:tc>
        <w:tc>
          <w:tcPr>
            <w:tcW w:w="1240" w:type="dxa"/>
            <w:vAlign w:val="bottom"/>
            <w:tcBorders>
              <w:bottom w:val="single" w:sz="8" w:color="14202A"/>
            </w:tcBorders>
          </w:tcPr>
          <w:p>
            <w:pPr>
              <w:spacing w:after="0"/>
              <w:rPr>
                <w:sz w:val="9"/>
                <w:szCs w:val="9"/>
                <w:color w:val="auto"/>
              </w:rPr>
            </w:pPr>
          </w:p>
        </w:tc>
        <w:tc>
          <w:tcPr>
            <w:tcW w:w="820" w:type="dxa"/>
            <w:vAlign w:val="bottom"/>
            <w:tcBorders>
              <w:bottom w:val="single" w:sz="8" w:color="14202A"/>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 Chief Financial</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2025</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625,000</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1,437,547</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187,511</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408,250</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42,824</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2,701,132</w:t>
            </w: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1380" w:type="dxa"/>
            <w:vAlign w:val="bottom"/>
          </w:tcPr>
          <w:p>
            <w:pPr>
              <w:ind w:left="60"/>
              <w:spacing w:after="0" w:line="104" w:lineRule="exact"/>
              <w:rPr>
                <w:sz w:val="20"/>
                <w:szCs w:val="20"/>
                <w:color w:val="auto"/>
              </w:rPr>
            </w:pPr>
            <w:r>
              <w:rPr>
                <w:rFonts w:ascii="Arial" w:cs="Arial" w:eastAsia="Arial" w:hAnsi="Arial"/>
                <w:sz w:val="12"/>
                <w:szCs w:val="12"/>
                <w:color w:val="14202A"/>
              </w:rPr>
              <w:t>Officer, Investor</w:t>
            </w:r>
          </w:p>
        </w:tc>
        <w:tc>
          <w:tcPr>
            <w:tcW w:w="520" w:type="dxa"/>
            <w:vAlign w:val="bottom"/>
            <w:tcBorders>
              <w:bottom w:val="single" w:sz="8" w:color="14202A"/>
            </w:tcBorders>
          </w:tcPr>
          <w:p>
            <w:pPr>
              <w:spacing w:after="0"/>
              <w:rPr>
                <w:sz w:val="10"/>
                <w:szCs w:val="10"/>
                <w:color w:val="auto"/>
              </w:rPr>
            </w:pPr>
          </w:p>
        </w:tc>
        <w:tc>
          <w:tcPr>
            <w:tcW w:w="740" w:type="dxa"/>
            <w:vAlign w:val="bottom"/>
            <w:tcBorders>
              <w:bottom w:val="single" w:sz="8" w:color="14202A"/>
            </w:tcBorders>
          </w:tcPr>
          <w:p>
            <w:pPr>
              <w:spacing w:after="0"/>
              <w:rPr>
                <w:sz w:val="10"/>
                <w:szCs w:val="10"/>
                <w:color w:val="auto"/>
              </w:rPr>
            </w:pPr>
          </w:p>
        </w:tc>
        <w:tc>
          <w:tcPr>
            <w:tcW w:w="560" w:type="dxa"/>
            <w:vAlign w:val="bottom"/>
            <w:tcBorders>
              <w:bottom w:val="single" w:sz="8" w:color="14202A"/>
            </w:tcBorders>
          </w:tcPr>
          <w:p>
            <w:pPr>
              <w:spacing w:after="0"/>
              <w:rPr>
                <w:sz w:val="10"/>
                <w:szCs w:val="10"/>
                <w:color w:val="auto"/>
              </w:rPr>
            </w:pPr>
          </w:p>
        </w:tc>
        <w:tc>
          <w:tcPr>
            <w:tcW w:w="760" w:type="dxa"/>
            <w:vAlign w:val="bottom"/>
            <w:tcBorders>
              <w:bottom w:val="single" w:sz="8" w:color="14202A"/>
            </w:tcBorders>
          </w:tcPr>
          <w:p>
            <w:pPr>
              <w:spacing w:after="0"/>
              <w:rPr>
                <w:sz w:val="10"/>
                <w:szCs w:val="10"/>
                <w:color w:val="auto"/>
              </w:rPr>
            </w:pPr>
          </w:p>
        </w:tc>
        <w:tc>
          <w:tcPr>
            <w:tcW w:w="780" w:type="dxa"/>
            <w:vAlign w:val="bottom"/>
            <w:tcBorders>
              <w:bottom w:val="single" w:sz="8" w:color="14202A"/>
            </w:tcBorders>
          </w:tcPr>
          <w:p>
            <w:pPr>
              <w:spacing w:after="0"/>
              <w:rPr>
                <w:sz w:val="10"/>
                <w:szCs w:val="10"/>
                <w:color w:val="auto"/>
              </w:rPr>
            </w:pPr>
          </w:p>
        </w:tc>
        <w:tc>
          <w:tcPr>
            <w:tcW w:w="1240" w:type="dxa"/>
            <w:vAlign w:val="bottom"/>
            <w:tcBorders>
              <w:bottom w:val="single" w:sz="8" w:color="14202A"/>
            </w:tcBorders>
          </w:tcPr>
          <w:p>
            <w:pPr>
              <w:spacing w:after="0"/>
              <w:rPr>
                <w:sz w:val="10"/>
                <w:szCs w:val="10"/>
                <w:color w:val="auto"/>
              </w:rPr>
            </w:pPr>
          </w:p>
        </w:tc>
        <w:tc>
          <w:tcPr>
            <w:tcW w:w="1140" w:type="dxa"/>
            <w:vAlign w:val="bottom"/>
            <w:tcBorders>
              <w:bottom w:val="single" w:sz="8" w:color="14202A"/>
            </w:tcBorders>
          </w:tcPr>
          <w:p>
            <w:pPr>
              <w:spacing w:after="0"/>
              <w:rPr>
                <w:sz w:val="10"/>
                <w:szCs w:val="10"/>
                <w:color w:val="auto"/>
              </w:rPr>
            </w:pPr>
          </w:p>
        </w:tc>
        <w:tc>
          <w:tcPr>
            <w:tcW w:w="1240" w:type="dxa"/>
            <w:vAlign w:val="bottom"/>
            <w:tcBorders>
              <w:bottom w:val="single" w:sz="8" w:color="14202A"/>
            </w:tcBorders>
          </w:tcPr>
          <w:p>
            <w:pPr>
              <w:spacing w:after="0"/>
              <w:rPr>
                <w:sz w:val="10"/>
                <w:szCs w:val="10"/>
                <w:color w:val="auto"/>
              </w:rPr>
            </w:pPr>
          </w:p>
        </w:tc>
        <w:tc>
          <w:tcPr>
            <w:tcW w:w="820" w:type="dxa"/>
            <w:vAlign w:val="bottom"/>
            <w:tcBorders>
              <w:bottom w:val="single" w:sz="8" w:color="14202A"/>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00" w:type="dxa"/>
            <w:vAlign w:val="bottom"/>
          </w:tcPr>
          <w:p>
            <w:pPr>
              <w:spacing w:after="0"/>
              <w:rPr>
                <w:sz w:val="9"/>
                <w:szCs w:val="9"/>
                <w:color w:val="auto"/>
              </w:rPr>
            </w:pPr>
          </w:p>
        </w:tc>
        <w:tc>
          <w:tcPr>
            <w:tcW w:w="1380" w:type="dxa"/>
            <w:vAlign w:val="bottom"/>
          </w:tcPr>
          <w:p>
            <w:pPr>
              <w:ind w:left="60"/>
              <w:spacing w:after="0" w:line="104" w:lineRule="exact"/>
              <w:rPr>
                <w:sz w:val="20"/>
                <w:szCs w:val="20"/>
                <w:color w:val="auto"/>
              </w:rPr>
            </w:pPr>
            <w:r>
              <w:rPr>
                <w:rFonts w:ascii="Arial" w:cs="Arial" w:eastAsia="Arial" w:hAnsi="Arial"/>
                <w:sz w:val="12"/>
                <w:szCs w:val="12"/>
                <w:color w:val="14202A"/>
              </w:rPr>
              <w:t>Relations, Information</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14202A"/>
                <w:w w:val="96"/>
              </w:rPr>
              <w:t>2024</w:t>
            </w: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14202A"/>
              </w:rPr>
              <w:t>611,539</w:t>
            </w:r>
          </w:p>
        </w:tc>
        <w:tc>
          <w:tcPr>
            <w:tcW w:w="560" w:type="dxa"/>
            <w:vAlign w:val="bottom"/>
            <w:vMerge w:val="restart"/>
          </w:tcPr>
          <w:p>
            <w:pPr>
              <w:jc w:val="center"/>
              <w:spacing w:after="0"/>
              <w:rPr>
                <w:sz w:val="20"/>
                <w:szCs w:val="20"/>
                <w:color w:val="auto"/>
              </w:rPr>
            </w:pPr>
            <w:r>
              <w:rPr>
                <w:rFonts w:ascii="Arial" w:cs="Arial" w:eastAsia="Arial" w:hAnsi="Arial"/>
                <w:sz w:val="13"/>
                <w:szCs w:val="13"/>
                <w:color w:val="14202A"/>
              </w:rPr>
              <w:t>—</w:t>
            </w:r>
          </w:p>
        </w:tc>
        <w:tc>
          <w:tcPr>
            <w:tcW w:w="760" w:type="dxa"/>
            <w:vAlign w:val="bottom"/>
            <w:vMerge w:val="restart"/>
          </w:tcPr>
          <w:p>
            <w:pPr>
              <w:jc w:val="right"/>
              <w:ind w:right="38"/>
              <w:spacing w:after="0"/>
              <w:rPr>
                <w:sz w:val="20"/>
                <w:szCs w:val="20"/>
                <w:color w:val="auto"/>
              </w:rPr>
            </w:pPr>
            <w:r>
              <w:rPr>
                <w:rFonts w:ascii="Arial" w:cs="Arial" w:eastAsia="Arial" w:hAnsi="Arial"/>
                <w:sz w:val="13"/>
                <w:szCs w:val="13"/>
                <w:color w:val="14202A"/>
              </w:rPr>
              <w:t>917,990</w:t>
            </w:r>
          </w:p>
        </w:tc>
        <w:tc>
          <w:tcPr>
            <w:tcW w:w="780" w:type="dxa"/>
            <w:vAlign w:val="bottom"/>
            <w:vMerge w:val="restart"/>
          </w:tcPr>
          <w:p>
            <w:pPr>
              <w:jc w:val="right"/>
              <w:ind w:right="118"/>
              <w:spacing w:after="0"/>
              <w:rPr>
                <w:sz w:val="20"/>
                <w:szCs w:val="20"/>
                <w:color w:val="auto"/>
              </w:rPr>
            </w:pPr>
            <w:r>
              <w:rPr>
                <w:rFonts w:ascii="Arial" w:cs="Arial" w:eastAsia="Arial" w:hAnsi="Arial"/>
                <w:sz w:val="13"/>
                <w:szCs w:val="13"/>
                <w:color w:val="14202A"/>
              </w:rPr>
              <w:t>161,995</w:t>
            </w:r>
          </w:p>
        </w:tc>
        <w:tc>
          <w:tcPr>
            <w:tcW w:w="1240" w:type="dxa"/>
            <w:vAlign w:val="bottom"/>
            <w:vMerge w:val="restart"/>
          </w:tcPr>
          <w:p>
            <w:pPr>
              <w:jc w:val="right"/>
              <w:ind w:right="318"/>
              <w:spacing w:after="0"/>
              <w:rPr>
                <w:sz w:val="20"/>
                <w:szCs w:val="20"/>
                <w:color w:val="auto"/>
              </w:rPr>
            </w:pPr>
            <w:r>
              <w:rPr>
                <w:rFonts w:ascii="Arial" w:cs="Arial" w:eastAsia="Arial" w:hAnsi="Arial"/>
                <w:sz w:val="13"/>
                <w:szCs w:val="13"/>
                <w:color w:val="14202A"/>
              </w:rPr>
              <w:t>259,254</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14202A"/>
              </w:rPr>
              <w:t>—</w:t>
            </w:r>
          </w:p>
        </w:tc>
        <w:tc>
          <w:tcPr>
            <w:tcW w:w="1240" w:type="dxa"/>
            <w:vAlign w:val="bottom"/>
            <w:vMerge w:val="restart"/>
          </w:tcPr>
          <w:p>
            <w:pPr>
              <w:ind w:left="400"/>
              <w:spacing w:after="0"/>
              <w:rPr>
                <w:sz w:val="20"/>
                <w:szCs w:val="20"/>
                <w:color w:val="auto"/>
              </w:rPr>
            </w:pPr>
            <w:r>
              <w:rPr>
                <w:rFonts w:ascii="Arial" w:cs="Arial" w:eastAsia="Arial" w:hAnsi="Arial"/>
                <w:sz w:val="13"/>
                <w:szCs w:val="13"/>
                <w:color w:val="14202A"/>
              </w:rPr>
              <w:t>40,624</w:t>
            </w:r>
          </w:p>
        </w:tc>
        <w:tc>
          <w:tcPr>
            <w:tcW w:w="820" w:type="dxa"/>
            <w:vAlign w:val="bottom"/>
            <w:vMerge w:val="restart"/>
          </w:tcPr>
          <w:p>
            <w:pPr>
              <w:jc w:val="right"/>
              <w:ind w:right="97"/>
              <w:spacing w:after="0"/>
              <w:rPr>
                <w:sz w:val="20"/>
                <w:szCs w:val="20"/>
                <w:color w:val="auto"/>
              </w:rPr>
            </w:pPr>
            <w:r>
              <w:rPr>
                <w:rFonts w:ascii="Arial" w:cs="Arial" w:eastAsia="Arial" w:hAnsi="Arial"/>
                <w:sz w:val="13"/>
                <w:szCs w:val="13"/>
                <w:color w:val="14202A"/>
              </w:rPr>
              <w:t>1,991,402</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1380" w:type="dxa"/>
            <w:vAlign w:val="bottom"/>
            <w:vMerge w:val="restart"/>
          </w:tcPr>
          <w:p>
            <w:pPr>
              <w:ind w:left="60"/>
              <w:spacing w:after="0" w:line="135" w:lineRule="exact"/>
              <w:rPr>
                <w:sz w:val="20"/>
                <w:szCs w:val="20"/>
                <w:color w:val="auto"/>
              </w:rPr>
            </w:pPr>
            <w:r>
              <w:rPr>
                <w:rFonts w:ascii="Arial" w:cs="Arial" w:eastAsia="Arial" w:hAnsi="Arial"/>
                <w:sz w:val="13"/>
                <w:szCs w:val="13"/>
                <w:color w:val="14202A"/>
              </w:rPr>
              <w:t>Technology and</w:t>
            </w:r>
          </w:p>
        </w:tc>
        <w:tc>
          <w:tcPr>
            <w:tcW w:w="5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00" w:type="dxa"/>
            <w:vAlign w:val="bottom"/>
          </w:tcPr>
          <w:p>
            <w:pPr>
              <w:spacing w:after="0"/>
              <w:rPr>
                <w:sz w:val="11"/>
                <w:szCs w:val="11"/>
                <w:color w:val="auto"/>
              </w:rPr>
            </w:pPr>
          </w:p>
        </w:tc>
        <w:tc>
          <w:tcPr>
            <w:tcW w:w="1380" w:type="dxa"/>
            <w:vAlign w:val="bottom"/>
          </w:tcPr>
          <w:p>
            <w:pPr>
              <w:ind w:left="60"/>
              <w:spacing w:after="0" w:line="135" w:lineRule="exact"/>
              <w:rPr>
                <w:sz w:val="20"/>
                <w:szCs w:val="20"/>
                <w:color w:val="auto"/>
              </w:rPr>
            </w:pPr>
            <w:r>
              <w:rPr>
                <w:rFonts w:ascii="Arial" w:cs="Arial" w:eastAsia="Arial" w:hAnsi="Arial"/>
                <w:sz w:val="13"/>
                <w:szCs w:val="13"/>
                <w:color w:val="14202A"/>
              </w:rPr>
              <w:t>Business</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Development</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0" w:type="dxa"/>
            <w:vAlign w:val="bottom"/>
            <w:tcBorders>
              <w:bottom w:val="single" w:sz="8" w:color="14202A"/>
            </w:tcBorders>
          </w:tcPr>
          <w:p>
            <w:pPr>
              <w:spacing w:after="0"/>
              <w:rPr>
                <w:sz w:val="5"/>
                <w:szCs w:val="5"/>
                <w:color w:val="auto"/>
              </w:rPr>
            </w:pPr>
          </w:p>
        </w:tc>
        <w:tc>
          <w:tcPr>
            <w:tcW w:w="138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740" w:type="dxa"/>
            <w:vAlign w:val="bottom"/>
            <w:tcBorders>
              <w:bottom w:val="single" w:sz="8" w:color="14202A"/>
            </w:tcBorders>
          </w:tcPr>
          <w:p>
            <w:pPr>
              <w:spacing w:after="0"/>
              <w:rPr>
                <w:sz w:val="5"/>
                <w:szCs w:val="5"/>
                <w:color w:val="auto"/>
              </w:rPr>
            </w:pPr>
          </w:p>
        </w:tc>
        <w:tc>
          <w:tcPr>
            <w:tcW w:w="560" w:type="dxa"/>
            <w:vAlign w:val="bottom"/>
            <w:tcBorders>
              <w:bottom w:val="single" w:sz="8" w:color="14202A"/>
            </w:tcBorders>
          </w:tcPr>
          <w:p>
            <w:pPr>
              <w:spacing w:after="0"/>
              <w:rPr>
                <w:sz w:val="5"/>
                <w:szCs w:val="5"/>
                <w:color w:val="auto"/>
              </w:rPr>
            </w:pPr>
          </w:p>
        </w:tc>
        <w:tc>
          <w:tcPr>
            <w:tcW w:w="760" w:type="dxa"/>
            <w:vAlign w:val="bottom"/>
            <w:tcBorders>
              <w:bottom w:val="single" w:sz="8" w:color="14202A"/>
            </w:tcBorders>
          </w:tcPr>
          <w:p>
            <w:pPr>
              <w:spacing w:after="0"/>
              <w:rPr>
                <w:sz w:val="5"/>
                <w:szCs w:val="5"/>
                <w:color w:val="auto"/>
              </w:rPr>
            </w:pPr>
          </w:p>
        </w:tc>
        <w:tc>
          <w:tcPr>
            <w:tcW w:w="780" w:type="dxa"/>
            <w:vAlign w:val="bottom"/>
            <w:tcBorders>
              <w:bottom w:val="single" w:sz="8" w:color="14202A"/>
            </w:tcBorders>
          </w:tcPr>
          <w:p>
            <w:pPr>
              <w:spacing w:after="0"/>
              <w:rPr>
                <w:sz w:val="5"/>
                <w:szCs w:val="5"/>
                <w:color w:val="auto"/>
              </w:rPr>
            </w:pPr>
          </w:p>
        </w:tc>
        <w:tc>
          <w:tcPr>
            <w:tcW w:w="1240" w:type="dxa"/>
            <w:vAlign w:val="bottom"/>
            <w:tcBorders>
              <w:bottom w:val="single" w:sz="8" w:color="14202A"/>
            </w:tcBorders>
          </w:tcPr>
          <w:p>
            <w:pPr>
              <w:spacing w:after="0"/>
              <w:rPr>
                <w:sz w:val="5"/>
                <w:szCs w:val="5"/>
                <w:color w:val="auto"/>
              </w:rPr>
            </w:pPr>
          </w:p>
        </w:tc>
        <w:tc>
          <w:tcPr>
            <w:tcW w:w="1140" w:type="dxa"/>
            <w:vAlign w:val="bottom"/>
            <w:tcBorders>
              <w:bottom w:val="single" w:sz="8" w:color="14202A"/>
            </w:tcBorders>
          </w:tcPr>
          <w:p>
            <w:pPr>
              <w:spacing w:after="0"/>
              <w:rPr>
                <w:sz w:val="5"/>
                <w:szCs w:val="5"/>
                <w:color w:val="auto"/>
              </w:rPr>
            </w:pPr>
          </w:p>
        </w:tc>
        <w:tc>
          <w:tcPr>
            <w:tcW w:w="124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Donald J. Clark</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2026</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700,000</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2,871,251</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14,875</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3,586,126</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1380" w:type="dxa"/>
            <w:vAlign w:val="bottom"/>
          </w:tcPr>
          <w:p>
            <w:pPr>
              <w:ind w:left="60"/>
              <w:spacing w:after="0" w:line="106" w:lineRule="exact"/>
              <w:rPr>
                <w:sz w:val="20"/>
                <w:szCs w:val="20"/>
                <w:color w:val="auto"/>
              </w:rPr>
            </w:pPr>
            <w:r>
              <w:rPr>
                <w:rFonts w:ascii="Arial" w:cs="Arial" w:eastAsia="Arial" w:hAnsi="Arial"/>
                <w:sz w:val="12"/>
                <w:szCs w:val="12"/>
                <w:color w:val="14202A"/>
              </w:rPr>
              <w:t>Group President –</w:t>
            </w:r>
          </w:p>
        </w:tc>
        <w:tc>
          <w:tcPr>
            <w:tcW w:w="520" w:type="dxa"/>
            <w:vAlign w:val="bottom"/>
            <w:tcBorders>
              <w:bottom w:val="single" w:sz="8" w:color="14202A"/>
            </w:tcBorders>
          </w:tcPr>
          <w:p>
            <w:pPr>
              <w:spacing w:after="0"/>
              <w:rPr>
                <w:sz w:val="9"/>
                <w:szCs w:val="9"/>
                <w:color w:val="auto"/>
              </w:rPr>
            </w:pPr>
          </w:p>
        </w:tc>
        <w:tc>
          <w:tcPr>
            <w:tcW w:w="740" w:type="dxa"/>
            <w:vAlign w:val="bottom"/>
            <w:tcBorders>
              <w:bottom w:val="single" w:sz="8" w:color="14202A"/>
            </w:tcBorders>
          </w:tcPr>
          <w:p>
            <w:pPr>
              <w:spacing w:after="0"/>
              <w:rPr>
                <w:sz w:val="9"/>
                <w:szCs w:val="9"/>
                <w:color w:val="auto"/>
              </w:rPr>
            </w:pPr>
          </w:p>
        </w:tc>
        <w:tc>
          <w:tcPr>
            <w:tcW w:w="560" w:type="dxa"/>
            <w:vAlign w:val="bottom"/>
            <w:tcBorders>
              <w:bottom w:val="single" w:sz="8" w:color="14202A"/>
            </w:tcBorders>
          </w:tcPr>
          <w:p>
            <w:pPr>
              <w:spacing w:after="0"/>
              <w:rPr>
                <w:sz w:val="9"/>
                <w:szCs w:val="9"/>
                <w:color w:val="auto"/>
              </w:rPr>
            </w:pPr>
          </w:p>
        </w:tc>
        <w:tc>
          <w:tcPr>
            <w:tcW w:w="760" w:type="dxa"/>
            <w:vAlign w:val="bottom"/>
            <w:tcBorders>
              <w:bottom w:val="single" w:sz="8" w:color="14202A"/>
            </w:tcBorders>
          </w:tcPr>
          <w:p>
            <w:pPr>
              <w:spacing w:after="0"/>
              <w:rPr>
                <w:sz w:val="9"/>
                <w:szCs w:val="9"/>
                <w:color w:val="auto"/>
              </w:rPr>
            </w:pPr>
          </w:p>
        </w:tc>
        <w:tc>
          <w:tcPr>
            <w:tcW w:w="780" w:type="dxa"/>
            <w:vAlign w:val="bottom"/>
            <w:tcBorders>
              <w:bottom w:val="single" w:sz="8" w:color="14202A"/>
            </w:tcBorders>
          </w:tcPr>
          <w:p>
            <w:pPr>
              <w:spacing w:after="0"/>
              <w:rPr>
                <w:sz w:val="9"/>
                <w:szCs w:val="9"/>
                <w:color w:val="auto"/>
              </w:rPr>
            </w:pPr>
          </w:p>
        </w:tc>
        <w:tc>
          <w:tcPr>
            <w:tcW w:w="1240" w:type="dxa"/>
            <w:vAlign w:val="bottom"/>
            <w:tcBorders>
              <w:bottom w:val="single" w:sz="8" w:color="14202A"/>
            </w:tcBorders>
          </w:tcPr>
          <w:p>
            <w:pPr>
              <w:spacing w:after="0"/>
              <w:rPr>
                <w:sz w:val="9"/>
                <w:szCs w:val="9"/>
                <w:color w:val="auto"/>
              </w:rPr>
            </w:pPr>
          </w:p>
        </w:tc>
        <w:tc>
          <w:tcPr>
            <w:tcW w:w="1140" w:type="dxa"/>
            <w:vAlign w:val="bottom"/>
            <w:tcBorders>
              <w:bottom w:val="single" w:sz="8" w:color="14202A"/>
            </w:tcBorders>
          </w:tcPr>
          <w:p>
            <w:pPr>
              <w:spacing w:after="0"/>
              <w:rPr>
                <w:sz w:val="9"/>
                <w:szCs w:val="9"/>
                <w:color w:val="auto"/>
              </w:rPr>
            </w:pPr>
          </w:p>
        </w:tc>
        <w:tc>
          <w:tcPr>
            <w:tcW w:w="1240" w:type="dxa"/>
            <w:vAlign w:val="bottom"/>
            <w:tcBorders>
              <w:bottom w:val="single" w:sz="8" w:color="14202A"/>
            </w:tcBorders>
          </w:tcPr>
          <w:p>
            <w:pPr>
              <w:spacing w:after="0"/>
              <w:rPr>
                <w:sz w:val="9"/>
                <w:szCs w:val="9"/>
                <w:color w:val="auto"/>
              </w:rPr>
            </w:pPr>
          </w:p>
        </w:tc>
        <w:tc>
          <w:tcPr>
            <w:tcW w:w="820" w:type="dxa"/>
            <w:vAlign w:val="bottom"/>
            <w:tcBorders>
              <w:bottom w:val="single" w:sz="8" w:color="14202A"/>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Towable RV</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2025</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676,923</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4,090,474</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14,475</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4,781,872</w:t>
            </w: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1380" w:type="dxa"/>
            <w:vAlign w:val="bottom"/>
          </w:tcPr>
          <w:p>
            <w:pPr>
              <w:ind w:left="60"/>
              <w:spacing w:after="0" w:line="104" w:lineRule="exact"/>
              <w:rPr>
                <w:sz w:val="20"/>
                <w:szCs w:val="20"/>
                <w:color w:val="auto"/>
              </w:rPr>
            </w:pPr>
            <w:r>
              <w:rPr>
                <w:rFonts w:ascii="Arial" w:cs="Arial" w:eastAsia="Arial" w:hAnsi="Arial"/>
                <w:sz w:val="12"/>
                <w:szCs w:val="12"/>
                <w:color w:val="14202A"/>
              </w:rPr>
              <w:t>Segment;</w:t>
            </w:r>
          </w:p>
        </w:tc>
        <w:tc>
          <w:tcPr>
            <w:tcW w:w="520" w:type="dxa"/>
            <w:vAlign w:val="bottom"/>
            <w:tcBorders>
              <w:bottom w:val="single" w:sz="8" w:color="14202A"/>
            </w:tcBorders>
          </w:tcPr>
          <w:p>
            <w:pPr>
              <w:spacing w:after="0"/>
              <w:rPr>
                <w:sz w:val="10"/>
                <w:szCs w:val="10"/>
                <w:color w:val="auto"/>
              </w:rPr>
            </w:pPr>
          </w:p>
        </w:tc>
        <w:tc>
          <w:tcPr>
            <w:tcW w:w="740" w:type="dxa"/>
            <w:vAlign w:val="bottom"/>
            <w:tcBorders>
              <w:bottom w:val="single" w:sz="8" w:color="14202A"/>
            </w:tcBorders>
          </w:tcPr>
          <w:p>
            <w:pPr>
              <w:spacing w:after="0"/>
              <w:rPr>
                <w:sz w:val="10"/>
                <w:szCs w:val="10"/>
                <w:color w:val="auto"/>
              </w:rPr>
            </w:pPr>
          </w:p>
        </w:tc>
        <w:tc>
          <w:tcPr>
            <w:tcW w:w="560" w:type="dxa"/>
            <w:vAlign w:val="bottom"/>
            <w:tcBorders>
              <w:bottom w:val="single" w:sz="8" w:color="14202A"/>
            </w:tcBorders>
          </w:tcPr>
          <w:p>
            <w:pPr>
              <w:spacing w:after="0"/>
              <w:rPr>
                <w:sz w:val="10"/>
                <w:szCs w:val="10"/>
                <w:color w:val="auto"/>
              </w:rPr>
            </w:pPr>
          </w:p>
        </w:tc>
        <w:tc>
          <w:tcPr>
            <w:tcW w:w="760" w:type="dxa"/>
            <w:vAlign w:val="bottom"/>
            <w:tcBorders>
              <w:bottom w:val="single" w:sz="8" w:color="14202A"/>
            </w:tcBorders>
          </w:tcPr>
          <w:p>
            <w:pPr>
              <w:spacing w:after="0"/>
              <w:rPr>
                <w:sz w:val="10"/>
                <w:szCs w:val="10"/>
                <w:color w:val="auto"/>
              </w:rPr>
            </w:pPr>
          </w:p>
        </w:tc>
        <w:tc>
          <w:tcPr>
            <w:tcW w:w="780" w:type="dxa"/>
            <w:vAlign w:val="bottom"/>
            <w:tcBorders>
              <w:bottom w:val="single" w:sz="8" w:color="14202A"/>
            </w:tcBorders>
          </w:tcPr>
          <w:p>
            <w:pPr>
              <w:spacing w:after="0"/>
              <w:rPr>
                <w:sz w:val="10"/>
                <w:szCs w:val="10"/>
                <w:color w:val="auto"/>
              </w:rPr>
            </w:pPr>
          </w:p>
        </w:tc>
        <w:tc>
          <w:tcPr>
            <w:tcW w:w="1240" w:type="dxa"/>
            <w:vAlign w:val="bottom"/>
            <w:tcBorders>
              <w:bottom w:val="single" w:sz="8" w:color="14202A"/>
            </w:tcBorders>
          </w:tcPr>
          <w:p>
            <w:pPr>
              <w:spacing w:after="0"/>
              <w:rPr>
                <w:sz w:val="10"/>
                <w:szCs w:val="10"/>
                <w:color w:val="auto"/>
              </w:rPr>
            </w:pPr>
          </w:p>
        </w:tc>
        <w:tc>
          <w:tcPr>
            <w:tcW w:w="1140" w:type="dxa"/>
            <w:vAlign w:val="bottom"/>
            <w:tcBorders>
              <w:bottom w:val="single" w:sz="8" w:color="14202A"/>
            </w:tcBorders>
          </w:tcPr>
          <w:p>
            <w:pPr>
              <w:spacing w:after="0"/>
              <w:rPr>
                <w:sz w:val="10"/>
                <w:szCs w:val="10"/>
                <w:color w:val="auto"/>
              </w:rPr>
            </w:pPr>
          </w:p>
        </w:tc>
        <w:tc>
          <w:tcPr>
            <w:tcW w:w="1240" w:type="dxa"/>
            <w:vAlign w:val="bottom"/>
            <w:tcBorders>
              <w:bottom w:val="single" w:sz="8" w:color="14202A"/>
            </w:tcBorders>
          </w:tcPr>
          <w:p>
            <w:pPr>
              <w:spacing w:after="0"/>
              <w:rPr>
                <w:sz w:val="10"/>
                <w:szCs w:val="10"/>
                <w:color w:val="auto"/>
              </w:rPr>
            </w:pPr>
          </w:p>
        </w:tc>
        <w:tc>
          <w:tcPr>
            <w:tcW w:w="820" w:type="dxa"/>
            <w:vAlign w:val="bottom"/>
            <w:tcBorders>
              <w:bottom w:val="single" w:sz="8" w:color="14202A"/>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00" w:type="dxa"/>
            <w:vAlign w:val="bottom"/>
          </w:tcPr>
          <w:p>
            <w:pPr>
              <w:spacing w:after="0"/>
              <w:rPr>
                <w:sz w:val="9"/>
                <w:szCs w:val="9"/>
                <w:color w:val="auto"/>
              </w:rPr>
            </w:pPr>
          </w:p>
        </w:tc>
        <w:tc>
          <w:tcPr>
            <w:tcW w:w="1380" w:type="dxa"/>
            <w:vAlign w:val="bottom"/>
          </w:tcPr>
          <w:p>
            <w:pPr>
              <w:ind w:left="60"/>
              <w:spacing w:after="0" w:line="104" w:lineRule="exact"/>
              <w:rPr>
                <w:sz w:val="20"/>
                <w:szCs w:val="20"/>
                <w:color w:val="auto"/>
              </w:rPr>
            </w:pPr>
            <w:r>
              <w:rPr>
                <w:rFonts w:ascii="Arial" w:cs="Arial" w:eastAsia="Arial" w:hAnsi="Arial"/>
                <w:sz w:val="12"/>
                <w:szCs w:val="12"/>
                <w:color w:val="14202A"/>
              </w:rPr>
              <w:t>President – Grand</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14202A"/>
                <w:w w:val="96"/>
              </w:rPr>
              <w:t>2024</w:t>
            </w: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14202A"/>
              </w:rPr>
              <w:t>509,616</w:t>
            </w:r>
          </w:p>
        </w:tc>
        <w:tc>
          <w:tcPr>
            <w:tcW w:w="560" w:type="dxa"/>
            <w:vAlign w:val="bottom"/>
            <w:vMerge w:val="restart"/>
          </w:tcPr>
          <w:p>
            <w:pPr>
              <w:jc w:val="center"/>
              <w:spacing w:after="0"/>
              <w:rPr>
                <w:sz w:val="20"/>
                <w:szCs w:val="20"/>
                <w:color w:val="auto"/>
              </w:rPr>
            </w:pPr>
            <w:r>
              <w:rPr>
                <w:rFonts w:ascii="Arial" w:cs="Arial" w:eastAsia="Arial" w:hAnsi="Arial"/>
                <w:sz w:val="13"/>
                <w:szCs w:val="13"/>
                <w:color w:val="14202A"/>
              </w:rPr>
              <w:t>—</w:t>
            </w:r>
          </w:p>
        </w:tc>
        <w:tc>
          <w:tcPr>
            <w:tcW w:w="760" w:type="dxa"/>
            <w:vAlign w:val="bottom"/>
            <w:vMerge w:val="restart"/>
          </w:tcPr>
          <w:p>
            <w:pPr>
              <w:jc w:val="right"/>
              <w:ind w:right="38"/>
              <w:spacing w:after="0"/>
              <w:rPr>
                <w:sz w:val="20"/>
                <w:szCs w:val="20"/>
                <w:color w:val="auto"/>
              </w:rPr>
            </w:pPr>
            <w:r>
              <w:rPr>
                <w:rFonts w:ascii="Arial" w:cs="Arial" w:eastAsia="Arial" w:hAnsi="Arial"/>
                <w:sz w:val="13"/>
                <w:szCs w:val="13"/>
                <w:color w:val="14202A"/>
              </w:rPr>
              <w:t>—</w:t>
            </w:r>
          </w:p>
        </w:tc>
        <w:tc>
          <w:tcPr>
            <w:tcW w:w="780" w:type="dxa"/>
            <w:vAlign w:val="bottom"/>
            <w:vMerge w:val="restart"/>
          </w:tcPr>
          <w:p>
            <w:pPr>
              <w:jc w:val="right"/>
              <w:ind w:right="118"/>
              <w:spacing w:after="0"/>
              <w:rPr>
                <w:sz w:val="20"/>
                <w:szCs w:val="20"/>
                <w:color w:val="auto"/>
              </w:rPr>
            </w:pPr>
            <w:r>
              <w:rPr>
                <w:rFonts w:ascii="Arial" w:cs="Arial" w:eastAsia="Arial" w:hAnsi="Arial"/>
                <w:sz w:val="13"/>
                <w:szCs w:val="13"/>
                <w:color w:val="14202A"/>
              </w:rPr>
              <w:t>—</w:t>
            </w:r>
          </w:p>
        </w:tc>
        <w:tc>
          <w:tcPr>
            <w:tcW w:w="1240" w:type="dxa"/>
            <w:vAlign w:val="bottom"/>
            <w:vMerge w:val="restart"/>
          </w:tcPr>
          <w:p>
            <w:pPr>
              <w:jc w:val="right"/>
              <w:ind w:right="318"/>
              <w:spacing w:after="0"/>
              <w:rPr>
                <w:sz w:val="20"/>
                <w:szCs w:val="20"/>
                <w:color w:val="auto"/>
              </w:rPr>
            </w:pPr>
            <w:r>
              <w:rPr>
                <w:rFonts w:ascii="Arial" w:cs="Arial" w:eastAsia="Arial" w:hAnsi="Arial"/>
                <w:sz w:val="13"/>
                <w:szCs w:val="13"/>
                <w:color w:val="14202A"/>
              </w:rPr>
              <w:t>4,732,606</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14202A"/>
              </w:rPr>
              <w:t>—</w:t>
            </w:r>
          </w:p>
        </w:tc>
        <w:tc>
          <w:tcPr>
            <w:tcW w:w="1240" w:type="dxa"/>
            <w:vAlign w:val="bottom"/>
            <w:vMerge w:val="restart"/>
          </w:tcPr>
          <w:p>
            <w:pPr>
              <w:ind w:left="400"/>
              <w:spacing w:after="0"/>
              <w:rPr>
                <w:sz w:val="20"/>
                <w:szCs w:val="20"/>
                <w:color w:val="auto"/>
              </w:rPr>
            </w:pPr>
            <w:r>
              <w:rPr>
                <w:rFonts w:ascii="Arial" w:cs="Arial" w:eastAsia="Arial" w:hAnsi="Arial"/>
                <w:sz w:val="13"/>
                <w:szCs w:val="13"/>
                <w:color w:val="14202A"/>
              </w:rPr>
              <w:t>14,354</w:t>
            </w:r>
          </w:p>
        </w:tc>
        <w:tc>
          <w:tcPr>
            <w:tcW w:w="820" w:type="dxa"/>
            <w:vAlign w:val="bottom"/>
            <w:vMerge w:val="restart"/>
          </w:tcPr>
          <w:p>
            <w:pPr>
              <w:jc w:val="right"/>
              <w:ind w:right="97"/>
              <w:spacing w:after="0"/>
              <w:rPr>
                <w:sz w:val="20"/>
                <w:szCs w:val="20"/>
                <w:color w:val="auto"/>
              </w:rPr>
            </w:pPr>
            <w:r>
              <w:rPr>
                <w:rFonts w:ascii="Arial" w:cs="Arial" w:eastAsia="Arial" w:hAnsi="Arial"/>
                <w:sz w:val="13"/>
                <w:szCs w:val="13"/>
                <w:color w:val="14202A"/>
              </w:rPr>
              <w:t>5,256,576</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Arial" w:cs="Arial" w:eastAsia="Arial" w:hAnsi="Arial"/>
                <w:sz w:val="13"/>
                <w:szCs w:val="13"/>
                <w:color w:val="14202A"/>
              </w:rPr>
              <w:t>Design RV</w:t>
            </w:r>
          </w:p>
        </w:tc>
        <w:tc>
          <w:tcPr>
            <w:tcW w:w="5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00" w:type="dxa"/>
            <w:vAlign w:val="bottom"/>
            <w:tcBorders>
              <w:bottom w:val="single" w:sz="8" w:color="14202A"/>
            </w:tcBorders>
          </w:tcPr>
          <w:p>
            <w:pPr>
              <w:spacing w:after="0"/>
              <w:rPr>
                <w:sz w:val="5"/>
                <w:szCs w:val="5"/>
                <w:color w:val="auto"/>
              </w:rPr>
            </w:pPr>
          </w:p>
        </w:tc>
        <w:tc>
          <w:tcPr>
            <w:tcW w:w="138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740" w:type="dxa"/>
            <w:vAlign w:val="bottom"/>
            <w:tcBorders>
              <w:bottom w:val="single" w:sz="8" w:color="14202A"/>
            </w:tcBorders>
          </w:tcPr>
          <w:p>
            <w:pPr>
              <w:spacing w:after="0"/>
              <w:rPr>
                <w:sz w:val="5"/>
                <w:szCs w:val="5"/>
                <w:color w:val="auto"/>
              </w:rPr>
            </w:pPr>
          </w:p>
        </w:tc>
        <w:tc>
          <w:tcPr>
            <w:tcW w:w="560" w:type="dxa"/>
            <w:vAlign w:val="bottom"/>
            <w:tcBorders>
              <w:bottom w:val="single" w:sz="8" w:color="14202A"/>
            </w:tcBorders>
          </w:tcPr>
          <w:p>
            <w:pPr>
              <w:spacing w:after="0"/>
              <w:rPr>
                <w:sz w:val="5"/>
                <w:szCs w:val="5"/>
                <w:color w:val="auto"/>
              </w:rPr>
            </w:pPr>
          </w:p>
        </w:tc>
        <w:tc>
          <w:tcPr>
            <w:tcW w:w="760" w:type="dxa"/>
            <w:vAlign w:val="bottom"/>
            <w:tcBorders>
              <w:bottom w:val="single" w:sz="8" w:color="14202A"/>
            </w:tcBorders>
          </w:tcPr>
          <w:p>
            <w:pPr>
              <w:spacing w:after="0"/>
              <w:rPr>
                <w:sz w:val="5"/>
                <w:szCs w:val="5"/>
                <w:color w:val="auto"/>
              </w:rPr>
            </w:pPr>
          </w:p>
        </w:tc>
        <w:tc>
          <w:tcPr>
            <w:tcW w:w="780" w:type="dxa"/>
            <w:vAlign w:val="bottom"/>
            <w:tcBorders>
              <w:bottom w:val="single" w:sz="8" w:color="14202A"/>
            </w:tcBorders>
          </w:tcPr>
          <w:p>
            <w:pPr>
              <w:spacing w:after="0"/>
              <w:rPr>
                <w:sz w:val="5"/>
                <w:szCs w:val="5"/>
                <w:color w:val="auto"/>
              </w:rPr>
            </w:pPr>
          </w:p>
        </w:tc>
        <w:tc>
          <w:tcPr>
            <w:tcW w:w="1240" w:type="dxa"/>
            <w:vAlign w:val="bottom"/>
            <w:tcBorders>
              <w:bottom w:val="single" w:sz="8" w:color="14202A"/>
            </w:tcBorders>
          </w:tcPr>
          <w:p>
            <w:pPr>
              <w:spacing w:after="0"/>
              <w:rPr>
                <w:sz w:val="5"/>
                <w:szCs w:val="5"/>
                <w:color w:val="auto"/>
              </w:rPr>
            </w:pPr>
          </w:p>
        </w:tc>
        <w:tc>
          <w:tcPr>
            <w:tcW w:w="1140" w:type="dxa"/>
            <w:vAlign w:val="bottom"/>
            <w:tcBorders>
              <w:bottom w:val="single" w:sz="8" w:color="14202A"/>
            </w:tcBorders>
          </w:tcPr>
          <w:p>
            <w:pPr>
              <w:spacing w:after="0"/>
              <w:rPr>
                <w:sz w:val="5"/>
                <w:szCs w:val="5"/>
                <w:color w:val="auto"/>
              </w:rPr>
            </w:pPr>
          </w:p>
        </w:tc>
        <w:tc>
          <w:tcPr>
            <w:tcW w:w="124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Casey J. Tubman</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2026</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590,000</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802,422</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141,598</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714,862</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44,273</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2,293,155</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1380" w:type="dxa"/>
            <w:vAlign w:val="bottom"/>
          </w:tcPr>
          <w:p>
            <w:pPr>
              <w:ind w:left="60"/>
              <w:spacing w:after="0" w:line="106" w:lineRule="exact"/>
              <w:rPr>
                <w:sz w:val="20"/>
                <w:szCs w:val="20"/>
                <w:color w:val="auto"/>
              </w:rPr>
            </w:pPr>
            <w:r>
              <w:rPr>
                <w:rFonts w:ascii="Arial" w:cs="Arial" w:eastAsia="Arial" w:hAnsi="Arial"/>
                <w:sz w:val="12"/>
                <w:szCs w:val="12"/>
                <w:color w:val="14202A"/>
              </w:rPr>
              <w:t>Group President –</w:t>
            </w:r>
          </w:p>
        </w:tc>
        <w:tc>
          <w:tcPr>
            <w:tcW w:w="520" w:type="dxa"/>
            <w:vAlign w:val="bottom"/>
            <w:tcBorders>
              <w:bottom w:val="single" w:sz="8" w:color="14202A"/>
            </w:tcBorders>
          </w:tcPr>
          <w:p>
            <w:pPr>
              <w:spacing w:after="0"/>
              <w:rPr>
                <w:sz w:val="9"/>
                <w:szCs w:val="9"/>
                <w:color w:val="auto"/>
              </w:rPr>
            </w:pPr>
          </w:p>
        </w:tc>
        <w:tc>
          <w:tcPr>
            <w:tcW w:w="740" w:type="dxa"/>
            <w:vAlign w:val="bottom"/>
            <w:tcBorders>
              <w:bottom w:val="single" w:sz="8" w:color="14202A"/>
            </w:tcBorders>
          </w:tcPr>
          <w:p>
            <w:pPr>
              <w:spacing w:after="0"/>
              <w:rPr>
                <w:sz w:val="9"/>
                <w:szCs w:val="9"/>
                <w:color w:val="auto"/>
              </w:rPr>
            </w:pPr>
          </w:p>
        </w:tc>
        <w:tc>
          <w:tcPr>
            <w:tcW w:w="560" w:type="dxa"/>
            <w:vAlign w:val="bottom"/>
            <w:tcBorders>
              <w:bottom w:val="single" w:sz="8" w:color="14202A"/>
            </w:tcBorders>
          </w:tcPr>
          <w:p>
            <w:pPr>
              <w:spacing w:after="0"/>
              <w:rPr>
                <w:sz w:val="9"/>
                <w:szCs w:val="9"/>
                <w:color w:val="auto"/>
              </w:rPr>
            </w:pPr>
          </w:p>
        </w:tc>
        <w:tc>
          <w:tcPr>
            <w:tcW w:w="760" w:type="dxa"/>
            <w:vAlign w:val="bottom"/>
            <w:tcBorders>
              <w:bottom w:val="single" w:sz="8" w:color="14202A"/>
            </w:tcBorders>
          </w:tcPr>
          <w:p>
            <w:pPr>
              <w:spacing w:after="0"/>
              <w:rPr>
                <w:sz w:val="9"/>
                <w:szCs w:val="9"/>
                <w:color w:val="auto"/>
              </w:rPr>
            </w:pPr>
          </w:p>
        </w:tc>
        <w:tc>
          <w:tcPr>
            <w:tcW w:w="780" w:type="dxa"/>
            <w:vAlign w:val="bottom"/>
            <w:tcBorders>
              <w:bottom w:val="single" w:sz="8" w:color="14202A"/>
            </w:tcBorders>
          </w:tcPr>
          <w:p>
            <w:pPr>
              <w:spacing w:after="0"/>
              <w:rPr>
                <w:sz w:val="9"/>
                <w:szCs w:val="9"/>
                <w:color w:val="auto"/>
              </w:rPr>
            </w:pPr>
          </w:p>
        </w:tc>
        <w:tc>
          <w:tcPr>
            <w:tcW w:w="1240" w:type="dxa"/>
            <w:vAlign w:val="bottom"/>
            <w:tcBorders>
              <w:bottom w:val="single" w:sz="8" w:color="14202A"/>
            </w:tcBorders>
          </w:tcPr>
          <w:p>
            <w:pPr>
              <w:spacing w:after="0"/>
              <w:rPr>
                <w:sz w:val="9"/>
                <w:szCs w:val="9"/>
                <w:color w:val="auto"/>
              </w:rPr>
            </w:pPr>
          </w:p>
        </w:tc>
        <w:tc>
          <w:tcPr>
            <w:tcW w:w="1140" w:type="dxa"/>
            <w:vAlign w:val="bottom"/>
            <w:tcBorders>
              <w:bottom w:val="single" w:sz="8" w:color="14202A"/>
            </w:tcBorders>
          </w:tcPr>
          <w:p>
            <w:pPr>
              <w:spacing w:after="0"/>
              <w:rPr>
                <w:sz w:val="9"/>
                <w:szCs w:val="9"/>
                <w:color w:val="auto"/>
              </w:rPr>
            </w:pPr>
          </w:p>
        </w:tc>
        <w:tc>
          <w:tcPr>
            <w:tcW w:w="1240" w:type="dxa"/>
            <w:vAlign w:val="bottom"/>
            <w:tcBorders>
              <w:bottom w:val="single" w:sz="8" w:color="14202A"/>
            </w:tcBorders>
          </w:tcPr>
          <w:p>
            <w:pPr>
              <w:spacing w:after="0"/>
              <w:rPr>
                <w:sz w:val="9"/>
                <w:szCs w:val="9"/>
                <w:color w:val="auto"/>
              </w:rPr>
            </w:pPr>
          </w:p>
        </w:tc>
        <w:tc>
          <w:tcPr>
            <w:tcW w:w="820" w:type="dxa"/>
            <w:vAlign w:val="bottom"/>
            <w:tcBorders>
              <w:bottom w:val="single" w:sz="8" w:color="14202A"/>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Newmar and</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2025</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560,000</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839,957</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100,791</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850,828</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41,283</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2,392,859</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380" w:type="dxa"/>
            <w:vAlign w:val="bottom"/>
          </w:tcPr>
          <w:p>
            <w:pPr>
              <w:ind w:left="60"/>
              <w:spacing w:after="0" w:line="122" w:lineRule="exact"/>
              <w:rPr>
                <w:sz w:val="20"/>
                <w:szCs w:val="20"/>
                <w:color w:val="auto"/>
              </w:rPr>
            </w:pPr>
            <w:r>
              <w:rPr>
                <w:rFonts w:ascii="Arial" w:cs="Arial" w:eastAsia="Arial" w:hAnsi="Arial"/>
                <w:sz w:val="13"/>
                <w:szCs w:val="13"/>
                <w:color w:val="14202A"/>
              </w:rPr>
              <w:t>Winnebago Motorized</w:t>
            </w:r>
          </w:p>
        </w:tc>
        <w:tc>
          <w:tcPr>
            <w:tcW w:w="520" w:type="dxa"/>
            <w:vAlign w:val="bottom"/>
            <w:tcBorders>
              <w:bottom w:val="single" w:sz="8" w:color="14202A"/>
            </w:tcBorders>
          </w:tcPr>
          <w:p>
            <w:pPr>
              <w:spacing w:after="0"/>
              <w:rPr>
                <w:sz w:val="10"/>
                <w:szCs w:val="10"/>
                <w:color w:val="auto"/>
              </w:rPr>
            </w:pPr>
          </w:p>
        </w:tc>
        <w:tc>
          <w:tcPr>
            <w:tcW w:w="740" w:type="dxa"/>
            <w:vAlign w:val="bottom"/>
            <w:tcBorders>
              <w:bottom w:val="single" w:sz="8" w:color="14202A"/>
            </w:tcBorders>
          </w:tcPr>
          <w:p>
            <w:pPr>
              <w:spacing w:after="0"/>
              <w:rPr>
                <w:sz w:val="10"/>
                <w:szCs w:val="10"/>
                <w:color w:val="auto"/>
              </w:rPr>
            </w:pPr>
          </w:p>
        </w:tc>
        <w:tc>
          <w:tcPr>
            <w:tcW w:w="560" w:type="dxa"/>
            <w:vAlign w:val="bottom"/>
            <w:tcBorders>
              <w:bottom w:val="single" w:sz="8" w:color="14202A"/>
            </w:tcBorders>
          </w:tcPr>
          <w:p>
            <w:pPr>
              <w:spacing w:after="0"/>
              <w:rPr>
                <w:sz w:val="10"/>
                <w:szCs w:val="10"/>
                <w:color w:val="auto"/>
              </w:rPr>
            </w:pPr>
          </w:p>
        </w:tc>
        <w:tc>
          <w:tcPr>
            <w:tcW w:w="760" w:type="dxa"/>
            <w:vAlign w:val="bottom"/>
            <w:tcBorders>
              <w:bottom w:val="single" w:sz="8" w:color="14202A"/>
            </w:tcBorders>
          </w:tcPr>
          <w:p>
            <w:pPr>
              <w:spacing w:after="0"/>
              <w:rPr>
                <w:sz w:val="10"/>
                <w:szCs w:val="10"/>
                <w:color w:val="auto"/>
              </w:rPr>
            </w:pPr>
          </w:p>
        </w:tc>
        <w:tc>
          <w:tcPr>
            <w:tcW w:w="780" w:type="dxa"/>
            <w:vAlign w:val="bottom"/>
            <w:tcBorders>
              <w:bottom w:val="single" w:sz="8" w:color="14202A"/>
            </w:tcBorders>
          </w:tcPr>
          <w:p>
            <w:pPr>
              <w:spacing w:after="0"/>
              <w:rPr>
                <w:sz w:val="10"/>
                <w:szCs w:val="10"/>
                <w:color w:val="auto"/>
              </w:rPr>
            </w:pPr>
          </w:p>
        </w:tc>
        <w:tc>
          <w:tcPr>
            <w:tcW w:w="1240" w:type="dxa"/>
            <w:vAlign w:val="bottom"/>
            <w:tcBorders>
              <w:bottom w:val="single" w:sz="8" w:color="14202A"/>
            </w:tcBorders>
          </w:tcPr>
          <w:p>
            <w:pPr>
              <w:spacing w:after="0"/>
              <w:rPr>
                <w:sz w:val="10"/>
                <w:szCs w:val="10"/>
                <w:color w:val="auto"/>
              </w:rPr>
            </w:pPr>
          </w:p>
        </w:tc>
        <w:tc>
          <w:tcPr>
            <w:tcW w:w="1140" w:type="dxa"/>
            <w:vAlign w:val="bottom"/>
            <w:tcBorders>
              <w:bottom w:val="single" w:sz="8" w:color="14202A"/>
            </w:tcBorders>
          </w:tcPr>
          <w:p>
            <w:pPr>
              <w:spacing w:after="0"/>
              <w:rPr>
                <w:sz w:val="10"/>
                <w:szCs w:val="10"/>
                <w:color w:val="auto"/>
              </w:rPr>
            </w:pPr>
          </w:p>
        </w:tc>
        <w:tc>
          <w:tcPr>
            <w:tcW w:w="1240" w:type="dxa"/>
            <w:vAlign w:val="bottom"/>
            <w:tcBorders>
              <w:bottom w:val="single" w:sz="8" w:color="14202A"/>
            </w:tcBorders>
          </w:tcPr>
          <w:p>
            <w:pPr>
              <w:spacing w:after="0"/>
              <w:rPr>
                <w:sz w:val="10"/>
                <w:szCs w:val="10"/>
                <w:color w:val="auto"/>
              </w:rPr>
            </w:pPr>
          </w:p>
        </w:tc>
        <w:tc>
          <w:tcPr>
            <w:tcW w:w="820" w:type="dxa"/>
            <w:vAlign w:val="bottom"/>
            <w:tcBorders>
              <w:bottom w:val="single" w:sz="8" w:color="14202A"/>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545,289</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500,189</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88,277</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587,072</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43,070</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1,763,897</w:t>
            </w:r>
          </w:p>
        </w:tc>
        <w:tc>
          <w:tcPr>
            <w:tcW w:w="0" w:type="dxa"/>
            <w:vAlign w:val="bottom"/>
          </w:tcPr>
          <w:p>
            <w:pPr>
              <w:spacing w:after="0"/>
              <w:rPr>
                <w:sz w:val="1"/>
                <w:szCs w:val="1"/>
                <w:color w:val="auto"/>
              </w:rPr>
            </w:pPr>
          </w:p>
        </w:tc>
      </w:tr>
      <w:tr>
        <w:trPr>
          <w:trHeight w:val="68"/>
        </w:trPr>
        <w:tc>
          <w:tcPr>
            <w:tcW w:w="100" w:type="dxa"/>
            <w:vAlign w:val="bottom"/>
            <w:tcBorders>
              <w:bottom w:val="single" w:sz="8" w:color="14202A"/>
            </w:tcBorders>
          </w:tcPr>
          <w:p>
            <w:pPr>
              <w:spacing w:after="0"/>
              <w:rPr>
                <w:sz w:val="5"/>
                <w:szCs w:val="5"/>
                <w:color w:val="auto"/>
              </w:rPr>
            </w:pPr>
          </w:p>
        </w:tc>
        <w:tc>
          <w:tcPr>
            <w:tcW w:w="138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740" w:type="dxa"/>
            <w:vAlign w:val="bottom"/>
            <w:tcBorders>
              <w:bottom w:val="single" w:sz="8" w:color="14202A"/>
            </w:tcBorders>
          </w:tcPr>
          <w:p>
            <w:pPr>
              <w:spacing w:after="0"/>
              <w:rPr>
                <w:sz w:val="5"/>
                <w:szCs w:val="5"/>
                <w:color w:val="auto"/>
              </w:rPr>
            </w:pPr>
          </w:p>
        </w:tc>
        <w:tc>
          <w:tcPr>
            <w:tcW w:w="560" w:type="dxa"/>
            <w:vAlign w:val="bottom"/>
            <w:tcBorders>
              <w:bottom w:val="single" w:sz="8" w:color="14202A"/>
            </w:tcBorders>
          </w:tcPr>
          <w:p>
            <w:pPr>
              <w:spacing w:after="0"/>
              <w:rPr>
                <w:sz w:val="5"/>
                <w:szCs w:val="5"/>
                <w:color w:val="auto"/>
              </w:rPr>
            </w:pPr>
          </w:p>
        </w:tc>
        <w:tc>
          <w:tcPr>
            <w:tcW w:w="760" w:type="dxa"/>
            <w:vAlign w:val="bottom"/>
            <w:tcBorders>
              <w:bottom w:val="single" w:sz="8" w:color="14202A"/>
            </w:tcBorders>
          </w:tcPr>
          <w:p>
            <w:pPr>
              <w:spacing w:after="0"/>
              <w:rPr>
                <w:sz w:val="5"/>
                <w:szCs w:val="5"/>
                <w:color w:val="auto"/>
              </w:rPr>
            </w:pPr>
          </w:p>
        </w:tc>
        <w:tc>
          <w:tcPr>
            <w:tcW w:w="780" w:type="dxa"/>
            <w:vAlign w:val="bottom"/>
            <w:tcBorders>
              <w:bottom w:val="single" w:sz="8" w:color="14202A"/>
            </w:tcBorders>
          </w:tcPr>
          <w:p>
            <w:pPr>
              <w:spacing w:after="0"/>
              <w:rPr>
                <w:sz w:val="5"/>
                <w:szCs w:val="5"/>
                <w:color w:val="auto"/>
              </w:rPr>
            </w:pPr>
          </w:p>
        </w:tc>
        <w:tc>
          <w:tcPr>
            <w:tcW w:w="1240" w:type="dxa"/>
            <w:vAlign w:val="bottom"/>
            <w:tcBorders>
              <w:bottom w:val="single" w:sz="8" w:color="14202A"/>
            </w:tcBorders>
          </w:tcPr>
          <w:p>
            <w:pPr>
              <w:spacing w:after="0"/>
              <w:rPr>
                <w:sz w:val="5"/>
                <w:szCs w:val="5"/>
                <w:color w:val="auto"/>
              </w:rPr>
            </w:pPr>
          </w:p>
        </w:tc>
        <w:tc>
          <w:tcPr>
            <w:tcW w:w="1140" w:type="dxa"/>
            <w:vAlign w:val="bottom"/>
            <w:tcBorders>
              <w:bottom w:val="single" w:sz="8" w:color="14202A"/>
            </w:tcBorders>
          </w:tcPr>
          <w:p>
            <w:pPr>
              <w:spacing w:after="0"/>
              <w:rPr>
                <w:sz w:val="5"/>
                <w:szCs w:val="5"/>
                <w:color w:val="auto"/>
              </w:rPr>
            </w:pPr>
          </w:p>
        </w:tc>
        <w:tc>
          <w:tcPr>
            <w:tcW w:w="124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Stacy L. Bogart</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2026</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570,263</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751,315</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132,584</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529,512</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40,911</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2,024,585</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1380" w:type="dxa"/>
            <w:vAlign w:val="bottom"/>
          </w:tcPr>
          <w:p>
            <w:pPr>
              <w:ind w:left="60"/>
              <w:spacing w:after="0" w:line="106" w:lineRule="exact"/>
              <w:rPr>
                <w:sz w:val="20"/>
                <w:szCs w:val="20"/>
                <w:color w:val="auto"/>
              </w:rPr>
            </w:pPr>
            <w:r>
              <w:rPr>
                <w:rFonts w:ascii="Arial" w:cs="Arial" w:eastAsia="Arial" w:hAnsi="Arial"/>
                <w:sz w:val="12"/>
                <w:szCs w:val="12"/>
                <w:color w:val="14202A"/>
              </w:rPr>
              <w:t>Senior Vice President</w:t>
            </w:r>
          </w:p>
        </w:tc>
        <w:tc>
          <w:tcPr>
            <w:tcW w:w="520" w:type="dxa"/>
            <w:vAlign w:val="bottom"/>
            <w:tcBorders>
              <w:bottom w:val="single" w:sz="8" w:color="14202A"/>
            </w:tcBorders>
          </w:tcPr>
          <w:p>
            <w:pPr>
              <w:spacing w:after="0"/>
              <w:rPr>
                <w:sz w:val="9"/>
                <w:szCs w:val="9"/>
                <w:color w:val="auto"/>
              </w:rPr>
            </w:pPr>
          </w:p>
        </w:tc>
        <w:tc>
          <w:tcPr>
            <w:tcW w:w="740" w:type="dxa"/>
            <w:vAlign w:val="bottom"/>
            <w:tcBorders>
              <w:bottom w:val="single" w:sz="8" w:color="14202A"/>
            </w:tcBorders>
          </w:tcPr>
          <w:p>
            <w:pPr>
              <w:spacing w:after="0"/>
              <w:rPr>
                <w:sz w:val="9"/>
                <w:szCs w:val="9"/>
                <w:color w:val="auto"/>
              </w:rPr>
            </w:pPr>
          </w:p>
        </w:tc>
        <w:tc>
          <w:tcPr>
            <w:tcW w:w="560" w:type="dxa"/>
            <w:vAlign w:val="bottom"/>
            <w:tcBorders>
              <w:bottom w:val="single" w:sz="8" w:color="14202A"/>
            </w:tcBorders>
          </w:tcPr>
          <w:p>
            <w:pPr>
              <w:spacing w:after="0"/>
              <w:rPr>
                <w:sz w:val="9"/>
                <w:szCs w:val="9"/>
                <w:color w:val="auto"/>
              </w:rPr>
            </w:pPr>
          </w:p>
        </w:tc>
        <w:tc>
          <w:tcPr>
            <w:tcW w:w="760" w:type="dxa"/>
            <w:vAlign w:val="bottom"/>
            <w:tcBorders>
              <w:bottom w:val="single" w:sz="8" w:color="14202A"/>
            </w:tcBorders>
          </w:tcPr>
          <w:p>
            <w:pPr>
              <w:spacing w:after="0"/>
              <w:rPr>
                <w:sz w:val="9"/>
                <w:szCs w:val="9"/>
                <w:color w:val="auto"/>
              </w:rPr>
            </w:pPr>
          </w:p>
        </w:tc>
        <w:tc>
          <w:tcPr>
            <w:tcW w:w="780" w:type="dxa"/>
            <w:vAlign w:val="bottom"/>
            <w:tcBorders>
              <w:bottom w:val="single" w:sz="8" w:color="14202A"/>
            </w:tcBorders>
          </w:tcPr>
          <w:p>
            <w:pPr>
              <w:spacing w:after="0"/>
              <w:rPr>
                <w:sz w:val="9"/>
                <w:szCs w:val="9"/>
                <w:color w:val="auto"/>
              </w:rPr>
            </w:pPr>
          </w:p>
        </w:tc>
        <w:tc>
          <w:tcPr>
            <w:tcW w:w="1240" w:type="dxa"/>
            <w:vAlign w:val="bottom"/>
            <w:tcBorders>
              <w:bottom w:val="single" w:sz="8" w:color="14202A"/>
            </w:tcBorders>
          </w:tcPr>
          <w:p>
            <w:pPr>
              <w:spacing w:after="0"/>
              <w:rPr>
                <w:sz w:val="9"/>
                <w:szCs w:val="9"/>
                <w:color w:val="auto"/>
              </w:rPr>
            </w:pPr>
          </w:p>
        </w:tc>
        <w:tc>
          <w:tcPr>
            <w:tcW w:w="1140" w:type="dxa"/>
            <w:vAlign w:val="bottom"/>
            <w:tcBorders>
              <w:bottom w:val="single" w:sz="8" w:color="14202A"/>
            </w:tcBorders>
          </w:tcPr>
          <w:p>
            <w:pPr>
              <w:spacing w:after="0"/>
              <w:rPr>
                <w:sz w:val="9"/>
                <w:szCs w:val="9"/>
                <w:color w:val="auto"/>
              </w:rPr>
            </w:pPr>
          </w:p>
        </w:tc>
        <w:tc>
          <w:tcPr>
            <w:tcW w:w="1240" w:type="dxa"/>
            <w:vAlign w:val="bottom"/>
            <w:tcBorders>
              <w:bottom w:val="single" w:sz="8" w:color="14202A"/>
            </w:tcBorders>
          </w:tcPr>
          <w:p>
            <w:pPr>
              <w:spacing w:after="0"/>
              <w:rPr>
                <w:sz w:val="9"/>
                <w:szCs w:val="9"/>
                <w:color w:val="auto"/>
              </w:rPr>
            </w:pPr>
          </w:p>
        </w:tc>
        <w:tc>
          <w:tcPr>
            <w:tcW w:w="820" w:type="dxa"/>
            <w:vAlign w:val="bottom"/>
            <w:tcBorders>
              <w:bottom w:val="single" w:sz="8" w:color="14202A"/>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 Chief Legal Officer,</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2025</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555,000</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989,251</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129,029</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301,071</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41,772</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2,016,123</w:t>
            </w: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1380" w:type="dxa"/>
            <w:vAlign w:val="bottom"/>
          </w:tcPr>
          <w:p>
            <w:pPr>
              <w:ind w:left="60"/>
              <w:spacing w:after="0" w:line="104" w:lineRule="exact"/>
              <w:rPr>
                <w:sz w:val="20"/>
                <w:szCs w:val="20"/>
                <w:color w:val="auto"/>
              </w:rPr>
            </w:pPr>
            <w:r>
              <w:rPr>
                <w:rFonts w:ascii="Arial" w:cs="Arial" w:eastAsia="Arial" w:hAnsi="Arial"/>
                <w:sz w:val="12"/>
                <w:szCs w:val="12"/>
                <w:color w:val="14202A"/>
              </w:rPr>
              <w:t>Corporate Secretary</w:t>
            </w:r>
          </w:p>
        </w:tc>
        <w:tc>
          <w:tcPr>
            <w:tcW w:w="520" w:type="dxa"/>
            <w:vAlign w:val="bottom"/>
            <w:tcBorders>
              <w:bottom w:val="single" w:sz="8" w:color="14202A"/>
            </w:tcBorders>
          </w:tcPr>
          <w:p>
            <w:pPr>
              <w:spacing w:after="0"/>
              <w:rPr>
                <w:sz w:val="10"/>
                <w:szCs w:val="10"/>
                <w:color w:val="auto"/>
              </w:rPr>
            </w:pPr>
          </w:p>
        </w:tc>
        <w:tc>
          <w:tcPr>
            <w:tcW w:w="740" w:type="dxa"/>
            <w:vAlign w:val="bottom"/>
            <w:tcBorders>
              <w:bottom w:val="single" w:sz="8" w:color="14202A"/>
            </w:tcBorders>
          </w:tcPr>
          <w:p>
            <w:pPr>
              <w:spacing w:after="0"/>
              <w:rPr>
                <w:sz w:val="10"/>
                <w:szCs w:val="10"/>
                <w:color w:val="auto"/>
              </w:rPr>
            </w:pPr>
          </w:p>
        </w:tc>
        <w:tc>
          <w:tcPr>
            <w:tcW w:w="560" w:type="dxa"/>
            <w:vAlign w:val="bottom"/>
            <w:tcBorders>
              <w:bottom w:val="single" w:sz="8" w:color="14202A"/>
            </w:tcBorders>
          </w:tcPr>
          <w:p>
            <w:pPr>
              <w:spacing w:after="0"/>
              <w:rPr>
                <w:sz w:val="10"/>
                <w:szCs w:val="10"/>
                <w:color w:val="auto"/>
              </w:rPr>
            </w:pPr>
          </w:p>
        </w:tc>
        <w:tc>
          <w:tcPr>
            <w:tcW w:w="760" w:type="dxa"/>
            <w:vAlign w:val="bottom"/>
            <w:tcBorders>
              <w:bottom w:val="single" w:sz="8" w:color="14202A"/>
            </w:tcBorders>
          </w:tcPr>
          <w:p>
            <w:pPr>
              <w:spacing w:after="0"/>
              <w:rPr>
                <w:sz w:val="10"/>
                <w:szCs w:val="10"/>
                <w:color w:val="auto"/>
              </w:rPr>
            </w:pPr>
          </w:p>
        </w:tc>
        <w:tc>
          <w:tcPr>
            <w:tcW w:w="780" w:type="dxa"/>
            <w:vAlign w:val="bottom"/>
            <w:tcBorders>
              <w:bottom w:val="single" w:sz="8" w:color="14202A"/>
            </w:tcBorders>
          </w:tcPr>
          <w:p>
            <w:pPr>
              <w:spacing w:after="0"/>
              <w:rPr>
                <w:sz w:val="10"/>
                <w:szCs w:val="10"/>
                <w:color w:val="auto"/>
              </w:rPr>
            </w:pPr>
          </w:p>
        </w:tc>
        <w:tc>
          <w:tcPr>
            <w:tcW w:w="1240" w:type="dxa"/>
            <w:vAlign w:val="bottom"/>
            <w:tcBorders>
              <w:bottom w:val="single" w:sz="8" w:color="14202A"/>
            </w:tcBorders>
          </w:tcPr>
          <w:p>
            <w:pPr>
              <w:spacing w:after="0"/>
              <w:rPr>
                <w:sz w:val="10"/>
                <w:szCs w:val="10"/>
                <w:color w:val="auto"/>
              </w:rPr>
            </w:pPr>
          </w:p>
        </w:tc>
        <w:tc>
          <w:tcPr>
            <w:tcW w:w="1140" w:type="dxa"/>
            <w:vAlign w:val="bottom"/>
            <w:tcBorders>
              <w:bottom w:val="single" w:sz="8" w:color="14202A"/>
            </w:tcBorders>
          </w:tcPr>
          <w:p>
            <w:pPr>
              <w:spacing w:after="0"/>
              <w:rPr>
                <w:sz w:val="10"/>
                <w:szCs w:val="10"/>
                <w:color w:val="auto"/>
              </w:rPr>
            </w:pPr>
          </w:p>
        </w:tc>
        <w:tc>
          <w:tcPr>
            <w:tcW w:w="1240" w:type="dxa"/>
            <w:vAlign w:val="bottom"/>
            <w:tcBorders>
              <w:bottom w:val="single" w:sz="8" w:color="14202A"/>
            </w:tcBorders>
          </w:tcPr>
          <w:p>
            <w:pPr>
              <w:spacing w:after="0"/>
              <w:rPr>
                <w:sz w:val="10"/>
                <w:szCs w:val="10"/>
                <w:color w:val="auto"/>
              </w:rPr>
            </w:pPr>
          </w:p>
        </w:tc>
        <w:tc>
          <w:tcPr>
            <w:tcW w:w="820" w:type="dxa"/>
            <w:vAlign w:val="bottom"/>
            <w:tcBorders>
              <w:bottom w:val="single" w:sz="8" w:color="14202A"/>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00" w:type="dxa"/>
            <w:vAlign w:val="bottom"/>
          </w:tcPr>
          <w:p>
            <w:pPr>
              <w:spacing w:after="0"/>
              <w:rPr>
                <w:sz w:val="9"/>
                <w:szCs w:val="9"/>
                <w:color w:val="auto"/>
              </w:rPr>
            </w:pPr>
          </w:p>
        </w:tc>
        <w:tc>
          <w:tcPr>
            <w:tcW w:w="1380" w:type="dxa"/>
            <w:vAlign w:val="bottom"/>
          </w:tcPr>
          <w:p>
            <w:pPr>
              <w:ind w:left="60"/>
              <w:spacing w:after="0" w:line="104" w:lineRule="exact"/>
              <w:rPr>
                <w:sz w:val="20"/>
                <w:szCs w:val="20"/>
                <w:color w:val="auto"/>
              </w:rPr>
            </w:pPr>
            <w:r>
              <w:rPr>
                <w:rFonts w:ascii="Arial" w:cs="Arial" w:eastAsia="Arial" w:hAnsi="Arial"/>
                <w:sz w:val="12"/>
                <w:szCs w:val="12"/>
                <w:color w:val="14202A"/>
              </w:rPr>
              <w:t>and Corporate</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14202A"/>
                <w:w w:val="96"/>
              </w:rPr>
              <w:t>2024</w:t>
            </w: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14202A"/>
              </w:rPr>
              <w:t>543,250</w:t>
            </w:r>
          </w:p>
        </w:tc>
        <w:tc>
          <w:tcPr>
            <w:tcW w:w="560" w:type="dxa"/>
            <w:vAlign w:val="bottom"/>
            <w:vMerge w:val="restart"/>
          </w:tcPr>
          <w:p>
            <w:pPr>
              <w:jc w:val="center"/>
              <w:spacing w:after="0"/>
              <w:rPr>
                <w:sz w:val="20"/>
                <w:szCs w:val="20"/>
                <w:color w:val="auto"/>
              </w:rPr>
            </w:pPr>
            <w:r>
              <w:rPr>
                <w:rFonts w:ascii="Arial" w:cs="Arial" w:eastAsia="Arial" w:hAnsi="Arial"/>
                <w:sz w:val="13"/>
                <w:szCs w:val="13"/>
                <w:color w:val="14202A"/>
              </w:rPr>
              <w:t>—</w:t>
            </w:r>
          </w:p>
        </w:tc>
        <w:tc>
          <w:tcPr>
            <w:tcW w:w="760" w:type="dxa"/>
            <w:vAlign w:val="bottom"/>
            <w:vMerge w:val="restart"/>
          </w:tcPr>
          <w:p>
            <w:pPr>
              <w:jc w:val="right"/>
              <w:ind w:right="38"/>
              <w:spacing w:after="0"/>
              <w:rPr>
                <w:sz w:val="20"/>
                <w:szCs w:val="20"/>
                <w:color w:val="auto"/>
              </w:rPr>
            </w:pPr>
            <w:r>
              <w:rPr>
                <w:rFonts w:ascii="Arial" w:cs="Arial" w:eastAsia="Arial" w:hAnsi="Arial"/>
                <w:sz w:val="13"/>
                <w:szCs w:val="13"/>
                <w:color w:val="14202A"/>
              </w:rPr>
              <w:t>679,573</w:t>
            </w:r>
          </w:p>
        </w:tc>
        <w:tc>
          <w:tcPr>
            <w:tcW w:w="780" w:type="dxa"/>
            <w:vAlign w:val="bottom"/>
            <w:vMerge w:val="restart"/>
          </w:tcPr>
          <w:p>
            <w:pPr>
              <w:jc w:val="right"/>
              <w:ind w:right="118"/>
              <w:spacing w:after="0"/>
              <w:rPr>
                <w:sz w:val="20"/>
                <w:szCs w:val="20"/>
                <w:color w:val="auto"/>
              </w:rPr>
            </w:pPr>
            <w:r>
              <w:rPr>
                <w:rFonts w:ascii="Arial" w:cs="Arial" w:eastAsia="Arial" w:hAnsi="Arial"/>
                <w:sz w:val="13"/>
                <w:szCs w:val="13"/>
                <w:color w:val="14202A"/>
              </w:rPr>
              <w:t>119,928</w:t>
            </w:r>
          </w:p>
        </w:tc>
        <w:tc>
          <w:tcPr>
            <w:tcW w:w="1240" w:type="dxa"/>
            <w:vAlign w:val="bottom"/>
            <w:vMerge w:val="restart"/>
          </w:tcPr>
          <w:p>
            <w:pPr>
              <w:jc w:val="right"/>
              <w:ind w:right="318"/>
              <w:spacing w:after="0"/>
              <w:rPr>
                <w:sz w:val="20"/>
                <w:szCs w:val="20"/>
                <w:color w:val="auto"/>
              </w:rPr>
            </w:pPr>
            <w:r>
              <w:rPr>
                <w:rFonts w:ascii="Arial" w:cs="Arial" w:eastAsia="Arial" w:hAnsi="Arial"/>
                <w:sz w:val="13"/>
                <w:szCs w:val="13"/>
                <w:color w:val="14202A"/>
              </w:rPr>
              <w:t>188,745</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14202A"/>
              </w:rPr>
              <w:t>—</w:t>
            </w:r>
          </w:p>
        </w:tc>
        <w:tc>
          <w:tcPr>
            <w:tcW w:w="1240" w:type="dxa"/>
            <w:vAlign w:val="bottom"/>
            <w:vMerge w:val="restart"/>
          </w:tcPr>
          <w:p>
            <w:pPr>
              <w:ind w:left="400"/>
              <w:spacing w:after="0"/>
              <w:rPr>
                <w:sz w:val="20"/>
                <w:szCs w:val="20"/>
                <w:color w:val="auto"/>
              </w:rPr>
            </w:pPr>
            <w:r>
              <w:rPr>
                <w:rFonts w:ascii="Arial" w:cs="Arial" w:eastAsia="Arial" w:hAnsi="Arial"/>
                <w:sz w:val="13"/>
                <w:szCs w:val="13"/>
                <w:color w:val="14202A"/>
              </w:rPr>
              <w:t>40,624</w:t>
            </w:r>
          </w:p>
        </w:tc>
        <w:tc>
          <w:tcPr>
            <w:tcW w:w="820" w:type="dxa"/>
            <w:vAlign w:val="bottom"/>
            <w:vMerge w:val="restart"/>
          </w:tcPr>
          <w:p>
            <w:pPr>
              <w:jc w:val="right"/>
              <w:ind w:right="97"/>
              <w:spacing w:after="0"/>
              <w:rPr>
                <w:sz w:val="20"/>
                <w:szCs w:val="20"/>
                <w:color w:val="auto"/>
              </w:rPr>
            </w:pPr>
            <w:r>
              <w:rPr>
                <w:rFonts w:ascii="Arial" w:cs="Arial" w:eastAsia="Arial" w:hAnsi="Arial"/>
                <w:sz w:val="13"/>
                <w:szCs w:val="13"/>
                <w:color w:val="14202A"/>
              </w:rPr>
              <w:t>1,572,120</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Arial" w:cs="Arial" w:eastAsia="Arial" w:hAnsi="Arial"/>
                <w:sz w:val="13"/>
                <w:szCs w:val="13"/>
                <w:color w:val="14202A"/>
              </w:rPr>
              <w:t>Responsibility</w:t>
            </w:r>
          </w:p>
        </w:tc>
        <w:tc>
          <w:tcPr>
            <w:tcW w:w="5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14202A"/>
            </w:tcBorders>
          </w:tcPr>
          <w:p>
            <w:pPr>
              <w:spacing w:after="0"/>
              <w:rPr>
                <w:sz w:val="3"/>
                <w:szCs w:val="3"/>
                <w:color w:val="auto"/>
              </w:rPr>
            </w:pPr>
          </w:p>
        </w:tc>
        <w:tc>
          <w:tcPr>
            <w:tcW w:w="1380" w:type="dxa"/>
            <w:vAlign w:val="bottom"/>
            <w:tcBorders>
              <w:bottom w:val="single" w:sz="8" w:color="14202A"/>
            </w:tcBorders>
          </w:tcPr>
          <w:p>
            <w:pPr>
              <w:spacing w:after="0"/>
              <w:rPr>
                <w:sz w:val="3"/>
                <w:szCs w:val="3"/>
                <w:color w:val="auto"/>
              </w:rPr>
            </w:pPr>
          </w:p>
        </w:tc>
        <w:tc>
          <w:tcPr>
            <w:tcW w:w="520" w:type="dxa"/>
            <w:vAlign w:val="bottom"/>
            <w:tcBorders>
              <w:bottom w:val="single" w:sz="8" w:color="14202A"/>
            </w:tcBorders>
          </w:tcPr>
          <w:p>
            <w:pPr>
              <w:spacing w:after="0"/>
              <w:rPr>
                <w:sz w:val="3"/>
                <w:szCs w:val="3"/>
                <w:color w:val="auto"/>
              </w:rPr>
            </w:pPr>
          </w:p>
        </w:tc>
        <w:tc>
          <w:tcPr>
            <w:tcW w:w="740" w:type="dxa"/>
            <w:vAlign w:val="bottom"/>
            <w:tcBorders>
              <w:bottom w:val="single" w:sz="8" w:color="14202A"/>
            </w:tcBorders>
          </w:tcPr>
          <w:p>
            <w:pPr>
              <w:spacing w:after="0"/>
              <w:rPr>
                <w:sz w:val="3"/>
                <w:szCs w:val="3"/>
                <w:color w:val="auto"/>
              </w:rPr>
            </w:pPr>
          </w:p>
        </w:tc>
        <w:tc>
          <w:tcPr>
            <w:tcW w:w="560" w:type="dxa"/>
            <w:vAlign w:val="bottom"/>
            <w:tcBorders>
              <w:bottom w:val="single" w:sz="8" w:color="14202A"/>
            </w:tcBorders>
          </w:tcPr>
          <w:p>
            <w:pPr>
              <w:spacing w:after="0"/>
              <w:rPr>
                <w:sz w:val="3"/>
                <w:szCs w:val="3"/>
                <w:color w:val="auto"/>
              </w:rPr>
            </w:pPr>
          </w:p>
        </w:tc>
        <w:tc>
          <w:tcPr>
            <w:tcW w:w="760" w:type="dxa"/>
            <w:vAlign w:val="bottom"/>
            <w:tcBorders>
              <w:bottom w:val="single" w:sz="8" w:color="14202A"/>
            </w:tcBorders>
          </w:tcPr>
          <w:p>
            <w:pPr>
              <w:spacing w:after="0"/>
              <w:rPr>
                <w:sz w:val="3"/>
                <w:szCs w:val="3"/>
                <w:color w:val="auto"/>
              </w:rPr>
            </w:pPr>
          </w:p>
        </w:tc>
        <w:tc>
          <w:tcPr>
            <w:tcW w:w="780" w:type="dxa"/>
            <w:vAlign w:val="bottom"/>
            <w:tcBorders>
              <w:bottom w:val="single" w:sz="8" w:color="14202A"/>
            </w:tcBorders>
          </w:tcPr>
          <w:p>
            <w:pPr>
              <w:spacing w:after="0"/>
              <w:rPr>
                <w:sz w:val="3"/>
                <w:szCs w:val="3"/>
                <w:color w:val="auto"/>
              </w:rPr>
            </w:pPr>
          </w:p>
        </w:tc>
        <w:tc>
          <w:tcPr>
            <w:tcW w:w="124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40" w:type="dxa"/>
            <w:vAlign w:val="bottom"/>
            <w:tcBorders>
              <w:bottom w:val="single" w:sz="8" w:color="14202A"/>
            </w:tcBorders>
          </w:tcPr>
          <w:p>
            <w:pPr>
              <w:spacing w:after="0"/>
              <w:rPr>
                <w:sz w:val="3"/>
                <w:szCs w:val="3"/>
                <w:color w:val="auto"/>
              </w:rPr>
            </w:pPr>
          </w:p>
        </w:tc>
        <w:tc>
          <w:tcPr>
            <w:tcW w:w="82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60" w:hanging="360"/>
        <w:spacing w:after="0"/>
        <w:tabs>
          <w:tab w:leader="none" w:pos="360" w:val="left"/>
        </w:tabs>
        <w:numPr>
          <w:ilvl w:val="0"/>
          <w:numId w:val="34"/>
        </w:numPr>
        <w:rPr>
          <w:rFonts w:ascii="Arial" w:cs="Arial" w:eastAsia="Arial" w:hAnsi="Arial"/>
          <w:sz w:val="13"/>
          <w:szCs w:val="13"/>
          <w:color w:val="14202A"/>
        </w:rPr>
      </w:pPr>
      <w:r>
        <w:rPr>
          <w:rFonts w:ascii="Arial" w:cs="Arial" w:eastAsia="Arial" w:hAnsi="Arial"/>
          <w:sz w:val="13"/>
          <w:szCs w:val="13"/>
          <w:color w:val="14202A"/>
        </w:rPr>
        <w:t>The table below illustrates the three categories of stock awards as presented above:</w:t>
      </w:r>
    </w:p>
    <w:p>
      <w:pPr>
        <w:spacing w:after="0" w:line="138" w:lineRule="exact"/>
        <w:rPr>
          <w:sz w:val="20"/>
          <w:szCs w:val="20"/>
          <w:color w:val="auto"/>
        </w:rPr>
      </w:pPr>
    </w:p>
    <w:tbl>
      <w:tblPr>
        <w:tblLayout w:type="fixed"/>
        <w:tblInd w:w="360" w:type="dxa"/>
        <w:tblCellMar>
          <w:top w:w="0" w:type="dxa"/>
          <w:left w:w="0" w:type="dxa"/>
          <w:bottom w:w="0" w:type="dxa"/>
          <w:right w:w="0" w:type="dxa"/>
        </w:tblCellMar>
      </w:tblPr>
      <w:tr>
        <w:trPr>
          <w:trHeight w:val="237"/>
        </w:trPr>
        <w:tc>
          <w:tcPr>
            <w:tcW w:w="120" w:type="dxa"/>
            <w:vAlign w:val="bottom"/>
            <w:shd w:val="clear" w:color="auto" w:fill="14202A"/>
          </w:tcPr>
          <w:p>
            <w:pPr>
              <w:spacing w:after="0"/>
              <w:rPr>
                <w:sz w:val="20"/>
                <w:szCs w:val="20"/>
                <w:color w:val="auto"/>
              </w:rPr>
            </w:pPr>
          </w:p>
        </w:tc>
        <w:tc>
          <w:tcPr>
            <w:tcW w:w="2340" w:type="dxa"/>
            <w:vAlign w:val="bottom"/>
            <w:shd w:val="clear" w:color="auto" w:fill="14202A"/>
          </w:tcPr>
          <w:p>
            <w:pPr>
              <w:spacing w:after="0"/>
              <w:rPr>
                <w:sz w:val="20"/>
                <w:szCs w:val="20"/>
                <w:color w:val="auto"/>
              </w:rPr>
            </w:pPr>
          </w:p>
        </w:tc>
        <w:tc>
          <w:tcPr>
            <w:tcW w:w="760" w:type="dxa"/>
            <w:vAlign w:val="bottom"/>
            <w:shd w:val="clear" w:color="auto" w:fill="14202A"/>
          </w:tcPr>
          <w:p>
            <w:pPr>
              <w:spacing w:after="0"/>
              <w:rPr>
                <w:sz w:val="20"/>
                <w:szCs w:val="20"/>
                <w:color w:val="auto"/>
              </w:rPr>
            </w:pPr>
          </w:p>
        </w:tc>
        <w:tc>
          <w:tcPr>
            <w:tcW w:w="15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Non-Performance-</w:t>
            </w:r>
          </w:p>
        </w:tc>
        <w:tc>
          <w:tcPr>
            <w:tcW w:w="1620" w:type="dxa"/>
            <w:vAlign w:val="bottom"/>
            <w:shd w:val="clear" w:color="auto" w:fill="14202A"/>
          </w:tcPr>
          <w:p>
            <w:pPr>
              <w:spacing w:after="0"/>
              <w:rPr>
                <w:sz w:val="20"/>
                <w:szCs w:val="20"/>
                <w:color w:val="auto"/>
              </w:rPr>
            </w:pPr>
          </w:p>
        </w:tc>
        <w:tc>
          <w:tcPr>
            <w:tcW w:w="16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Fiscal 2025</w:t>
            </w:r>
          </w:p>
        </w:tc>
        <w:tc>
          <w:tcPr>
            <w:tcW w:w="900" w:type="dxa"/>
            <w:vAlign w:val="bottom"/>
            <w:shd w:val="clear" w:color="auto" w:fill="14202A"/>
          </w:tcPr>
          <w:p>
            <w:pPr>
              <w:jc w:val="center"/>
              <w:ind w:left="37"/>
              <w:spacing w:after="0"/>
              <w:rPr>
                <w:sz w:val="20"/>
                <w:szCs w:val="20"/>
                <w:color w:val="auto"/>
              </w:rPr>
            </w:pPr>
            <w:r>
              <w:rPr>
                <w:rFonts w:ascii="Arial" w:cs="Arial" w:eastAsia="Arial" w:hAnsi="Arial"/>
                <w:sz w:val="13"/>
                <w:szCs w:val="13"/>
                <w:b w:val="1"/>
                <w:bCs w:val="1"/>
                <w:color w:val="FFFFFF"/>
                <w:w w:val="89"/>
              </w:rPr>
              <w:t>Total</w:t>
            </w:r>
          </w:p>
        </w:tc>
        <w:tc>
          <w:tcPr>
            <w:tcW w:w="0" w:type="dxa"/>
            <w:vAlign w:val="bottom"/>
          </w:tcPr>
          <w:p>
            <w:pPr>
              <w:spacing w:after="0"/>
              <w:rPr>
                <w:sz w:val="1"/>
                <w:szCs w:val="1"/>
                <w:color w:val="auto"/>
              </w:rPr>
            </w:pPr>
          </w:p>
        </w:tc>
      </w:tr>
      <w:tr>
        <w:trPr>
          <w:trHeight w:val="154"/>
        </w:trPr>
        <w:tc>
          <w:tcPr>
            <w:tcW w:w="120" w:type="dxa"/>
            <w:vAlign w:val="bottom"/>
            <w:shd w:val="clear" w:color="auto" w:fill="14202A"/>
          </w:tcPr>
          <w:p>
            <w:pPr>
              <w:spacing w:after="0"/>
              <w:rPr>
                <w:sz w:val="13"/>
                <w:szCs w:val="13"/>
                <w:color w:val="auto"/>
              </w:rPr>
            </w:pPr>
          </w:p>
        </w:tc>
        <w:tc>
          <w:tcPr>
            <w:tcW w:w="2340" w:type="dxa"/>
            <w:vAlign w:val="bottom"/>
            <w:shd w:val="clear" w:color="auto" w:fill="14202A"/>
          </w:tcPr>
          <w:p>
            <w:pPr>
              <w:spacing w:after="0"/>
              <w:rPr>
                <w:sz w:val="13"/>
                <w:szCs w:val="13"/>
                <w:color w:val="auto"/>
              </w:rPr>
            </w:pPr>
          </w:p>
        </w:tc>
        <w:tc>
          <w:tcPr>
            <w:tcW w:w="7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Fiscal</w:t>
            </w:r>
          </w:p>
        </w:tc>
        <w:tc>
          <w:tcPr>
            <w:tcW w:w="15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Based Restricted</w:t>
            </w:r>
          </w:p>
        </w:tc>
        <w:tc>
          <w:tcPr>
            <w:tcW w:w="16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LTIP / Performance</w:t>
            </w:r>
          </w:p>
        </w:tc>
        <w:tc>
          <w:tcPr>
            <w:tcW w:w="16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Performance Share</w:t>
            </w:r>
          </w:p>
        </w:tc>
        <w:tc>
          <w:tcPr>
            <w:tcW w:w="900" w:type="dxa"/>
            <w:vAlign w:val="bottom"/>
            <w:shd w:val="clear" w:color="auto" w:fill="14202A"/>
          </w:tcPr>
          <w:p>
            <w:pPr>
              <w:jc w:val="center"/>
              <w:ind w:left="17"/>
              <w:spacing w:after="0"/>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44"/>
        </w:trPr>
        <w:tc>
          <w:tcPr>
            <w:tcW w:w="120" w:type="dxa"/>
            <w:vAlign w:val="bottom"/>
            <w:shd w:val="clear" w:color="auto" w:fill="14202A"/>
          </w:tcPr>
          <w:p>
            <w:pPr>
              <w:spacing w:after="0"/>
              <w:rPr>
                <w:sz w:val="12"/>
                <w:szCs w:val="12"/>
                <w:color w:val="auto"/>
              </w:rPr>
            </w:pPr>
          </w:p>
        </w:tc>
        <w:tc>
          <w:tcPr>
            <w:tcW w:w="234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Name</w:t>
            </w:r>
          </w:p>
        </w:tc>
        <w:tc>
          <w:tcPr>
            <w:tcW w:w="760" w:type="dxa"/>
            <w:vAlign w:val="bottom"/>
            <w:vMerge w:val="continue"/>
            <w:shd w:val="clear" w:color="auto" w:fill="14202A"/>
          </w:tcPr>
          <w:p>
            <w:pPr>
              <w:spacing w:after="0"/>
              <w:rPr>
                <w:sz w:val="12"/>
                <w:szCs w:val="12"/>
                <w:color w:val="auto"/>
              </w:rPr>
            </w:pPr>
          </w:p>
        </w:tc>
        <w:tc>
          <w:tcPr>
            <w:tcW w:w="1560" w:type="dxa"/>
            <w:vAlign w:val="bottom"/>
            <w:shd w:val="clear" w:color="auto" w:fill="14202A"/>
          </w:tcPr>
          <w:p>
            <w:pPr>
              <w:jc w:val="center"/>
              <w:spacing w:after="0" w:line="144" w:lineRule="exact"/>
              <w:rPr>
                <w:sz w:val="20"/>
                <w:szCs w:val="20"/>
                <w:color w:val="auto"/>
              </w:rPr>
            </w:pPr>
            <w:r>
              <w:rPr>
                <w:rFonts w:ascii="Arial" w:cs="Arial" w:eastAsia="Arial" w:hAnsi="Arial"/>
                <w:sz w:val="10"/>
                <w:szCs w:val="10"/>
                <w:b w:val="1"/>
                <w:bCs w:val="1"/>
                <w:color w:val="FFFFFF"/>
              </w:rPr>
              <w:t>Stock Grant</w:t>
            </w:r>
            <w:r>
              <w:rPr>
                <w:rFonts w:ascii="Arial" w:cs="Arial" w:eastAsia="Arial" w:hAnsi="Arial"/>
                <w:sz w:val="16"/>
                <w:szCs w:val="16"/>
                <w:b w:val="1"/>
                <w:bCs w:val="1"/>
                <w:color w:val="FFFFFF"/>
                <w:vertAlign w:val="superscript"/>
              </w:rPr>
              <w:t>(a)</w:t>
            </w:r>
          </w:p>
        </w:tc>
        <w:tc>
          <w:tcPr>
            <w:tcW w:w="1620" w:type="dxa"/>
            <w:vAlign w:val="bottom"/>
            <w:shd w:val="clear" w:color="auto" w:fill="14202A"/>
          </w:tcPr>
          <w:p>
            <w:pPr>
              <w:jc w:val="center"/>
              <w:spacing w:after="0" w:line="144" w:lineRule="exact"/>
              <w:rPr>
                <w:sz w:val="20"/>
                <w:szCs w:val="20"/>
                <w:color w:val="auto"/>
              </w:rPr>
            </w:pPr>
            <w:r>
              <w:rPr>
                <w:rFonts w:ascii="Arial" w:cs="Arial" w:eastAsia="Arial" w:hAnsi="Arial"/>
                <w:sz w:val="10"/>
                <w:szCs w:val="10"/>
                <w:b w:val="1"/>
                <w:bCs w:val="1"/>
                <w:color w:val="FFFFFF"/>
              </w:rPr>
              <w:t>Share Units</w:t>
            </w:r>
            <w:r>
              <w:rPr>
                <w:rFonts w:ascii="Arial" w:cs="Arial" w:eastAsia="Arial" w:hAnsi="Arial"/>
                <w:sz w:val="16"/>
                <w:szCs w:val="16"/>
                <w:b w:val="1"/>
                <w:bCs w:val="1"/>
                <w:color w:val="FFFFFF"/>
                <w:vertAlign w:val="superscript"/>
              </w:rPr>
              <w:t>(b)</w:t>
            </w:r>
          </w:p>
        </w:tc>
        <w:tc>
          <w:tcPr>
            <w:tcW w:w="1620" w:type="dxa"/>
            <w:vAlign w:val="bottom"/>
            <w:shd w:val="clear" w:color="auto" w:fill="14202A"/>
          </w:tcPr>
          <w:p>
            <w:pPr>
              <w:jc w:val="center"/>
              <w:spacing w:after="0" w:line="144" w:lineRule="exact"/>
              <w:rPr>
                <w:sz w:val="20"/>
                <w:szCs w:val="20"/>
                <w:color w:val="auto"/>
              </w:rPr>
            </w:pPr>
            <w:r>
              <w:rPr>
                <w:rFonts w:ascii="Arial" w:cs="Arial" w:eastAsia="Arial" w:hAnsi="Arial"/>
                <w:sz w:val="10"/>
                <w:szCs w:val="10"/>
                <w:b w:val="1"/>
                <w:bCs w:val="1"/>
                <w:color w:val="FFFFFF"/>
              </w:rPr>
              <w:t>Units</w:t>
            </w:r>
            <w:r>
              <w:rPr>
                <w:rFonts w:ascii="Arial" w:cs="Arial" w:eastAsia="Arial" w:hAnsi="Arial"/>
                <w:sz w:val="16"/>
                <w:szCs w:val="16"/>
                <w:b w:val="1"/>
                <w:bCs w:val="1"/>
                <w:color w:val="FFFFFF"/>
                <w:vertAlign w:val="superscript"/>
              </w:rPr>
              <w:t>(c)</w:t>
            </w:r>
          </w:p>
        </w:tc>
        <w:tc>
          <w:tcPr>
            <w:tcW w:w="900" w:type="dxa"/>
            <w:vAlign w:val="bottom"/>
            <w:shd w:val="clear" w:color="auto" w:fill="14202A"/>
          </w:tcPr>
          <w:p>
            <w:pPr>
              <w:jc w:val="center"/>
              <w:ind w:left="37"/>
              <w:spacing w:after="0" w:line="144" w:lineRule="exact"/>
              <w:rPr>
                <w:sz w:val="20"/>
                <w:szCs w:val="20"/>
                <w:color w:val="auto"/>
              </w:rPr>
            </w:pPr>
            <w:r>
              <w:rPr>
                <w:rFonts w:ascii="Arial" w:cs="Arial" w:eastAsia="Arial" w:hAnsi="Arial"/>
                <w:sz w:val="13"/>
                <w:szCs w:val="13"/>
                <w:b w:val="1"/>
                <w:bCs w:val="1"/>
                <w:color w:val="FFFFFF"/>
                <w:w w:val="93"/>
              </w:rPr>
              <w:t>Awards</w:t>
            </w:r>
          </w:p>
        </w:tc>
        <w:tc>
          <w:tcPr>
            <w:tcW w:w="0" w:type="dxa"/>
            <w:vAlign w:val="bottom"/>
          </w:tcPr>
          <w:p>
            <w:pPr>
              <w:spacing w:after="0"/>
              <w:rPr>
                <w:sz w:val="1"/>
                <w:szCs w:val="1"/>
                <w:color w:val="auto"/>
              </w:rPr>
            </w:pPr>
          </w:p>
        </w:tc>
      </w:tr>
      <w:tr>
        <w:trPr>
          <w:trHeight w:val="200"/>
        </w:trPr>
        <w:tc>
          <w:tcPr>
            <w:tcW w:w="120" w:type="dxa"/>
            <w:vAlign w:val="bottom"/>
            <w:tcBorders>
              <w:bottom w:val="single" w:sz="8" w:color="14202A"/>
            </w:tcBorders>
            <w:shd w:val="clear" w:color="auto" w:fill="14202A"/>
          </w:tcPr>
          <w:p>
            <w:pPr>
              <w:spacing w:after="0"/>
              <w:rPr>
                <w:sz w:val="17"/>
                <w:szCs w:val="17"/>
                <w:color w:val="auto"/>
              </w:rPr>
            </w:pPr>
          </w:p>
        </w:tc>
        <w:tc>
          <w:tcPr>
            <w:tcW w:w="2340" w:type="dxa"/>
            <w:vAlign w:val="bottom"/>
            <w:tcBorders>
              <w:bottom w:val="single" w:sz="8" w:color="14202A"/>
            </w:tcBorders>
            <w:vMerge w:val="continue"/>
            <w:shd w:val="clear" w:color="auto" w:fill="14202A"/>
          </w:tcPr>
          <w:p>
            <w:pPr>
              <w:spacing w:after="0"/>
              <w:rPr>
                <w:sz w:val="17"/>
                <w:szCs w:val="17"/>
                <w:color w:val="auto"/>
              </w:rPr>
            </w:pPr>
          </w:p>
        </w:tc>
        <w:tc>
          <w:tcPr>
            <w:tcW w:w="76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w w:val="92"/>
              </w:rPr>
              <w:t>Year</w:t>
            </w:r>
          </w:p>
        </w:tc>
        <w:tc>
          <w:tcPr>
            <w:tcW w:w="156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62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62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900" w:type="dxa"/>
            <w:vAlign w:val="bottom"/>
            <w:tcBorders>
              <w:bottom w:val="single" w:sz="8" w:color="14202A"/>
            </w:tcBorders>
            <w:shd w:val="clear" w:color="auto" w:fill="14202A"/>
          </w:tcPr>
          <w:p>
            <w:pPr>
              <w:jc w:val="center"/>
              <w:ind w:left="3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2340" w:type="dxa"/>
            <w:vAlign w:val="bottom"/>
          </w:tcPr>
          <w:p>
            <w:pPr>
              <w:ind w:left="40"/>
              <w:spacing w:after="0"/>
              <w:rPr>
                <w:sz w:val="20"/>
                <w:szCs w:val="20"/>
                <w:color w:val="auto"/>
              </w:rPr>
            </w:pPr>
            <w:r>
              <w:rPr>
                <w:rFonts w:ascii="Arial" w:cs="Arial" w:eastAsia="Arial" w:hAnsi="Arial"/>
                <w:sz w:val="13"/>
                <w:szCs w:val="13"/>
                <w:color w:val="14202A"/>
              </w:rPr>
              <w:t>Michael J. Happe</w:t>
            </w: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2026</w:t>
            </w:r>
          </w:p>
        </w:tc>
        <w:tc>
          <w:tcPr>
            <w:tcW w:w="1560" w:type="dxa"/>
            <w:vAlign w:val="bottom"/>
          </w:tcPr>
          <w:p>
            <w:pPr>
              <w:jc w:val="right"/>
              <w:ind w:right="438"/>
              <w:spacing w:after="0"/>
              <w:rPr>
                <w:sz w:val="20"/>
                <w:szCs w:val="20"/>
                <w:color w:val="auto"/>
              </w:rPr>
            </w:pPr>
            <w:r>
              <w:rPr>
                <w:rFonts w:ascii="Arial" w:cs="Arial" w:eastAsia="Arial" w:hAnsi="Arial"/>
                <w:sz w:val="13"/>
                <w:szCs w:val="13"/>
                <w:color w:val="14202A"/>
              </w:rPr>
              <w:t>2,135,003</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3,050,000</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14202A"/>
              </w:rPr>
              <w:t>5,185,003</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2025</w:t>
            </w:r>
          </w:p>
        </w:tc>
        <w:tc>
          <w:tcPr>
            <w:tcW w:w="1560" w:type="dxa"/>
            <w:vAlign w:val="bottom"/>
          </w:tcPr>
          <w:p>
            <w:pPr>
              <w:jc w:val="right"/>
              <w:ind w:right="438"/>
              <w:spacing w:after="0"/>
              <w:rPr>
                <w:sz w:val="20"/>
                <w:szCs w:val="20"/>
                <w:color w:val="auto"/>
              </w:rPr>
            </w:pPr>
            <w:r>
              <w:rPr>
                <w:rFonts w:ascii="Arial" w:cs="Arial" w:eastAsia="Arial" w:hAnsi="Arial"/>
                <w:sz w:val="13"/>
                <w:szCs w:val="13"/>
                <w:color w:val="14202A"/>
              </w:rPr>
              <w:t>2,134,979</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3,049,996</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1,000,025</w:t>
            </w:r>
          </w:p>
        </w:tc>
        <w:tc>
          <w:tcPr>
            <w:tcW w:w="900" w:type="dxa"/>
            <w:vAlign w:val="bottom"/>
          </w:tcPr>
          <w:p>
            <w:pPr>
              <w:jc w:val="right"/>
              <w:ind w:right="57"/>
              <w:spacing w:after="0"/>
              <w:rPr>
                <w:sz w:val="20"/>
                <w:szCs w:val="20"/>
                <w:color w:val="auto"/>
              </w:rPr>
            </w:pPr>
            <w:r>
              <w:rPr>
                <w:rFonts w:ascii="Arial" w:cs="Arial" w:eastAsia="Arial" w:hAnsi="Arial"/>
                <w:sz w:val="13"/>
                <w:szCs w:val="13"/>
                <w:color w:val="14202A"/>
              </w:rPr>
              <w:t>6,185,000</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1560" w:type="dxa"/>
            <w:vAlign w:val="bottom"/>
          </w:tcPr>
          <w:p>
            <w:pPr>
              <w:jc w:val="right"/>
              <w:ind w:right="438"/>
              <w:spacing w:after="0"/>
              <w:rPr>
                <w:sz w:val="20"/>
                <w:szCs w:val="20"/>
                <w:color w:val="auto"/>
              </w:rPr>
            </w:pPr>
            <w:r>
              <w:rPr>
                <w:rFonts w:ascii="Arial" w:cs="Arial" w:eastAsia="Arial" w:hAnsi="Arial"/>
                <w:sz w:val="13"/>
                <w:szCs w:val="13"/>
                <w:color w:val="14202A"/>
              </w:rPr>
              <w:t>1,942,484</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2,774,977</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14202A"/>
              </w:rPr>
              <w:t>4,717,461</w:t>
            </w:r>
          </w:p>
        </w:tc>
        <w:tc>
          <w:tcPr>
            <w:tcW w:w="0" w:type="dxa"/>
            <w:vAlign w:val="bottom"/>
          </w:tcPr>
          <w:p>
            <w:pPr>
              <w:spacing w:after="0"/>
              <w:rPr>
                <w:sz w:val="1"/>
                <w:szCs w:val="1"/>
                <w:color w:val="auto"/>
              </w:rPr>
            </w:pPr>
          </w:p>
        </w:tc>
      </w:tr>
      <w:tr>
        <w:trPr>
          <w:trHeight w:val="41"/>
        </w:trPr>
        <w:tc>
          <w:tcPr>
            <w:tcW w:w="120" w:type="dxa"/>
            <w:vAlign w:val="bottom"/>
            <w:tcBorders>
              <w:bottom w:val="single" w:sz="8" w:color="14202A"/>
            </w:tcBorders>
          </w:tcPr>
          <w:p>
            <w:pPr>
              <w:spacing w:after="0"/>
              <w:rPr>
                <w:sz w:val="3"/>
                <w:szCs w:val="3"/>
                <w:color w:val="auto"/>
              </w:rPr>
            </w:pPr>
          </w:p>
        </w:tc>
        <w:tc>
          <w:tcPr>
            <w:tcW w:w="2340" w:type="dxa"/>
            <w:vAlign w:val="bottom"/>
            <w:tcBorders>
              <w:bottom w:val="single" w:sz="8" w:color="14202A"/>
            </w:tcBorders>
          </w:tcPr>
          <w:p>
            <w:pPr>
              <w:spacing w:after="0"/>
              <w:rPr>
                <w:sz w:val="3"/>
                <w:szCs w:val="3"/>
                <w:color w:val="auto"/>
              </w:rPr>
            </w:pPr>
          </w:p>
        </w:tc>
        <w:tc>
          <w:tcPr>
            <w:tcW w:w="760" w:type="dxa"/>
            <w:vAlign w:val="bottom"/>
            <w:tcBorders>
              <w:bottom w:val="single" w:sz="8" w:color="14202A"/>
            </w:tcBorders>
          </w:tcPr>
          <w:p>
            <w:pPr>
              <w:spacing w:after="0"/>
              <w:rPr>
                <w:sz w:val="3"/>
                <w:szCs w:val="3"/>
                <w:color w:val="auto"/>
              </w:rPr>
            </w:pPr>
          </w:p>
        </w:tc>
        <w:tc>
          <w:tcPr>
            <w:tcW w:w="156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9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7"/>
                <w:szCs w:val="17"/>
                <w:color w:val="auto"/>
              </w:rPr>
            </w:pPr>
          </w:p>
        </w:tc>
        <w:tc>
          <w:tcPr>
            <w:tcW w:w="2340" w:type="dxa"/>
            <w:vAlign w:val="bottom"/>
          </w:tcPr>
          <w:p>
            <w:pPr>
              <w:ind w:left="40"/>
              <w:spacing w:after="0"/>
              <w:rPr>
                <w:sz w:val="20"/>
                <w:szCs w:val="20"/>
                <w:color w:val="auto"/>
              </w:rPr>
            </w:pPr>
            <w:r>
              <w:rPr>
                <w:rFonts w:ascii="Arial" w:cs="Arial" w:eastAsia="Arial" w:hAnsi="Arial"/>
                <w:sz w:val="13"/>
                <w:szCs w:val="13"/>
                <w:color w:val="14202A"/>
              </w:rPr>
              <w:t>Bryan L. Hughes</w:t>
            </w: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2026</w:t>
            </w:r>
          </w:p>
        </w:tc>
        <w:tc>
          <w:tcPr>
            <w:tcW w:w="1560" w:type="dxa"/>
            <w:vAlign w:val="bottom"/>
          </w:tcPr>
          <w:p>
            <w:pPr>
              <w:jc w:val="right"/>
              <w:ind w:right="458"/>
              <w:spacing w:after="0"/>
              <w:rPr>
                <w:sz w:val="20"/>
                <w:szCs w:val="20"/>
                <w:color w:val="auto"/>
              </w:rPr>
            </w:pPr>
            <w:r>
              <w:rPr>
                <w:rFonts w:ascii="Arial" w:cs="Arial" w:eastAsia="Arial" w:hAnsi="Arial"/>
                <w:sz w:val="13"/>
                <w:szCs w:val="13"/>
                <w:color w:val="14202A"/>
              </w:rPr>
              <w:t>450,611</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643,751</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14202A"/>
              </w:rPr>
              <w:t>1,094,362</w:t>
            </w:r>
          </w:p>
        </w:tc>
        <w:tc>
          <w:tcPr>
            <w:tcW w:w="0" w:type="dxa"/>
            <w:vAlign w:val="bottom"/>
          </w:tcPr>
          <w:p>
            <w:pPr>
              <w:spacing w:after="0"/>
              <w:rPr>
                <w:sz w:val="1"/>
                <w:szCs w:val="1"/>
                <w:color w:val="auto"/>
              </w:rPr>
            </w:pPr>
          </w:p>
        </w:tc>
      </w:tr>
      <w:tr>
        <w:trPr>
          <w:trHeight w:val="55"/>
        </w:trPr>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2025</w:t>
            </w:r>
          </w:p>
        </w:tc>
        <w:tc>
          <w:tcPr>
            <w:tcW w:w="1560" w:type="dxa"/>
            <w:vAlign w:val="bottom"/>
          </w:tcPr>
          <w:p>
            <w:pPr>
              <w:jc w:val="right"/>
              <w:ind w:right="458"/>
              <w:spacing w:after="0"/>
              <w:rPr>
                <w:sz w:val="20"/>
                <w:szCs w:val="20"/>
                <w:color w:val="auto"/>
              </w:rPr>
            </w:pPr>
            <w:r>
              <w:rPr>
                <w:rFonts w:ascii="Arial" w:cs="Arial" w:eastAsia="Arial" w:hAnsi="Arial"/>
                <w:sz w:val="13"/>
                <w:szCs w:val="13"/>
                <w:color w:val="14202A"/>
              </w:rPr>
              <w:t>437,522</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625,023</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375,002</w:t>
            </w:r>
          </w:p>
        </w:tc>
        <w:tc>
          <w:tcPr>
            <w:tcW w:w="900" w:type="dxa"/>
            <w:vAlign w:val="bottom"/>
          </w:tcPr>
          <w:p>
            <w:pPr>
              <w:jc w:val="right"/>
              <w:ind w:right="57"/>
              <w:spacing w:after="0"/>
              <w:rPr>
                <w:sz w:val="20"/>
                <w:szCs w:val="20"/>
                <w:color w:val="auto"/>
              </w:rPr>
            </w:pPr>
            <w:r>
              <w:rPr>
                <w:rFonts w:ascii="Arial" w:cs="Arial" w:eastAsia="Arial" w:hAnsi="Arial"/>
                <w:sz w:val="13"/>
                <w:szCs w:val="13"/>
                <w:color w:val="14202A"/>
              </w:rPr>
              <w:t>1,437,547</w:t>
            </w:r>
          </w:p>
        </w:tc>
        <w:tc>
          <w:tcPr>
            <w:tcW w:w="0" w:type="dxa"/>
            <w:vAlign w:val="bottom"/>
          </w:tcPr>
          <w:p>
            <w:pPr>
              <w:spacing w:after="0"/>
              <w:rPr>
                <w:sz w:val="1"/>
                <w:szCs w:val="1"/>
                <w:color w:val="auto"/>
              </w:rPr>
            </w:pPr>
          </w:p>
        </w:tc>
      </w:tr>
      <w:tr>
        <w:trPr>
          <w:trHeight w:val="55"/>
        </w:trPr>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1560" w:type="dxa"/>
            <w:vAlign w:val="bottom"/>
          </w:tcPr>
          <w:p>
            <w:pPr>
              <w:jc w:val="right"/>
              <w:ind w:right="458"/>
              <w:spacing w:after="0"/>
              <w:rPr>
                <w:sz w:val="20"/>
                <w:szCs w:val="20"/>
                <w:color w:val="auto"/>
              </w:rPr>
            </w:pPr>
            <w:r>
              <w:rPr>
                <w:rFonts w:ascii="Arial" w:cs="Arial" w:eastAsia="Arial" w:hAnsi="Arial"/>
                <w:sz w:val="13"/>
                <w:szCs w:val="13"/>
                <w:color w:val="14202A"/>
              </w:rPr>
              <w:t>378,017</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539,973</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14202A"/>
              </w:rPr>
              <w:t>917,990</w:t>
            </w:r>
          </w:p>
        </w:tc>
        <w:tc>
          <w:tcPr>
            <w:tcW w:w="0" w:type="dxa"/>
            <w:vAlign w:val="bottom"/>
          </w:tcPr>
          <w:p>
            <w:pPr>
              <w:spacing w:after="0"/>
              <w:rPr>
                <w:sz w:val="1"/>
                <w:szCs w:val="1"/>
                <w:color w:val="auto"/>
              </w:rPr>
            </w:pPr>
          </w:p>
        </w:tc>
      </w:tr>
      <w:tr>
        <w:trPr>
          <w:trHeight w:val="41"/>
        </w:trPr>
        <w:tc>
          <w:tcPr>
            <w:tcW w:w="120" w:type="dxa"/>
            <w:vAlign w:val="bottom"/>
            <w:tcBorders>
              <w:bottom w:val="single" w:sz="8" w:color="14202A"/>
            </w:tcBorders>
          </w:tcPr>
          <w:p>
            <w:pPr>
              <w:spacing w:after="0"/>
              <w:rPr>
                <w:sz w:val="3"/>
                <w:szCs w:val="3"/>
                <w:color w:val="auto"/>
              </w:rPr>
            </w:pPr>
          </w:p>
        </w:tc>
        <w:tc>
          <w:tcPr>
            <w:tcW w:w="2340" w:type="dxa"/>
            <w:vAlign w:val="bottom"/>
            <w:tcBorders>
              <w:bottom w:val="single" w:sz="8" w:color="14202A"/>
            </w:tcBorders>
          </w:tcPr>
          <w:p>
            <w:pPr>
              <w:spacing w:after="0"/>
              <w:rPr>
                <w:sz w:val="3"/>
                <w:szCs w:val="3"/>
                <w:color w:val="auto"/>
              </w:rPr>
            </w:pPr>
          </w:p>
        </w:tc>
        <w:tc>
          <w:tcPr>
            <w:tcW w:w="760" w:type="dxa"/>
            <w:vAlign w:val="bottom"/>
            <w:tcBorders>
              <w:bottom w:val="single" w:sz="8" w:color="14202A"/>
            </w:tcBorders>
          </w:tcPr>
          <w:p>
            <w:pPr>
              <w:spacing w:after="0"/>
              <w:rPr>
                <w:sz w:val="3"/>
                <w:szCs w:val="3"/>
                <w:color w:val="auto"/>
              </w:rPr>
            </w:pPr>
          </w:p>
        </w:tc>
        <w:tc>
          <w:tcPr>
            <w:tcW w:w="156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9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340" w:type="dxa"/>
            <w:vAlign w:val="bottom"/>
          </w:tcPr>
          <w:p>
            <w:pPr>
              <w:ind w:left="40"/>
              <w:spacing w:after="0"/>
              <w:rPr>
                <w:sz w:val="20"/>
                <w:szCs w:val="20"/>
                <w:color w:val="auto"/>
              </w:rPr>
            </w:pPr>
            <w:r>
              <w:rPr>
                <w:rFonts w:ascii="Arial" w:cs="Arial" w:eastAsia="Arial" w:hAnsi="Arial"/>
                <w:sz w:val="13"/>
                <w:szCs w:val="13"/>
                <w:color w:val="14202A"/>
              </w:rPr>
              <w:t>Donald J. Clark</w:t>
            </w: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2026</w:t>
            </w:r>
          </w:p>
        </w:tc>
        <w:tc>
          <w:tcPr>
            <w:tcW w:w="1560" w:type="dxa"/>
            <w:vAlign w:val="bottom"/>
          </w:tcPr>
          <w:p>
            <w:pPr>
              <w:jc w:val="right"/>
              <w:ind w:right="438"/>
              <w:spacing w:after="0"/>
              <w:rPr>
                <w:sz w:val="20"/>
                <w:szCs w:val="20"/>
                <w:color w:val="auto"/>
              </w:rPr>
            </w:pPr>
            <w:r>
              <w:rPr>
                <w:rFonts w:ascii="Arial" w:cs="Arial" w:eastAsia="Arial" w:hAnsi="Arial"/>
                <w:sz w:val="13"/>
                <w:szCs w:val="13"/>
                <w:color w:val="14202A"/>
              </w:rPr>
              <w:t>—</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14202A"/>
              </w:rPr>
              <w:t>—</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2025</w:t>
            </w:r>
          </w:p>
        </w:tc>
        <w:tc>
          <w:tcPr>
            <w:tcW w:w="1560" w:type="dxa"/>
            <w:vAlign w:val="bottom"/>
          </w:tcPr>
          <w:p>
            <w:pPr>
              <w:jc w:val="right"/>
              <w:ind w:right="438"/>
              <w:spacing w:after="0"/>
              <w:rPr>
                <w:sz w:val="20"/>
                <w:szCs w:val="20"/>
                <w:color w:val="auto"/>
              </w:rPr>
            </w:pPr>
            <w:r>
              <w:rPr>
                <w:rFonts w:ascii="Arial" w:cs="Arial" w:eastAsia="Arial" w:hAnsi="Arial"/>
                <w:sz w:val="13"/>
                <w:szCs w:val="13"/>
                <w:color w:val="14202A"/>
              </w:rPr>
              <w:t>—</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14202A"/>
              </w:rPr>
              <w:t>—</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1560" w:type="dxa"/>
            <w:vAlign w:val="bottom"/>
          </w:tcPr>
          <w:p>
            <w:pPr>
              <w:jc w:val="right"/>
              <w:ind w:right="438"/>
              <w:spacing w:after="0"/>
              <w:rPr>
                <w:sz w:val="20"/>
                <w:szCs w:val="20"/>
                <w:color w:val="auto"/>
              </w:rPr>
            </w:pPr>
            <w:r>
              <w:rPr>
                <w:rFonts w:ascii="Arial" w:cs="Arial" w:eastAsia="Arial" w:hAnsi="Arial"/>
                <w:sz w:val="13"/>
                <w:szCs w:val="13"/>
                <w:color w:val="14202A"/>
              </w:rPr>
              <w:t>—</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14202A"/>
              </w:rPr>
              <w:t>—</w:t>
            </w:r>
          </w:p>
        </w:tc>
        <w:tc>
          <w:tcPr>
            <w:tcW w:w="0" w:type="dxa"/>
            <w:vAlign w:val="bottom"/>
          </w:tcPr>
          <w:p>
            <w:pPr>
              <w:spacing w:after="0"/>
              <w:rPr>
                <w:sz w:val="1"/>
                <w:szCs w:val="1"/>
                <w:color w:val="auto"/>
              </w:rPr>
            </w:pPr>
          </w:p>
        </w:tc>
      </w:tr>
      <w:tr>
        <w:trPr>
          <w:trHeight w:val="41"/>
        </w:trPr>
        <w:tc>
          <w:tcPr>
            <w:tcW w:w="120" w:type="dxa"/>
            <w:vAlign w:val="bottom"/>
            <w:tcBorders>
              <w:bottom w:val="single" w:sz="8" w:color="14202A"/>
            </w:tcBorders>
          </w:tcPr>
          <w:p>
            <w:pPr>
              <w:spacing w:after="0"/>
              <w:rPr>
                <w:sz w:val="3"/>
                <w:szCs w:val="3"/>
                <w:color w:val="auto"/>
              </w:rPr>
            </w:pPr>
          </w:p>
        </w:tc>
        <w:tc>
          <w:tcPr>
            <w:tcW w:w="2340" w:type="dxa"/>
            <w:vAlign w:val="bottom"/>
            <w:tcBorders>
              <w:bottom w:val="single" w:sz="8" w:color="14202A"/>
            </w:tcBorders>
          </w:tcPr>
          <w:p>
            <w:pPr>
              <w:spacing w:after="0"/>
              <w:rPr>
                <w:sz w:val="3"/>
                <w:szCs w:val="3"/>
                <w:color w:val="auto"/>
              </w:rPr>
            </w:pPr>
          </w:p>
        </w:tc>
        <w:tc>
          <w:tcPr>
            <w:tcW w:w="760" w:type="dxa"/>
            <w:vAlign w:val="bottom"/>
            <w:tcBorders>
              <w:bottom w:val="single" w:sz="8" w:color="14202A"/>
            </w:tcBorders>
          </w:tcPr>
          <w:p>
            <w:pPr>
              <w:spacing w:after="0"/>
              <w:rPr>
                <w:sz w:val="3"/>
                <w:szCs w:val="3"/>
                <w:color w:val="auto"/>
              </w:rPr>
            </w:pPr>
          </w:p>
        </w:tc>
        <w:tc>
          <w:tcPr>
            <w:tcW w:w="156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9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340" w:type="dxa"/>
            <w:vAlign w:val="bottom"/>
          </w:tcPr>
          <w:p>
            <w:pPr>
              <w:ind w:left="40"/>
              <w:spacing w:after="0"/>
              <w:rPr>
                <w:sz w:val="20"/>
                <w:szCs w:val="20"/>
                <w:color w:val="auto"/>
              </w:rPr>
            </w:pPr>
            <w:r>
              <w:rPr>
                <w:rFonts w:ascii="Arial" w:cs="Arial" w:eastAsia="Arial" w:hAnsi="Arial"/>
                <w:sz w:val="13"/>
                <w:szCs w:val="13"/>
                <w:color w:val="14202A"/>
              </w:rPr>
              <w:t>Casey J. Tubman</w:t>
            </w: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2026</w:t>
            </w:r>
          </w:p>
        </w:tc>
        <w:tc>
          <w:tcPr>
            <w:tcW w:w="1560" w:type="dxa"/>
            <w:vAlign w:val="bottom"/>
          </w:tcPr>
          <w:p>
            <w:pPr>
              <w:jc w:val="right"/>
              <w:ind w:right="458"/>
              <w:spacing w:after="0"/>
              <w:rPr>
                <w:sz w:val="20"/>
                <w:szCs w:val="20"/>
                <w:color w:val="auto"/>
              </w:rPr>
            </w:pPr>
            <w:r>
              <w:rPr>
                <w:rFonts w:ascii="Arial" w:cs="Arial" w:eastAsia="Arial" w:hAnsi="Arial"/>
                <w:sz w:val="13"/>
                <w:szCs w:val="13"/>
                <w:color w:val="14202A"/>
              </w:rPr>
              <w:t>330,409</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472,013</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14202A"/>
              </w:rPr>
              <w:t>802,422</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2025</w:t>
            </w:r>
          </w:p>
        </w:tc>
        <w:tc>
          <w:tcPr>
            <w:tcW w:w="1560" w:type="dxa"/>
            <w:vAlign w:val="bottom"/>
          </w:tcPr>
          <w:p>
            <w:pPr>
              <w:jc w:val="right"/>
              <w:ind w:right="458"/>
              <w:spacing w:after="0"/>
              <w:rPr>
                <w:sz w:val="20"/>
                <w:szCs w:val="20"/>
                <w:color w:val="auto"/>
              </w:rPr>
            </w:pPr>
            <w:r>
              <w:rPr>
                <w:rFonts w:ascii="Arial" w:cs="Arial" w:eastAsia="Arial" w:hAnsi="Arial"/>
                <w:sz w:val="13"/>
                <w:szCs w:val="13"/>
                <w:color w:val="14202A"/>
              </w:rPr>
              <w:t>235,186</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335,971</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268,800</w:t>
            </w:r>
          </w:p>
        </w:tc>
        <w:tc>
          <w:tcPr>
            <w:tcW w:w="900" w:type="dxa"/>
            <w:vAlign w:val="bottom"/>
          </w:tcPr>
          <w:p>
            <w:pPr>
              <w:jc w:val="right"/>
              <w:ind w:right="77"/>
              <w:spacing w:after="0"/>
              <w:rPr>
                <w:sz w:val="20"/>
                <w:szCs w:val="20"/>
                <w:color w:val="auto"/>
              </w:rPr>
            </w:pPr>
            <w:r>
              <w:rPr>
                <w:rFonts w:ascii="Arial" w:cs="Arial" w:eastAsia="Arial" w:hAnsi="Arial"/>
                <w:sz w:val="13"/>
                <w:szCs w:val="13"/>
                <w:color w:val="14202A"/>
              </w:rPr>
              <w:t>839,957</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1560" w:type="dxa"/>
            <w:vAlign w:val="bottom"/>
          </w:tcPr>
          <w:p>
            <w:pPr>
              <w:jc w:val="right"/>
              <w:ind w:right="458"/>
              <w:spacing w:after="0"/>
              <w:rPr>
                <w:sz w:val="20"/>
                <w:szCs w:val="20"/>
                <w:color w:val="auto"/>
              </w:rPr>
            </w:pPr>
            <w:r>
              <w:rPr>
                <w:rFonts w:ascii="Arial" w:cs="Arial" w:eastAsia="Arial" w:hAnsi="Arial"/>
                <w:sz w:val="13"/>
                <w:szCs w:val="13"/>
                <w:color w:val="14202A"/>
              </w:rPr>
              <w:t>205,967</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294,222</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14202A"/>
              </w:rPr>
              <w:t>500,189</w:t>
            </w:r>
          </w:p>
        </w:tc>
        <w:tc>
          <w:tcPr>
            <w:tcW w:w="0" w:type="dxa"/>
            <w:vAlign w:val="bottom"/>
          </w:tcPr>
          <w:p>
            <w:pPr>
              <w:spacing w:after="0"/>
              <w:rPr>
                <w:sz w:val="1"/>
                <w:szCs w:val="1"/>
                <w:color w:val="auto"/>
              </w:rPr>
            </w:pPr>
          </w:p>
        </w:tc>
      </w:tr>
      <w:tr>
        <w:trPr>
          <w:trHeight w:val="41"/>
        </w:trPr>
        <w:tc>
          <w:tcPr>
            <w:tcW w:w="120" w:type="dxa"/>
            <w:vAlign w:val="bottom"/>
            <w:tcBorders>
              <w:bottom w:val="single" w:sz="8" w:color="14202A"/>
            </w:tcBorders>
          </w:tcPr>
          <w:p>
            <w:pPr>
              <w:spacing w:after="0"/>
              <w:rPr>
                <w:sz w:val="3"/>
                <w:szCs w:val="3"/>
                <w:color w:val="auto"/>
              </w:rPr>
            </w:pPr>
          </w:p>
        </w:tc>
        <w:tc>
          <w:tcPr>
            <w:tcW w:w="2340" w:type="dxa"/>
            <w:vAlign w:val="bottom"/>
            <w:tcBorders>
              <w:bottom w:val="single" w:sz="8" w:color="14202A"/>
            </w:tcBorders>
          </w:tcPr>
          <w:p>
            <w:pPr>
              <w:spacing w:after="0"/>
              <w:rPr>
                <w:sz w:val="3"/>
                <w:szCs w:val="3"/>
                <w:color w:val="auto"/>
              </w:rPr>
            </w:pPr>
          </w:p>
        </w:tc>
        <w:tc>
          <w:tcPr>
            <w:tcW w:w="760" w:type="dxa"/>
            <w:vAlign w:val="bottom"/>
            <w:tcBorders>
              <w:bottom w:val="single" w:sz="8" w:color="14202A"/>
            </w:tcBorders>
          </w:tcPr>
          <w:p>
            <w:pPr>
              <w:spacing w:after="0"/>
              <w:rPr>
                <w:sz w:val="3"/>
                <w:szCs w:val="3"/>
                <w:color w:val="auto"/>
              </w:rPr>
            </w:pPr>
          </w:p>
        </w:tc>
        <w:tc>
          <w:tcPr>
            <w:tcW w:w="156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9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7"/>
                <w:szCs w:val="17"/>
                <w:color w:val="auto"/>
              </w:rPr>
            </w:pPr>
          </w:p>
        </w:tc>
        <w:tc>
          <w:tcPr>
            <w:tcW w:w="2340" w:type="dxa"/>
            <w:vAlign w:val="bottom"/>
          </w:tcPr>
          <w:p>
            <w:pPr>
              <w:ind w:left="40"/>
              <w:spacing w:after="0"/>
              <w:rPr>
                <w:sz w:val="20"/>
                <w:szCs w:val="20"/>
                <w:color w:val="auto"/>
              </w:rPr>
            </w:pPr>
            <w:r>
              <w:rPr>
                <w:rFonts w:ascii="Arial" w:cs="Arial" w:eastAsia="Arial" w:hAnsi="Arial"/>
                <w:sz w:val="13"/>
                <w:szCs w:val="13"/>
                <w:color w:val="14202A"/>
              </w:rPr>
              <w:t>Stacy L. Bogart</w:t>
            </w: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2026</w:t>
            </w:r>
          </w:p>
        </w:tc>
        <w:tc>
          <w:tcPr>
            <w:tcW w:w="1560" w:type="dxa"/>
            <w:vAlign w:val="bottom"/>
          </w:tcPr>
          <w:p>
            <w:pPr>
              <w:jc w:val="right"/>
              <w:ind w:right="458"/>
              <w:spacing w:after="0"/>
              <w:rPr>
                <w:sz w:val="20"/>
                <w:szCs w:val="20"/>
                <w:color w:val="auto"/>
              </w:rPr>
            </w:pPr>
            <w:r>
              <w:rPr>
                <w:rFonts w:ascii="Arial" w:cs="Arial" w:eastAsia="Arial" w:hAnsi="Arial"/>
                <w:sz w:val="13"/>
                <w:szCs w:val="13"/>
                <w:color w:val="14202A"/>
              </w:rPr>
              <w:t>309,376</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441,939</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14202A"/>
              </w:rPr>
              <w:t>751,315</w:t>
            </w:r>
          </w:p>
        </w:tc>
        <w:tc>
          <w:tcPr>
            <w:tcW w:w="0" w:type="dxa"/>
            <w:vAlign w:val="bottom"/>
          </w:tcPr>
          <w:p>
            <w:pPr>
              <w:spacing w:after="0"/>
              <w:rPr>
                <w:sz w:val="1"/>
                <w:szCs w:val="1"/>
                <w:color w:val="auto"/>
              </w:rPr>
            </w:pPr>
          </w:p>
        </w:tc>
      </w:tr>
      <w:tr>
        <w:trPr>
          <w:trHeight w:val="55"/>
        </w:trPr>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2025</w:t>
            </w:r>
          </w:p>
        </w:tc>
        <w:tc>
          <w:tcPr>
            <w:tcW w:w="1560" w:type="dxa"/>
            <w:vAlign w:val="bottom"/>
          </w:tcPr>
          <w:p>
            <w:pPr>
              <w:jc w:val="right"/>
              <w:ind w:right="458"/>
              <w:spacing w:after="0"/>
              <w:rPr>
                <w:sz w:val="20"/>
                <w:szCs w:val="20"/>
                <w:color w:val="auto"/>
              </w:rPr>
            </w:pPr>
            <w:r>
              <w:rPr>
                <w:rFonts w:ascii="Arial" w:cs="Arial" w:eastAsia="Arial" w:hAnsi="Arial"/>
                <w:sz w:val="13"/>
                <w:szCs w:val="13"/>
                <w:color w:val="14202A"/>
              </w:rPr>
              <w:t>301,061</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430,104</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258,086</w:t>
            </w:r>
          </w:p>
        </w:tc>
        <w:tc>
          <w:tcPr>
            <w:tcW w:w="900" w:type="dxa"/>
            <w:vAlign w:val="bottom"/>
          </w:tcPr>
          <w:p>
            <w:pPr>
              <w:jc w:val="right"/>
              <w:ind w:right="77"/>
              <w:spacing w:after="0"/>
              <w:rPr>
                <w:sz w:val="20"/>
                <w:szCs w:val="20"/>
                <w:color w:val="auto"/>
              </w:rPr>
            </w:pPr>
            <w:r>
              <w:rPr>
                <w:rFonts w:ascii="Arial" w:cs="Arial" w:eastAsia="Arial" w:hAnsi="Arial"/>
                <w:sz w:val="13"/>
                <w:szCs w:val="13"/>
                <w:color w:val="14202A"/>
              </w:rPr>
              <w:t>989,251</w:t>
            </w:r>
          </w:p>
        </w:tc>
        <w:tc>
          <w:tcPr>
            <w:tcW w:w="0" w:type="dxa"/>
            <w:vAlign w:val="bottom"/>
          </w:tcPr>
          <w:p>
            <w:pPr>
              <w:spacing w:after="0"/>
              <w:rPr>
                <w:sz w:val="1"/>
                <w:szCs w:val="1"/>
                <w:color w:val="auto"/>
              </w:rPr>
            </w:pPr>
          </w:p>
        </w:tc>
      </w:tr>
      <w:tr>
        <w:trPr>
          <w:trHeight w:val="55"/>
        </w:trPr>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1560" w:type="dxa"/>
            <w:vAlign w:val="bottom"/>
          </w:tcPr>
          <w:p>
            <w:pPr>
              <w:jc w:val="right"/>
              <w:ind w:right="458"/>
              <w:spacing w:after="0"/>
              <w:rPr>
                <w:sz w:val="20"/>
                <w:szCs w:val="20"/>
                <w:color w:val="auto"/>
              </w:rPr>
            </w:pPr>
            <w:r>
              <w:rPr>
                <w:rFonts w:ascii="Arial" w:cs="Arial" w:eastAsia="Arial" w:hAnsi="Arial"/>
                <w:sz w:val="13"/>
                <w:szCs w:val="13"/>
                <w:color w:val="14202A"/>
              </w:rPr>
              <w:t>279,845</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399,728</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14202A"/>
              </w:rPr>
              <w:t>679,573</w:t>
            </w:r>
          </w:p>
        </w:tc>
        <w:tc>
          <w:tcPr>
            <w:tcW w:w="0" w:type="dxa"/>
            <w:vAlign w:val="bottom"/>
          </w:tcPr>
          <w:p>
            <w:pPr>
              <w:spacing w:after="0"/>
              <w:rPr>
                <w:sz w:val="1"/>
                <w:szCs w:val="1"/>
                <w:color w:val="auto"/>
              </w:rPr>
            </w:pPr>
          </w:p>
        </w:tc>
      </w:tr>
      <w:tr>
        <w:trPr>
          <w:trHeight w:val="41"/>
        </w:trPr>
        <w:tc>
          <w:tcPr>
            <w:tcW w:w="120" w:type="dxa"/>
            <w:vAlign w:val="bottom"/>
            <w:tcBorders>
              <w:bottom w:val="single" w:sz="8" w:color="14202A"/>
            </w:tcBorders>
          </w:tcPr>
          <w:p>
            <w:pPr>
              <w:spacing w:after="0"/>
              <w:rPr>
                <w:sz w:val="3"/>
                <w:szCs w:val="3"/>
                <w:color w:val="auto"/>
              </w:rPr>
            </w:pPr>
          </w:p>
        </w:tc>
        <w:tc>
          <w:tcPr>
            <w:tcW w:w="2340" w:type="dxa"/>
            <w:vAlign w:val="bottom"/>
            <w:tcBorders>
              <w:bottom w:val="single" w:sz="8" w:color="14202A"/>
            </w:tcBorders>
          </w:tcPr>
          <w:p>
            <w:pPr>
              <w:spacing w:after="0"/>
              <w:rPr>
                <w:sz w:val="3"/>
                <w:szCs w:val="3"/>
                <w:color w:val="auto"/>
              </w:rPr>
            </w:pPr>
          </w:p>
        </w:tc>
        <w:tc>
          <w:tcPr>
            <w:tcW w:w="760" w:type="dxa"/>
            <w:vAlign w:val="bottom"/>
            <w:tcBorders>
              <w:bottom w:val="single" w:sz="8" w:color="14202A"/>
            </w:tcBorders>
          </w:tcPr>
          <w:p>
            <w:pPr>
              <w:spacing w:after="0"/>
              <w:rPr>
                <w:sz w:val="3"/>
                <w:szCs w:val="3"/>
                <w:color w:val="auto"/>
              </w:rPr>
            </w:pPr>
          </w:p>
        </w:tc>
        <w:tc>
          <w:tcPr>
            <w:tcW w:w="156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9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20" w:right="240" w:hanging="360"/>
        <w:spacing w:after="0" w:line="233" w:lineRule="auto"/>
        <w:tabs>
          <w:tab w:leader="none" w:pos="720" w:val="left"/>
        </w:tabs>
        <w:numPr>
          <w:ilvl w:val="1"/>
          <w:numId w:val="35"/>
        </w:numPr>
        <w:rPr>
          <w:rFonts w:ascii="Arial" w:cs="Arial" w:eastAsia="Arial" w:hAnsi="Arial"/>
          <w:sz w:val="13"/>
          <w:szCs w:val="13"/>
          <w:color w:val="14202A"/>
        </w:rPr>
      </w:pPr>
      <w:r>
        <w:rPr>
          <w:rFonts w:ascii="Arial" w:cs="Arial" w:eastAsia="Arial" w:hAnsi="Arial"/>
          <w:sz w:val="13"/>
          <w:szCs w:val="13"/>
          <w:color w:val="14202A"/>
        </w:rPr>
        <w:t>These amounts represent restricted stock units granted each computed in accordance with Accounting Standards Codification (“ASC”) 718. The grant date fair value of each of the awards was determined at the closing price of the Company’s shares on the NYSE on the grant date without regard to estimated forfeitures related to service-based vesting conditions.</w:t>
      </w:r>
    </w:p>
    <w:p>
      <w:pPr>
        <w:spacing w:after="0" w:line="23" w:lineRule="exact"/>
        <w:rPr>
          <w:rFonts w:ascii="Arial" w:cs="Arial" w:eastAsia="Arial" w:hAnsi="Arial"/>
          <w:sz w:val="13"/>
          <w:szCs w:val="13"/>
          <w:color w:val="14202A"/>
        </w:rPr>
      </w:pPr>
    </w:p>
    <w:p>
      <w:pPr>
        <w:ind w:left="720" w:right="220" w:hanging="360"/>
        <w:spacing w:after="0" w:line="226" w:lineRule="auto"/>
        <w:tabs>
          <w:tab w:leader="none" w:pos="720" w:val="left"/>
        </w:tabs>
        <w:numPr>
          <w:ilvl w:val="1"/>
          <w:numId w:val="35"/>
        </w:numPr>
        <w:rPr>
          <w:rFonts w:ascii="Arial" w:cs="Arial" w:eastAsia="Arial" w:hAnsi="Arial"/>
          <w:sz w:val="13"/>
          <w:szCs w:val="13"/>
          <w:color w:val="14202A"/>
        </w:rPr>
      </w:pPr>
      <w:r>
        <w:rPr>
          <w:rFonts w:ascii="Arial" w:cs="Arial" w:eastAsia="Arial" w:hAnsi="Arial"/>
          <w:sz w:val="13"/>
          <w:szCs w:val="13"/>
          <w:color w:val="14202A"/>
        </w:rPr>
        <w:t>These amounts represent the grant date fair value computed in accordance with ASC 718 of the LTIP/performance share unit awards. These amounts represent the values that are based on achievement of 100% of the target performance. Assuming achievement of the maximum 200% of target performance, the value of the Fiscal 2026-2028 LTIP awards would have been: $6,100,000 for Mr. Happe; $1,287,502 for Mr. Hughes; $944,026 for Mr. Tubman; and $883,878 for Ms. Bogart. Assumptions used in the calculation of the amounts reported in this column are included in Note 13, Stock-Based Compensation Plans, of the Notes to the Consolidated Financial Statements included in our 2026 Form 10-K.</w:t>
      </w:r>
    </w:p>
    <w:p>
      <w:pPr>
        <w:spacing w:after="0" w:line="25" w:lineRule="exact"/>
        <w:rPr>
          <w:rFonts w:ascii="Arial" w:cs="Arial" w:eastAsia="Arial" w:hAnsi="Arial"/>
          <w:sz w:val="13"/>
          <w:szCs w:val="13"/>
          <w:color w:val="14202A"/>
        </w:rPr>
      </w:pPr>
    </w:p>
    <w:p>
      <w:pPr>
        <w:ind w:left="720" w:right="80" w:hanging="360"/>
        <w:spacing w:after="0" w:line="225" w:lineRule="auto"/>
        <w:tabs>
          <w:tab w:leader="none" w:pos="720" w:val="left"/>
        </w:tabs>
        <w:numPr>
          <w:ilvl w:val="1"/>
          <w:numId w:val="35"/>
        </w:numPr>
        <w:rPr>
          <w:rFonts w:ascii="Arial" w:cs="Arial" w:eastAsia="Arial" w:hAnsi="Arial"/>
          <w:sz w:val="13"/>
          <w:szCs w:val="13"/>
          <w:color w:val="14202A"/>
        </w:rPr>
      </w:pPr>
      <w:r>
        <w:rPr>
          <w:rFonts w:ascii="Arial" w:cs="Arial" w:eastAsia="Arial" w:hAnsi="Arial"/>
          <w:sz w:val="13"/>
          <w:szCs w:val="13"/>
          <w:color w:val="14202A"/>
        </w:rPr>
        <w:t>These amounts represent the grant date fair value computed in accordance with ASC 718 of the Fiscal 2025 performance share unit awards specific to Fiscal 2025 Incentive EPS goals, which awards were not earned. These amounts represent the values that are based on achievement of 100% of the target performance. Assuming achievement of the maximum 200% of target performance, the value of the Fiscal 2025 performance share units would have been: $2,000,050 for Mr. Happe; $750,004 for Mr. Hughes; $537,600 for Mr. Tubman; and $516,172 for Ms. Bogart. Assumptions used in the calculation of the amounts reported in this column are included in Note 13, Stock-Based Compensation Plans, of the Notes to the Consolidated Financial Statements included in our 2025 Form 10-K.</w:t>
      </w:r>
    </w:p>
    <w:p>
      <w:pPr>
        <w:spacing w:after="0" w:line="23" w:lineRule="exact"/>
        <w:rPr>
          <w:rFonts w:ascii="Arial" w:cs="Arial" w:eastAsia="Arial" w:hAnsi="Arial"/>
          <w:sz w:val="13"/>
          <w:szCs w:val="13"/>
          <w:color w:val="14202A"/>
        </w:rPr>
      </w:pPr>
    </w:p>
    <w:p>
      <w:pPr>
        <w:jc w:val="both"/>
        <w:ind w:left="360" w:right="280" w:hanging="360"/>
        <w:spacing w:after="0" w:line="281" w:lineRule="auto"/>
        <w:tabs>
          <w:tab w:leader="none" w:pos="360" w:val="left"/>
        </w:tabs>
        <w:numPr>
          <w:ilvl w:val="0"/>
          <w:numId w:val="36"/>
        </w:numPr>
        <w:rPr>
          <w:rFonts w:ascii="Arial" w:cs="Arial" w:eastAsia="Arial" w:hAnsi="Arial"/>
          <w:sz w:val="12"/>
          <w:szCs w:val="12"/>
          <w:color w:val="14202A"/>
        </w:rPr>
      </w:pPr>
      <w:r>
        <w:rPr>
          <w:rFonts w:ascii="Arial" w:cs="Arial" w:eastAsia="Arial" w:hAnsi="Arial"/>
          <w:sz w:val="12"/>
          <w:szCs w:val="12"/>
          <w:color w:val="14202A"/>
        </w:rPr>
        <w:t>The amounts shown represent the aggregate grant date fair values of the option grants. Assumptions used in the calculation of the amounts reported in this column are included in Note 13, Stock-Based Compensation Plans, of the Notes to the Consolidated Financial Statements included in our 2026 Form 10-K.</w:t>
      </w:r>
    </w:p>
    <w:p>
      <w:pPr>
        <w:ind w:left="360" w:right="340" w:hanging="360"/>
        <w:spacing w:after="0" w:line="233" w:lineRule="auto"/>
        <w:tabs>
          <w:tab w:leader="none" w:pos="360" w:val="left"/>
        </w:tabs>
        <w:numPr>
          <w:ilvl w:val="0"/>
          <w:numId w:val="36"/>
        </w:numPr>
        <w:rPr>
          <w:rFonts w:ascii="Arial" w:cs="Arial" w:eastAsia="Arial" w:hAnsi="Arial"/>
          <w:sz w:val="13"/>
          <w:szCs w:val="13"/>
          <w:color w:val="14202A"/>
        </w:rPr>
      </w:pPr>
      <w:r>
        <w:rPr>
          <w:rFonts w:ascii="Arial" w:cs="Arial" w:eastAsia="Arial" w:hAnsi="Arial"/>
          <w:sz w:val="13"/>
          <w:szCs w:val="13"/>
          <w:color w:val="14202A"/>
        </w:rPr>
        <w:t>These amounts represent actual annual incentive plan award payouts made in cash to NEOs under the Fiscal 2026, 2025, and 2024 OICPs. In the case of Mr. Clark, these amounts do not represent award payouts under such OICPs, but instead represent award payouts under the Grand Design MIP that he participates in.</w:t>
      </w:r>
    </w:p>
    <w:p>
      <w:pPr>
        <w:spacing w:after="0" w:line="23" w:lineRule="exact"/>
        <w:rPr>
          <w:rFonts w:ascii="Arial" w:cs="Arial" w:eastAsia="Arial" w:hAnsi="Arial"/>
          <w:sz w:val="13"/>
          <w:szCs w:val="13"/>
          <w:color w:val="14202A"/>
        </w:rPr>
      </w:pPr>
    </w:p>
    <w:p>
      <w:pPr>
        <w:ind w:left="360" w:hanging="360"/>
        <w:spacing w:after="0"/>
        <w:tabs>
          <w:tab w:leader="none" w:pos="360" w:val="left"/>
        </w:tabs>
        <w:numPr>
          <w:ilvl w:val="0"/>
          <w:numId w:val="36"/>
        </w:numPr>
        <w:rPr>
          <w:rFonts w:ascii="Arial" w:cs="Arial" w:eastAsia="Arial" w:hAnsi="Arial"/>
          <w:sz w:val="13"/>
          <w:szCs w:val="13"/>
          <w:color w:val="14202A"/>
        </w:rPr>
      </w:pPr>
      <w:r>
        <w:rPr>
          <w:rFonts w:ascii="Arial" w:cs="Arial" w:eastAsia="Arial" w:hAnsi="Arial"/>
          <w:sz w:val="13"/>
          <w:szCs w:val="13"/>
          <w:color w:val="14202A"/>
        </w:rPr>
        <w:t>Amounts reported in this column for Fiscal 2026 include the following:</w:t>
      </w:r>
    </w:p>
    <w:p>
      <w:pPr>
        <w:spacing w:after="0" w:line="152"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120" w:type="dxa"/>
            <w:vAlign w:val="bottom"/>
            <w:shd w:val="clear" w:color="auto" w:fill="14202A"/>
          </w:tcPr>
          <w:p>
            <w:pPr>
              <w:spacing w:after="0"/>
              <w:rPr>
                <w:sz w:val="19"/>
                <w:szCs w:val="19"/>
                <w:color w:val="auto"/>
              </w:rPr>
            </w:pPr>
          </w:p>
        </w:tc>
        <w:tc>
          <w:tcPr>
            <w:tcW w:w="2060" w:type="dxa"/>
            <w:vAlign w:val="bottom"/>
            <w:shd w:val="clear" w:color="auto" w:fill="14202A"/>
          </w:tcPr>
          <w:p>
            <w:pPr>
              <w:spacing w:after="0"/>
              <w:rPr>
                <w:sz w:val="19"/>
                <w:szCs w:val="19"/>
                <w:color w:val="auto"/>
              </w:rPr>
            </w:pPr>
          </w:p>
        </w:tc>
        <w:tc>
          <w:tcPr>
            <w:tcW w:w="1620" w:type="dxa"/>
            <w:vAlign w:val="bottom"/>
            <w:vMerge w:val="restart"/>
            <w:shd w:val="clear" w:color="auto" w:fill="14202A"/>
          </w:tcPr>
          <w:p>
            <w:pPr>
              <w:jc w:val="center"/>
              <w:ind w:left="632"/>
              <w:spacing w:after="0"/>
              <w:rPr>
                <w:sz w:val="20"/>
                <w:szCs w:val="20"/>
                <w:color w:val="auto"/>
              </w:rPr>
            </w:pPr>
            <w:r>
              <w:rPr>
                <w:rFonts w:ascii="Arial" w:cs="Arial" w:eastAsia="Arial" w:hAnsi="Arial"/>
                <w:sz w:val="13"/>
                <w:szCs w:val="13"/>
                <w:b w:val="1"/>
                <w:bCs w:val="1"/>
                <w:color w:val="FFFFFF"/>
                <w:w w:val="97"/>
              </w:rPr>
              <w:t>Tax and</w:t>
            </w:r>
          </w:p>
        </w:tc>
        <w:tc>
          <w:tcPr>
            <w:tcW w:w="980" w:type="dxa"/>
            <w:vAlign w:val="bottom"/>
            <w:shd w:val="clear" w:color="auto" w:fill="14202A"/>
          </w:tcPr>
          <w:p>
            <w:pPr>
              <w:spacing w:after="0"/>
              <w:rPr>
                <w:sz w:val="19"/>
                <w:szCs w:val="19"/>
                <w:color w:val="auto"/>
              </w:rPr>
            </w:pPr>
          </w:p>
        </w:tc>
        <w:tc>
          <w:tcPr>
            <w:tcW w:w="10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Life</w:t>
            </w:r>
          </w:p>
        </w:tc>
        <w:tc>
          <w:tcPr>
            <w:tcW w:w="680" w:type="dxa"/>
            <w:vAlign w:val="bottom"/>
            <w:shd w:val="clear" w:color="auto" w:fill="14202A"/>
          </w:tcPr>
          <w:p>
            <w:pPr>
              <w:spacing w:after="0"/>
              <w:rPr>
                <w:sz w:val="19"/>
                <w:szCs w:val="19"/>
                <w:color w:val="auto"/>
              </w:rPr>
            </w:pPr>
          </w:p>
        </w:tc>
        <w:tc>
          <w:tcPr>
            <w:tcW w:w="1180" w:type="dxa"/>
            <w:vAlign w:val="bottom"/>
            <w:shd w:val="clear" w:color="auto" w:fill="14202A"/>
          </w:tcPr>
          <w:p>
            <w:pPr>
              <w:spacing w:after="0"/>
              <w:rPr>
                <w:sz w:val="19"/>
                <w:szCs w:val="19"/>
                <w:color w:val="auto"/>
              </w:rPr>
            </w:pPr>
          </w:p>
        </w:tc>
        <w:tc>
          <w:tcPr>
            <w:tcW w:w="12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Total All</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2060" w:type="dxa"/>
            <w:vAlign w:val="bottom"/>
            <w:shd w:val="clear" w:color="auto" w:fill="14202A"/>
          </w:tcPr>
          <w:p>
            <w:pPr>
              <w:spacing w:after="0"/>
              <w:rPr>
                <w:sz w:val="11"/>
                <w:szCs w:val="11"/>
                <w:color w:val="auto"/>
              </w:rPr>
            </w:pPr>
          </w:p>
        </w:tc>
        <w:tc>
          <w:tcPr>
            <w:tcW w:w="1620" w:type="dxa"/>
            <w:vAlign w:val="bottom"/>
            <w:vMerge w:val="continue"/>
            <w:shd w:val="clear" w:color="auto" w:fill="14202A"/>
          </w:tcPr>
          <w:p>
            <w:pPr>
              <w:spacing w:after="0"/>
              <w:rPr>
                <w:sz w:val="11"/>
                <w:szCs w:val="11"/>
                <w:color w:val="auto"/>
              </w:rPr>
            </w:pPr>
          </w:p>
        </w:tc>
        <w:tc>
          <w:tcPr>
            <w:tcW w:w="9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rPr>
              <w:t>Car</w:t>
            </w:r>
          </w:p>
        </w:tc>
        <w:tc>
          <w:tcPr>
            <w:tcW w:w="10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Insurance</w:t>
            </w:r>
          </w:p>
        </w:tc>
        <w:tc>
          <w:tcPr>
            <w:tcW w:w="680" w:type="dxa"/>
            <w:vAlign w:val="bottom"/>
            <w:shd w:val="clear" w:color="auto" w:fill="14202A"/>
          </w:tcPr>
          <w:p>
            <w:pPr>
              <w:spacing w:after="0"/>
              <w:rPr>
                <w:sz w:val="11"/>
                <w:szCs w:val="11"/>
                <w:color w:val="auto"/>
              </w:rPr>
            </w:pPr>
          </w:p>
        </w:tc>
        <w:tc>
          <w:tcPr>
            <w:tcW w:w="1180" w:type="dxa"/>
            <w:vAlign w:val="bottom"/>
            <w:shd w:val="clear" w:color="auto" w:fill="14202A"/>
          </w:tcPr>
          <w:p>
            <w:pPr>
              <w:spacing w:after="0"/>
              <w:rPr>
                <w:sz w:val="11"/>
                <w:szCs w:val="11"/>
                <w:color w:val="auto"/>
              </w:rPr>
            </w:pPr>
          </w:p>
        </w:tc>
        <w:tc>
          <w:tcPr>
            <w:tcW w:w="1260" w:type="dxa"/>
            <w:vAlign w:val="bottom"/>
            <w:vMerge w:val="continue"/>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2060" w:type="dxa"/>
            <w:vAlign w:val="bottom"/>
            <w:shd w:val="clear" w:color="auto" w:fill="14202A"/>
          </w:tcPr>
          <w:p>
            <w:pPr>
              <w:spacing w:after="0"/>
              <w:rPr>
                <w:sz w:val="11"/>
                <w:szCs w:val="11"/>
                <w:color w:val="auto"/>
              </w:rPr>
            </w:pPr>
          </w:p>
        </w:tc>
        <w:tc>
          <w:tcPr>
            <w:tcW w:w="1620" w:type="dxa"/>
            <w:vAlign w:val="bottom"/>
            <w:shd w:val="clear" w:color="auto" w:fill="14202A"/>
          </w:tcPr>
          <w:p>
            <w:pPr>
              <w:jc w:val="center"/>
              <w:ind w:left="632"/>
              <w:spacing w:after="0" w:line="135" w:lineRule="exact"/>
              <w:rPr>
                <w:sz w:val="20"/>
                <w:szCs w:val="20"/>
                <w:color w:val="auto"/>
              </w:rPr>
            </w:pPr>
            <w:r>
              <w:rPr>
                <w:rFonts w:ascii="Arial" w:cs="Arial" w:eastAsia="Arial" w:hAnsi="Arial"/>
                <w:sz w:val="13"/>
                <w:szCs w:val="13"/>
                <w:b w:val="1"/>
                <w:bCs w:val="1"/>
                <w:color w:val="FFFFFF"/>
                <w:w w:val="99"/>
              </w:rPr>
              <w:t>Financial</w:t>
            </w:r>
          </w:p>
        </w:tc>
        <w:tc>
          <w:tcPr>
            <w:tcW w:w="980" w:type="dxa"/>
            <w:vAlign w:val="bottom"/>
            <w:vMerge w:val="continue"/>
            <w:shd w:val="clear" w:color="auto" w:fill="14202A"/>
          </w:tcPr>
          <w:p>
            <w:pPr>
              <w:spacing w:after="0"/>
              <w:rPr>
                <w:sz w:val="11"/>
                <w:szCs w:val="11"/>
                <w:color w:val="auto"/>
              </w:rPr>
            </w:pPr>
          </w:p>
        </w:tc>
        <w:tc>
          <w:tcPr>
            <w:tcW w:w="10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8"/>
              </w:rPr>
              <w:t>Premiums</w:t>
            </w:r>
          </w:p>
        </w:tc>
        <w:tc>
          <w:tcPr>
            <w:tcW w:w="680" w:type="dxa"/>
            <w:vAlign w:val="bottom"/>
            <w:vMerge w:val="restart"/>
            <w:shd w:val="clear" w:color="auto" w:fill="14202A"/>
          </w:tcPr>
          <w:p>
            <w:pPr>
              <w:jc w:val="right"/>
              <w:ind w:right="111"/>
              <w:spacing w:after="0"/>
              <w:rPr>
                <w:sz w:val="20"/>
                <w:szCs w:val="20"/>
                <w:color w:val="auto"/>
              </w:rPr>
            </w:pPr>
            <w:r>
              <w:rPr>
                <w:rFonts w:ascii="Arial" w:cs="Arial" w:eastAsia="Arial" w:hAnsi="Arial"/>
                <w:sz w:val="13"/>
                <w:szCs w:val="13"/>
                <w:b w:val="1"/>
                <w:bCs w:val="1"/>
                <w:color w:val="FFFFFF"/>
              </w:rPr>
              <w:t>Other</w:t>
            </w:r>
          </w:p>
        </w:tc>
        <w:tc>
          <w:tcPr>
            <w:tcW w:w="11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401(K) Match</w:t>
            </w:r>
          </w:p>
        </w:tc>
        <w:tc>
          <w:tcPr>
            <w:tcW w:w="12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Other</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206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Name</w:t>
            </w:r>
          </w:p>
        </w:tc>
        <w:tc>
          <w:tcPr>
            <w:tcW w:w="1620" w:type="dxa"/>
            <w:vAlign w:val="bottom"/>
            <w:shd w:val="clear" w:color="auto" w:fill="14202A"/>
          </w:tcPr>
          <w:p>
            <w:pPr>
              <w:jc w:val="center"/>
              <w:ind w:left="632"/>
              <w:spacing w:after="0" w:line="135" w:lineRule="exact"/>
              <w:rPr>
                <w:sz w:val="20"/>
                <w:szCs w:val="20"/>
                <w:color w:val="auto"/>
              </w:rPr>
            </w:pPr>
            <w:r>
              <w:rPr>
                <w:rFonts w:ascii="Arial" w:cs="Arial" w:eastAsia="Arial" w:hAnsi="Arial"/>
                <w:sz w:val="13"/>
                <w:szCs w:val="13"/>
                <w:b w:val="1"/>
                <w:bCs w:val="1"/>
                <w:color w:val="FFFFFF"/>
                <w:w w:val="94"/>
              </w:rPr>
              <w:t>Planning</w:t>
            </w:r>
          </w:p>
        </w:tc>
        <w:tc>
          <w:tcPr>
            <w:tcW w:w="9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Allowance</w:t>
            </w:r>
          </w:p>
        </w:tc>
        <w:tc>
          <w:tcPr>
            <w:tcW w:w="10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STD &amp; LTD</w:t>
            </w:r>
          </w:p>
        </w:tc>
        <w:tc>
          <w:tcPr>
            <w:tcW w:w="680" w:type="dxa"/>
            <w:vAlign w:val="bottom"/>
            <w:vMerge w:val="continue"/>
            <w:shd w:val="clear" w:color="auto" w:fill="14202A"/>
          </w:tcPr>
          <w:p>
            <w:pPr>
              <w:spacing w:after="0"/>
              <w:rPr>
                <w:sz w:val="11"/>
                <w:szCs w:val="11"/>
                <w:color w:val="auto"/>
              </w:rPr>
            </w:pPr>
          </w:p>
        </w:tc>
        <w:tc>
          <w:tcPr>
            <w:tcW w:w="1180" w:type="dxa"/>
            <w:vAlign w:val="bottom"/>
            <w:vMerge w:val="continue"/>
            <w:shd w:val="clear" w:color="auto" w:fill="14202A"/>
          </w:tcPr>
          <w:p>
            <w:pPr>
              <w:spacing w:after="0"/>
              <w:rPr>
                <w:sz w:val="11"/>
                <w:szCs w:val="11"/>
                <w:color w:val="auto"/>
              </w:rPr>
            </w:pPr>
          </w:p>
        </w:tc>
        <w:tc>
          <w:tcPr>
            <w:tcW w:w="12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Compensation</w:t>
            </w:r>
          </w:p>
        </w:tc>
        <w:tc>
          <w:tcPr>
            <w:tcW w:w="0" w:type="dxa"/>
            <w:vAlign w:val="bottom"/>
          </w:tcPr>
          <w:p>
            <w:pPr>
              <w:spacing w:after="0"/>
              <w:rPr>
                <w:sz w:val="1"/>
                <w:szCs w:val="1"/>
                <w:color w:val="auto"/>
              </w:rPr>
            </w:pPr>
          </w:p>
        </w:tc>
      </w:tr>
      <w:tr>
        <w:trPr>
          <w:trHeight w:val="200"/>
        </w:trPr>
        <w:tc>
          <w:tcPr>
            <w:tcW w:w="120" w:type="dxa"/>
            <w:vAlign w:val="bottom"/>
            <w:tcBorders>
              <w:bottom w:val="single" w:sz="8" w:color="14202A"/>
            </w:tcBorders>
            <w:shd w:val="clear" w:color="auto" w:fill="14202A"/>
          </w:tcPr>
          <w:p>
            <w:pPr>
              <w:spacing w:after="0"/>
              <w:rPr>
                <w:sz w:val="17"/>
                <w:szCs w:val="17"/>
                <w:color w:val="auto"/>
              </w:rPr>
            </w:pPr>
          </w:p>
        </w:tc>
        <w:tc>
          <w:tcPr>
            <w:tcW w:w="2060" w:type="dxa"/>
            <w:vAlign w:val="bottom"/>
            <w:tcBorders>
              <w:bottom w:val="single" w:sz="8" w:color="14202A"/>
            </w:tcBorders>
            <w:vMerge w:val="continue"/>
            <w:shd w:val="clear" w:color="auto" w:fill="14202A"/>
          </w:tcPr>
          <w:p>
            <w:pPr>
              <w:spacing w:after="0"/>
              <w:rPr>
                <w:sz w:val="17"/>
                <w:szCs w:val="17"/>
                <w:color w:val="auto"/>
              </w:rPr>
            </w:pPr>
          </w:p>
        </w:tc>
        <w:tc>
          <w:tcPr>
            <w:tcW w:w="1620" w:type="dxa"/>
            <w:vAlign w:val="bottom"/>
            <w:tcBorders>
              <w:bottom w:val="single" w:sz="8" w:color="14202A"/>
            </w:tcBorders>
            <w:shd w:val="clear" w:color="auto" w:fill="14202A"/>
          </w:tcPr>
          <w:p>
            <w:pPr>
              <w:jc w:val="center"/>
              <w:ind w:left="632"/>
              <w:spacing w:after="0"/>
              <w:rPr>
                <w:sz w:val="20"/>
                <w:szCs w:val="20"/>
                <w:color w:val="auto"/>
              </w:rPr>
            </w:pPr>
            <w:r>
              <w:rPr>
                <w:rFonts w:ascii="Arial" w:cs="Arial" w:eastAsia="Arial" w:hAnsi="Arial"/>
                <w:sz w:val="13"/>
                <w:szCs w:val="13"/>
                <w:b w:val="1"/>
                <w:bCs w:val="1"/>
                <w:color w:val="FFFFFF"/>
              </w:rPr>
              <w:t>($)</w:t>
            </w:r>
          </w:p>
        </w:tc>
        <w:tc>
          <w:tcPr>
            <w:tcW w:w="98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02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680" w:type="dxa"/>
            <w:vAlign w:val="bottom"/>
            <w:tcBorders>
              <w:bottom w:val="single" w:sz="8" w:color="14202A"/>
            </w:tcBorders>
            <w:shd w:val="clear" w:color="auto" w:fill="14202A"/>
          </w:tcPr>
          <w:p>
            <w:pPr>
              <w:jc w:val="right"/>
              <w:ind w:right="191"/>
              <w:spacing w:after="0"/>
              <w:rPr>
                <w:sz w:val="20"/>
                <w:szCs w:val="20"/>
                <w:color w:val="auto"/>
              </w:rPr>
            </w:pPr>
            <w:r>
              <w:rPr>
                <w:rFonts w:ascii="Arial" w:cs="Arial" w:eastAsia="Arial" w:hAnsi="Arial"/>
                <w:sz w:val="13"/>
                <w:szCs w:val="13"/>
                <w:b w:val="1"/>
                <w:bCs w:val="1"/>
                <w:color w:val="FFFFFF"/>
              </w:rPr>
              <w:t>($)</w:t>
            </w:r>
          </w:p>
        </w:tc>
        <w:tc>
          <w:tcPr>
            <w:tcW w:w="118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26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235"/>
        </w:trPr>
        <w:tc>
          <w:tcPr>
            <w:tcW w:w="120" w:type="dxa"/>
            <w:vAlign w:val="bottom"/>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14202A"/>
              </w:rPr>
              <w:t>Michael J. Happe</w:t>
            </w:r>
          </w:p>
        </w:tc>
        <w:tc>
          <w:tcPr>
            <w:tcW w:w="1620" w:type="dxa"/>
            <w:vAlign w:val="bottom"/>
          </w:tcPr>
          <w:p>
            <w:pPr>
              <w:jc w:val="right"/>
              <w:ind w:right="232"/>
              <w:spacing w:after="0"/>
              <w:rPr>
                <w:sz w:val="20"/>
                <w:szCs w:val="20"/>
                <w:color w:val="auto"/>
              </w:rPr>
            </w:pPr>
            <w:r>
              <w:rPr>
                <w:rFonts w:ascii="Arial" w:cs="Arial" w:eastAsia="Arial" w:hAnsi="Arial"/>
                <w:sz w:val="14"/>
                <w:szCs w:val="14"/>
                <w:color w:val="14202A"/>
              </w:rPr>
              <w:t>7,800</w:t>
            </w:r>
          </w:p>
        </w:tc>
        <w:tc>
          <w:tcPr>
            <w:tcW w:w="980" w:type="dxa"/>
            <w:vAlign w:val="bottom"/>
          </w:tcPr>
          <w:p>
            <w:pPr>
              <w:jc w:val="right"/>
              <w:ind w:right="211"/>
              <w:spacing w:after="0"/>
              <w:rPr>
                <w:sz w:val="20"/>
                <w:szCs w:val="20"/>
                <w:color w:val="auto"/>
              </w:rPr>
            </w:pPr>
            <w:r>
              <w:rPr>
                <w:rFonts w:ascii="Arial" w:cs="Arial" w:eastAsia="Arial" w:hAnsi="Arial"/>
                <w:sz w:val="14"/>
                <w:szCs w:val="14"/>
                <w:color w:val="14202A"/>
              </w:rPr>
              <w:t>18,004</w:t>
            </w:r>
          </w:p>
        </w:tc>
        <w:tc>
          <w:tcPr>
            <w:tcW w:w="1020" w:type="dxa"/>
            <w:vAlign w:val="bottom"/>
          </w:tcPr>
          <w:p>
            <w:pPr>
              <w:jc w:val="right"/>
              <w:ind w:right="253"/>
              <w:spacing w:after="0"/>
              <w:rPr>
                <w:sz w:val="20"/>
                <w:szCs w:val="20"/>
                <w:color w:val="auto"/>
              </w:rPr>
            </w:pPr>
            <w:r>
              <w:rPr>
                <w:rFonts w:ascii="Arial" w:cs="Arial" w:eastAsia="Arial" w:hAnsi="Arial"/>
                <w:sz w:val="14"/>
                <w:szCs w:val="14"/>
                <w:color w:val="14202A"/>
              </w:rPr>
              <w:t>707</w:t>
            </w:r>
          </w:p>
        </w:tc>
        <w:tc>
          <w:tcPr>
            <w:tcW w:w="680" w:type="dxa"/>
            <w:vAlign w:val="bottom"/>
          </w:tcPr>
          <w:p>
            <w:pPr>
              <w:jc w:val="right"/>
              <w:ind w:right="191"/>
              <w:spacing w:after="0"/>
              <w:rPr>
                <w:sz w:val="20"/>
                <w:szCs w:val="20"/>
                <w:color w:val="auto"/>
              </w:rPr>
            </w:pPr>
            <w:r>
              <w:rPr>
                <w:rFonts w:ascii="Arial" w:cs="Arial" w:eastAsia="Arial" w:hAnsi="Arial"/>
                <w:sz w:val="14"/>
                <w:szCs w:val="14"/>
                <w:color w:val="14202A"/>
              </w:rPr>
              <w:t>—</w:t>
            </w:r>
          </w:p>
        </w:tc>
        <w:tc>
          <w:tcPr>
            <w:tcW w:w="1180" w:type="dxa"/>
            <w:vAlign w:val="bottom"/>
          </w:tcPr>
          <w:p>
            <w:pPr>
              <w:jc w:val="center"/>
              <w:spacing w:after="0"/>
              <w:rPr>
                <w:sz w:val="20"/>
                <w:szCs w:val="20"/>
                <w:color w:val="auto"/>
              </w:rPr>
            </w:pPr>
            <w:r>
              <w:rPr>
                <w:rFonts w:ascii="Arial" w:cs="Arial" w:eastAsia="Arial" w:hAnsi="Arial"/>
                <w:sz w:val="14"/>
                <w:szCs w:val="14"/>
                <w:color w:val="14202A"/>
              </w:rPr>
              <w:t>14,400</w:t>
            </w:r>
          </w:p>
        </w:tc>
        <w:tc>
          <w:tcPr>
            <w:tcW w:w="1260" w:type="dxa"/>
            <w:vAlign w:val="bottom"/>
          </w:tcPr>
          <w:p>
            <w:pPr>
              <w:ind w:left="400"/>
              <w:spacing w:after="0"/>
              <w:rPr>
                <w:sz w:val="20"/>
                <w:szCs w:val="20"/>
                <w:color w:val="auto"/>
              </w:rPr>
            </w:pPr>
            <w:r>
              <w:rPr>
                <w:rFonts w:ascii="Arial" w:cs="Arial" w:eastAsia="Arial" w:hAnsi="Arial"/>
                <w:sz w:val="14"/>
                <w:szCs w:val="14"/>
                <w:color w:val="14202A"/>
              </w:rPr>
              <w:t>40,911</w:t>
            </w:r>
          </w:p>
        </w:tc>
        <w:tc>
          <w:tcPr>
            <w:tcW w:w="0" w:type="dxa"/>
            <w:vAlign w:val="bottom"/>
          </w:tcPr>
          <w:p>
            <w:pPr>
              <w:spacing w:after="0"/>
              <w:rPr>
                <w:sz w:val="1"/>
                <w:szCs w:val="1"/>
                <w:color w:val="auto"/>
              </w:rPr>
            </w:pPr>
          </w:p>
        </w:tc>
      </w:tr>
      <w:tr>
        <w:trPr>
          <w:trHeight w:val="35"/>
        </w:trPr>
        <w:tc>
          <w:tcPr>
            <w:tcW w:w="120" w:type="dxa"/>
            <w:vAlign w:val="bottom"/>
            <w:tcBorders>
              <w:bottom w:val="single" w:sz="8" w:color="14202A"/>
            </w:tcBorders>
          </w:tcPr>
          <w:p>
            <w:pPr>
              <w:spacing w:after="0"/>
              <w:rPr>
                <w:sz w:val="3"/>
                <w:szCs w:val="3"/>
                <w:color w:val="auto"/>
              </w:rPr>
            </w:pPr>
          </w:p>
        </w:tc>
        <w:tc>
          <w:tcPr>
            <w:tcW w:w="206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980" w:type="dxa"/>
            <w:vAlign w:val="bottom"/>
            <w:tcBorders>
              <w:bottom w:val="single" w:sz="8" w:color="14202A"/>
            </w:tcBorders>
          </w:tcPr>
          <w:p>
            <w:pPr>
              <w:spacing w:after="0"/>
              <w:rPr>
                <w:sz w:val="3"/>
                <w:szCs w:val="3"/>
                <w:color w:val="auto"/>
              </w:rPr>
            </w:pPr>
          </w:p>
        </w:tc>
        <w:tc>
          <w:tcPr>
            <w:tcW w:w="1020" w:type="dxa"/>
            <w:vAlign w:val="bottom"/>
            <w:tcBorders>
              <w:bottom w:val="single" w:sz="8" w:color="14202A"/>
            </w:tcBorders>
          </w:tcPr>
          <w:p>
            <w:pPr>
              <w:spacing w:after="0"/>
              <w:rPr>
                <w:sz w:val="3"/>
                <w:szCs w:val="3"/>
                <w:color w:val="auto"/>
              </w:rPr>
            </w:pPr>
          </w:p>
        </w:tc>
        <w:tc>
          <w:tcPr>
            <w:tcW w:w="680" w:type="dxa"/>
            <w:vAlign w:val="bottom"/>
            <w:tcBorders>
              <w:bottom w:val="single" w:sz="8" w:color="14202A"/>
            </w:tcBorders>
          </w:tcPr>
          <w:p>
            <w:pPr>
              <w:spacing w:after="0"/>
              <w:rPr>
                <w:sz w:val="3"/>
                <w:szCs w:val="3"/>
                <w:color w:val="auto"/>
              </w:rPr>
            </w:pPr>
          </w:p>
        </w:tc>
        <w:tc>
          <w:tcPr>
            <w:tcW w:w="1180" w:type="dxa"/>
            <w:vAlign w:val="bottom"/>
            <w:tcBorders>
              <w:bottom w:val="single" w:sz="8" w:color="14202A"/>
            </w:tcBorders>
          </w:tcPr>
          <w:p>
            <w:pPr>
              <w:spacing w:after="0"/>
              <w:rPr>
                <w:sz w:val="3"/>
                <w:szCs w:val="3"/>
                <w:color w:val="auto"/>
              </w:rPr>
            </w:pPr>
          </w:p>
        </w:tc>
        <w:tc>
          <w:tcPr>
            <w:tcW w:w="126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20" w:type="dxa"/>
            <w:vAlign w:val="bottom"/>
            <w:tcBorders>
              <w:bottom w:val="single" w:sz="8" w:color="14202A"/>
            </w:tcBorders>
          </w:tcPr>
          <w:p>
            <w:pPr>
              <w:spacing w:after="0"/>
              <w:rPr>
                <w:sz w:val="24"/>
                <w:szCs w:val="24"/>
                <w:color w:val="auto"/>
              </w:rPr>
            </w:pPr>
          </w:p>
        </w:tc>
        <w:tc>
          <w:tcPr>
            <w:tcW w:w="2060" w:type="dxa"/>
            <w:vAlign w:val="bottom"/>
            <w:tcBorders>
              <w:bottom w:val="single" w:sz="8" w:color="14202A"/>
            </w:tcBorders>
          </w:tcPr>
          <w:p>
            <w:pPr>
              <w:ind w:left="40"/>
              <w:spacing w:after="0"/>
              <w:rPr>
                <w:sz w:val="20"/>
                <w:szCs w:val="20"/>
                <w:color w:val="auto"/>
              </w:rPr>
            </w:pPr>
            <w:r>
              <w:rPr>
                <w:rFonts w:ascii="Arial" w:cs="Arial" w:eastAsia="Arial" w:hAnsi="Arial"/>
                <w:sz w:val="14"/>
                <w:szCs w:val="14"/>
                <w:color w:val="14202A"/>
              </w:rPr>
              <w:t>Bryan L. Hughes</w:t>
            </w:r>
          </w:p>
        </w:tc>
        <w:tc>
          <w:tcPr>
            <w:tcW w:w="1620" w:type="dxa"/>
            <w:vAlign w:val="bottom"/>
            <w:tcBorders>
              <w:bottom w:val="single" w:sz="8" w:color="14202A"/>
            </w:tcBorders>
          </w:tcPr>
          <w:p>
            <w:pPr>
              <w:jc w:val="right"/>
              <w:ind w:right="232"/>
              <w:spacing w:after="0"/>
              <w:rPr>
                <w:sz w:val="20"/>
                <w:szCs w:val="20"/>
                <w:color w:val="auto"/>
              </w:rPr>
            </w:pPr>
            <w:r>
              <w:rPr>
                <w:rFonts w:ascii="Arial" w:cs="Arial" w:eastAsia="Arial" w:hAnsi="Arial"/>
                <w:sz w:val="14"/>
                <w:szCs w:val="14"/>
                <w:color w:val="14202A"/>
              </w:rPr>
              <w:t>7,800</w:t>
            </w:r>
          </w:p>
        </w:tc>
        <w:tc>
          <w:tcPr>
            <w:tcW w:w="980" w:type="dxa"/>
            <w:vAlign w:val="bottom"/>
            <w:tcBorders>
              <w:bottom w:val="single" w:sz="8" w:color="14202A"/>
            </w:tcBorders>
          </w:tcPr>
          <w:p>
            <w:pPr>
              <w:jc w:val="right"/>
              <w:ind w:right="211"/>
              <w:spacing w:after="0"/>
              <w:rPr>
                <w:sz w:val="20"/>
                <w:szCs w:val="20"/>
                <w:color w:val="auto"/>
              </w:rPr>
            </w:pPr>
            <w:r>
              <w:rPr>
                <w:rFonts w:ascii="Arial" w:cs="Arial" w:eastAsia="Arial" w:hAnsi="Arial"/>
                <w:sz w:val="14"/>
                <w:szCs w:val="14"/>
                <w:color w:val="14202A"/>
              </w:rPr>
              <w:t>18,004</w:t>
            </w:r>
          </w:p>
        </w:tc>
        <w:tc>
          <w:tcPr>
            <w:tcW w:w="1020" w:type="dxa"/>
            <w:vAlign w:val="bottom"/>
            <w:tcBorders>
              <w:bottom w:val="single" w:sz="8" w:color="14202A"/>
            </w:tcBorders>
          </w:tcPr>
          <w:p>
            <w:pPr>
              <w:jc w:val="right"/>
              <w:ind w:right="253"/>
              <w:spacing w:after="0"/>
              <w:rPr>
                <w:sz w:val="20"/>
                <w:szCs w:val="20"/>
                <w:color w:val="auto"/>
              </w:rPr>
            </w:pPr>
            <w:r>
              <w:rPr>
                <w:rFonts w:ascii="Arial" w:cs="Arial" w:eastAsia="Arial" w:hAnsi="Arial"/>
                <w:sz w:val="14"/>
                <w:szCs w:val="14"/>
                <w:color w:val="14202A"/>
              </w:rPr>
              <w:t>707</w:t>
            </w:r>
          </w:p>
        </w:tc>
        <w:tc>
          <w:tcPr>
            <w:tcW w:w="680" w:type="dxa"/>
            <w:vAlign w:val="bottom"/>
            <w:tcBorders>
              <w:bottom w:val="single" w:sz="8" w:color="14202A"/>
            </w:tcBorders>
          </w:tcPr>
          <w:p>
            <w:pPr>
              <w:jc w:val="right"/>
              <w:ind w:right="191"/>
              <w:spacing w:after="0"/>
              <w:rPr>
                <w:sz w:val="20"/>
                <w:szCs w:val="20"/>
                <w:color w:val="auto"/>
              </w:rPr>
            </w:pPr>
            <w:r>
              <w:rPr>
                <w:rFonts w:ascii="Arial" w:cs="Arial" w:eastAsia="Arial" w:hAnsi="Arial"/>
                <w:sz w:val="14"/>
                <w:szCs w:val="14"/>
                <w:color w:val="14202A"/>
              </w:rPr>
              <w:t>—</w:t>
            </w:r>
          </w:p>
        </w:tc>
        <w:tc>
          <w:tcPr>
            <w:tcW w:w="118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rPr>
              <w:t>14,400</w:t>
            </w:r>
          </w:p>
        </w:tc>
        <w:tc>
          <w:tcPr>
            <w:tcW w:w="1260" w:type="dxa"/>
            <w:vAlign w:val="bottom"/>
            <w:tcBorders>
              <w:bottom w:val="single" w:sz="8" w:color="14202A"/>
            </w:tcBorders>
          </w:tcPr>
          <w:p>
            <w:pPr>
              <w:ind w:left="400"/>
              <w:spacing w:after="0"/>
              <w:rPr>
                <w:sz w:val="20"/>
                <w:szCs w:val="20"/>
                <w:color w:val="auto"/>
              </w:rPr>
            </w:pPr>
            <w:r>
              <w:rPr>
                <w:rFonts w:ascii="Arial" w:cs="Arial" w:eastAsia="Arial" w:hAnsi="Arial"/>
                <w:sz w:val="14"/>
                <w:szCs w:val="14"/>
                <w:color w:val="14202A"/>
              </w:rPr>
              <w:t>42,532</w:t>
            </w:r>
            <w:r>
              <w:rPr>
                <w:rFonts w:ascii="Arial" w:cs="Arial" w:eastAsia="Arial" w:hAnsi="Arial"/>
                <w:sz w:val="23"/>
                <w:szCs w:val="23"/>
                <w:color w:val="14202A"/>
                <w:vertAlign w:val="superscript"/>
              </w:rPr>
              <w:t>(a)</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14202A"/>
              </w:rPr>
              <w:t>Donald J. Clark</w:t>
            </w:r>
          </w:p>
        </w:tc>
        <w:tc>
          <w:tcPr>
            <w:tcW w:w="1620" w:type="dxa"/>
            <w:vAlign w:val="bottom"/>
          </w:tcPr>
          <w:p>
            <w:pPr>
              <w:jc w:val="right"/>
              <w:ind w:right="232"/>
              <w:spacing w:after="0"/>
              <w:rPr>
                <w:sz w:val="20"/>
                <w:szCs w:val="20"/>
                <w:color w:val="auto"/>
              </w:rPr>
            </w:pPr>
            <w:r>
              <w:rPr>
                <w:rFonts w:ascii="Arial" w:cs="Arial" w:eastAsia="Arial" w:hAnsi="Arial"/>
                <w:sz w:val="14"/>
                <w:szCs w:val="14"/>
                <w:color w:val="14202A"/>
              </w:rPr>
              <w:t>—</w:t>
            </w:r>
          </w:p>
        </w:tc>
        <w:tc>
          <w:tcPr>
            <w:tcW w:w="980" w:type="dxa"/>
            <w:vAlign w:val="bottom"/>
          </w:tcPr>
          <w:p>
            <w:pPr>
              <w:jc w:val="right"/>
              <w:ind w:right="211"/>
              <w:spacing w:after="0"/>
              <w:rPr>
                <w:sz w:val="20"/>
                <w:szCs w:val="20"/>
                <w:color w:val="auto"/>
              </w:rPr>
            </w:pPr>
            <w:r>
              <w:rPr>
                <w:rFonts w:ascii="Arial" w:cs="Arial" w:eastAsia="Arial" w:hAnsi="Arial"/>
                <w:sz w:val="14"/>
                <w:szCs w:val="14"/>
                <w:color w:val="14202A"/>
              </w:rPr>
              <w:t>—</w:t>
            </w:r>
          </w:p>
        </w:tc>
        <w:tc>
          <w:tcPr>
            <w:tcW w:w="1020" w:type="dxa"/>
            <w:vAlign w:val="bottom"/>
          </w:tcPr>
          <w:p>
            <w:pPr>
              <w:jc w:val="right"/>
              <w:ind w:right="253"/>
              <w:spacing w:after="0"/>
              <w:rPr>
                <w:sz w:val="20"/>
                <w:szCs w:val="20"/>
                <w:color w:val="auto"/>
              </w:rPr>
            </w:pPr>
            <w:r>
              <w:rPr>
                <w:rFonts w:ascii="Arial" w:cs="Arial" w:eastAsia="Arial" w:hAnsi="Arial"/>
                <w:sz w:val="14"/>
                <w:szCs w:val="14"/>
                <w:color w:val="14202A"/>
              </w:rPr>
              <w:t>475</w:t>
            </w:r>
          </w:p>
        </w:tc>
        <w:tc>
          <w:tcPr>
            <w:tcW w:w="680" w:type="dxa"/>
            <w:vAlign w:val="bottom"/>
          </w:tcPr>
          <w:p>
            <w:pPr>
              <w:jc w:val="right"/>
              <w:ind w:right="191"/>
              <w:spacing w:after="0"/>
              <w:rPr>
                <w:sz w:val="20"/>
                <w:szCs w:val="20"/>
                <w:color w:val="auto"/>
              </w:rPr>
            </w:pPr>
            <w:r>
              <w:rPr>
                <w:rFonts w:ascii="Arial" w:cs="Arial" w:eastAsia="Arial" w:hAnsi="Arial"/>
                <w:sz w:val="14"/>
                <w:szCs w:val="14"/>
                <w:color w:val="14202A"/>
              </w:rPr>
              <w:t>—</w:t>
            </w:r>
          </w:p>
        </w:tc>
        <w:tc>
          <w:tcPr>
            <w:tcW w:w="1180" w:type="dxa"/>
            <w:vAlign w:val="bottom"/>
          </w:tcPr>
          <w:p>
            <w:pPr>
              <w:jc w:val="center"/>
              <w:spacing w:after="0"/>
              <w:rPr>
                <w:sz w:val="20"/>
                <w:szCs w:val="20"/>
                <w:color w:val="auto"/>
              </w:rPr>
            </w:pPr>
            <w:r>
              <w:rPr>
                <w:rFonts w:ascii="Arial" w:cs="Arial" w:eastAsia="Arial" w:hAnsi="Arial"/>
                <w:sz w:val="14"/>
                <w:szCs w:val="14"/>
                <w:color w:val="14202A"/>
              </w:rPr>
              <w:t>14,400</w:t>
            </w:r>
          </w:p>
        </w:tc>
        <w:tc>
          <w:tcPr>
            <w:tcW w:w="1260" w:type="dxa"/>
            <w:vAlign w:val="bottom"/>
          </w:tcPr>
          <w:p>
            <w:pPr>
              <w:ind w:left="400"/>
              <w:spacing w:after="0"/>
              <w:rPr>
                <w:sz w:val="20"/>
                <w:szCs w:val="20"/>
                <w:color w:val="auto"/>
              </w:rPr>
            </w:pPr>
            <w:r>
              <w:rPr>
                <w:rFonts w:ascii="Arial" w:cs="Arial" w:eastAsia="Arial" w:hAnsi="Arial"/>
                <w:sz w:val="14"/>
                <w:szCs w:val="14"/>
                <w:color w:val="14202A"/>
              </w:rPr>
              <w:t>14,875</w:t>
            </w:r>
          </w:p>
        </w:tc>
        <w:tc>
          <w:tcPr>
            <w:tcW w:w="0" w:type="dxa"/>
            <w:vAlign w:val="bottom"/>
          </w:tcPr>
          <w:p>
            <w:pPr>
              <w:spacing w:after="0"/>
              <w:rPr>
                <w:sz w:val="1"/>
                <w:szCs w:val="1"/>
                <w:color w:val="auto"/>
              </w:rPr>
            </w:pPr>
          </w:p>
        </w:tc>
      </w:tr>
      <w:tr>
        <w:trPr>
          <w:trHeight w:val="35"/>
        </w:trPr>
        <w:tc>
          <w:tcPr>
            <w:tcW w:w="120" w:type="dxa"/>
            <w:vAlign w:val="bottom"/>
            <w:tcBorders>
              <w:bottom w:val="single" w:sz="8" w:color="14202A"/>
            </w:tcBorders>
          </w:tcPr>
          <w:p>
            <w:pPr>
              <w:spacing w:after="0"/>
              <w:rPr>
                <w:sz w:val="3"/>
                <w:szCs w:val="3"/>
                <w:color w:val="auto"/>
              </w:rPr>
            </w:pPr>
          </w:p>
        </w:tc>
        <w:tc>
          <w:tcPr>
            <w:tcW w:w="206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980" w:type="dxa"/>
            <w:vAlign w:val="bottom"/>
            <w:tcBorders>
              <w:bottom w:val="single" w:sz="8" w:color="14202A"/>
            </w:tcBorders>
          </w:tcPr>
          <w:p>
            <w:pPr>
              <w:spacing w:after="0"/>
              <w:rPr>
                <w:sz w:val="3"/>
                <w:szCs w:val="3"/>
                <w:color w:val="auto"/>
              </w:rPr>
            </w:pPr>
          </w:p>
        </w:tc>
        <w:tc>
          <w:tcPr>
            <w:tcW w:w="1020" w:type="dxa"/>
            <w:vAlign w:val="bottom"/>
            <w:tcBorders>
              <w:bottom w:val="single" w:sz="8" w:color="14202A"/>
            </w:tcBorders>
          </w:tcPr>
          <w:p>
            <w:pPr>
              <w:spacing w:after="0"/>
              <w:rPr>
                <w:sz w:val="3"/>
                <w:szCs w:val="3"/>
                <w:color w:val="auto"/>
              </w:rPr>
            </w:pPr>
          </w:p>
        </w:tc>
        <w:tc>
          <w:tcPr>
            <w:tcW w:w="680" w:type="dxa"/>
            <w:vAlign w:val="bottom"/>
            <w:tcBorders>
              <w:bottom w:val="single" w:sz="8" w:color="14202A"/>
            </w:tcBorders>
          </w:tcPr>
          <w:p>
            <w:pPr>
              <w:spacing w:after="0"/>
              <w:rPr>
                <w:sz w:val="3"/>
                <w:szCs w:val="3"/>
                <w:color w:val="auto"/>
              </w:rPr>
            </w:pPr>
          </w:p>
        </w:tc>
        <w:tc>
          <w:tcPr>
            <w:tcW w:w="1180" w:type="dxa"/>
            <w:vAlign w:val="bottom"/>
            <w:tcBorders>
              <w:bottom w:val="single" w:sz="8" w:color="14202A"/>
            </w:tcBorders>
          </w:tcPr>
          <w:p>
            <w:pPr>
              <w:spacing w:after="0"/>
              <w:rPr>
                <w:sz w:val="3"/>
                <w:szCs w:val="3"/>
                <w:color w:val="auto"/>
              </w:rPr>
            </w:pPr>
          </w:p>
        </w:tc>
        <w:tc>
          <w:tcPr>
            <w:tcW w:w="126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20" w:type="dxa"/>
            <w:vAlign w:val="bottom"/>
            <w:tcBorders>
              <w:bottom w:val="single" w:sz="8" w:color="14202A"/>
            </w:tcBorders>
          </w:tcPr>
          <w:p>
            <w:pPr>
              <w:spacing w:after="0"/>
              <w:rPr>
                <w:sz w:val="24"/>
                <w:szCs w:val="24"/>
                <w:color w:val="auto"/>
              </w:rPr>
            </w:pPr>
          </w:p>
        </w:tc>
        <w:tc>
          <w:tcPr>
            <w:tcW w:w="2060" w:type="dxa"/>
            <w:vAlign w:val="bottom"/>
            <w:tcBorders>
              <w:bottom w:val="single" w:sz="8" w:color="14202A"/>
            </w:tcBorders>
          </w:tcPr>
          <w:p>
            <w:pPr>
              <w:ind w:left="40"/>
              <w:spacing w:after="0"/>
              <w:rPr>
                <w:sz w:val="20"/>
                <w:szCs w:val="20"/>
                <w:color w:val="auto"/>
              </w:rPr>
            </w:pPr>
            <w:r>
              <w:rPr>
                <w:rFonts w:ascii="Arial" w:cs="Arial" w:eastAsia="Arial" w:hAnsi="Arial"/>
                <w:sz w:val="14"/>
                <w:szCs w:val="14"/>
                <w:color w:val="14202A"/>
              </w:rPr>
              <w:t>Casey J. Tubman</w:t>
            </w:r>
          </w:p>
        </w:tc>
        <w:tc>
          <w:tcPr>
            <w:tcW w:w="1620" w:type="dxa"/>
            <w:vAlign w:val="bottom"/>
            <w:tcBorders>
              <w:bottom w:val="single" w:sz="8" w:color="14202A"/>
            </w:tcBorders>
          </w:tcPr>
          <w:p>
            <w:pPr>
              <w:jc w:val="right"/>
              <w:ind w:right="232"/>
              <w:spacing w:after="0"/>
              <w:rPr>
                <w:sz w:val="20"/>
                <w:szCs w:val="20"/>
                <w:color w:val="auto"/>
              </w:rPr>
            </w:pPr>
            <w:r>
              <w:rPr>
                <w:rFonts w:ascii="Arial" w:cs="Arial" w:eastAsia="Arial" w:hAnsi="Arial"/>
                <w:sz w:val="14"/>
                <w:szCs w:val="14"/>
                <w:color w:val="14202A"/>
              </w:rPr>
              <w:t>7,800</w:t>
            </w:r>
          </w:p>
        </w:tc>
        <w:tc>
          <w:tcPr>
            <w:tcW w:w="980" w:type="dxa"/>
            <w:vAlign w:val="bottom"/>
            <w:tcBorders>
              <w:bottom w:val="single" w:sz="8" w:color="14202A"/>
            </w:tcBorders>
          </w:tcPr>
          <w:p>
            <w:pPr>
              <w:jc w:val="right"/>
              <w:ind w:right="211"/>
              <w:spacing w:after="0"/>
              <w:rPr>
                <w:sz w:val="20"/>
                <w:szCs w:val="20"/>
                <w:color w:val="auto"/>
              </w:rPr>
            </w:pPr>
            <w:r>
              <w:rPr>
                <w:rFonts w:ascii="Arial" w:cs="Arial" w:eastAsia="Arial" w:hAnsi="Arial"/>
                <w:sz w:val="14"/>
                <w:szCs w:val="14"/>
                <w:color w:val="14202A"/>
              </w:rPr>
              <w:t>18,000</w:t>
            </w:r>
          </w:p>
        </w:tc>
        <w:tc>
          <w:tcPr>
            <w:tcW w:w="1020" w:type="dxa"/>
            <w:vAlign w:val="bottom"/>
            <w:tcBorders>
              <w:bottom w:val="single" w:sz="8" w:color="14202A"/>
            </w:tcBorders>
          </w:tcPr>
          <w:p>
            <w:pPr>
              <w:jc w:val="right"/>
              <w:ind w:right="253"/>
              <w:spacing w:after="0"/>
              <w:rPr>
                <w:sz w:val="20"/>
                <w:szCs w:val="20"/>
                <w:color w:val="auto"/>
              </w:rPr>
            </w:pPr>
            <w:r>
              <w:rPr>
                <w:rFonts w:ascii="Arial" w:cs="Arial" w:eastAsia="Arial" w:hAnsi="Arial"/>
                <w:sz w:val="14"/>
                <w:szCs w:val="14"/>
                <w:color w:val="14202A"/>
              </w:rPr>
              <w:t>1,483</w:t>
            </w:r>
          </w:p>
        </w:tc>
        <w:tc>
          <w:tcPr>
            <w:tcW w:w="680" w:type="dxa"/>
            <w:vAlign w:val="bottom"/>
            <w:tcBorders>
              <w:bottom w:val="single" w:sz="8" w:color="14202A"/>
            </w:tcBorders>
          </w:tcPr>
          <w:p>
            <w:pPr>
              <w:jc w:val="right"/>
              <w:ind w:right="191"/>
              <w:spacing w:after="0"/>
              <w:rPr>
                <w:sz w:val="20"/>
                <w:szCs w:val="20"/>
                <w:color w:val="auto"/>
              </w:rPr>
            </w:pPr>
            <w:r>
              <w:rPr>
                <w:rFonts w:ascii="Arial" w:cs="Arial" w:eastAsia="Arial" w:hAnsi="Arial"/>
                <w:sz w:val="14"/>
                <w:szCs w:val="14"/>
                <w:color w:val="14202A"/>
              </w:rPr>
              <w:t>—</w:t>
            </w:r>
          </w:p>
        </w:tc>
        <w:tc>
          <w:tcPr>
            <w:tcW w:w="118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rPr>
              <w:t>14,400</w:t>
            </w:r>
          </w:p>
        </w:tc>
        <w:tc>
          <w:tcPr>
            <w:tcW w:w="1260" w:type="dxa"/>
            <w:vAlign w:val="bottom"/>
            <w:tcBorders>
              <w:bottom w:val="single" w:sz="8" w:color="14202A"/>
            </w:tcBorders>
          </w:tcPr>
          <w:p>
            <w:pPr>
              <w:ind w:left="400"/>
              <w:spacing w:after="0"/>
              <w:rPr>
                <w:sz w:val="20"/>
                <w:szCs w:val="20"/>
                <w:color w:val="auto"/>
              </w:rPr>
            </w:pPr>
            <w:r>
              <w:rPr>
                <w:rFonts w:ascii="Arial" w:cs="Arial" w:eastAsia="Arial" w:hAnsi="Arial"/>
                <w:sz w:val="14"/>
                <w:szCs w:val="14"/>
                <w:color w:val="14202A"/>
              </w:rPr>
              <w:t>44,273</w:t>
            </w:r>
            <w:r>
              <w:rPr>
                <w:rFonts w:ascii="Arial" w:cs="Arial" w:eastAsia="Arial" w:hAnsi="Arial"/>
                <w:sz w:val="23"/>
                <w:szCs w:val="23"/>
                <w:color w:val="14202A"/>
                <w:vertAlign w:val="superscript"/>
              </w:rPr>
              <w:t>(a)</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14202A"/>
              </w:rPr>
              <w:t>Stacy L. Bogart</w:t>
            </w:r>
          </w:p>
        </w:tc>
        <w:tc>
          <w:tcPr>
            <w:tcW w:w="1620" w:type="dxa"/>
            <w:vAlign w:val="bottom"/>
          </w:tcPr>
          <w:p>
            <w:pPr>
              <w:jc w:val="right"/>
              <w:ind w:right="232"/>
              <w:spacing w:after="0"/>
              <w:rPr>
                <w:sz w:val="20"/>
                <w:szCs w:val="20"/>
                <w:color w:val="auto"/>
              </w:rPr>
            </w:pPr>
            <w:r>
              <w:rPr>
                <w:rFonts w:ascii="Arial" w:cs="Arial" w:eastAsia="Arial" w:hAnsi="Arial"/>
                <w:sz w:val="14"/>
                <w:szCs w:val="14"/>
                <w:color w:val="14202A"/>
              </w:rPr>
              <w:t>7,800</w:t>
            </w:r>
          </w:p>
        </w:tc>
        <w:tc>
          <w:tcPr>
            <w:tcW w:w="980" w:type="dxa"/>
            <w:vAlign w:val="bottom"/>
          </w:tcPr>
          <w:p>
            <w:pPr>
              <w:jc w:val="right"/>
              <w:ind w:right="211"/>
              <w:spacing w:after="0"/>
              <w:rPr>
                <w:sz w:val="20"/>
                <w:szCs w:val="20"/>
                <w:color w:val="auto"/>
              </w:rPr>
            </w:pPr>
            <w:r>
              <w:rPr>
                <w:rFonts w:ascii="Arial" w:cs="Arial" w:eastAsia="Arial" w:hAnsi="Arial"/>
                <w:sz w:val="14"/>
                <w:szCs w:val="14"/>
                <w:color w:val="14202A"/>
              </w:rPr>
              <w:t>18,004</w:t>
            </w:r>
          </w:p>
        </w:tc>
        <w:tc>
          <w:tcPr>
            <w:tcW w:w="1020" w:type="dxa"/>
            <w:vAlign w:val="bottom"/>
          </w:tcPr>
          <w:p>
            <w:pPr>
              <w:jc w:val="right"/>
              <w:ind w:right="253"/>
              <w:spacing w:after="0"/>
              <w:rPr>
                <w:sz w:val="20"/>
                <w:szCs w:val="20"/>
                <w:color w:val="auto"/>
              </w:rPr>
            </w:pPr>
            <w:r>
              <w:rPr>
                <w:rFonts w:ascii="Arial" w:cs="Arial" w:eastAsia="Arial" w:hAnsi="Arial"/>
                <w:sz w:val="14"/>
                <w:szCs w:val="14"/>
                <w:color w:val="14202A"/>
              </w:rPr>
              <w:t>707</w:t>
            </w:r>
          </w:p>
        </w:tc>
        <w:tc>
          <w:tcPr>
            <w:tcW w:w="680" w:type="dxa"/>
            <w:vAlign w:val="bottom"/>
          </w:tcPr>
          <w:p>
            <w:pPr>
              <w:jc w:val="right"/>
              <w:ind w:right="191"/>
              <w:spacing w:after="0"/>
              <w:rPr>
                <w:sz w:val="20"/>
                <w:szCs w:val="20"/>
                <w:color w:val="auto"/>
              </w:rPr>
            </w:pPr>
            <w:r>
              <w:rPr>
                <w:rFonts w:ascii="Arial" w:cs="Arial" w:eastAsia="Arial" w:hAnsi="Arial"/>
                <w:sz w:val="14"/>
                <w:szCs w:val="14"/>
                <w:color w:val="14202A"/>
              </w:rPr>
              <w:t>—</w:t>
            </w:r>
          </w:p>
        </w:tc>
        <w:tc>
          <w:tcPr>
            <w:tcW w:w="1180" w:type="dxa"/>
            <w:vAlign w:val="bottom"/>
          </w:tcPr>
          <w:p>
            <w:pPr>
              <w:jc w:val="center"/>
              <w:spacing w:after="0"/>
              <w:rPr>
                <w:sz w:val="20"/>
                <w:szCs w:val="20"/>
                <w:color w:val="auto"/>
              </w:rPr>
            </w:pPr>
            <w:r>
              <w:rPr>
                <w:rFonts w:ascii="Arial" w:cs="Arial" w:eastAsia="Arial" w:hAnsi="Arial"/>
                <w:sz w:val="14"/>
                <w:szCs w:val="14"/>
                <w:color w:val="14202A"/>
              </w:rPr>
              <w:t>14,400</w:t>
            </w:r>
          </w:p>
        </w:tc>
        <w:tc>
          <w:tcPr>
            <w:tcW w:w="1260" w:type="dxa"/>
            <w:vAlign w:val="bottom"/>
          </w:tcPr>
          <w:p>
            <w:pPr>
              <w:ind w:left="400"/>
              <w:spacing w:after="0"/>
              <w:rPr>
                <w:sz w:val="20"/>
                <w:szCs w:val="20"/>
                <w:color w:val="auto"/>
              </w:rPr>
            </w:pPr>
            <w:r>
              <w:rPr>
                <w:rFonts w:ascii="Arial" w:cs="Arial" w:eastAsia="Arial" w:hAnsi="Arial"/>
                <w:sz w:val="14"/>
                <w:szCs w:val="14"/>
                <w:color w:val="14202A"/>
              </w:rPr>
              <w:t>40,911</w:t>
            </w:r>
          </w:p>
        </w:tc>
        <w:tc>
          <w:tcPr>
            <w:tcW w:w="0" w:type="dxa"/>
            <w:vAlign w:val="bottom"/>
          </w:tcPr>
          <w:p>
            <w:pPr>
              <w:spacing w:after="0"/>
              <w:rPr>
                <w:sz w:val="1"/>
                <w:szCs w:val="1"/>
                <w:color w:val="auto"/>
              </w:rPr>
            </w:pPr>
          </w:p>
        </w:tc>
      </w:tr>
      <w:tr>
        <w:trPr>
          <w:trHeight w:val="22"/>
        </w:trPr>
        <w:tc>
          <w:tcPr>
            <w:tcW w:w="120" w:type="dxa"/>
            <w:vAlign w:val="bottom"/>
            <w:tcBorders>
              <w:bottom w:val="single" w:sz="8" w:color="14202A"/>
            </w:tcBorders>
          </w:tcPr>
          <w:p>
            <w:pPr>
              <w:spacing w:after="0" w:line="20" w:lineRule="exact"/>
              <w:rPr>
                <w:sz w:val="1"/>
                <w:szCs w:val="1"/>
                <w:color w:val="auto"/>
              </w:rPr>
            </w:pPr>
          </w:p>
        </w:tc>
        <w:tc>
          <w:tcPr>
            <w:tcW w:w="2060" w:type="dxa"/>
            <w:vAlign w:val="bottom"/>
            <w:tcBorders>
              <w:bottom w:val="single" w:sz="8" w:color="14202A"/>
            </w:tcBorders>
          </w:tcPr>
          <w:p>
            <w:pPr>
              <w:spacing w:after="0" w:line="20" w:lineRule="exact"/>
              <w:rPr>
                <w:sz w:val="1"/>
                <w:szCs w:val="1"/>
                <w:color w:val="auto"/>
              </w:rPr>
            </w:pPr>
          </w:p>
        </w:tc>
        <w:tc>
          <w:tcPr>
            <w:tcW w:w="1620" w:type="dxa"/>
            <w:vAlign w:val="bottom"/>
            <w:tcBorders>
              <w:bottom w:val="single" w:sz="8" w:color="14202A"/>
            </w:tcBorders>
          </w:tcPr>
          <w:p>
            <w:pPr>
              <w:spacing w:after="0" w:line="20" w:lineRule="exact"/>
              <w:rPr>
                <w:sz w:val="1"/>
                <w:szCs w:val="1"/>
                <w:color w:val="auto"/>
              </w:rPr>
            </w:pPr>
          </w:p>
        </w:tc>
        <w:tc>
          <w:tcPr>
            <w:tcW w:w="980" w:type="dxa"/>
            <w:vAlign w:val="bottom"/>
            <w:tcBorders>
              <w:bottom w:val="single" w:sz="8" w:color="14202A"/>
            </w:tcBorders>
          </w:tcPr>
          <w:p>
            <w:pPr>
              <w:spacing w:after="0" w:line="20" w:lineRule="exact"/>
              <w:rPr>
                <w:sz w:val="1"/>
                <w:szCs w:val="1"/>
                <w:color w:val="auto"/>
              </w:rPr>
            </w:pPr>
          </w:p>
        </w:tc>
        <w:tc>
          <w:tcPr>
            <w:tcW w:w="1020" w:type="dxa"/>
            <w:vAlign w:val="bottom"/>
            <w:tcBorders>
              <w:bottom w:val="single" w:sz="8" w:color="14202A"/>
            </w:tcBorders>
          </w:tcPr>
          <w:p>
            <w:pPr>
              <w:spacing w:after="0" w:line="20" w:lineRule="exact"/>
              <w:rPr>
                <w:sz w:val="1"/>
                <w:szCs w:val="1"/>
                <w:color w:val="auto"/>
              </w:rPr>
            </w:pPr>
          </w:p>
        </w:tc>
        <w:tc>
          <w:tcPr>
            <w:tcW w:w="680" w:type="dxa"/>
            <w:vAlign w:val="bottom"/>
            <w:tcBorders>
              <w:bottom w:val="single" w:sz="8" w:color="14202A"/>
            </w:tcBorders>
          </w:tcPr>
          <w:p>
            <w:pPr>
              <w:spacing w:after="0" w:line="20" w:lineRule="exact"/>
              <w:rPr>
                <w:sz w:val="1"/>
                <w:szCs w:val="1"/>
                <w:color w:val="auto"/>
              </w:rPr>
            </w:pPr>
          </w:p>
        </w:tc>
        <w:tc>
          <w:tcPr>
            <w:tcW w:w="1180" w:type="dxa"/>
            <w:vAlign w:val="bottom"/>
            <w:tcBorders>
              <w:bottom w:val="single" w:sz="8" w:color="14202A"/>
            </w:tcBorders>
          </w:tcPr>
          <w:p>
            <w:pPr>
              <w:spacing w:after="0" w:line="20" w:lineRule="exact"/>
              <w:rPr>
                <w:sz w:val="1"/>
                <w:szCs w:val="1"/>
                <w:color w:val="auto"/>
              </w:rPr>
            </w:pPr>
          </w:p>
        </w:tc>
        <w:tc>
          <w:tcPr>
            <w:tcW w:w="126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20" w:right="40" w:hanging="360"/>
        <w:spacing w:after="0" w:line="243" w:lineRule="auto"/>
        <w:tabs>
          <w:tab w:leader="none" w:pos="720" w:val="left"/>
        </w:tabs>
        <w:numPr>
          <w:ilvl w:val="0"/>
          <w:numId w:val="37"/>
        </w:numPr>
        <w:rPr>
          <w:rFonts w:ascii="Arial" w:cs="Arial" w:eastAsia="Arial" w:hAnsi="Arial"/>
          <w:sz w:val="13"/>
          <w:szCs w:val="13"/>
          <w:color w:val="14202A"/>
        </w:rPr>
      </w:pPr>
      <w:r>
        <w:rPr>
          <w:rFonts w:ascii="Arial" w:cs="Arial" w:eastAsia="Arial" w:hAnsi="Arial"/>
          <w:sz w:val="13"/>
          <w:szCs w:val="13"/>
          <w:color w:val="14202A"/>
        </w:rPr>
        <w:t>The difference in the amount shown here and the sum of the other compensation elements included in this table reflects the amount paid for an executive physical.</w:t>
      </w:r>
    </w:p>
    <w:p>
      <w:pPr>
        <w:spacing w:after="0" w:line="291"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DAD490"/>
        </w:rPr>
        <w:t>Grants of Plan-Based Awards Table</w:t>
      </w:r>
    </w:p>
    <w:p>
      <w:pPr>
        <w:spacing w:after="0" w:line="180" w:lineRule="exact"/>
        <w:rPr>
          <w:sz w:val="20"/>
          <w:szCs w:val="20"/>
          <w:color w:val="auto"/>
        </w:rPr>
      </w:pPr>
    </w:p>
    <w:p>
      <w:pPr>
        <w:ind w:left="440" w:right="640"/>
        <w:spacing w:after="0" w:line="286" w:lineRule="auto"/>
        <w:rPr>
          <w:sz w:val="20"/>
          <w:szCs w:val="20"/>
          <w:color w:val="auto"/>
        </w:rPr>
      </w:pPr>
      <w:r>
        <w:rPr>
          <w:rFonts w:ascii="Arial" w:cs="Arial" w:eastAsia="Arial" w:hAnsi="Arial"/>
          <w:sz w:val="16"/>
          <w:szCs w:val="16"/>
          <w:color w:val="14202A"/>
        </w:rPr>
        <w:t>The following table provides additional information relating to plan-based awards granted to our NEOs in Fiscal 2026. All equity awards were granted under the 2019 Plan.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440" w:type="dxa"/>
            <w:vAlign w:val="bottom"/>
            <w:shd w:val="clear" w:color="auto" w:fill="14202A"/>
          </w:tcPr>
          <w:p>
            <w:pPr>
              <w:spacing w:after="0"/>
              <w:rPr>
                <w:sz w:val="20"/>
                <w:szCs w:val="20"/>
                <w:color w:val="auto"/>
              </w:rPr>
            </w:pPr>
          </w:p>
        </w:tc>
        <w:tc>
          <w:tcPr>
            <w:tcW w:w="1120" w:type="dxa"/>
            <w:vAlign w:val="bottom"/>
            <w:shd w:val="clear" w:color="auto" w:fill="14202A"/>
          </w:tcPr>
          <w:p>
            <w:pPr>
              <w:spacing w:after="0"/>
              <w:rPr>
                <w:sz w:val="20"/>
                <w:szCs w:val="20"/>
                <w:color w:val="auto"/>
              </w:rPr>
            </w:pPr>
          </w:p>
        </w:tc>
        <w:tc>
          <w:tcPr>
            <w:tcW w:w="800" w:type="dxa"/>
            <w:vAlign w:val="bottom"/>
            <w:shd w:val="clear" w:color="auto" w:fill="14202A"/>
          </w:tcPr>
          <w:p>
            <w:pPr>
              <w:spacing w:after="0"/>
              <w:rPr>
                <w:sz w:val="20"/>
                <w:szCs w:val="20"/>
                <w:color w:val="auto"/>
              </w:rPr>
            </w:pPr>
          </w:p>
        </w:tc>
        <w:tc>
          <w:tcPr>
            <w:tcW w:w="40" w:type="dxa"/>
            <w:vAlign w:val="bottom"/>
            <w:shd w:val="clear" w:color="auto" w:fill="14202A"/>
          </w:tcPr>
          <w:p>
            <w:pPr>
              <w:spacing w:after="0"/>
              <w:rPr>
                <w:sz w:val="20"/>
                <w:szCs w:val="20"/>
                <w:color w:val="auto"/>
              </w:rPr>
            </w:pPr>
          </w:p>
        </w:tc>
        <w:tc>
          <w:tcPr>
            <w:tcW w:w="1940" w:type="dxa"/>
            <w:vAlign w:val="bottom"/>
            <w:gridSpan w:val="3"/>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7"/>
              </w:rPr>
              <w:t>Estimated Future</w:t>
            </w:r>
          </w:p>
        </w:tc>
        <w:tc>
          <w:tcPr>
            <w:tcW w:w="40" w:type="dxa"/>
            <w:vAlign w:val="bottom"/>
            <w:shd w:val="clear" w:color="auto" w:fill="14202A"/>
          </w:tcPr>
          <w:p>
            <w:pPr>
              <w:spacing w:after="0"/>
              <w:rPr>
                <w:sz w:val="20"/>
                <w:szCs w:val="20"/>
                <w:color w:val="auto"/>
              </w:rPr>
            </w:pPr>
          </w:p>
        </w:tc>
        <w:tc>
          <w:tcPr>
            <w:tcW w:w="1840" w:type="dxa"/>
            <w:vAlign w:val="bottom"/>
            <w:gridSpan w:val="3"/>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7"/>
              </w:rPr>
              <w:t>Estimated Future</w:t>
            </w:r>
          </w:p>
        </w:tc>
        <w:tc>
          <w:tcPr>
            <w:tcW w:w="40" w:type="dxa"/>
            <w:vAlign w:val="bottom"/>
            <w:shd w:val="clear" w:color="auto" w:fill="14202A"/>
          </w:tcPr>
          <w:p>
            <w:pPr>
              <w:spacing w:after="0"/>
              <w:rPr>
                <w:sz w:val="20"/>
                <w:szCs w:val="20"/>
                <w:color w:val="auto"/>
              </w:rPr>
            </w:pPr>
          </w:p>
        </w:tc>
        <w:tc>
          <w:tcPr>
            <w:tcW w:w="68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4"/>
              </w:rPr>
              <w:t>All Other</w:t>
            </w:r>
          </w:p>
        </w:tc>
        <w:tc>
          <w:tcPr>
            <w:tcW w:w="760" w:type="dxa"/>
            <w:vAlign w:val="bottom"/>
            <w:vMerge w:val="restart"/>
            <w:shd w:val="clear" w:color="auto" w:fill="14202A"/>
          </w:tcPr>
          <w:p>
            <w:pPr>
              <w:ind w:left="140"/>
              <w:spacing w:after="0"/>
              <w:rPr>
                <w:sz w:val="20"/>
                <w:szCs w:val="20"/>
                <w:color w:val="auto"/>
              </w:rPr>
            </w:pPr>
            <w:r>
              <w:rPr>
                <w:rFonts w:ascii="Arial" w:cs="Arial" w:eastAsia="Arial" w:hAnsi="Arial"/>
                <w:sz w:val="12"/>
                <w:szCs w:val="12"/>
                <w:b w:val="1"/>
                <w:bCs w:val="1"/>
                <w:color w:val="FFFFFF"/>
              </w:rPr>
              <w:t>All Other</w:t>
            </w:r>
          </w:p>
        </w:tc>
        <w:tc>
          <w:tcPr>
            <w:tcW w:w="620" w:type="dxa"/>
            <w:vAlign w:val="bottom"/>
            <w:shd w:val="clear" w:color="auto" w:fill="14202A"/>
          </w:tcPr>
          <w:p>
            <w:pPr>
              <w:spacing w:after="0"/>
              <w:rPr>
                <w:sz w:val="20"/>
                <w:szCs w:val="20"/>
                <w:color w:val="auto"/>
              </w:rPr>
            </w:pPr>
          </w:p>
        </w:tc>
        <w:tc>
          <w:tcPr>
            <w:tcW w:w="840" w:type="dxa"/>
            <w:vAlign w:val="bottom"/>
            <w:shd w:val="clear" w:color="auto" w:fill="14202A"/>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440" w:type="dxa"/>
            <w:vAlign w:val="bottom"/>
            <w:shd w:val="clear" w:color="auto" w:fill="14202A"/>
          </w:tcPr>
          <w:p>
            <w:pPr>
              <w:spacing w:after="0"/>
              <w:rPr>
                <w:sz w:val="3"/>
                <w:szCs w:val="3"/>
                <w:color w:val="auto"/>
              </w:rPr>
            </w:pPr>
          </w:p>
        </w:tc>
        <w:tc>
          <w:tcPr>
            <w:tcW w:w="1120" w:type="dxa"/>
            <w:vAlign w:val="bottom"/>
            <w:shd w:val="clear" w:color="auto" w:fill="14202A"/>
          </w:tcPr>
          <w:p>
            <w:pPr>
              <w:spacing w:after="0"/>
              <w:rPr>
                <w:sz w:val="3"/>
                <w:szCs w:val="3"/>
                <w:color w:val="auto"/>
              </w:rPr>
            </w:pPr>
          </w:p>
        </w:tc>
        <w:tc>
          <w:tcPr>
            <w:tcW w:w="800" w:type="dxa"/>
            <w:vAlign w:val="bottom"/>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1940" w:type="dxa"/>
            <w:vAlign w:val="bottom"/>
            <w:gridSpan w:val="3"/>
            <w:vMerge w:val="continue"/>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1840" w:type="dxa"/>
            <w:vAlign w:val="bottom"/>
            <w:gridSpan w:val="3"/>
            <w:vMerge w:val="continue"/>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68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Stock</w:t>
            </w:r>
          </w:p>
        </w:tc>
        <w:tc>
          <w:tcPr>
            <w:tcW w:w="760" w:type="dxa"/>
            <w:vAlign w:val="bottom"/>
            <w:vMerge w:val="continue"/>
            <w:shd w:val="clear" w:color="auto" w:fill="14202A"/>
          </w:tcPr>
          <w:p>
            <w:pPr>
              <w:spacing w:after="0"/>
              <w:rPr>
                <w:sz w:val="3"/>
                <w:szCs w:val="3"/>
                <w:color w:val="auto"/>
              </w:rPr>
            </w:pPr>
          </w:p>
        </w:tc>
        <w:tc>
          <w:tcPr>
            <w:tcW w:w="620" w:type="dxa"/>
            <w:vAlign w:val="bottom"/>
            <w:shd w:val="clear" w:color="auto" w:fill="14202A"/>
          </w:tcPr>
          <w:p>
            <w:pPr>
              <w:spacing w:after="0"/>
              <w:rPr>
                <w:sz w:val="3"/>
                <w:szCs w:val="3"/>
                <w:color w:val="auto"/>
              </w:rPr>
            </w:pPr>
          </w:p>
        </w:tc>
        <w:tc>
          <w:tcPr>
            <w:tcW w:w="840" w:type="dxa"/>
            <w:vAlign w:val="bottom"/>
            <w:shd w:val="clear" w:color="auto" w:fill="14202A"/>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440" w:type="dxa"/>
            <w:vAlign w:val="bottom"/>
            <w:shd w:val="clear" w:color="auto" w:fill="14202A"/>
          </w:tcPr>
          <w:p>
            <w:pPr>
              <w:spacing w:after="0"/>
              <w:rPr>
                <w:sz w:val="8"/>
                <w:szCs w:val="8"/>
                <w:color w:val="auto"/>
              </w:rPr>
            </w:pPr>
          </w:p>
        </w:tc>
        <w:tc>
          <w:tcPr>
            <w:tcW w:w="1120" w:type="dxa"/>
            <w:vAlign w:val="bottom"/>
            <w:shd w:val="clear" w:color="auto" w:fill="14202A"/>
          </w:tcPr>
          <w:p>
            <w:pPr>
              <w:spacing w:after="0"/>
              <w:rPr>
                <w:sz w:val="8"/>
                <w:szCs w:val="8"/>
                <w:color w:val="auto"/>
              </w:rPr>
            </w:pPr>
          </w:p>
        </w:tc>
        <w:tc>
          <w:tcPr>
            <w:tcW w:w="800" w:type="dxa"/>
            <w:vAlign w:val="bottom"/>
            <w:shd w:val="clear" w:color="auto" w:fill="14202A"/>
          </w:tcPr>
          <w:p>
            <w:pPr>
              <w:spacing w:after="0"/>
              <w:rPr>
                <w:sz w:val="8"/>
                <w:szCs w:val="8"/>
                <w:color w:val="auto"/>
              </w:rPr>
            </w:pPr>
          </w:p>
        </w:tc>
        <w:tc>
          <w:tcPr>
            <w:tcW w:w="40" w:type="dxa"/>
            <w:vAlign w:val="bottom"/>
            <w:shd w:val="clear" w:color="auto" w:fill="14202A"/>
          </w:tcPr>
          <w:p>
            <w:pPr>
              <w:spacing w:after="0"/>
              <w:rPr>
                <w:sz w:val="8"/>
                <w:szCs w:val="8"/>
                <w:color w:val="auto"/>
              </w:rPr>
            </w:pPr>
          </w:p>
        </w:tc>
        <w:tc>
          <w:tcPr>
            <w:tcW w:w="1940" w:type="dxa"/>
            <w:vAlign w:val="bottom"/>
            <w:gridSpan w:val="3"/>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9"/>
              </w:rPr>
              <w:t>Payouts Under</w:t>
            </w:r>
          </w:p>
        </w:tc>
        <w:tc>
          <w:tcPr>
            <w:tcW w:w="40" w:type="dxa"/>
            <w:vAlign w:val="bottom"/>
            <w:shd w:val="clear" w:color="auto" w:fill="14202A"/>
          </w:tcPr>
          <w:p>
            <w:pPr>
              <w:spacing w:after="0"/>
              <w:rPr>
                <w:sz w:val="8"/>
                <w:szCs w:val="8"/>
                <w:color w:val="auto"/>
              </w:rPr>
            </w:pPr>
          </w:p>
        </w:tc>
        <w:tc>
          <w:tcPr>
            <w:tcW w:w="1840" w:type="dxa"/>
            <w:vAlign w:val="bottom"/>
            <w:gridSpan w:val="3"/>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9"/>
              </w:rPr>
              <w:t>Payouts Under</w:t>
            </w:r>
          </w:p>
        </w:tc>
        <w:tc>
          <w:tcPr>
            <w:tcW w:w="40" w:type="dxa"/>
            <w:vAlign w:val="bottom"/>
            <w:shd w:val="clear" w:color="auto" w:fill="14202A"/>
          </w:tcPr>
          <w:p>
            <w:pPr>
              <w:spacing w:after="0"/>
              <w:rPr>
                <w:sz w:val="8"/>
                <w:szCs w:val="8"/>
                <w:color w:val="auto"/>
              </w:rPr>
            </w:pPr>
          </w:p>
        </w:tc>
        <w:tc>
          <w:tcPr>
            <w:tcW w:w="680" w:type="dxa"/>
            <w:vAlign w:val="bottom"/>
            <w:vMerge w:val="continue"/>
            <w:shd w:val="clear" w:color="auto" w:fill="14202A"/>
          </w:tcPr>
          <w:p>
            <w:pPr>
              <w:spacing w:after="0"/>
              <w:rPr>
                <w:sz w:val="8"/>
                <w:szCs w:val="8"/>
                <w:color w:val="auto"/>
              </w:rPr>
            </w:pPr>
          </w:p>
        </w:tc>
        <w:tc>
          <w:tcPr>
            <w:tcW w:w="76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8"/>
              </w:rPr>
              <w:t>Option</w:t>
            </w:r>
          </w:p>
        </w:tc>
        <w:tc>
          <w:tcPr>
            <w:tcW w:w="620" w:type="dxa"/>
            <w:vAlign w:val="bottom"/>
            <w:shd w:val="clear" w:color="auto" w:fill="14202A"/>
          </w:tcPr>
          <w:p>
            <w:pPr>
              <w:spacing w:after="0"/>
              <w:rPr>
                <w:sz w:val="8"/>
                <w:szCs w:val="8"/>
                <w:color w:val="auto"/>
              </w:rPr>
            </w:pPr>
          </w:p>
        </w:tc>
        <w:tc>
          <w:tcPr>
            <w:tcW w:w="840" w:type="dxa"/>
            <w:vAlign w:val="bottom"/>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440" w:type="dxa"/>
            <w:vAlign w:val="bottom"/>
            <w:shd w:val="clear" w:color="auto" w:fill="14202A"/>
          </w:tcPr>
          <w:p>
            <w:pPr>
              <w:spacing w:after="0"/>
              <w:rPr>
                <w:sz w:val="3"/>
                <w:szCs w:val="3"/>
                <w:color w:val="auto"/>
              </w:rPr>
            </w:pPr>
          </w:p>
        </w:tc>
        <w:tc>
          <w:tcPr>
            <w:tcW w:w="1120" w:type="dxa"/>
            <w:vAlign w:val="bottom"/>
            <w:shd w:val="clear" w:color="auto" w:fill="14202A"/>
          </w:tcPr>
          <w:p>
            <w:pPr>
              <w:spacing w:after="0"/>
              <w:rPr>
                <w:sz w:val="3"/>
                <w:szCs w:val="3"/>
                <w:color w:val="auto"/>
              </w:rPr>
            </w:pPr>
          </w:p>
        </w:tc>
        <w:tc>
          <w:tcPr>
            <w:tcW w:w="800" w:type="dxa"/>
            <w:vAlign w:val="bottom"/>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1940" w:type="dxa"/>
            <w:vAlign w:val="bottom"/>
            <w:gridSpan w:val="3"/>
            <w:vMerge w:val="continue"/>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1840" w:type="dxa"/>
            <w:vAlign w:val="bottom"/>
            <w:gridSpan w:val="3"/>
            <w:vMerge w:val="continue"/>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68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Awards:</w:t>
            </w:r>
          </w:p>
        </w:tc>
        <w:tc>
          <w:tcPr>
            <w:tcW w:w="760" w:type="dxa"/>
            <w:vAlign w:val="bottom"/>
            <w:vMerge w:val="continue"/>
            <w:shd w:val="clear" w:color="auto" w:fill="14202A"/>
          </w:tcPr>
          <w:p>
            <w:pPr>
              <w:spacing w:after="0"/>
              <w:rPr>
                <w:sz w:val="3"/>
                <w:szCs w:val="3"/>
                <w:color w:val="auto"/>
              </w:rPr>
            </w:pPr>
          </w:p>
        </w:tc>
        <w:tc>
          <w:tcPr>
            <w:tcW w:w="620" w:type="dxa"/>
            <w:vAlign w:val="bottom"/>
            <w:shd w:val="clear" w:color="auto" w:fill="14202A"/>
          </w:tcPr>
          <w:p>
            <w:pPr>
              <w:spacing w:after="0"/>
              <w:rPr>
                <w:sz w:val="3"/>
                <w:szCs w:val="3"/>
                <w:color w:val="auto"/>
              </w:rPr>
            </w:pPr>
          </w:p>
        </w:tc>
        <w:tc>
          <w:tcPr>
            <w:tcW w:w="840" w:type="dxa"/>
            <w:vAlign w:val="bottom"/>
            <w:vMerge w:val="restart"/>
            <w:shd w:val="clear" w:color="auto" w:fill="14202A"/>
          </w:tcPr>
          <w:p>
            <w:pPr>
              <w:jc w:val="center"/>
              <w:ind w:right="23"/>
              <w:spacing w:after="0" w:line="135" w:lineRule="exact"/>
              <w:rPr>
                <w:sz w:val="20"/>
                <w:szCs w:val="20"/>
                <w:color w:val="auto"/>
              </w:rPr>
            </w:pPr>
            <w:r>
              <w:rPr>
                <w:rFonts w:ascii="Arial" w:cs="Arial" w:eastAsia="Arial" w:hAnsi="Arial"/>
                <w:sz w:val="12"/>
                <w:szCs w:val="12"/>
                <w:b w:val="1"/>
                <w:bCs w:val="1"/>
                <w:color w:val="FFFFFF"/>
                <w:w w:val="97"/>
              </w:rPr>
              <w:t>Grant Date</w:t>
            </w:r>
          </w:p>
        </w:tc>
        <w:tc>
          <w:tcPr>
            <w:tcW w:w="0" w:type="dxa"/>
            <w:vAlign w:val="bottom"/>
          </w:tcPr>
          <w:p>
            <w:pPr>
              <w:spacing w:after="0"/>
              <w:rPr>
                <w:sz w:val="1"/>
                <w:szCs w:val="1"/>
                <w:color w:val="auto"/>
              </w:rPr>
            </w:pPr>
          </w:p>
        </w:tc>
      </w:tr>
      <w:tr>
        <w:trPr>
          <w:trHeight w:val="94"/>
        </w:trPr>
        <w:tc>
          <w:tcPr>
            <w:tcW w:w="1440" w:type="dxa"/>
            <w:vAlign w:val="bottom"/>
            <w:shd w:val="clear" w:color="auto" w:fill="14202A"/>
          </w:tcPr>
          <w:p>
            <w:pPr>
              <w:spacing w:after="0"/>
              <w:rPr>
                <w:sz w:val="8"/>
                <w:szCs w:val="8"/>
                <w:color w:val="auto"/>
              </w:rPr>
            </w:pPr>
          </w:p>
        </w:tc>
        <w:tc>
          <w:tcPr>
            <w:tcW w:w="1120" w:type="dxa"/>
            <w:vAlign w:val="bottom"/>
            <w:shd w:val="clear" w:color="auto" w:fill="14202A"/>
          </w:tcPr>
          <w:p>
            <w:pPr>
              <w:spacing w:after="0"/>
              <w:rPr>
                <w:sz w:val="8"/>
                <w:szCs w:val="8"/>
                <w:color w:val="auto"/>
              </w:rPr>
            </w:pPr>
          </w:p>
        </w:tc>
        <w:tc>
          <w:tcPr>
            <w:tcW w:w="800" w:type="dxa"/>
            <w:vAlign w:val="bottom"/>
            <w:shd w:val="clear" w:color="auto" w:fill="14202A"/>
          </w:tcPr>
          <w:p>
            <w:pPr>
              <w:spacing w:after="0"/>
              <w:rPr>
                <w:sz w:val="8"/>
                <w:szCs w:val="8"/>
                <w:color w:val="auto"/>
              </w:rPr>
            </w:pPr>
          </w:p>
        </w:tc>
        <w:tc>
          <w:tcPr>
            <w:tcW w:w="40" w:type="dxa"/>
            <w:vAlign w:val="bottom"/>
            <w:shd w:val="clear" w:color="auto" w:fill="14202A"/>
          </w:tcPr>
          <w:p>
            <w:pPr>
              <w:spacing w:after="0"/>
              <w:rPr>
                <w:sz w:val="8"/>
                <w:szCs w:val="8"/>
                <w:color w:val="auto"/>
              </w:rPr>
            </w:pPr>
          </w:p>
        </w:tc>
        <w:tc>
          <w:tcPr>
            <w:tcW w:w="1940" w:type="dxa"/>
            <w:vAlign w:val="bottom"/>
            <w:gridSpan w:val="3"/>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Non-Equity Incentive</w:t>
            </w:r>
          </w:p>
        </w:tc>
        <w:tc>
          <w:tcPr>
            <w:tcW w:w="40" w:type="dxa"/>
            <w:vAlign w:val="bottom"/>
            <w:shd w:val="clear" w:color="auto" w:fill="14202A"/>
          </w:tcPr>
          <w:p>
            <w:pPr>
              <w:spacing w:after="0"/>
              <w:rPr>
                <w:sz w:val="8"/>
                <w:szCs w:val="8"/>
                <w:color w:val="auto"/>
              </w:rPr>
            </w:pPr>
          </w:p>
        </w:tc>
        <w:tc>
          <w:tcPr>
            <w:tcW w:w="1840" w:type="dxa"/>
            <w:vAlign w:val="bottom"/>
            <w:gridSpan w:val="3"/>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5"/>
              </w:rPr>
              <w:t>Equity Incentive</w:t>
            </w:r>
          </w:p>
        </w:tc>
        <w:tc>
          <w:tcPr>
            <w:tcW w:w="40" w:type="dxa"/>
            <w:vAlign w:val="bottom"/>
            <w:shd w:val="clear" w:color="auto" w:fill="14202A"/>
          </w:tcPr>
          <w:p>
            <w:pPr>
              <w:spacing w:after="0"/>
              <w:rPr>
                <w:sz w:val="8"/>
                <w:szCs w:val="8"/>
                <w:color w:val="auto"/>
              </w:rPr>
            </w:pPr>
          </w:p>
        </w:tc>
        <w:tc>
          <w:tcPr>
            <w:tcW w:w="680" w:type="dxa"/>
            <w:vAlign w:val="bottom"/>
            <w:vMerge w:val="continue"/>
            <w:shd w:val="clear" w:color="auto" w:fill="14202A"/>
          </w:tcPr>
          <w:p>
            <w:pPr>
              <w:spacing w:after="0"/>
              <w:rPr>
                <w:sz w:val="8"/>
                <w:szCs w:val="8"/>
                <w:color w:val="auto"/>
              </w:rPr>
            </w:pPr>
          </w:p>
        </w:tc>
        <w:tc>
          <w:tcPr>
            <w:tcW w:w="76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Awards:</w:t>
            </w:r>
          </w:p>
        </w:tc>
        <w:tc>
          <w:tcPr>
            <w:tcW w:w="62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Exercise</w:t>
            </w:r>
          </w:p>
        </w:tc>
        <w:tc>
          <w:tcPr>
            <w:tcW w:w="840" w:type="dxa"/>
            <w:vAlign w:val="bottom"/>
            <w:vMerge w:val="continue"/>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440" w:type="dxa"/>
            <w:vAlign w:val="bottom"/>
            <w:shd w:val="clear" w:color="auto" w:fill="14202A"/>
          </w:tcPr>
          <w:p>
            <w:pPr>
              <w:spacing w:after="0"/>
              <w:rPr>
                <w:sz w:val="3"/>
                <w:szCs w:val="3"/>
                <w:color w:val="auto"/>
              </w:rPr>
            </w:pPr>
          </w:p>
        </w:tc>
        <w:tc>
          <w:tcPr>
            <w:tcW w:w="1120" w:type="dxa"/>
            <w:vAlign w:val="bottom"/>
            <w:shd w:val="clear" w:color="auto" w:fill="14202A"/>
          </w:tcPr>
          <w:p>
            <w:pPr>
              <w:spacing w:after="0"/>
              <w:rPr>
                <w:sz w:val="3"/>
                <w:szCs w:val="3"/>
                <w:color w:val="auto"/>
              </w:rPr>
            </w:pPr>
          </w:p>
        </w:tc>
        <w:tc>
          <w:tcPr>
            <w:tcW w:w="800" w:type="dxa"/>
            <w:vAlign w:val="bottom"/>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1940" w:type="dxa"/>
            <w:vAlign w:val="bottom"/>
            <w:gridSpan w:val="3"/>
            <w:vMerge w:val="continue"/>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1840" w:type="dxa"/>
            <w:vAlign w:val="bottom"/>
            <w:gridSpan w:val="3"/>
            <w:vMerge w:val="continue"/>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68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6"/>
              </w:rPr>
              <w:t>Number</w:t>
            </w:r>
          </w:p>
        </w:tc>
        <w:tc>
          <w:tcPr>
            <w:tcW w:w="760" w:type="dxa"/>
            <w:vAlign w:val="bottom"/>
            <w:vMerge w:val="continue"/>
            <w:shd w:val="clear" w:color="auto" w:fill="14202A"/>
          </w:tcPr>
          <w:p>
            <w:pPr>
              <w:spacing w:after="0"/>
              <w:rPr>
                <w:sz w:val="3"/>
                <w:szCs w:val="3"/>
                <w:color w:val="auto"/>
              </w:rPr>
            </w:pPr>
          </w:p>
        </w:tc>
        <w:tc>
          <w:tcPr>
            <w:tcW w:w="620" w:type="dxa"/>
            <w:vAlign w:val="bottom"/>
            <w:vMerge w:val="continue"/>
            <w:shd w:val="clear" w:color="auto" w:fill="14202A"/>
          </w:tcPr>
          <w:p>
            <w:pPr>
              <w:spacing w:after="0"/>
              <w:rPr>
                <w:sz w:val="3"/>
                <w:szCs w:val="3"/>
                <w:color w:val="auto"/>
              </w:rPr>
            </w:pPr>
          </w:p>
        </w:tc>
        <w:tc>
          <w:tcPr>
            <w:tcW w:w="840" w:type="dxa"/>
            <w:vAlign w:val="bottom"/>
            <w:vMerge w:val="restart"/>
            <w:shd w:val="clear" w:color="auto" w:fill="14202A"/>
          </w:tcPr>
          <w:p>
            <w:pPr>
              <w:jc w:val="center"/>
              <w:ind w:right="23"/>
              <w:spacing w:after="0" w:line="135" w:lineRule="exact"/>
              <w:rPr>
                <w:sz w:val="20"/>
                <w:szCs w:val="20"/>
                <w:color w:val="auto"/>
              </w:rPr>
            </w:pPr>
            <w:r>
              <w:rPr>
                <w:rFonts w:ascii="Arial" w:cs="Arial" w:eastAsia="Arial" w:hAnsi="Arial"/>
                <w:sz w:val="12"/>
                <w:szCs w:val="12"/>
                <w:b w:val="1"/>
                <w:bCs w:val="1"/>
                <w:color w:val="FFFFFF"/>
                <w:w w:val="97"/>
              </w:rPr>
              <w:t>Fair Value</w:t>
            </w:r>
          </w:p>
        </w:tc>
        <w:tc>
          <w:tcPr>
            <w:tcW w:w="0" w:type="dxa"/>
            <w:vAlign w:val="bottom"/>
          </w:tcPr>
          <w:p>
            <w:pPr>
              <w:spacing w:after="0"/>
              <w:rPr>
                <w:sz w:val="1"/>
                <w:szCs w:val="1"/>
                <w:color w:val="auto"/>
              </w:rPr>
            </w:pPr>
          </w:p>
        </w:tc>
      </w:tr>
      <w:tr>
        <w:trPr>
          <w:trHeight w:val="94"/>
        </w:trPr>
        <w:tc>
          <w:tcPr>
            <w:tcW w:w="1440" w:type="dxa"/>
            <w:vAlign w:val="bottom"/>
            <w:shd w:val="clear" w:color="auto" w:fill="14202A"/>
          </w:tcPr>
          <w:p>
            <w:pPr>
              <w:spacing w:after="0"/>
              <w:rPr>
                <w:sz w:val="8"/>
                <w:szCs w:val="8"/>
                <w:color w:val="auto"/>
              </w:rPr>
            </w:pPr>
          </w:p>
        </w:tc>
        <w:tc>
          <w:tcPr>
            <w:tcW w:w="1120" w:type="dxa"/>
            <w:vAlign w:val="bottom"/>
            <w:shd w:val="clear" w:color="auto" w:fill="14202A"/>
          </w:tcPr>
          <w:p>
            <w:pPr>
              <w:spacing w:after="0"/>
              <w:rPr>
                <w:sz w:val="8"/>
                <w:szCs w:val="8"/>
                <w:color w:val="auto"/>
              </w:rPr>
            </w:pPr>
          </w:p>
        </w:tc>
        <w:tc>
          <w:tcPr>
            <w:tcW w:w="800" w:type="dxa"/>
            <w:vAlign w:val="bottom"/>
            <w:shd w:val="clear" w:color="auto" w:fill="14202A"/>
          </w:tcPr>
          <w:p>
            <w:pPr>
              <w:spacing w:after="0"/>
              <w:rPr>
                <w:sz w:val="8"/>
                <w:szCs w:val="8"/>
                <w:color w:val="auto"/>
              </w:rPr>
            </w:pPr>
          </w:p>
        </w:tc>
        <w:tc>
          <w:tcPr>
            <w:tcW w:w="40" w:type="dxa"/>
            <w:vAlign w:val="bottom"/>
            <w:shd w:val="clear" w:color="auto" w:fill="14202A"/>
          </w:tcPr>
          <w:p>
            <w:pPr>
              <w:spacing w:after="0"/>
              <w:rPr>
                <w:sz w:val="8"/>
                <w:szCs w:val="8"/>
                <w:color w:val="auto"/>
              </w:rPr>
            </w:pPr>
          </w:p>
        </w:tc>
        <w:tc>
          <w:tcPr>
            <w:tcW w:w="1940" w:type="dxa"/>
            <w:vAlign w:val="bottom"/>
            <w:gridSpan w:val="3"/>
            <w:vMerge w:val="restart"/>
            <w:shd w:val="clear" w:color="auto" w:fill="14202A"/>
          </w:tcPr>
          <w:p>
            <w:pPr>
              <w:jc w:val="center"/>
              <w:spacing w:after="0" w:line="172" w:lineRule="exact"/>
              <w:rPr>
                <w:sz w:val="20"/>
                <w:szCs w:val="20"/>
                <w:color w:val="auto"/>
              </w:rPr>
            </w:pPr>
            <w:r>
              <w:rPr>
                <w:rFonts w:ascii="Arial" w:cs="Arial" w:eastAsia="Arial" w:hAnsi="Arial"/>
                <w:sz w:val="12"/>
                <w:szCs w:val="12"/>
                <w:b w:val="1"/>
                <w:bCs w:val="1"/>
                <w:color w:val="FFFFFF"/>
                <w:w w:val="93"/>
              </w:rPr>
              <w:t>Plan Awards</w:t>
            </w:r>
            <w:r>
              <w:rPr>
                <w:rFonts w:ascii="Arial" w:cs="Arial" w:eastAsia="Arial" w:hAnsi="Arial"/>
                <w:sz w:val="19"/>
                <w:szCs w:val="19"/>
                <w:b w:val="1"/>
                <w:bCs w:val="1"/>
                <w:color w:val="FFFFFF"/>
                <w:w w:val="93"/>
                <w:vertAlign w:val="superscript"/>
              </w:rPr>
              <w:t>(1)</w:t>
            </w:r>
          </w:p>
        </w:tc>
        <w:tc>
          <w:tcPr>
            <w:tcW w:w="40" w:type="dxa"/>
            <w:vAlign w:val="bottom"/>
            <w:shd w:val="clear" w:color="auto" w:fill="14202A"/>
          </w:tcPr>
          <w:p>
            <w:pPr>
              <w:spacing w:after="0"/>
              <w:rPr>
                <w:sz w:val="8"/>
                <w:szCs w:val="8"/>
                <w:color w:val="auto"/>
              </w:rPr>
            </w:pPr>
          </w:p>
        </w:tc>
        <w:tc>
          <w:tcPr>
            <w:tcW w:w="1840" w:type="dxa"/>
            <w:vAlign w:val="bottom"/>
            <w:gridSpan w:val="3"/>
            <w:vMerge w:val="restart"/>
            <w:shd w:val="clear" w:color="auto" w:fill="14202A"/>
          </w:tcPr>
          <w:p>
            <w:pPr>
              <w:jc w:val="center"/>
              <w:spacing w:after="0" w:line="172" w:lineRule="exact"/>
              <w:rPr>
                <w:sz w:val="20"/>
                <w:szCs w:val="20"/>
                <w:color w:val="auto"/>
              </w:rPr>
            </w:pPr>
            <w:r>
              <w:rPr>
                <w:rFonts w:ascii="Arial" w:cs="Arial" w:eastAsia="Arial" w:hAnsi="Arial"/>
                <w:sz w:val="12"/>
                <w:szCs w:val="12"/>
                <w:b w:val="1"/>
                <w:bCs w:val="1"/>
                <w:color w:val="FFFFFF"/>
                <w:w w:val="91"/>
              </w:rPr>
              <w:t>Plan Awards</w:t>
            </w:r>
            <w:r>
              <w:rPr>
                <w:rFonts w:ascii="Arial" w:cs="Arial" w:eastAsia="Arial" w:hAnsi="Arial"/>
                <w:sz w:val="19"/>
                <w:szCs w:val="19"/>
                <w:b w:val="1"/>
                <w:bCs w:val="1"/>
                <w:color w:val="FFFFFF"/>
                <w:w w:val="91"/>
                <w:vertAlign w:val="superscript"/>
              </w:rPr>
              <w:t>(2)</w:t>
            </w:r>
          </w:p>
        </w:tc>
        <w:tc>
          <w:tcPr>
            <w:tcW w:w="40" w:type="dxa"/>
            <w:vAlign w:val="bottom"/>
            <w:shd w:val="clear" w:color="auto" w:fill="14202A"/>
          </w:tcPr>
          <w:p>
            <w:pPr>
              <w:spacing w:after="0"/>
              <w:rPr>
                <w:sz w:val="8"/>
                <w:szCs w:val="8"/>
                <w:color w:val="auto"/>
              </w:rPr>
            </w:pPr>
          </w:p>
        </w:tc>
        <w:tc>
          <w:tcPr>
            <w:tcW w:w="680" w:type="dxa"/>
            <w:vAlign w:val="bottom"/>
            <w:vMerge w:val="continue"/>
            <w:shd w:val="clear" w:color="auto" w:fill="14202A"/>
          </w:tcPr>
          <w:p>
            <w:pPr>
              <w:spacing w:after="0"/>
              <w:rPr>
                <w:sz w:val="8"/>
                <w:szCs w:val="8"/>
                <w:color w:val="auto"/>
              </w:rPr>
            </w:pPr>
          </w:p>
        </w:tc>
        <w:tc>
          <w:tcPr>
            <w:tcW w:w="76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6"/>
              </w:rPr>
              <w:t>Number of</w:t>
            </w:r>
          </w:p>
        </w:tc>
        <w:tc>
          <w:tcPr>
            <w:tcW w:w="62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9"/>
              </w:rPr>
              <w:t>or Base</w:t>
            </w:r>
          </w:p>
        </w:tc>
        <w:tc>
          <w:tcPr>
            <w:tcW w:w="840" w:type="dxa"/>
            <w:vAlign w:val="bottom"/>
            <w:vMerge w:val="continue"/>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440" w:type="dxa"/>
            <w:vAlign w:val="bottom"/>
            <w:shd w:val="clear" w:color="auto" w:fill="14202A"/>
          </w:tcPr>
          <w:p>
            <w:pPr>
              <w:spacing w:after="0"/>
              <w:rPr>
                <w:sz w:val="6"/>
                <w:szCs w:val="6"/>
                <w:color w:val="auto"/>
              </w:rPr>
            </w:pPr>
          </w:p>
        </w:tc>
        <w:tc>
          <w:tcPr>
            <w:tcW w:w="1120" w:type="dxa"/>
            <w:vAlign w:val="bottom"/>
            <w:shd w:val="clear" w:color="auto" w:fill="14202A"/>
          </w:tcPr>
          <w:p>
            <w:pPr>
              <w:spacing w:after="0"/>
              <w:rPr>
                <w:sz w:val="6"/>
                <w:szCs w:val="6"/>
                <w:color w:val="auto"/>
              </w:rPr>
            </w:pPr>
          </w:p>
        </w:tc>
        <w:tc>
          <w:tcPr>
            <w:tcW w:w="800" w:type="dxa"/>
            <w:vAlign w:val="bottom"/>
            <w:shd w:val="clear" w:color="auto" w:fill="14202A"/>
          </w:tcPr>
          <w:p>
            <w:pPr>
              <w:spacing w:after="0"/>
              <w:rPr>
                <w:sz w:val="6"/>
                <w:szCs w:val="6"/>
                <w:color w:val="auto"/>
              </w:rPr>
            </w:pPr>
          </w:p>
        </w:tc>
        <w:tc>
          <w:tcPr>
            <w:tcW w:w="40" w:type="dxa"/>
            <w:vAlign w:val="bottom"/>
            <w:shd w:val="clear" w:color="auto" w:fill="14202A"/>
          </w:tcPr>
          <w:p>
            <w:pPr>
              <w:spacing w:after="0"/>
              <w:rPr>
                <w:sz w:val="6"/>
                <w:szCs w:val="6"/>
                <w:color w:val="auto"/>
              </w:rPr>
            </w:pPr>
          </w:p>
        </w:tc>
        <w:tc>
          <w:tcPr>
            <w:tcW w:w="1940" w:type="dxa"/>
            <w:vAlign w:val="bottom"/>
            <w:gridSpan w:val="3"/>
            <w:vMerge w:val="continue"/>
            <w:shd w:val="clear" w:color="auto" w:fill="14202A"/>
          </w:tcPr>
          <w:p>
            <w:pPr>
              <w:spacing w:after="0"/>
              <w:rPr>
                <w:sz w:val="6"/>
                <w:szCs w:val="6"/>
                <w:color w:val="auto"/>
              </w:rPr>
            </w:pPr>
          </w:p>
        </w:tc>
        <w:tc>
          <w:tcPr>
            <w:tcW w:w="40" w:type="dxa"/>
            <w:vAlign w:val="bottom"/>
            <w:shd w:val="clear" w:color="auto" w:fill="14202A"/>
          </w:tcPr>
          <w:p>
            <w:pPr>
              <w:spacing w:after="0"/>
              <w:rPr>
                <w:sz w:val="6"/>
                <w:szCs w:val="6"/>
                <w:color w:val="auto"/>
              </w:rPr>
            </w:pPr>
          </w:p>
        </w:tc>
        <w:tc>
          <w:tcPr>
            <w:tcW w:w="1840" w:type="dxa"/>
            <w:vAlign w:val="bottom"/>
            <w:gridSpan w:val="3"/>
            <w:vMerge w:val="continue"/>
            <w:shd w:val="clear" w:color="auto" w:fill="14202A"/>
          </w:tcPr>
          <w:p>
            <w:pPr>
              <w:spacing w:after="0"/>
              <w:rPr>
                <w:sz w:val="6"/>
                <w:szCs w:val="6"/>
                <w:color w:val="auto"/>
              </w:rPr>
            </w:pPr>
          </w:p>
        </w:tc>
        <w:tc>
          <w:tcPr>
            <w:tcW w:w="40" w:type="dxa"/>
            <w:vAlign w:val="bottom"/>
            <w:shd w:val="clear" w:color="auto" w:fill="14202A"/>
          </w:tcPr>
          <w:p>
            <w:pPr>
              <w:spacing w:after="0"/>
              <w:rPr>
                <w:sz w:val="6"/>
                <w:szCs w:val="6"/>
                <w:color w:val="auto"/>
              </w:rPr>
            </w:pPr>
          </w:p>
        </w:tc>
        <w:tc>
          <w:tcPr>
            <w:tcW w:w="68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8"/>
              </w:rPr>
              <w:t>of Shares</w:t>
            </w:r>
          </w:p>
        </w:tc>
        <w:tc>
          <w:tcPr>
            <w:tcW w:w="760" w:type="dxa"/>
            <w:vAlign w:val="bottom"/>
            <w:vMerge w:val="continue"/>
            <w:shd w:val="clear" w:color="auto" w:fill="14202A"/>
          </w:tcPr>
          <w:p>
            <w:pPr>
              <w:spacing w:after="0"/>
              <w:rPr>
                <w:sz w:val="6"/>
                <w:szCs w:val="6"/>
                <w:color w:val="auto"/>
              </w:rPr>
            </w:pPr>
          </w:p>
        </w:tc>
        <w:tc>
          <w:tcPr>
            <w:tcW w:w="620" w:type="dxa"/>
            <w:vAlign w:val="bottom"/>
            <w:vMerge w:val="continue"/>
            <w:shd w:val="clear" w:color="auto" w:fill="14202A"/>
          </w:tcPr>
          <w:p>
            <w:pPr>
              <w:spacing w:after="0"/>
              <w:rPr>
                <w:sz w:val="6"/>
                <w:szCs w:val="6"/>
                <w:color w:val="auto"/>
              </w:rPr>
            </w:pPr>
          </w:p>
        </w:tc>
        <w:tc>
          <w:tcPr>
            <w:tcW w:w="840" w:type="dxa"/>
            <w:vAlign w:val="bottom"/>
            <w:vMerge w:val="restart"/>
            <w:shd w:val="clear" w:color="auto" w:fill="14202A"/>
          </w:tcPr>
          <w:p>
            <w:pPr>
              <w:jc w:val="center"/>
              <w:ind w:right="3"/>
              <w:spacing w:after="0" w:line="135" w:lineRule="exact"/>
              <w:rPr>
                <w:sz w:val="20"/>
                <w:szCs w:val="20"/>
                <w:color w:val="auto"/>
              </w:rPr>
            </w:pPr>
            <w:r>
              <w:rPr>
                <w:rFonts w:ascii="Arial" w:cs="Arial" w:eastAsia="Arial" w:hAnsi="Arial"/>
                <w:sz w:val="12"/>
                <w:szCs w:val="12"/>
                <w:b w:val="1"/>
                <w:bCs w:val="1"/>
                <w:color w:val="FFFFFF"/>
                <w:w w:val="97"/>
              </w:rPr>
              <w:t>of Stock</w:t>
            </w:r>
          </w:p>
        </w:tc>
        <w:tc>
          <w:tcPr>
            <w:tcW w:w="0" w:type="dxa"/>
            <w:vAlign w:val="bottom"/>
          </w:tcPr>
          <w:p>
            <w:pPr>
              <w:spacing w:after="0"/>
              <w:rPr>
                <w:sz w:val="1"/>
                <w:szCs w:val="1"/>
                <w:color w:val="auto"/>
              </w:rPr>
            </w:pPr>
          </w:p>
        </w:tc>
      </w:tr>
      <w:tr>
        <w:trPr>
          <w:trHeight w:val="58"/>
        </w:trPr>
        <w:tc>
          <w:tcPr>
            <w:tcW w:w="1440" w:type="dxa"/>
            <w:vAlign w:val="bottom"/>
            <w:shd w:val="clear" w:color="auto" w:fill="14202A"/>
          </w:tcPr>
          <w:p>
            <w:pPr>
              <w:spacing w:after="0"/>
              <w:rPr>
                <w:sz w:val="5"/>
                <w:szCs w:val="5"/>
                <w:color w:val="auto"/>
              </w:rPr>
            </w:pPr>
          </w:p>
        </w:tc>
        <w:tc>
          <w:tcPr>
            <w:tcW w:w="1120" w:type="dxa"/>
            <w:vAlign w:val="bottom"/>
            <w:shd w:val="clear" w:color="auto" w:fill="14202A"/>
          </w:tcPr>
          <w:p>
            <w:pPr>
              <w:spacing w:after="0"/>
              <w:rPr>
                <w:sz w:val="5"/>
                <w:szCs w:val="5"/>
                <w:color w:val="auto"/>
              </w:rPr>
            </w:pPr>
          </w:p>
        </w:tc>
        <w:tc>
          <w:tcPr>
            <w:tcW w:w="80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640" w:type="dxa"/>
            <w:vAlign w:val="bottom"/>
            <w:shd w:val="clear" w:color="auto" w:fill="14202A"/>
          </w:tcPr>
          <w:p>
            <w:pPr>
              <w:spacing w:after="0"/>
              <w:rPr>
                <w:sz w:val="5"/>
                <w:szCs w:val="5"/>
                <w:color w:val="auto"/>
              </w:rPr>
            </w:pPr>
          </w:p>
        </w:tc>
        <w:tc>
          <w:tcPr>
            <w:tcW w:w="640" w:type="dxa"/>
            <w:vAlign w:val="bottom"/>
            <w:shd w:val="clear" w:color="auto" w:fill="14202A"/>
          </w:tcPr>
          <w:p>
            <w:pPr>
              <w:spacing w:after="0"/>
              <w:rPr>
                <w:sz w:val="5"/>
                <w:szCs w:val="5"/>
                <w:color w:val="auto"/>
              </w:rPr>
            </w:pPr>
          </w:p>
        </w:tc>
        <w:tc>
          <w:tcPr>
            <w:tcW w:w="66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680" w:type="dxa"/>
            <w:vAlign w:val="bottom"/>
            <w:shd w:val="clear" w:color="auto" w:fill="14202A"/>
          </w:tcPr>
          <w:p>
            <w:pPr>
              <w:spacing w:after="0"/>
              <w:rPr>
                <w:sz w:val="5"/>
                <w:szCs w:val="5"/>
                <w:color w:val="auto"/>
              </w:rPr>
            </w:pPr>
          </w:p>
        </w:tc>
        <w:tc>
          <w:tcPr>
            <w:tcW w:w="500" w:type="dxa"/>
            <w:vAlign w:val="bottom"/>
            <w:shd w:val="clear" w:color="auto" w:fill="14202A"/>
          </w:tcPr>
          <w:p>
            <w:pPr>
              <w:spacing w:after="0"/>
              <w:rPr>
                <w:sz w:val="5"/>
                <w:szCs w:val="5"/>
                <w:color w:val="auto"/>
              </w:rPr>
            </w:pPr>
          </w:p>
        </w:tc>
        <w:tc>
          <w:tcPr>
            <w:tcW w:w="66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680" w:type="dxa"/>
            <w:vAlign w:val="bottom"/>
            <w:vMerge w:val="continue"/>
            <w:shd w:val="clear" w:color="auto" w:fill="14202A"/>
          </w:tcPr>
          <w:p>
            <w:pPr>
              <w:spacing w:after="0"/>
              <w:rPr>
                <w:sz w:val="5"/>
                <w:szCs w:val="5"/>
                <w:color w:val="auto"/>
              </w:rPr>
            </w:pPr>
          </w:p>
        </w:tc>
        <w:tc>
          <w:tcPr>
            <w:tcW w:w="760" w:type="dxa"/>
            <w:vAlign w:val="bottom"/>
            <w:vMerge w:val="restart"/>
            <w:shd w:val="clear" w:color="auto" w:fill="14202A"/>
          </w:tcPr>
          <w:p>
            <w:pPr>
              <w:jc w:val="center"/>
              <w:spacing w:after="0" w:line="99" w:lineRule="exact"/>
              <w:rPr>
                <w:sz w:val="20"/>
                <w:szCs w:val="20"/>
                <w:color w:val="auto"/>
              </w:rPr>
            </w:pPr>
            <w:r>
              <w:rPr>
                <w:rFonts w:ascii="Arial" w:cs="Arial" w:eastAsia="Arial" w:hAnsi="Arial"/>
                <w:sz w:val="11"/>
                <w:szCs w:val="11"/>
                <w:b w:val="1"/>
                <w:bCs w:val="1"/>
                <w:color w:val="FFFFFF"/>
              </w:rPr>
              <w:t>Securities</w:t>
            </w:r>
          </w:p>
        </w:tc>
        <w:tc>
          <w:tcPr>
            <w:tcW w:w="620" w:type="dxa"/>
            <w:vAlign w:val="bottom"/>
            <w:vMerge w:val="restart"/>
            <w:shd w:val="clear" w:color="auto" w:fill="14202A"/>
          </w:tcPr>
          <w:p>
            <w:pPr>
              <w:jc w:val="center"/>
              <w:spacing w:after="0" w:line="99" w:lineRule="exact"/>
              <w:rPr>
                <w:sz w:val="20"/>
                <w:szCs w:val="20"/>
                <w:color w:val="auto"/>
              </w:rPr>
            </w:pPr>
            <w:r>
              <w:rPr>
                <w:rFonts w:ascii="Arial" w:cs="Arial" w:eastAsia="Arial" w:hAnsi="Arial"/>
                <w:sz w:val="11"/>
                <w:szCs w:val="11"/>
                <w:b w:val="1"/>
                <w:bCs w:val="1"/>
                <w:color w:val="FFFFFF"/>
              </w:rPr>
              <w:t>Price of</w:t>
            </w:r>
          </w:p>
        </w:tc>
        <w:tc>
          <w:tcPr>
            <w:tcW w:w="840" w:type="dxa"/>
            <w:vAlign w:val="bottom"/>
            <w:vMerge w:val="continue"/>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1440" w:type="dxa"/>
            <w:vAlign w:val="bottom"/>
            <w:shd w:val="clear" w:color="auto" w:fill="14202A"/>
          </w:tcPr>
          <w:p>
            <w:pPr>
              <w:spacing w:after="0"/>
              <w:rPr>
                <w:sz w:val="3"/>
                <w:szCs w:val="3"/>
                <w:color w:val="auto"/>
              </w:rPr>
            </w:pPr>
          </w:p>
        </w:tc>
        <w:tc>
          <w:tcPr>
            <w:tcW w:w="1120" w:type="dxa"/>
            <w:vAlign w:val="bottom"/>
            <w:shd w:val="clear" w:color="auto" w:fill="14202A"/>
          </w:tcPr>
          <w:p>
            <w:pPr>
              <w:spacing w:after="0"/>
              <w:rPr>
                <w:sz w:val="3"/>
                <w:szCs w:val="3"/>
                <w:color w:val="auto"/>
              </w:rPr>
            </w:pPr>
          </w:p>
        </w:tc>
        <w:tc>
          <w:tcPr>
            <w:tcW w:w="800" w:type="dxa"/>
            <w:vAlign w:val="bottom"/>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640" w:type="dxa"/>
            <w:vAlign w:val="bottom"/>
            <w:shd w:val="clear" w:color="auto" w:fill="14202A"/>
          </w:tcPr>
          <w:p>
            <w:pPr>
              <w:spacing w:after="0"/>
              <w:rPr>
                <w:sz w:val="3"/>
                <w:szCs w:val="3"/>
                <w:color w:val="auto"/>
              </w:rPr>
            </w:pPr>
          </w:p>
        </w:tc>
        <w:tc>
          <w:tcPr>
            <w:tcW w:w="640" w:type="dxa"/>
            <w:vAlign w:val="bottom"/>
            <w:shd w:val="clear" w:color="auto" w:fill="14202A"/>
          </w:tcPr>
          <w:p>
            <w:pPr>
              <w:spacing w:after="0"/>
              <w:rPr>
                <w:sz w:val="3"/>
                <w:szCs w:val="3"/>
                <w:color w:val="auto"/>
              </w:rPr>
            </w:pPr>
          </w:p>
        </w:tc>
        <w:tc>
          <w:tcPr>
            <w:tcW w:w="660" w:type="dxa"/>
            <w:vAlign w:val="bottom"/>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680" w:type="dxa"/>
            <w:vAlign w:val="bottom"/>
            <w:shd w:val="clear" w:color="auto" w:fill="14202A"/>
          </w:tcPr>
          <w:p>
            <w:pPr>
              <w:spacing w:after="0"/>
              <w:rPr>
                <w:sz w:val="3"/>
                <w:szCs w:val="3"/>
                <w:color w:val="auto"/>
              </w:rPr>
            </w:pPr>
          </w:p>
        </w:tc>
        <w:tc>
          <w:tcPr>
            <w:tcW w:w="500" w:type="dxa"/>
            <w:vAlign w:val="bottom"/>
            <w:shd w:val="clear" w:color="auto" w:fill="14202A"/>
          </w:tcPr>
          <w:p>
            <w:pPr>
              <w:spacing w:after="0"/>
              <w:rPr>
                <w:sz w:val="3"/>
                <w:szCs w:val="3"/>
                <w:color w:val="auto"/>
              </w:rPr>
            </w:pPr>
          </w:p>
        </w:tc>
        <w:tc>
          <w:tcPr>
            <w:tcW w:w="660" w:type="dxa"/>
            <w:vAlign w:val="bottom"/>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68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7"/>
              </w:rPr>
              <w:t>of Stock</w:t>
            </w:r>
          </w:p>
        </w:tc>
        <w:tc>
          <w:tcPr>
            <w:tcW w:w="760" w:type="dxa"/>
            <w:vAlign w:val="bottom"/>
            <w:vMerge w:val="continue"/>
            <w:shd w:val="clear" w:color="auto" w:fill="14202A"/>
          </w:tcPr>
          <w:p>
            <w:pPr>
              <w:spacing w:after="0"/>
              <w:rPr>
                <w:sz w:val="3"/>
                <w:szCs w:val="3"/>
                <w:color w:val="auto"/>
              </w:rPr>
            </w:pPr>
          </w:p>
        </w:tc>
        <w:tc>
          <w:tcPr>
            <w:tcW w:w="620" w:type="dxa"/>
            <w:vAlign w:val="bottom"/>
            <w:vMerge w:val="continue"/>
            <w:shd w:val="clear" w:color="auto" w:fill="14202A"/>
          </w:tcPr>
          <w:p>
            <w:pPr>
              <w:spacing w:after="0"/>
              <w:rPr>
                <w:sz w:val="3"/>
                <w:szCs w:val="3"/>
                <w:color w:val="auto"/>
              </w:rPr>
            </w:pPr>
          </w:p>
        </w:tc>
        <w:tc>
          <w:tcPr>
            <w:tcW w:w="840" w:type="dxa"/>
            <w:vAlign w:val="bottom"/>
            <w:vMerge w:val="restart"/>
            <w:shd w:val="clear" w:color="auto" w:fill="14202A"/>
          </w:tcPr>
          <w:p>
            <w:pPr>
              <w:jc w:val="center"/>
              <w:ind w:right="3"/>
              <w:spacing w:after="0"/>
              <w:rPr>
                <w:sz w:val="20"/>
                <w:szCs w:val="20"/>
                <w:color w:val="auto"/>
              </w:rPr>
            </w:pPr>
            <w:r>
              <w:rPr>
                <w:rFonts w:ascii="Arial" w:cs="Arial" w:eastAsia="Arial" w:hAnsi="Arial"/>
                <w:sz w:val="12"/>
                <w:szCs w:val="12"/>
                <w:b w:val="1"/>
                <w:bCs w:val="1"/>
                <w:color w:val="FFFFFF"/>
                <w:w w:val="97"/>
              </w:rPr>
              <w:t>and Option</w:t>
            </w:r>
          </w:p>
        </w:tc>
        <w:tc>
          <w:tcPr>
            <w:tcW w:w="0" w:type="dxa"/>
            <w:vAlign w:val="bottom"/>
          </w:tcPr>
          <w:p>
            <w:pPr>
              <w:spacing w:after="0"/>
              <w:rPr>
                <w:sz w:val="1"/>
                <w:szCs w:val="1"/>
                <w:color w:val="auto"/>
              </w:rPr>
            </w:pPr>
          </w:p>
        </w:tc>
      </w:tr>
      <w:tr>
        <w:trPr>
          <w:trHeight w:val="101"/>
        </w:trPr>
        <w:tc>
          <w:tcPr>
            <w:tcW w:w="1440" w:type="dxa"/>
            <w:vAlign w:val="bottom"/>
            <w:shd w:val="clear" w:color="auto" w:fill="14202A"/>
          </w:tcPr>
          <w:p>
            <w:pPr>
              <w:spacing w:after="0"/>
              <w:rPr>
                <w:sz w:val="8"/>
                <w:szCs w:val="8"/>
                <w:color w:val="auto"/>
              </w:rPr>
            </w:pPr>
          </w:p>
        </w:tc>
        <w:tc>
          <w:tcPr>
            <w:tcW w:w="1120" w:type="dxa"/>
            <w:vAlign w:val="bottom"/>
            <w:shd w:val="clear" w:color="auto" w:fill="14202A"/>
          </w:tcPr>
          <w:p>
            <w:pPr>
              <w:spacing w:after="0"/>
              <w:rPr>
                <w:sz w:val="8"/>
                <w:szCs w:val="8"/>
                <w:color w:val="auto"/>
              </w:rPr>
            </w:pPr>
          </w:p>
        </w:tc>
        <w:tc>
          <w:tcPr>
            <w:tcW w:w="800" w:type="dxa"/>
            <w:vAlign w:val="bottom"/>
            <w:vMerge w:val="restart"/>
            <w:shd w:val="clear" w:color="auto" w:fill="14202A"/>
          </w:tcPr>
          <w:p>
            <w:pPr>
              <w:ind w:left="220"/>
              <w:spacing w:after="0"/>
              <w:rPr>
                <w:sz w:val="20"/>
                <w:szCs w:val="20"/>
                <w:color w:val="auto"/>
              </w:rPr>
            </w:pPr>
            <w:r>
              <w:rPr>
                <w:rFonts w:ascii="Arial" w:cs="Arial" w:eastAsia="Arial" w:hAnsi="Arial"/>
                <w:sz w:val="12"/>
                <w:szCs w:val="12"/>
                <w:b w:val="1"/>
                <w:bCs w:val="1"/>
                <w:color w:val="FFFFFF"/>
              </w:rPr>
              <w:t>Grant</w:t>
            </w:r>
          </w:p>
        </w:tc>
        <w:tc>
          <w:tcPr>
            <w:tcW w:w="40" w:type="dxa"/>
            <w:vAlign w:val="bottom"/>
            <w:shd w:val="clear" w:color="auto" w:fill="14202A"/>
          </w:tcPr>
          <w:p>
            <w:pPr>
              <w:spacing w:after="0"/>
              <w:rPr>
                <w:sz w:val="8"/>
                <w:szCs w:val="8"/>
                <w:color w:val="auto"/>
              </w:rPr>
            </w:pPr>
          </w:p>
        </w:tc>
        <w:tc>
          <w:tcPr>
            <w:tcW w:w="640" w:type="dxa"/>
            <w:vAlign w:val="bottom"/>
            <w:shd w:val="clear" w:color="auto" w:fill="14202A"/>
          </w:tcPr>
          <w:p>
            <w:pPr>
              <w:spacing w:after="0"/>
              <w:rPr>
                <w:sz w:val="8"/>
                <w:szCs w:val="8"/>
                <w:color w:val="auto"/>
              </w:rPr>
            </w:pPr>
          </w:p>
        </w:tc>
        <w:tc>
          <w:tcPr>
            <w:tcW w:w="640" w:type="dxa"/>
            <w:vAlign w:val="bottom"/>
            <w:shd w:val="clear" w:color="auto" w:fill="14202A"/>
          </w:tcPr>
          <w:p>
            <w:pPr>
              <w:spacing w:after="0"/>
              <w:rPr>
                <w:sz w:val="8"/>
                <w:szCs w:val="8"/>
                <w:color w:val="auto"/>
              </w:rPr>
            </w:pPr>
          </w:p>
        </w:tc>
        <w:tc>
          <w:tcPr>
            <w:tcW w:w="660" w:type="dxa"/>
            <w:vAlign w:val="bottom"/>
            <w:shd w:val="clear" w:color="auto" w:fill="14202A"/>
          </w:tcPr>
          <w:p>
            <w:pPr>
              <w:spacing w:after="0"/>
              <w:rPr>
                <w:sz w:val="8"/>
                <w:szCs w:val="8"/>
                <w:color w:val="auto"/>
              </w:rPr>
            </w:pPr>
          </w:p>
        </w:tc>
        <w:tc>
          <w:tcPr>
            <w:tcW w:w="40" w:type="dxa"/>
            <w:vAlign w:val="bottom"/>
            <w:shd w:val="clear" w:color="auto" w:fill="14202A"/>
          </w:tcPr>
          <w:p>
            <w:pPr>
              <w:spacing w:after="0"/>
              <w:rPr>
                <w:sz w:val="8"/>
                <w:szCs w:val="8"/>
                <w:color w:val="auto"/>
              </w:rPr>
            </w:pPr>
          </w:p>
        </w:tc>
        <w:tc>
          <w:tcPr>
            <w:tcW w:w="680" w:type="dxa"/>
            <w:vAlign w:val="bottom"/>
            <w:shd w:val="clear" w:color="auto" w:fill="14202A"/>
          </w:tcPr>
          <w:p>
            <w:pPr>
              <w:spacing w:after="0"/>
              <w:rPr>
                <w:sz w:val="8"/>
                <w:szCs w:val="8"/>
                <w:color w:val="auto"/>
              </w:rPr>
            </w:pPr>
          </w:p>
        </w:tc>
        <w:tc>
          <w:tcPr>
            <w:tcW w:w="500" w:type="dxa"/>
            <w:vAlign w:val="bottom"/>
            <w:shd w:val="clear" w:color="auto" w:fill="14202A"/>
          </w:tcPr>
          <w:p>
            <w:pPr>
              <w:spacing w:after="0"/>
              <w:rPr>
                <w:sz w:val="8"/>
                <w:szCs w:val="8"/>
                <w:color w:val="auto"/>
              </w:rPr>
            </w:pPr>
          </w:p>
        </w:tc>
        <w:tc>
          <w:tcPr>
            <w:tcW w:w="660" w:type="dxa"/>
            <w:vAlign w:val="bottom"/>
            <w:shd w:val="clear" w:color="auto" w:fill="14202A"/>
          </w:tcPr>
          <w:p>
            <w:pPr>
              <w:spacing w:after="0"/>
              <w:rPr>
                <w:sz w:val="8"/>
                <w:szCs w:val="8"/>
                <w:color w:val="auto"/>
              </w:rPr>
            </w:pPr>
          </w:p>
        </w:tc>
        <w:tc>
          <w:tcPr>
            <w:tcW w:w="40" w:type="dxa"/>
            <w:vAlign w:val="bottom"/>
            <w:shd w:val="clear" w:color="auto" w:fill="14202A"/>
          </w:tcPr>
          <w:p>
            <w:pPr>
              <w:spacing w:after="0"/>
              <w:rPr>
                <w:sz w:val="8"/>
                <w:szCs w:val="8"/>
                <w:color w:val="auto"/>
              </w:rPr>
            </w:pPr>
          </w:p>
        </w:tc>
        <w:tc>
          <w:tcPr>
            <w:tcW w:w="680" w:type="dxa"/>
            <w:vAlign w:val="bottom"/>
            <w:vMerge w:val="continue"/>
            <w:shd w:val="clear" w:color="auto" w:fill="14202A"/>
          </w:tcPr>
          <w:p>
            <w:pPr>
              <w:spacing w:after="0"/>
              <w:rPr>
                <w:sz w:val="8"/>
                <w:szCs w:val="8"/>
                <w:color w:val="auto"/>
              </w:rPr>
            </w:pPr>
          </w:p>
        </w:tc>
        <w:tc>
          <w:tcPr>
            <w:tcW w:w="76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8"/>
              </w:rPr>
              <w:t>Underlying</w:t>
            </w:r>
          </w:p>
        </w:tc>
        <w:tc>
          <w:tcPr>
            <w:tcW w:w="62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8"/>
              </w:rPr>
              <w:t>Option</w:t>
            </w:r>
          </w:p>
        </w:tc>
        <w:tc>
          <w:tcPr>
            <w:tcW w:w="840" w:type="dxa"/>
            <w:vAlign w:val="bottom"/>
            <w:vMerge w:val="continue"/>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1440" w:type="dxa"/>
            <w:vAlign w:val="bottom"/>
            <w:shd w:val="clear" w:color="auto" w:fill="14202A"/>
          </w:tcPr>
          <w:p>
            <w:pPr>
              <w:spacing w:after="0"/>
              <w:rPr>
                <w:sz w:val="4"/>
                <w:szCs w:val="4"/>
                <w:color w:val="auto"/>
              </w:rPr>
            </w:pPr>
          </w:p>
        </w:tc>
        <w:tc>
          <w:tcPr>
            <w:tcW w:w="1120" w:type="dxa"/>
            <w:vAlign w:val="bottom"/>
            <w:vMerge w:val="restart"/>
            <w:shd w:val="clear" w:color="auto" w:fill="14202A"/>
          </w:tcPr>
          <w:p>
            <w:pPr>
              <w:ind w:left="360"/>
              <w:spacing w:after="0"/>
              <w:rPr>
                <w:sz w:val="20"/>
                <w:szCs w:val="20"/>
                <w:color w:val="auto"/>
              </w:rPr>
            </w:pPr>
            <w:r>
              <w:rPr>
                <w:rFonts w:ascii="Arial" w:cs="Arial" w:eastAsia="Arial" w:hAnsi="Arial"/>
                <w:sz w:val="12"/>
                <w:szCs w:val="12"/>
                <w:b w:val="1"/>
                <w:bCs w:val="1"/>
                <w:color w:val="FFFFFF"/>
              </w:rPr>
              <w:t>Award</w:t>
            </w:r>
          </w:p>
        </w:tc>
        <w:tc>
          <w:tcPr>
            <w:tcW w:w="800" w:type="dxa"/>
            <w:vAlign w:val="bottom"/>
            <w:vMerge w:val="continue"/>
            <w:shd w:val="clear" w:color="auto" w:fill="14202A"/>
          </w:tcPr>
          <w:p>
            <w:pPr>
              <w:spacing w:after="0"/>
              <w:rPr>
                <w:sz w:val="4"/>
                <w:szCs w:val="4"/>
                <w:color w:val="auto"/>
              </w:rPr>
            </w:pPr>
          </w:p>
        </w:tc>
        <w:tc>
          <w:tcPr>
            <w:tcW w:w="40" w:type="dxa"/>
            <w:vAlign w:val="bottom"/>
            <w:shd w:val="clear" w:color="auto" w:fill="14202A"/>
          </w:tcPr>
          <w:p>
            <w:pPr>
              <w:spacing w:after="0"/>
              <w:rPr>
                <w:sz w:val="4"/>
                <w:szCs w:val="4"/>
                <w:color w:val="auto"/>
              </w:rPr>
            </w:pPr>
          </w:p>
        </w:tc>
        <w:tc>
          <w:tcPr>
            <w:tcW w:w="640" w:type="dxa"/>
            <w:vAlign w:val="bottom"/>
            <w:vMerge w:val="restart"/>
            <w:shd w:val="clear" w:color="auto" w:fill="14202A"/>
          </w:tcPr>
          <w:p>
            <w:pPr>
              <w:jc w:val="right"/>
              <w:spacing w:after="0"/>
              <w:rPr>
                <w:sz w:val="20"/>
                <w:szCs w:val="20"/>
                <w:color w:val="auto"/>
              </w:rPr>
            </w:pPr>
            <w:r>
              <w:rPr>
                <w:rFonts w:ascii="Arial" w:cs="Arial" w:eastAsia="Arial" w:hAnsi="Arial"/>
                <w:sz w:val="12"/>
                <w:szCs w:val="12"/>
                <w:b w:val="1"/>
                <w:bCs w:val="1"/>
                <w:color w:val="FFFFFF"/>
                <w:w w:val="99"/>
              </w:rPr>
              <w:t>Threshold</w:t>
            </w:r>
          </w:p>
        </w:tc>
        <w:tc>
          <w:tcPr>
            <w:tcW w:w="64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2"/>
              </w:rPr>
              <w:t>Target</w:t>
            </w:r>
          </w:p>
        </w:tc>
        <w:tc>
          <w:tcPr>
            <w:tcW w:w="660" w:type="dxa"/>
            <w:vAlign w:val="bottom"/>
            <w:vMerge w:val="restart"/>
            <w:shd w:val="clear" w:color="auto" w:fill="14202A"/>
          </w:tcPr>
          <w:p>
            <w:pPr>
              <w:jc w:val="right"/>
              <w:spacing w:after="0"/>
              <w:rPr>
                <w:sz w:val="20"/>
                <w:szCs w:val="20"/>
                <w:color w:val="auto"/>
              </w:rPr>
            </w:pPr>
            <w:r>
              <w:rPr>
                <w:rFonts w:ascii="Arial" w:cs="Arial" w:eastAsia="Arial" w:hAnsi="Arial"/>
                <w:sz w:val="12"/>
                <w:szCs w:val="12"/>
                <w:b w:val="1"/>
                <w:bCs w:val="1"/>
                <w:color w:val="FFFFFF"/>
              </w:rPr>
              <w:t>Maximum</w:t>
            </w:r>
          </w:p>
        </w:tc>
        <w:tc>
          <w:tcPr>
            <w:tcW w:w="40" w:type="dxa"/>
            <w:vAlign w:val="bottom"/>
            <w:shd w:val="clear" w:color="auto" w:fill="14202A"/>
          </w:tcPr>
          <w:p>
            <w:pPr>
              <w:spacing w:after="0"/>
              <w:rPr>
                <w:sz w:val="4"/>
                <w:szCs w:val="4"/>
                <w:color w:val="auto"/>
              </w:rPr>
            </w:pPr>
          </w:p>
        </w:tc>
        <w:tc>
          <w:tcPr>
            <w:tcW w:w="68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6"/>
              </w:rPr>
              <w:t>Threshold</w:t>
            </w:r>
          </w:p>
        </w:tc>
        <w:tc>
          <w:tcPr>
            <w:tcW w:w="50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2"/>
              </w:rPr>
              <w:t>Target</w:t>
            </w:r>
          </w:p>
        </w:tc>
        <w:tc>
          <w:tcPr>
            <w:tcW w:w="660" w:type="dxa"/>
            <w:vAlign w:val="bottom"/>
            <w:vMerge w:val="restart"/>
            <w:shd w:val="clear" w:color="auto" w:fill="14202A"/>
          </w:tcPr>
          <w:p>
            <w:pPr>
              <w:jc w:val="right"/>
              <w:spacing w:after="0"/>
              <w:rPr>
                <w:sz w:val="20"/>
                <w:szCs w:val="20"/>
                <w:color w:val="auto"/>
              </w:rPr>
            </w:pPr>
            <w:r>
              <w:rPr>
                <w:rFonts w:ascii="Arial" w:cs="Arial" w:eastAsia="Arial" w:hAnsi="Arial"/>
                <w:sz w:val="12"/>
                <w:szCs w:val="12"/>
                <w:b w:val="1"/>
                <w:bCs w:val="1"/>
                <w:color w:val="FFFFFF"/>
              </w:rPr>
              <w:t>Maximum</w:t>
            </w:r>
          </w:p>
        </w:tc>
        <w:tc>
          <w:tcPr>
            <w:tcW w:w="40" w:type="dxa"/>
            <w:vAlign w:val="bottom"/>
            <w:shd w:val="clear" w:color="auto" w:fill="14202A"/>
          </w:tcPr>
          <w:p>
            <w:pPr>
              <w:spacing w:after="0"/>
              <w:rPr>
                <w:sz w:val="4"/>
                <w:szCs w:val="4"/>
                <w:color w:val="auto"/>
              </w:rPr>
            </w:pPr>
          </w:p>
        </w:tc>
        <w:tc>
          <w:tcPr>
            <w:tcW w:w="680" w:type="dxa"/>
            <w:vAlign w:val="bottom"/>
            <w:shd w:val="clear" w:color="auto" w:fill="14202A"/>
          </w:tcPr>
          <w:p>
            <w:pPr>
              <w:jc w:val="right"/>
              <w:ind w:right="4"/>
              <w:spacing w:after="0" w:line="47" w:lineRule="exact"/>
              <w:rPr>
                <w:sz w:val="20"/>
                <w:szCs w:val="20"/>
                <w:color w:val="auto"/>
              </w:rPr>
            </w:pPr>
            <w:r>
              <w:rPr>
                <w:rFonts w:ascii="Arial" w:cs="Arial" w:eastAsia="Arial" w:hAnsi="Arial"/>
                <w:sz w:val="5"/>
                <w:szCs w:val="5"/>
                <w:b w:val="1"/>
                <w:bCs w:val="1"/>
                <w:color w:val="FFFFFF"/>
              </w:rPr>
              <w:t>(3)</w:t>
            </w:r>
          </w:p>
        </w:tc>
        <w:tc>
          <w:tcPr>
            <w:tcW w:w="760" w:type="dxa"/>
            <w:vAlign w:val="bottom"/>
            <w:vMerge w:val="continue"/>
            <w:shd w:val="clear" w:color="auto" w:fill="14202A"/>
          </w:tcPr>
          <w:p>
            <w:pPr>
              <w:spacing w:after="0"/>
              <w:rPr>
                <w:sz w:val="4"/>
                <w:szCs w:val="4"/>
                <w:color w:val="auto"/>
              </w:rPr>
            </w:pPr>
          </w:p>
        </w:tc>
        <w:tc>
          <w:tcPr>
            <w:tcW w:w="620" w:type="dxa"/>
            <w:vAlign w:val="bottom"/>
            <w:vMerge w:val="continue"/>
            <w:shd w:val="clear" w:color="auto" w:fill="14202A"/>
          </w:tcPr>
          <w:p>
            <w:pPr>
              <w:spacing w:after="0"/>
              <w:rPr>
                <w:sz w:val="4"/>
                <w:szCs w:val="4"/>
                <w:color w:val="auto"/>
              </w:rPr>
            </w:pPr>
          </w:p>
        </w:tc>
        <w:tc>
          <w:tcPr>
            <w:tcW w:w="840" w:type="dxa"/>
            <w:vAlign w:val="bottom"/>
            <w:shd w:val="clear" w:color="auto" w:fill="14202A"/>
          </w:tcPr>
          <w:p>
            <w:pPr>
              <w:jc w:val="right"/>
              <w:ind w:right="103"/>
              <w:spacing w:after="0" w:line="47" w:lineRule="exact"/>
              <w:rPr>
                <w:sz w:val="20"/>
                <w:szCs w:val="20"/>
                <w:color w:val="auto"/>
              </w:rPr>
            </w:pPr>
            <w:r>
              <w:rPr>
                <w:rFonts w:ascii="Arial" w:cs="Arial" w:eastAsia="Arial" w:hAnsi="Arial"/>
                <w:sz w:val="5"/>
                <w:szCs w:val="5"/>
                <w:b w:val="1"/>
                <w:bCs w:val="1"/>
                <w:color w:val="FFFFFF"/>
              </w:rPr>
              <w:t>(4)</w:t>
            </w:r>
          </w:p>
        </w:tc>
        <w:tc>
          <w:tcPr>
            <w:tcW w:w="0" w:type="dxa"/>
            <w:vAlign w:val="bottom"/>
          </w:tcPr>
          <w:p>
            <w:pPr>
              <w:spacing w:after="0"/>
              <w:rPr>
                <w:sz w:val="1"/>
                <w:szCs w:val="1"/>
                <w:color w:val="auto"/>
              </w:rPr>
            </w:pPr>
          </w:p>
        </w:tc>
      </w:tr>
      <w:tr>
        <w:trPr>
          <w:trHeight w:val="123"/>
        </w:trPr>
        <w:tc>
          <w:tcPr>
            <w:tcW w:w="1440" w:type="dxa"/>
            <w:vAlign w:val="bottom"/>
            <w:shd w:val="clear" w:color="auto" w:fill="14202A"/>
          </w:tcPr>
          <w:p>
            <w:pPr>
              <w:spacing w:after="0"/>
              <w:rPr>
                <w:sz w:val="10"/>
                <w:szCs w:val="10"/>
                <w:color w:val="auto"/>
              </w:rPr>
            </w:pPr>
          </w:p>
        </w:tc>
        <w:tc>
          <w:tcPr>
            <w:tcW w:w="1120" w:type="dxa"/>
            <w:vAlign w:val="bottom"/>
            <w:vMerge w:val="continue"/>
            <w:shd w:val="clear" w:color="auto" w:fill="14202A"/>
          </w:tcPr>
          <w:p>
            <w:pPr>
              <w:spacing w:after="0"/>
              <w:rPr>
                <w:sz w:val="10"/>
                <w:szCs w:val="10"/>
                <w:color w:val="auto"/>
              </w:rPr>
            </w:pPr>
          </w:p>
        </w:tc>
        <w:tc>
          <w:tcPr>
            <w:tcW w:w="80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86"/>
              </w:rPr>
              <w:t>Date</w:t>
            </w:r>
            <w:r>
              <w:rPr>
                <w:rFonts w:ascii="Arial" w:cs="Arial" w:eastAsia="Arial" w:hAnsi="Arial"/>
                <w:sz w:val="19"/>
                <w:szCs w:val="19"/>
                <w:b w:val="1"/>
                <w:bCs w:val="1"/>
                <w:color w:val="FFFFFF"/>
                <w:w w:val="86"/>
                <w:vertAlign w:val="superscript"/>
              </w:rPr>
              <w:t>(5)</w:t>
            </w:r>
          </w:p>
        </w:tc>
        <w:tc>
          <w:tcPr>
            <w:tcW w:w="40" w:type="dxa"/>
            <w:vAlign w:val="bottom"/>
            <w:shd w:val="clear" w:color="auto" w:fill="14202A"/>
          </w:tcPr>
          <w:p>
            <w:pPr>
              <w:spacing w:after="0"/>
              <w:rPr>
                <w:sz w:val="10"/>
                <w:szCs w:val="10"/>
                <w:color w:val="auto"/>
              </w:rPr>
            </w:pPr>
          </w:p>
        </w:tc>
        <w:tc>
          <w:tcPr>
            <w:tcW w:w="640" w:type="dxa"/>
            <w:vAlign w:val="bottom"/>
            <w:vMerge w:val="continue"/>
            <w:shd w:val="clear" w:color="auto" w:fill="14202A"/>
          </w:tcPr>
          <w:p>
            <w:pPr>
              <w:spacing w:after="0"/>
              <w:rPr>
                <w:sz w:val="10"/>
                <w:szCs w:val="10"/>
                <w:color w:val="auto"/>
              </w:rPr>
            </w:pPr>
          </w:p>
        </w:tc>
        <w:tc>
          <w:tcPr>
            <w:tcW w:w="640" w:type="dxa"/>
            <w:vAlign w:val="bottom"/>
            <w:vMerge w:val="continue"/>
            <w:shd w:val="clear" w:color="auto" w:fill="14202A"/>
          </w:tcPr>
          <w:p>
            <w:pPr>
              <w:spacing w:after="0"/>
              <w:rPr>
                <w:sz w:val="10"/>
                <w:szCs w:val="10"/>
                <w:color w:val="auto"/>
              </w:rPr>
            </w:pPr>
          </w:p>
        </w:tc>
        <w:tc>
          <w:tcPr>
            <w:tcW w:w="660" w:type="dxa"/>
            <w:vAlign w:val="bottom"/>
            <w:vMerge w:val="continue"/>
            <w:shd w:val="clear" w:color="auto" w:fill="14202A"/>
          </w:tcPr>
          <w:p>
            <w:pPr>
              <w:spacing w:after="0"/>
              <w:rPr>
                <w:sz w:val="10"/>
                <w:szCs w:val="10"/>
                <w:color w:val="auto"/>
              </w:rPr>
            </w:pPr>
          </w:p>
        </w:tc>
        <w:tc>
          <w:tcPr>
            <w:tcW w:w="40" w:type="dxa"/>
            <w:vAlign w:val="bottom"/>
            <w:shd w:val="clear" w:color="auto" w:fill="14202A"/>
          </w:tcPr>
          <w:p>
            <w:pPr>
              <w:spacing w:after="0"/>
              <w:rPr>
                <w:sz w:val="10"/>
                <w:szCs w:val="10"/>
                <w:color w:val="auto"/>
              </w:rPr>
            </w:pPr>
          </w:p>
        </w:tc>
        <w:tc>
          <w:tcPr>
            <w:tcW w:w="680" w:type="dxa"/>
            <w:vAlign w:val="bottom"/>
            <w:vMerge w:val="continue"/>
            <w:shd w:val="clear" w:color="auto" w:fill="14202A"/>
          </w:tcPr>
          <w:p>
            <w:pPr>
              <w:spacing w:after="0"/>
              <w:rPr>
                <w:sz w:val="10"/>
                <w:szCs w:val="10"/>
                <w:color w:val="auto"/>
              </w:rPr>
            </w:pPr>
          </w:p>
        </w:tc>
        <w:tc>
          <w:tcPr>
            <w:tcW w:w="500" w:type="dxa"/>
            <w:vAlign w:val="bottom"/>
            <w:vMerge w:val="continue"/>
            <w:shd w:val="clear" w:color="auto" w:fill="14202A"/>
          </w:tcPr>
          <w:p>
            <w:pPr>
              <w:spacing w:after="0"/>
              <w:rPr>
                <w:sz w:val="10"/>
                <w:szCs w:val="10"/>
                <w:color w:val="auto"/>
              </w:rPr>
            </w:pPr>
          </w:p>
        </w:tc>
        <w:tc>
          <w:tcPr>
            <w:tcW w:w="660" w:type="dxa"/>
            <w:vAlign w:val="bottom"/>
            <w:vMerge w:val="continue"/>
            <w:shd w:val="clear" w:color="auto" w:fill="14202A"/>
          </w:tcPr>
          <w:p>
            <w:pPr>
              <w:spacing w:after="0"/>
              <w:rPr>
                <w:sz w:val="10"/>
                <w:szCs w:val="10"/>
                <w:color w:val="auto"/>
              </w:rPr>
            </w:pPr>
          </w:p>
        </w:tc>
        <w:tc>
          <w:tcPr>
            <w:tcW w:w="40" w:type="dxa"/>
            <w:vAlign w:val="bottom"/>
            <w:shd w:val="clear" w:color="auto" w:fill="14202A"/>
          </w:tcPr>
          <w:p>
            <w:pPr>
              <w:spacing w:after="0"/>
              <w:rPr>
                <w:sz w:val="10"/>
                <w:szCs w:val="10"/>
                <w:color w:val="auto"/>
              </w:rPr>
            </w:pPr>
          </w:p>
        </w:tc>
        <w:tc>
          <w:tcPr>
            <w:tcW w:w="680" w:type="dxa"/>
            <w:vAlign w:val="bottom"/>
            <w:shd w:val="clear" w:color="auto" w:fill="14202A"/>
          </w:tcPr>
          <w:p>
            <w:pPr>
              <w:jc w:val="right"/>
              <w:ind w:right="124"/>
              <w:spacing w:after="0" w:line="123" w:lineRule="exact"/>
              <w:rPr>
                <w:sz w:val="20"/>
                <w:szCs w:val="20"/>
                <w:color w:val="auto"/>
              </w:rPr>
            </w:pPr>
            <w:r>
              <w:rPr>
                <w:rFonts w:ascii="Arial" w:cs="Arial" w:eastAsia="Arial" w:hAnsi="Arial"/>
                <w:sz w:val="12"/>
                <w:szCs w:val="12"/>
                <w:b w:val="1"/>
                <w:bCs w:val="1"/>
                <w:color w:val="FFFFFF"/>
              </w:rPr>
              <w:t>or Units</w:t>
            </w:r>
          </w:p>
        </w:tc>
        <w:tc>
          <w:tcPr>
            <w:tcW w:w="760" w:type="dxa"/>
            <w:vAlign w:val="bottom"/>
            <w:shd w:val="clear" w:color="auto" w:fill="14202A"/>
          </w:tcPr>
          <w:p>
            <w:pPr>
              <w:jc w:val="center"/>
              <w:spacing w:after="0" w:line="123" w:lineRule="exact"/>
              <w:rPr>
                <w:sz w:val="20"/>
                <w:szCs w:val="20"/>
                <w:color w:val="auto"/>
              </w:rPr>
            </w:pPr>
            <w:r>
              <w:rPr>
                <w:rFonts w:ascii="Arial" w:cs="Arial" w:eastAsia="Arial" w:hAnsi="Arial"/>
                <w:sz w:val="12"/>
                <w:szCs w:val="12"/>
                <w:b w:val="1"/>
                <w:bCs w:val="1"/>
                <w:color w:val="FFFFFF"/>
                <w:w w:val="96"/>
              </w:rPr>
              <w:t>Options</w:t>
            </w:r>
          </w:p>
        </w:tc>
        <w:tc>
          <w:tcPr>
            <w:tcW w:w="620" w:type="dxa"/>
            <w:vAlign w:val="bottom"/>
            <w:shd w:val="clear" w:color="auto" w:fill="14202A"/>
          </w:tcPr>
          <w:p>
            <w:pPr>
              <w:jc w:val="center"/>
              <w:spacing w:after="0" w:line="123" w:lineRule="exact"/>
              <w:rPr>
                <w:sz w:val="20"/>
                <w:szCs w:val="20"/>
                <w:color w:val="auto"/>
              </w:rPr>
            </w:pPr>
            <w:r>
              <w:rPr>
                <w:rFonts w:ascii="Arial" w:cs="Arial" w:eastAsia="Arial" w:hAnsi="Arial"/>
                <w:sz w:val="12"/>
                <w:szCs w:val="12"/>
                <w:b w:val="1"/>
                <w:bCs w:val="1"/>
                <w:color w:val="FFFFFF"/>
                <w:w w:val="96"/>
              </w:rPr>
              <w:t>Awards</w:t>
            </w:r>
          </w:p>
        </w:tc>
        <w:tc>
          <w:tcPr>
            <w:tcW w:w="840" w:type="dxa"/>
            <w:vAlign w:val="bottom"/>
            <w:shd w:val="clear" w:color="auto" w:fill="14202A"/>
          </w:tcPr>
          <w:p>
            <w:pPr>
              <w:jc w:val="right"/>
              <w:ind w:right="223"/>
              <w:spacing w:after="0" w:line="123" w:lineRule="exact"/>
              <w:rPr>
                <w:sz w:val="20"/>
                <w:szCs w:val="20"/>
                <w:color w:val="auto"/>
              </w:rPr>
            </w:pPr>
            <w:r>
              <w:rPr>
                <w:rFonts w:ascii="Arial" w:cs="Arial" w:eastAsia="Arial" w:hAnsi="Arial"/>
                <w:sz w:val="12"/>
                <w:szCs w:val="12"/>
                <w:b w:val="1"/>
                <w:bCs w:val="1"/>
                <w:color w:val="FFFFFF"/>
              </w:rPr>
              <w:t>Awards</w:t>
            </w:r>
          </w:p>
        </w:tc>
        <w:tc>
          <w:tcPr>
            <w:tcW w:w="0" w:type="dxa"/>
            <w:vAlign w:val="bottom"/>
          </w:tcPr>
          <w:p>
            <w:pPr>
              <w:spacing w:after="0"/>
              <w:rPr>
                <w:sz w:val="1"/>
                <w:szCs w:val="1"/>
                <w:color w:val="auto"/>
              </w:rPr>
            </w:pPr>
          </w:p>
        </w:tc>
      </w:tr>
      <w:tr>
        <w:trPr>
          <w:trHeight w:val="226"/>
        </w:trPr>
        <w:tc>
          <w:tcPr>
            <w:tcW w:w="1440" w:type="dxa"/>
            <w:vAlign w:val="bottom"/>
            <w:shd w:val="clear" w:color="auto" w:fill="14202A"/>
          </w:tcPr>
          <w:p>
            <w:pPr>
              <w:ind w:left="120"/>
              <w:spacing w:after="0"/>
              <w:rPr>
                <w:sz w:val="20"/>
                <w:szCs w:val="20"/>
                <w:color w:val="auto"/>
              </w:rPr>
            </w:pPr>
            <w:r>
              <w:rPr>
                <w:rFonts w:ascii="Arial" w:cs="Arial" w:eastAsia="Arial" w:hAnsi="Arial"/>
                <w:sz w:val="12"/>
                <w:szCs w:val="12"/>
                <w:b w:val="1"/>
                <w:bCs w:val="1"/>
                <w:color w:val="FFFFFF"/>
              </w:rPr>
              <w:t>Name</w:t>
            </w:r>
          </w:p>
        </w:tc>
        <w:tc>
          <w:tcPr>
            <w:tcW w:w="1120" w:type="dxa"/>
            <w:vAlign w:val="bottom"/>
            <w:shd w:val="clear" w:color="auto" w:fill="14202A"/>
          </w:tcPr>
          <w:p>
            <w:pPr>
              <w:ind w:left="420"/>
              <w:spacing w:after="0"/>
              <w:rPr>
                <w:sz w:val="20"/>
                <w:szCs w:val="20"/>
                <w:color w:val="auto"/>
              </w:rPr>
            </w:pPr>
            <w:r>
              <w:rPr>
                <w:rFonts w:ascii="Arial" w:cs="Arial" w:eastAsia="Arial" w:hAnsi="Arial"/>
                <w:sz w:val="12"/>
                <w:szCs w:val="12"/>
                <w:b w:val="1"/>
                <w:bCs w:val="1"/>
                <w:color w:val="FFFFFF"/>
              </w:rPr>
              <w:t>Type</w:t>
            </w:r>
          </w:p>
        </w:tc>
        <w:tc>
          <w:tcPr>
            <w:tcW w:w="800" w:type="dxa"/>
            <w:vAlign w:val="bottom"/>
            <w:vMerge w:val="continue"/>
            <w:shd w:val="clear" w:color="auto" w:fill="14202A"/>
          </w:tcPr>
          <w:p>
            <w:pPr>
              <w:spacing w:after="0"/>
              <w:rPr>
                <w:sz w:val="19"/>
                <w:szCs w:val="19"/>
                <w:color w:val="auto"/>
              </w:rPr>
            </w:pPr>
          </w:p>
        </w:tc>
        <w:tc>
          <w:tcPr>
            <w:tcW w:w="40" w:type="dxa"/>
            <w:vAlign w:val="bottom"/>
            <w:shd w:val="clear" w:color="auto" w:fill="14202A"/>
          </w:tcPr>
          <w:p>
            <w:pPr>
              <w:spacing w:after="0"/>
              <w:rPr>
                <w:sz w:val="19"/>
                <w:szCs w:val="19"/>
                <w:color w:val="auto"/>
              </w:rPr>
            </w:pPr>
          </w:p>
        </w:tc>
        <w:tc>
          <w:tcPr>
            <w:tcW w:w="640" w:type="dxa"/>
            <w:vAlign w:val="bottom"/>
            <w:shd w:val="clear" w:color="auto" w:fill="14202A"/>
          </w:tcPr>
          <w:p>
            <w:pPr>
              <w:jc w:val="right"/>
              <w:ind w:right="202"/>
              <w:spacing w:after="0"/>
              <w:rPr>
                <w:sz w:val="20"/>
                <w:szCs w:val="20"/>
                <w:color w:val="auto"/>
              </w:rPr>
            </w:pPr>
            <w:r>
              <w:rPr>
                <w:rFonts w:ascii="Arial" w:cs="Arial" w:eastAsia="Arial" w:hAnsi="Arial"/>
                <w:sz w:val="12"/>
                <w:szCs w:val="12"/>
                <w:b w:val="1"/>
                <w:bCs w:val="1"/>
                <w:color w:val="FFFFFF"/>
              </w:rPr>
              <w:t>($)</w:t>
            </w:r>
          </w:p>
        </w:tc>
        <w:tc>
          <w:tcPr>
            <w:tcW w:w="64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5"/>
              </w:rPr>
              <w:t>($)</w:t>
            </w:r>
          </w:p>
        </w:tc>
        <w:tc>
          <w:tcPr>
            <w:tcW w:w="660" w:type="dxa"/>
            <w:vAlign w:val="bottom"/>
            <w:shd w:val="clear" w:color="auto" w:fill="14202A"/>
          </w:tcPr>
          <w:p>
            <w:pPr>
              <w:jc w:val="right"/>
              <w:ind w:right="182"/>
              <w:spacing w:after="0"/>
              <w:rPr>
                <w:sz w:val="20"/>
                <w:szCs w:val="20"/>
                <w:color w:val="auto"/>
              </w:rPr>
            </w:pPr>
            <w:r>
              <w:rPr>
                <w:rFonts w:ascii="Arial" w:cs="Arial" w:eastAsia="Arial" w:hAnsi="Arial"/>
                <w:sz w:val="12"/>
                <w:szCs w:val="12"/>
                <w:b w:val="1"/>
                <w:bCs w:val="1"/>
                <w:color w:val="FFFFFF"/>
              </w:rPr>
              <w:t>($)</w:t>
            </w:r>
          </w:p>
        </w:tc>
        <w:tc>
          <w:tcPr>
            <w:tcW w:w="40" w:type="dxa"/>
            <w:vAlign w:val="bottom"/>
            <w:shd w:val="clear" w:color="auto" w:fill="14202A"/>
          </w:tcPr>
          <w:p>
            <w:pPr>
              <w:spacing w:after="0"/>
              <w:rPr>
                <w:sz w:val="19"/>
                <w:szCs w:val="19"/>
                <w:color w:val="auto"/>
              </w:rPr>
            </w:pPr>
          </w:p>
        </w:tc>
        <w:tc>
          <w:tcPr>
            <w:tcW w:w="68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5"/>
              </w:rPr>
              <w:t>(#)</w:t>
            </w:r>
          </w:p>
        </w:tc>
        <w:tc>
          <w:tcPr>
            <w:tcW w:w="50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5"/>
              </w:rPr>
              <w:t>(#)</w:t>
            </w:r>
          </w:p>
        </w:tc>
        <w:tc>
          <w:tcPr>
            <w:tcW w:w="660" w:type="dxa"/>
            <w:vAlign w:val="bottom"/>
            <w:shd w:val="clear" w:color="auto" w:fill="14202A"/>
          </w:tcPr>
          <w:p>
            <w:pPr>
              <w:jc w:val="right"/>
              <w:ind w:right="182"/>
              <w:spacing w:after="0"/>
              <w:rPr>
                <w:sz w:val="20"/>
                <w:szCs w:val="20"/>
                <w:color w:val="auto"/>
              </w:rPr>
            </w:pPr>
            <w:r>
              <w:rPr>
                <w:rFonts w:ascii="Arial" w:cs="Arial" w:eastAsia="Arial" w:hAnsi="Arial"/>
                <w:sz w:val="12"/>
                <w:szCs w:val="12"/>
                <w:b w:val="1"/>
                <w:bCs w:val="1"/>
                <w:color w:val="FFFFFF"/>
              </w:rPr>
              <w:t>(#)</w:t>
            </w:r>
          </w:p>
        </w:tc>
        <w:tc>
          <w:tcPr>
            <w:tcW w:w="40" w:type="dxa"/>
            <w:vAlign w:val="bottom"/>
            <w:shd w:val="clear" w:color="auto" w:fill="14202A"/>
          </w:tcPr>
          <w:p>
            <w:pPr>
              <w:spacing w:after="0"/>
              <w:rPr>
                <w:sz w:val="19"/>
                <w:szCs w:val="19"/>
                <w:color w:val="auto"/>
              </w:rPr>
            </w:pPr>
          </w:p>
        </w:tc>
        <w:tc>
          <w:tcPr>
            <w:tcW w:w="68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5"/>
              </w:rPr>
              <w:t>(#)</w:t>
            </w:r>
          </w:p>
        </w:tc>
        <w:tc>
          <w:tcPr>
            <w:tcW w:w="76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5"/>
              </w:rPr>
              <w:t>(#)</w:t>
            </w:r>
          </w:p>
        </w:tc>
        <w:tc>
          <w:tcPr>
            <w:tcW w:w="62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5"/>
              </w:rPr>
              <w:t>($/Sh)</w:t>
            </w:r>
          </w:p>
        </w:tc>
        <w:tc>
          <w:tcPr>
            <w:tcW w:w="840" w:type="dxa"/>
            <w:vAlign w:val="bottom"/>
            <w:shd w:val="clear" w:color="auto" w:fill="14202A"/>
          </w:tcPr>
          <w:p>
            <w:pPr>
              <w:jc w:val="right"/>
              <w:ind w:right="303"/>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229"/>
        </w:trPr>
        <w:tc>
          <w:tcPr>
            <w:tcW w:w="1440" w:type="dxa"/>
            <w:vAlign w:val="bottom"/>
          </w:tcPr>
          <w:p>
            <w:pPr>
              <w:ind w:left="120"/>
              <w:spacing w:after="0"/>
              <w:rPr>
                <w:sz w:val="20"/>
                <w:szCs w:val="20"/>
                <w:color w:val="auto"/>
              </w:rPr>
            </w:pPr>
            <w:r>
              <w:rPr>
                <w:rFonts w:ascii="Arial" w:cs="Arial" w:eastAsia="Arial" w:hAnsi="Arial"/>
                <w:sz w:val="12"/>
                <w:szCs w:val="12"/>
                <w:color w:val="14202A"/>
              </w:rPr>
              <w:t>Michael J. Happe</w:t>
            </w:r>
          </w:p>
        </w:tc>
        <w:tc>
          <w:tcPr>
            <w:tcW w:w="1120" w:type="dxa"/>
            <w:vAlign w:val="bottom"/>
          </w:tcPr>
          <w:p>
            <w:pPr>
              <w:ind w:left="40"/>
              <w:spacing w:after="0"/>
              <w:rPr>
                <w:sz w:val="20"/>
                <w:szCs w:val="20"/>
                <w:color w:val="auto"/>
              </w:rPr>
            </w:pPr>
            <w:r>
              <w:rPr>
                <w:rFonts w:ascii="Arial" w:cs="Arial" w:eastAsia="Arial" w:hAnsi="Arial"/>
                <w:sz w:val="13"/>
                <w:szCs w:val="13"/>
                <w:color w:val="14202A"/>
              </w:rPr>
              <w:t>Stock Options</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14202A"/>
                <w:w w:val="97"/>
              </w:rPr>
              <w:t>89,530</w:t>
            </w:r>
          </w:p>
        </w:tc>
        <w:tc>
          <w:tcPr>
            <w:tcW w:w="620" w:type="dxa"/>
            <w:vAlign w:val="bottom"/>
          </w:tcPr>
          <w:p>
            <w:pPr>
              <w:jc w:val="center"/>
              <w:spacing w:after="0"/>
              <w:rPr>
                <w:sz w:val="20"/>
                <w:szCs w:val="20"/>
                <w:color w:val="auto"/>
              </w:rPr>
            </w:pPr>
            <w:r>
              <w:rPr>
                <w:rFonts w:ascii="Arial" w:cs="Arial" w:eastAsia="Arial" w:hAnsi="Arial"/>
                <w:sz w:val="12"/>
                <w:szCs w:val="12"/>
                <w:color w:val="14202A"/>
                <w:w w:val="99"/>
              </w:rPr>
              <w:t>30.75</w:t>
            </w: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914,997</w:t>
            </w:r>
          </w:p>
        </w:tc>
        <w:tc>
          <w:tcPr>
            <w:tcW w:w="0" w:type="dxa"/>
            <w:vAlign w:val="bottom"/>
          </w:tcPr>
          <w:p>
            <w:pPr>
              <w:spacing w:after="0"/>
              <w:rPr>
                <w:sz w:val="1"/>
                <w:szCs w:val="1"/>
                <w:color w:val="auto"/>
              </w:rPr>
            </w:pPr>
          </w:p>
        </w:tc>
      </w:tr>
      <w:tr>
        <w:trPr>
          <w:trHeight w:val="68"/>
        </w:trPr>
        <w:tc>
          <w:tcPr>
            <w:tcW w:w="1440" w:type="dxa"/>
            <w:vAlign w:val="bottom"/>
          </w:tcPr>
          <w:p>
            <w:pPr>
              <w:spacing w:after="0"/>
              <w:rPr>
                <w:sz w:val="5"/>
                <w:szCs w:val="5"/>
                <w:color w:val="auto"/>
              </w:rPr>
            </w:pPr>
          </w:p>
        </w:tc>
        <w:tc>
          <w:tcPr>
            <w:tcW w:w="112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6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6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760" w:type="dxa"/>
            <w:vAlign w:val="bottom"/>
            <w:tcBorders>
              <w:bottom w:val="single" w:sz="8" w:color="14202A"/>
            </w:tcBorders>
          </w:tcPr>
          <w:p>
            <w:pPr>
              <w:spacing w:after="0"/>
              <w:rPr>
                <w:sz w:val="5"/>
                <w:szCs w:val="5"/>
                <w:color w:val="auto"/>
              </w:rPr>
            </w:pPr>
          </w:p>
        </w:tc>
        <w:tc>
          <w:tcPr>
            <w:tcW w:w="620" w:type="dxa"/>
            <w:vAlign w:val="bottom"/>
            <w:tcBorders>
              <w:bottom w:val="single" w:sz="8" w:color="14202A"/>
            </w:tcBorders>
          </w:tcPr>
          <w:p>
            <w:pPr>
              <w:spacing w:after="0"/>
              <w:rPr>
                <w:sz w:val="5"/>
                <w:szCs w:val="5"/>
                <w:color w:val="auto"/>
              </w:rPr>
            </w:pPr>
          </w:p>
        </w:tc>
        <w:tc>
          <w:tcPr>
            <w:tcW w:w="8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RSU Award</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14202A"/>
                <w:w w:val="97"/>
              </w:rPr>
              <w:t>69,431</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2,135,003</w:t>
            </w: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gridSpan w:val="2"/>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2026 OICP</w:t>
            </w:r>
          </w:p>
        </w:tc>
        <w:tc>
          <w:tcPr>
            <w:tcW w:w="800" w:type="dxa"/>
            <w:vAlign w:val="bottom"/>
          </w:tcPr>
          <w:p>
            <w:pPr>
              <w:spacing w:after="0"/>
              <w:rPr>
                <w:sz w:val="18"/>
                <w:szCs w:val="18"/>
                <w:color w:val="auto"/>
              </w:rPr>
            </w:pPr>
          </w:p>
        </w:tc>
        <w:tc>
          <w:tcPr>
            <w:tcW w:w="680" w:type="dxa"/>
            <w:vAlign w:val="bottom"/>
            <w:gridSpan w:val="2"/>
          </w:tcPr>
          <w:p>
            <w:pPr>
              <w:jc w:val="right"/>
              <w:ind w:right="82"/>
              <w:spacing w:after="0"/>
              <w:rPr>
                <w:sz w:val="20"/>
                <w:szCs w:val="20"/>
                <w:color w:val="auto"/>
              </w:rPr>
            </w:pPr>
            <w:r>
              <w:rPr>
                <w:rFonts w:ascii="Arial" w:cs="Arial" w:eastAsia="Arial" w:hAnsi="Arial"/>
                <w:sz w:val="12"/>
                <w:szCs w:val="12"/>
                <w:color w:val="14202A"/>
              </w:rPr>
              <w:t>625,000</w:t>
            </w:r>
          </w:p>
        </w:tc>
        <w:tc>
          <w:tcPr>
            <w:tcW w:w="640" w:type="dxa"/>
            <w:vAlign w:val="bottom"/>
          </w:tcPr>
          <w:p>
            <w:pPr>
              <w:jc w:val="right"/>
              <w:ind w:right="2"/>
              <w:spacing w:after="0"/>
              <w:rPr>
                <w:sz w:val="20"/>
                <w:szCs w:val="20"/>
                <w:color w:val="auto"/>
              </w:rPr>
            </w:pPr>
            <w:r>
              <w:rPr>
                <w:rFonts w:ascii="Arial" w:cs="Arial" w:eastAsia="Arial" w:hAnsi="Arial"/>
                <w:sz w:val="12"/>
                <w:szCs w:val="12"/>
                <w:color w:val="14202A"/>
              </w:rPr>
              <w:t>1,250,000</w:t>
            </w:r>
          </w:p>
        </w:tc>
        <w:tc>
          <w:tcPr>
            <w:tcW w:w="660" w:type="dxa"/>
            <w:vAlign w:val="bottom"/>
          </w:tcPr>
          <w:p>
            <w:pPr>
              <w:jc w:val="right"/>
              <w:ind w:right="22"/>
              <w:spacing w:after="0"/>
              <w:rPr>
                <w:sz w:val="20"/>
                <w:szCs w:val="20"/>
                <w:color w:val="auto"/>
              </w:rPr>
            </w:pPr>
            <w:r>
              <w:rPr>
                <w:rFonts w:ascii="Arial" w:cs="Arial" w:eastAsia="Arial" w:hAnsi="Arial"/>
                <w:sz w:val="12"/>
                <w:szCs w:val="12"/>
                <w:color w:val="14202A"/>
              </w:rPr>
              <w:t>2,500,000</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720" w:type="dxa"/>
            <w:vAlign w:val="bottom"/>
            <w:tcBorders>
              <w:bottom w:val="single" w:sz="8" w:color="14202A"/>
            </w:tcBorders>
            <w:gridSpan w:val="2"/>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2026-2028 LTIP</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color w:val="14202A"/>
                <w:w w:val="92"/>
              </w:rPr>
              <w:t>49,594</w:t>
            </w:r>
          </w:p>
        </w:tc>
        <w:tc>
          <w:tcPr>
            <w:tcW w:w="500" w:type="dxa"/>
            <w:vAlign w:val="bottom"/>
          </w:tcPr>
          <w:p>
            <w:pPr>
              <w:jc w:val="center"/>
              <w:spacing w:after="0"/>
              <w:rPr>
                <w:sz w:val="20"/>
                <w:szCs w:val="20"/>
                <w:color w:val="auto"/>
              </w:rPr>
            </w:pPr>
            <w:r>
              <w:rPr>
                <w:rFonts w:ascii="Arial" w:cs="Arial" w:eastAsia="Arial" w:hAnsi="Arial"/>
                <w:sz w:val="12"/>
                <w:szCs w:val="12"/>
                <w:color w:val="14202A"/>
                <w:w w:val="97"/>
              </w:rPr>
              <w:t>99,187</w:t>
            </w:r>
          </w:p>
        </w:tc>
        <w:tc>
          <w:tcPr>
            <w:tcW w:w="660" w:type="dxa"/>
            <w:vAlign w:val="bottom"/>
          </w:tcPr>
          <w:p>
            <w:pPr>
              <w:jc w:val="right"/>
              <w:ind w:right="42"/>
              <w:spacing w:after="0"/>
              <w:rPr>
                <w:sz w:val="20"/>
                <w:szCs w:val="20"/>
                <w:color w:val="auto"/>
              </w:rPr>
            </w:pPr>
            <w:r>
              <w:rPr>
                <w:rFonts w:ascii="Arial" w:cs="Arial" w:eastAsia="Arial" w:hAnsi="Arial"/>
                <w:sz w:val="12"/>
                <w:szCs w:val="12"/>
                <w:color w:val="14202A"/>
              </w:rPr>
              <w:t>198,374</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3,050,000</w:t>
            </w:r>
          </w:p>
        </w:tc>
        <w:tc>
          <w:tcPr>
            <w:tcW w:w="0" w:type="dxa"/>
            <w:vAlign w:val="bottom"/>
          </w:tcPr>
          <w:p>
            <w:pPr>
              <w:spacing w:after="0"/>
              <w:rPr>
                <w:sz w:val="1"/>
                <w:szCs w:val="1"/>
                <w:color w:val="auto"/>
              </w:rPr>
            </w:pPr>
          </w:p>
        </w:tc>
      </w:tr>
      <w:tr>
        <w:trPr>
          <w:trHeight w:val="68"/>
        </w:trPr>
        <w:tc>
          <w:tcPr>
            <w:tcW w:w="1440" w:type="dxa"/>
            <w:vAlign w:val="bottom"/>
            <w:tcBorders>
              <w:bottom w:val="single" w:sz="8" w:color="14202A"/>
            </w:tcBorders>
          </w:tcPr>
          <w:p>
            <w:pPr>
              <w:spacing w:after="0"/>
              <w:rPr>
                <w:sz w:val="5"/>
                <w:szCs w:val="5"/>
                <w:color w:val="auto"/>
              </w:rPr>
            </w:pPr>
          </w:p>
        </w:tc>
        <w:tc>
          <w:tcPr>
            <w:tcW w:w="112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6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6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760" w:type="dxa"/>
            <w:vAlign w:val="bottom"/>
            <w:tcBorders>
              <w:bottom w:val="single" w:sz="8" w:color="14202A"/>
            </w:tcBorders>
          </w:tcPr>
          <w:p>
            <w:pPr>
              <w:spacing w:after="0"/>
              <w:rPr>
                <w:sz w:val="5"/>
                <w:szCs w:val="5"/>
                <w:color w:val="auto"/>
              </w:rPr>
            </w:pPr>
          </w:p>
        </w:tc>
        <w:tc>
          <w:tcPr>
            <w:tcW w:w="620" w:type="dxa"/>
            <w:vAlign w:val="bottom"/>
            <w:tcBorders>
              <w:bottom w:val="single" w:sz="8" w:color="14202A"/>
            </w:tcBorders>
          </w:tcPr>
          <w:p>
            <w:pPr>
              <w:spacing w:after="0"/>
              <w:rPr>
                <w:sz w:val="5"/>
                <w:szCs w:val="5"/>
                <w:color w:val="auto"/>
              </w:rPr>
            </w:pPr>
          </w:p>
        </w:tc>
        <w:tc>
          <w:tcPr>
            <w:tcW w:w="8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440" w:type="dxa"/>
            <w:vAlign w:val="bottom"/>
          </w:tcPr>
          <w:p>
            <w:pPr>
              <w:ind w:left="120"/>
              <w:spacing w:after="0"/>
              <w:rPr>
                <w:sz w:val="20"/>
                <w:szCs w:val="20"/>
                <w:color w:val="auto"/>
              </w:rPr>
            </w:pPr>
            <w:r>
              <w:rPr>
                <w:rFonts w:ascii="Arial" w:cs="Arial" w:eastAsia="Arial" w:hAnsi="Arial"/>
                <w:sz w:val="12"/>
                <w:szCs w:val="12"/>
                <w:color w:val="14202A"/>
              </w:rPr>
              <w:t>Bryan L. Hughes</w:t>
            </w:r>
          </w:p>
        </w:tc>
        <w:tc>
          <w:tcPr>
            <w:tcW w:w="1120" w:type="dxa"/>
            <w:vAlign w:val="bottom"/>
          </w:tcPr>
          <w:p>
            <w:pPr>
              <w:ind w:left="40"/>
              <w:spacing w:after="0"/>
              <w:rPr>
                <w:sz w:val="20"/>
                <w:szCs w:val="20"/>
                <w:color w:val="auto"/>
              </w:rPr>
            </w:pPr>
            <w:r>
              <w:rPr>
                <w:rFonts w:ascii="Arial" w:cs="Arial" w:eastAsia="Arial" w:hAnsi="Arial"/>
                <w:sz w:val="13"/>
                <w:szCs w:val="13"/>
                <w:color w:val="14202A"/>
              </w:rPr>
              <w:t>Stock Options</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14202A"/>
                <w:w w:val="97"/>
              </w:rPr>
              <w:t>18,897</w:t>
            </w:r>
          </w:p>
        </w:tc>
        <w:tc>
          <w:tcPr>
            <w:tcW w:w="620" w:type="dxa"/>
            <w:vAlign w:val="bottom"/>
          </w:tcPr>
          <w:p>
            <w:pPr>
              <w:jc w:val="center"/>
              <w:spacing w:after="0"/>
              <w:rPr>
                <w:sz w:val="20"/>
                <w:szCs w:val="20"/>
                <w:color w:val="auto"/>
              </w:rPr>
            </w:pPr>
            <w:r>
              <w:rPr>
                <w:rFonts w:ascii="Arial" w:cs="Arial" w:eastAsia="Arial" w:hAnsi="Arial"/>
                <w:sz w:val="12"/>
                <w:szCs w:val="12"/>
                <w:color w:val="14202A"/>
                <w:w w:val="99"/>
              </w:rPr>
              <w:t>30.75</w:t>
            </w: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193,127</w:t>
            </w: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RSU Award</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14202A"/>
                <w:w w:val="97"/>
              </w:rPr>
              <w:t>14,654</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450,611</w:t>
            </w: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gridSpan w:val="2"/>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2026 OICP</w:t>
            </w:r>
          </w:p>
        </w:tc>
        <w:tc>
          <w:tcPr>
            <w:tcW w:w="800" w:type="dxa"/>
            <w:vAlign w:val="bottom"/>
          </w:tcPr>
          <w:p>
            <w:pPr>
              <w:spacing w:after="0"/>
              <w:rPr>
                <w:sz w:val="18"/>
                <w:szCs w:val="18"/>
                <w:color w:val="auto"/>
              </w:rPr>
            </w:pPr>
          </w:p>
        </w:tc>
        <w:tc>
          <w:tcPr>
            <w:tcW w:w="680" w:type="dxa"/>
            <w:vAlign w:val="bottom"/>
            <w:gridSpan w:val="2"/>
          </w:tcPr>
          <w:p>
            <w:pPr>
              <w:jc w:val="right"/>
              <w:ind w:right="82"/>
              <w:spacing w:after="0"/>
              <w:rPr>
                <w:sz w:val="20"/>
                <w:szCs w:val="20"/>
                <w:color w:val="auto"/>
              </w:rPr>
            </w:pPr>
            <w:r>
              <w:rPr>
                <w:rFonts w:ascii="Arial" w:cs="Arial" w:eastAsia="Arial" w:hAnsi="Arial"/>
                <w:sz w:val="12"/>
                <w:szCs w:val="12"/>
                <w:color w:val="14202A"/>
              </w:rPr>
              <w:t>321,875</w:t>
            </w:r>
          </w:p>
        </w:tc>
        <w:tc>
          <w:tcPr>
            <w:tcW w:w="640" w:type="dxa"/>
            <w:vAlign w:val="bottom"/>
          </w:tcPr>
          <w:p>
            <w:pPr>
              <w:jc w:val="right"/>
              <w:ind w:right="2"/>
              <w:spacing w:after="0"/>
              <w:rPr>
                <w:sz w:val="20"/>
                <w:szCs w:val="20"/>
                <w:color w:val="auto"/>
              </w:rPr>
            </w:pPr>
            <w:r>
              <w:rPr>
                <w:rFonts w:ascii="Arial" w:cs="Arial" w:eastAsia="Arial" w:hAnsi="Arial"/>
                <w:sz w:val="12"/>
                <w:szCs w:val="12"/>
                <w:color w:val="14202A"/>
              </w:rPr>
              <w:t>643,750</w:t>
            </w:r>
          </w:p>
        </w:tc>
        <w:tc>
          <w:tcPr>
            <w:tcW w:w="660" w:type="dxa"/>
            <w:vAlign w:val="bottom"/>
          </w:tcPr>
          <w:p>
            <w:pPr>
              <w:jc w:val="right"/>
              <w:ind w:right="22"/>
              <w:spacing w:after="0"/>
              <w:rPr>
                <w:sz w:val="20"/>
                <w:szCs w:val="20"/>
                <w:color w:val="auto"/>
              </w:rPr>
            </w:pPr>
            <w:r>
              <w:rPr>
                <w:rFonts w:ascii="Arial" w:cs="Arial" w:eastAsia="Arial" w:hAnsi="Arial"/>
                <w:sz w:val="12"/>
                <w:szCs w:val="12"/>
                <w:color w:val="14202A"/>
              </w:rPr>
              <w:t>1,287,500</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720" w:type="dxa"/>
            <w:vAlign w:val="bottom"/>
            <w:tcBorders>
              <w:bottom w:val="single" w:sz="8" w:color="14202A"/>
            </w:tcBorders>
            <w:gridSpan w:val="2"/>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2026-2028 LTIP</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color w:val="14202A"/>
                <w:w w:val="92"/>
              </w:rPr>
              <w:t>10,468</w:t>
            </w:r>
          </w:p>
        </w:tc>
        <w:tc>
          <w:tcPr>
            <w:tcW w:w="500" w:type="dxa"/>
            <w:vAlign w:val="bottom"/>
          </w:tcPr>
          <w:p>
            <w:pPr>
              <w:jc w:val="center"/>
              <w:spacing w:after="0"/>
              <w:rPr>
                <w:sz w:val="20"/>
                <w:szCs w:val="20"/>
                <w:color w:val="auto"/>
              </w:rPr>
            </w:pPr>
            <w:r>
              <w:rPr>
                <w:rFonts w:ascii="Arial" w:cs="Arial" w:eastAsia="Arial" w:hAnsi="Arial"/>
                <w:sz w:val="12"/>
                <w:szCs w:val="12"/>
                <w:color w:val="14202A"/>
                <w:w w:val="97"/>
              </w:rPr>
              <w:t>20,935</w:t>
            </w:r>
          </w:p>
        </w:tc>
        <w:tc>
          <w:tcPr>
            <w:tcW w:w="660" w:type="dxa"/>
            <w:vAlign w:val="bottom"/>
          </w:tcPr>
          <w:p>
            <w:pPr>
              <w:jc w:val="right"/>
              <w:ind w:right="62"/>
              <w:spacing w:after="0"/>
              <w:rPr>
                <w:sz w:val="20"/>
                <w:szCs w:val="20"/>
                <w:color w:val="auto"/>
              </w:rPr>
            </w:pPr>
            <w:r>
              <w:rPr>
                <w:rFonts w:ascii="Arial" w:cs="Arial" w:eastAsia="Arial" w:hAnsi="Arial"/>
                <w:sz w:val="12"/>
                <w:szCs w:val="12"/>
                <w:color w:val="14202A"/>
              </w:rPr>
              <w:t>41,870</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643,751</w:t>
            </w:r>
          </w:p>
        </w:tc>
        <w:tc>
          <w:tcPr>
            <w:tcW w:w="0" w:type="dxa"/>
            <w:vAlign w:val="bottom"/>
          </w:tcPr>
          <w:p>
            <w:pPr>
              <w:spacing w:after="0"/>
              <w:rPr>
                <w:sz w:val="1"/>
                <w:szCs w:val="1"/>
                <w:color w:val="auto"/>
              </w:rPr>
            </w:pPr>
          </w:p>
        </w:tc>
      </w:tr>
      <w:tr>
        <w:trPr>
          <w:trHeight w:val="68"/>
        </w:trPr>
        <w:tc>
          <w:tcPr>
            <w:tcW w:w="1440" w:type="dxa"/>
            <w:vAlign w:val="bottom"/>
            <w:tcBorders>
              <w:bottom w:val="single" w:sz="8" w:color="14202A"/>
            </w:tcBorders>
          </w:tcPr>
          <w:p>
            <w:pPr>
              <w:spacing w:after="0"/>
              <w:rPr>
                <w:sz w:val="5"/>
                <w:szCs w:val="5"/>
                <w:color w:val="auto"/>
              </w:rPr>
            </w:pPr>
          </w:p>
        </w:tc>
        <w:tc>
          <w:tcPr>
            <w:tcW w:w="112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6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6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760" w:type="dxa"/>
            <w:vAlign w:val="bottom"/>
            <w:tcBorders>
              <w:bottom w:val="single" w:sz="8" w:color="14202A"/>
            </w:tcBorders>
          </w:tcPr>
          <w:p>
            <w:pPr>
              <w:spacing w:after="0"/>
              <w:rPr>
                <w:sz w:val="5"/>
                <w:szCs w:val="5"/>
                <w:color w:val="auto"/>
              </w:rPr>
            </w:pPr>
          </w:p>
        </w:tc>
        <w:tc>
          <w:tcPr>
            <w:tcW w:w="620" w:type="dxa"/>
            <w:vAlign w:val="bottom"/>
            <w:tcBorders>
              <w:bottom w:val="single" w:sz="8" w:color="14202A"/>
            </w:tcBorders>
          </w:tcPr>
          <w:p>
            <w:pPr>
              <w:spacing w:after="0"/>
              <w:rPr>
                <w:sz w:val="5"/>
                <w:szCs w:val="5"/>
                <w:color w:val="auto"/>
              </w:rPr>
            </w:pPr>
          </w:p>
        </w:tc>
        <w:tc>
          <w:tcPr>
            <w:tcW w:w="8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440" w:type="dxa"/>
            <w:vAlign w:val="bottom"/>
            <w:tcBorders>
              <w:bottom w:val="single" w:sz="8" w:color="14202A"/>
            </w:tcBorders>
          </w:tcPr>
          <w:p>
            <w:pPr>
              <w:ind w:left="120"/>
              <w:spacing w:after="0"/>
              <w:rPr>
                <w:sz w:val="20"/>
                <w:szCs w:val="20"/>
                <w:color w:val="auto"/>
              </w:rPr>
            </w:pPr>
            <w:r>
              <w:rPr>
                <w:rFonts w:ascii="Arial" w:cs="Arial" w:eastAsia="Arial" w:hAnsi="Arial"/>
                <w:sz w:val="12"/>
                <w:szCs w:val="12"/>
                <w:color w:val="14202A"/>
              </w:rPr>
              <w:t>Donald J. Clark</w:t>
            </w:r>
            <w:r>
              <w:rPr>
                <w:rFonts w:ascii="Arial" w:cs="Arial" w:eastAsia="Arial" w:hAnsi="Arial"/>
                <w:sz w:val="19"/>
                <w:szCs w:val="19"/>
                <w:color w:val="14202A"/>
                <w:vertAlign w:val="superscript"/>
              </w:rPr>
              <w:t>(6)</w:t>
            </w:r>
          </w:p>
        </w:tc>
        <w:tc>
          <w:tcPr>
            <w:tcW w:w="1120" w:type="dxa"/>
            <w:vAlign w:val="bottom"/>
            <w:tcBorders>
              <w:bottom w:val="single" w:sz="8" w:color="14202A"/>
            </w:tcBorders>
          </w:tcPr>
          <w:p>
            <w:pPr>
              <w:spacing w:after="0"/>
              <w:rPr>
                <w:sz w:val="24"/>
                <w:szCs w:val="24"/>
                <w:color w:val="auto"/>
              </w:rPr>
            </w:pPr>
          </w:p>
        </w:tc>
        <w:tc>
          <w:tcPr>
            <w:tcW w:w="800" w:type="dxa"/>
            <w:vAlign w:val="bottom"/>
            <w:tcBorders>
              <w:bottom w:val="single" w:sz="8" w:color="14202A"/>
            </w:tcBorders>
          </w:tcPr>
          <w:p>
            <w:pPr>
              <w:spacing w:after="0"/>
              <w:rPr>
                <w:sz w:val="24"/>
                <w:szCs w:val="24"/>
                <w:color w:val="auto"/>
              </w:rPr>
            </w:pPr>
          </w:p>
        </w:tc>
        <w:tc>
          <w:tcPr>
            <w:tcW w:w="40" w:type="dxa"/>
            <w:vAlign w:val="bottom"/>
            <w:tcBorders>
              <w:bottom w:val="single" w:sz="8" w:color="14202A"/>
            </w:tcBorders>
          </w:tcPr>
          <w:p>
            <w:pPr>
              <w:spacing w:after="0"/>
              <w:rPr>
                <w:sz w:val="24"/>
                <w:szCs w:val="24"/>
                <w:color w:val="auto"/>
              </w:rPr>
            </w:pPr>
          </w:p>
        </w:tc>
        <w:tc>
          <w:tcPr>
            <w:tcW w:w="640" w:type="dxa"/>
            <w:vAlign w:val="bottom"/>
            <w:tcBorders>
              <w:bottom w:val="single" w:sz="8" w:color="14202A"/>
            </w:tcBorders>
          </w:tcPr>
          <w:p>
            <w:pPr>
              <w:spacing w:after="0"/>
              <w:rPr>
                <w:sz w:val="24"/>
                <w:szCs w:val="24"/>
                <w:color w:val="auto"/>
              </w:rPr>
            </w:pPr>
          </w:p>
        </w:tc>
        <w:tc>
          <w:tcPr>
            <w:tcW w:w="640" w:type="dxa"/>
            <w:vAlign w:val="bottom"/>
            <w:tcBorders>
              <w:bottom w:val="single" w:sz="8" w:color="14202A"/>
            </w:tcBorders>
          </w:tcPr>
          <w:p>
            <w:pPr>
              <w:spacing w:after="0"/>
              <w:rPr>
                <w:sz w:val="24"/>
                <w:szCs w:val="24"/>
                <w:color w:val="auto"/>
              </w:rPr>
            </w:pPr>
          </w:p>
        </w:tc>
        <w:tc>
          <w:tcPr>
            <w:tcW w:w="660" w:type="dxa"/>
            <w:vAlign w:val="bottom"/>
            <w:tcBorders>
              <w:bottom w:val="single" w:sz="8" w:color="14202A"/>
            </w:tcBorders>
          </w:tcPr>
          <w:p>
            <w:pPr>
              <w:spacing w:after="0"/>
              <w:rPr>
                <w:sz w:val="24"/>
                <w:szCs w:val="24"/>
                <w:color w:val="auto"/>
              </w:rPr>
            </w:pPr>
          </w:p>
        </w:tc>
        <w:tc>
          <w:tcPr>
            <w:tcW w:w="40" w:type="dxa"/>
            <w:vAlign w:val="bottom"/>
            <w:tcBorders>
              <w:bottom w:val="single" w:sz="8" w:color="14202A"/>
            </w:tcBorders>
          </w:tcPr>
          <w:p>
            <w:pPr>
              <w:spacing w:after="0"/>
              <w:rPr>
                <w:sz w:val="24"/>
                <w:szCs w:val="24"/>
                <w:color w:val="auto"/>
              </w:rPr>
            </w:pPr>
          </w:p>
        </w:tc>
        <w:tc>
          <w:tcPr>
            <w:tcW w:w="680" w:type="dxa"/>
            <w:vAlign w:val="bottom"/>
            <w:tcBorders>
              <w:bottom w:val="single" w:sz="8" w:color="14202A"/>
            </w:tcBorders>
          </w:tcPr>
          <w:p>
            <w:pPr>
              <w:spacing w:after="0"/>
              <w:rPr>
                <w:sz w:val="24"/>
                <w:szCs w:val="24"/>
                <w:color w:val="auto"/>
              </w:rPr>
            </w:pPr>
          </w:p>
        </w:tc>
        <w:tc>
          <w:tcPr>
            <w:tcW w:w="500" w:type="dxa"/>
            <w:vAlign w:val="bottom"/>
            <w:tcBorders>
              <w:bottom w:val="single" w:sz="8" w:color="14202A"/>
            </w:tcBorders>
          </w:tcPr>
          <w:p>
            <w:pPr>
              <w:spacing w:after="0"/>
              <w:rPr>
                <w:sz w:val="24"/>
                <w:szCs w:val="24"/>
                <w:color w:val="auto"/>
              </w:rPr>
            </w:pPr>
          </w:p>
        </w:tc>
        <w:tc>
          <w:tcPr>
            <w:tcW w:w="660" w:type="dxa"/>
            <w:vAlign w:val="bottom"/>
            <w:tcBorders>
              <w:bottom w:val="single" w:sz="8" w:color="14202A"/>
            </w:tcBorders>
          </w:tcPr>
          <w:p>
            <w:pPr>
              <w:spacing w:after="0"/>
              <w:rPr>
                <w:sz w:val="24"/>
                <w:szCs w:val="24"/>
                <w:color w:val="auto"/>
              </w:rPr>
            </w:pPr>
          </w:p>
        </w:tc>
        <w:tc>
          <w:tcPr>
            <w:tcW w:w="40" w:type="dxa"/>
            <w:vAlign w:val="bottom"/>
            <w:tcBorders>
              <w:bottom w:val="single" w:sz="8" w:color="14202A"/>
            </w:tcBorders>
          </w:tcPr>
          <w:p>
            <w:pPr>
              <w:spacing w:after="0"/>
              <w:rPr>
                <w:sz w:val="24"/>
                <w:szCs w:val="24"/>
                <w:color w:val="auto"/>
              </w:rPr>
            </w:pPr>
          </w:p>
        </w:tc>
        <w:tc>
          <w:tcPr>
            <w:tcW w:w="680" w:type="dxa"/>
            <w:vAlign w:val="bottom"/>
            <w:tcBorders>
              <w:bottom w:val="single" w:sz="8" w:color="14202A"/>
            </w:tcBorders>
          </w:tcPr>
          <w:p>
            <w:pPr>
              <w:spacing w:after="0"/>
              <w:rPr>
                <w:sz w:val="24"/>
                <w:szCs w:val="24"/>
                <w:color w:val="auto"/>
              </w:rPr>
            </w:pPr>
          </w:p>
        </w:tc>
        <w:tc>
          <w:tcPr>
            <w:tcW w:w="760" w:type="dxa"/>
            <w:vAlign w:val="bottom"/>
            <w:tcBorders>
              <w:bottom w:val="single" w:sz="8" w:color="14202A"/>
            </w:tcBorders>
          </w:tcPr>
          <w:p>
            <w:pPr>
              <w:spacing w:after="0"/>
              <w:rPr>
                <w:sz w:val="24"/>
                <w:szCs w:val="24"/>
                <w:color w:val="auto"/>
              </w:rPr>
            </w:pPr>
          </w:p>
        </w:tc>
        <w:tc>
          <w:tcPr>
            <w:tcW w:w="620" w:type="dxa"/>
            <w:vAlign w:val="bottom"/>
            <w:tcBorders>
              <w:bottom w:val="single" w:sz="8" w:color="14202A"/>
            </w:tcBorders>
          </w:tcPr>
          <w:p>
            <w:pPr>
              <w:spacing w:after="0"/>
              <w:rPr>
                <w:sz w:val="24"/>
                <w:szCs w:val="24"/>
                <w:color w:val="auto"/>
              </w:rPr>
            </w:pPr>
          </w:p>
        </w:tc>
        <w:tc>
          <w:tcPr>
            <w:tcW w:w="840" w:type="dxa"/>
            <w:vAlign w:val="bottom"/>
            <w:tcBorders>
              <w:bottom w:val="single" w:sz="8" w:color="14202A"/>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440" w:type="dxa"/>
            <w:vAlign w:val="bottom"/>
          </w:tcPr>
          <w:p>
            <w:pPr>
              <w:ind w:left="120"/>
              <w:spacing w:after="0"/>
              <w:rPr>
                <w:sz w:val="20"/>
                <w:szCs w:val="20"/>
                <w:color w:val="auto"/>
              </w:rPr>
            </w:pPr>
            <w:r>
              <w:rPr>
                <w:rFonts w:ascii="Arial" w:cs="Arial" w:eastAsia="Arial" w:hAnsi="Arial"/>
                <w:sz w:val="12"/>
                <w:szCs w:val="12"/>
                <w:color w:val="14202A"/>
              </w:rPr>
              <w:t>Casey J. Tubman</w:t>
            </w:r>
          </w:p>
        </w:tc>
        <w:tc>
          <w:tcPr>
            <w:tcW w:w="1120" w:type="dxa"/>
            <w:vAlign w:val="bottom"/>
          </w:tcPr>
          <w:p>
            <w:pPr>
              <w:ind w:left="40"/>
              <w:spacing w:after="0"/>
              <w:rPr>
                <w:sz w:val="20"/>
                <w:szCs w:val="20"/>
                <w:color w:val="auto"/>
              </w:rPr>
            </w:pPr>
            <w:r>
              <w:rPr>
                <w:rFonts w:ascii="Arial" w:cs="Arial" w:eastAsia="Arial" w:hAnsi="Arial"/>
                <w:sz w:val="13"/>
                <w:szCs w:val="13"/>
                <w:color w:val="14202A"/>
              </w:rPr>
              <w:t>Stock Options</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14202A"/>
                <w:w w:val="97"/>
              </w:rPr>
              <w:t>13,855</w:t>
            </w:r>
          </w:p>
        </w:tc>
        <w:tc>
          <w:tcPr>
            <w:tcW w:w="620" w:type="dxa"/>
            <w:vAlign w:val="bottom"/>
          </w:tcPr>
          <w:p>
            <w:pPr>
              <w:jc w:val="center"/>
              <w:spacing w:after="0"/>
              <w:rPr>
                <w:sz w:val="20"/>
                <w:szCs w:val="20"/>
                <w:color w:val="auto"/>
              </w:rPr>
            </w:pPr>
            <w:r>
              <w:rPr>
                <w:rFonts w:ascii="Arial" w:cs="Arial" w:eastAsia="Arial" w:hAnsi="Arial"/>
                <w:sz w:val="12"/>
                <w:szCs w:val="12"/>
                <w:color w:val="14202A"/>
                <w:w w:val="99"/>
              </w:rPr>
              <w:t>30.75</w:t>
            </w: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141,598</w:t>
            </w: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RSU Award</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14202A"/>
                <w:w w:val="97"/>
              </w:rPr>
              <w:t>10,745</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330,409</w:t>
            </w: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gridSpan w:val="2"/>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2026 OICP</w:t>
            </w:r>
          </w:p>
        </w:tc>
        <w:tc>
          <w:tcPr>
            <w:tcW w:w="800" w:type="dxa"/>
            <w:vAlign w:val="bottom"/>
          </w:tcPr>
          <w:p>
            <w:pPr>
              <w:spacing w:after="0"/>
              <w:rPr>
                <w:sz w:val="18"/>
                <w:szCs w:val="18"/>
                <w:color w:val="auto"/>
              </w:rPr>
            </w:pPr>
          </w:p>
        </w:tc>
        <w:tc>
          <w:tcPr>
            <w:tcW w:w="680" w:type="dxa"/>
            <w:vAlign w:val="bottom"/>
            <w:gridSpan w:val="2"/>
          </w:tcPr>
          <w:p>
            <w:pPr>
              <w:jc w:val="right"/>
              <w:ind w:right="82"/>
              <w:spacing w:after="0"/>
              <w:rPr>
                <w:sz w:val="20"/>
                <w:szCs w:val="20"/>
                <w:color w:val="auto"/>
              </w:rPr>
            </w:pPr>
            <w:r>
              <w:rPr>
                <w:rFonts w:ascii="Arial" w:cs="Arial" w:eastAsia="Arial" w:hAnsi="Arial"/>
                <w:sz w:val="12"/>
                <w:szCs w:val="12"/>
                <w:color w:val="14202A"/>
              </w:rPr>
              <w:t>295,000</w:t>
            </w:r>
          </w:p>
        </w:tc>
        <w:tc>
          <w:tcPr>
            <w:tcW w:w="640" w:type="dxa"/>
            <w:vAlign w:val="bottom"/>
          </w:tcPr>
          <w:p>
            <w:pPr>
              <w:jc w:val="right"/>
              <w:ind w:right="2"/>
              <w:spacing w:after="0"/>
              <w:rPr>
                <w:sz w:val="20"/>
                <w:szCs w:val="20"/>
                <w:color w:val="auto"/>
              </w:rPr>
            </w:pPr>
            <w:r>
              <w:rPr>
                <w:rFonts w:ascii="Arial" w:cs="Arial" w:eastAsia="Arial" w:hAnsi="Arial"/>
                <w:sz w:val="12"/>
                <w:szCs w:val="12"/>
                <w:color w:val="14202A"/>
              </w:rPr>
              <w:t>590,000</w:t>
            </w:r>
          </w:p>
        </w:tc>
        <w:tc>
          <w:tcPr>
            <w:tcW w:w="660" w:type="dxa"/>
            <w:vAlign w:val="bottom"/>
          </w:tcPr>
          <w:p>
            <w:pPr>
              <w:jc w:val="right"/>
              <w:ind w:right="22"/>
              <w:spacing w:after="0"/>
              <w:rPr>
                <w:sz w:val="20"/>
                <w:szCs w:val="20"/>
                <w:color w:val="auto"/>
              </w:rPr>
            </w:pPr>
            <w:r>
              <w:rPr>
                <w:rFonts w:ascii="Arial" w:cs="Arial" w:eastAsia="Arial" w:hAnsi="Arial"/>
                <w:sz w:val="12"/>
                <w:szCs w:val="12"/>
                <w:color w:val="14202A"/>
              </w:rPr>
              <w:t>1,180,001</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720" w:type="dxa"/>
            <w:vAlign w:val="bottom"/>
            <w:tcBorders>
              <w:bottom w:val="single" w:sz="8" w:color="14202A"/>
            </w:tcBorders>
            <w:gridSpan w:val="2"/>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2026-2028 LTIP</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center"/>
              <w:ind w:left="2"/>
              <w:spacing w:after="0"/>
              <w:rPr>
                <w:sz w:val="20"/>
                <w:szCs w:val="20"/>
                <w:color w:val="auto"/>
              </w:rPr>
            </w:pPr>
            <w:r>
              <w:rPr>
                <w:rFonts w:ascii="Arial" w:cs="Arial" w:eastAsia="Arial" w:hAnsi="Arial"/>
                <w:sz w:val="12"/>
                <w:szCs w:val="12"/>
                <w:color w:val="14202A"/>
                <w:w w:val="99"/>
              </w:rPr>
              <w:t>7,675</w:t>
            </w:r>
          </w:p>
        </w:tc>
        <w:tc>
          <w:tcPr>
            <w:tcW w:w="500" w:type="dxa"/>
            <w:vAlign w:val="bottom"/>
          </w:tcPr>
          <w:p>
            <w:pPr>
              <w:jc w:val="center"/>
              <w:spacing w:after="0"/>
              <w:rPr>
                <w:sz w:val="20"/>
                <w:szCs w:val="20"/>
                <w:color w:val="auto"/>
              </w:rPr>
            </w:pPr>
            <w:r>
              <w:rPr>
                <w:rFonts w:ascii="Arial" w:cs="Arial" w:eastAsia="Arial" w:hAnsi="Arial"/>
                <w:sz w:val="12"/>
                <w:szCs w:val="12"/>
                <w:color w:val="14202A"/>
                <w:w w:val="97"/>
              </w:rPr>
              <w:t>15,350</w:t>
            </w:r>
          </w:p>
        </w:tc>
        <w:tc>
          <w:tcPr>
            <w:tcW w:w="660" w:type="dxa"/>
            <w:vAlign w:val="bottom"/>
          </w:tcPr>
          <w:p>
            <w:pPr>
              <w:jc w:val="right"/>
              <w:ind w:right="62"/>
              <w:spacing w:after="0"/>
              <w:rPr>
                <w:sz w:val="20"/>
                <w:szCs w:val="20"/>
                <w:color w:val="auto"/>
              </w:rPr>
            </w:pPr>
            <w:r>
              <w:rPr>
                <w:rFonts w:ascii="Arial" w:cs="Arial" w:eastAsia="Arial" w:hAnsi="Arial"/>
                <w:sz w:val="12"/>
                <w:szCs w:val="12"/>
                <w:color w:val="14202A"/>
              </w:rPr>
              <w:t>30,700</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472,013</w:t>
            </w: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Motorhome</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14202A"/>
              </w:rPr>
              <w:t>900,000</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440" w:type="dxa"/>
            <w:vAlign w:val="bottom"/>
            <w:tcBorders>
              <w:bottom w:val="single" w:sz="8" w:color="14202A"/>
            </w:tcBorders>
          </w:tcPr>
          <w:p>
            <w:pPr>
              <w:spacing w:after="0"/>
              <w:rPr>
                <w:sz w:val="23"/>
                <w:szCs w:val="23"/>
                <w:color w:val="auto"/>
              </w:rPr>
            </w:pPr>
          </w:p>
        </w:tc>
        <w:tc>
          <w:tcPr>
            <w:tcW w:w="1120" w:type="dxa"/>
            <w:vAlign w:val="bottom"/>
            <w:tcBorders>
              <w:bottom w:val="single" w:sz="8" w:color="14202A"/>
            </w:tcBorders>
          </w:tcPr>
          <w:p>
            <w:pPr>
              <w:ind w:left="40"/>
              <w:spacing w:after="0"/>
              <w:rPr>
                <w:sz w:val="20"/>
                <w:szCs w:val="20"/>
                <w:color w:val="auto"/>
              </w:rPr>
            </w:pPr>
            <w:r>
              <w:rPr>
                <w:rFonts w:ascii="Arial" w:cs="Arial" w:eastAsia="Arial" w:hAnsi="Arial"/>
                <w:sz w:val="13"/>
                <w:szCs w:val="13"/>
                <w:color w:val="14202A"/>
              </w:rPr>
              <w:t>Bonus Plan</w:t>
            </w:r>
            <w:r>
              <w:rPr>
                <w:rFonts w:ascii="Arial" w:cs="Arial" w:eastAsia="Arial" w:hAnsi="Arial"/>
                <w:sz w:val="20"/>
                <w:szCs w:val="20"/>
                <w:color w:val="14202A"/>
                <w:vertAlign w:val="superscript"/>
              </w:rPr>
              <w:t>(7)</w:t>
            </w:r>
          </w:p>
        </w:tc>
        <w:tc>
          <w:tcPr>
            <w:tcW w:w="800" w:type="dxa"/>
            <w:vAlign w:val="bottom"/>
            <w:tcBorders>
              <w:bottom w:val="single" w:sz="8" w:color="14202A"/>
            </w:tcBorders>
          </w:tcPr>
          <w:p>
            <w:pPr>
              <w:spacing w:after="0"/>
              <w:rPr>
                <w:sz w:val="23"/>
                <w:szCs w:val="23"/>
                <w:color w:val="auto"/>
              </w:rPr>
            </w:pPr>
          </w:p>
        </w:tc>
        <w:tc>
          <w:tcPr>
            <w:tcW w:w="40" w:type="dxa"/>
            <w:vAlign w:val="bottom"/>
            <w:tcBorders>
              <w:bottom w:val="single" w:sz="8" w:color="14202A"/>
            </w:tcBorders>
          </w:tcPr>
          <w:p>
            <w:pPr>
              <w:spacing w:after="0"/>
              <w:rPr>
                <w:sz w:val="23"/>
                <w:szCs w:val="23"/>
                <w:color w:val="auto"/>
              </w:rPr>
            </w:pPr>
          </w:p>
        </w:tc>
        <w:tc>
          <w:tcPr>
            <w:tcW w:w="640" w:type="dxa"/>
            <w:vAlign w:val="bottom"/>
            <w:tcBorders>
              <w:bottom w:val="single" w:sz="8" w:color="14202A"/>
            </w:tcBorders>
          </w:tcPr>
          <w:p>
            <w:pPr>
              <w:spacing w:after="0"/>
              <w:rPr>
                <w:sz w:val="23"/>
                <w:szCs w:val="23"/>
                <w:color w:val="auto"/>
              </w:rPr>
            </w:pPr>
          </w:p>
        </w:tc>
        <w:tc>
          <w:tcPr>
            <w:tcW w:w="640" w:type="dxa"/>
            <w:vAlign w:val="bottom"/>
            <w:tcBorders>
              <w:bottom w:val="single" w:sz="8" w:color="14202A"/>
            </w:tcBorders>
          </w:tcPr>
          <w:p>
            <w:pPr>
              <w:spacing w:after="0"/>
              <w:rPr>
                <w:sz w:val="23"/>
                <w:szCs w:val="23"/>
                <w:color w:val="auto"/>
              </w:rPr>
            </w:pPr>
          </w:p>
        </w:tc>
        <w:tc>
          <w:tcPr>
            <w:tcW w:w="660" w:type="dxa"/>
            <w:vAlign w:val="bottom"/>
            <w:tcBorders>
              <w:bottom w:val="single" w:sz="8" w:color="14202A"/>
            </w:tcBorders>
          </w:tcPr>
          <w:p>
            <w:pPr>
              <w:spacing w:after="0"/>
              <w:rPr>
                <w:sz w:val="23"/>
                <w:szCs w:val="23"/>
                <w:color w:val="auto"/>
              </w:rPr>
            </w:pPr>
          </w:p>
        </w:tc>
        <w:tc>
          <w:tcPr>
            <w:tcW w:w="40" w:type="dxa"/>
            <w:vAlign w:val="bottom"/>
            <w:tcBorders>
              <w:bottom w:val="single" w:sz="8" w:color="14202A"/>
            </w:tcBorders>
          </w:tcPr>
          <w:p>
            <w:pPr>
              <w:spacing w:after="0"/>
              <w:rPr>
                <w:sz w:val="23"/>
                <w:szCs w:val="23"/>
                <w:color w:val="auto"/>
              </w:rPr>
            </w:pPr>
          </w:p>
        </w:tc>
        <w:tc>
          <w:tcPr>
            <w:tcW w:w="680" w:type="dxa"/>
            <w:vAlign w:val="bottom"/>
            <w:tcBorders>
              <w:bottom w:val="single" w:sz="8" w:color="14202A"/>
            </w:tcBorders>
          </w:tcPr>
          <w:p>
            <w:pPr>
              <w:spacing w:after="0"/>
              <w:rPr>
                <w:sz w:val="23"/>
                <w:szCs w:val="23"/>
                <w:color w:val="auto"/>
              </w:rPr>
            </w:pPr>
          </w:p>
        </w:tc>
        <w:tc>
          <w:tcPr>
            <w:tcW w:w="500" w:type="dxa"/>
            <w:vAlign w:val="bottom"/>
            <w:tcBorders>
              <w:bottom w:val="single" w:sz="8" w:color="14202A"/>
            </w:tcBorders>
          </w:tcPr>
          <w:p>
            <w:pPr>
              <w:spacing w:after="0"/>
              <w:rPr>
                <w:sz w:val="23"/>
                <w:szCs w:val="23"/>
                <w:color w:val="auto"/>
              </w:rPr>
            </w:pPr>
          </w:p>
        </w:tc>
        <w:tc>
          <w:tcPr>
            <w:tcW w:w="660" w:type="dxa"/>
            <w:vAlign w:val="bottom"/>
            <w:tcBorders>
              <w:bottom w:val="single" w:sz="8" w:color="14202A"/>
            </w:tcBorders>
          </w:tcPr>
          <w:p>
            <w:pPr>
              <w:spacing w:after="0"/>
              <w:rPr>
                <w:sz w:val="23"/>
                <w:szCs w:val="23"/>
                <w:color w:val="auto"/>
              </w:rPr>
            </w:pPr>
          </w:p>
        </w:tc>
        <w:tc>
          <w:tcPr>
            <w:tcW w:w="40" w:type="dxa"/>
            <w:vAlign w:val="bottom"/>
            <w:tcBorders>
              <w:bottom w:val="single" w:sz="8" w:color="14202A"/>
            </w:tcBorders>
          </w:tcPr>
          <w:p>
            <w:pPr>
              <w:spacing w:after="0"/>
              <w:rPr>
                <w:sz w:val="23"/>
                <w:szCs w:val="23"/>
                <w:color w:val="auto"/>
              </w:rPr>
            </w:pPr>
          </w:p>
        </w:tc>
        <w:tc>
          <w:tcPr>
            <w:tcW w:w="680" w:type="dxa"/>
            <w:vAlign w:val="bottom"/>
            <w:tcBorders>
              <w:bottom w:val="single" w:sz="8" w:color="14202A"/>
            </w:tcBorders>
          </w:tcPr>
          <w:p>
            <w:pPr>
              <w:spacing w:after="0"/>
              <w:rPr>
                <w:sz w:val="23"/>
                <w:szCs w:val="23"/>
                <w:color w:val="auto"/>
              </w:rPr>
            </w:pPr>
          </w:p>
        </w:tc>
        <w:tc>
          <w:tcPr>
            <w:tcW w:w="760" w:type="dxa"/>
            <w:vAlign w:val="bottom"/>
            <w:tcBorders>
              <w:bottom w:val="single" w:sz="8" w:color="14202A"/>
            </w:tcBorders>
          </w:tcPr>
          <w:p>
            <w:pPr>
              <w:spacing w:after="0"/>
              <w:rPr>
                <w:sz w:val="23"/>
                <w:szCs w:val="23"/>
                <w:color w:val="auto"/>
              </w:rPr>
            </w:pPr>
          </w:p>
        </w:tc>
        <w:tc>
          <w:tcPr>
            <w:tcW w:w="620" w:type="dxa"/>
            <w:vAlign w:val="bottom"/>
            <w:tcBorders>
              <w:bottom w:val="single" w:sz="8" w:color="14202A"/>
            </w:tcBorders>
          </w:tcPr>
          <w:p>
            <w:pPr>
              <w:spacing w:after="0"/>
              <w:rPr>
                <w:sz w:val="23"/>
                <w:szCs w:val="23"/>
                <w:color w:val="auto"/>
              </w:rPr>
            </w:pPr>
          </w:p>
        </w:tc>
        <w:tc>
          <w:tcPr>
            <w:tcW w:w="840" w:type="dxa"/>
            <w:vAlign w:val="bottom"/>
            <w:tcBorders>
              <w:bottom w:val="single" w:sz="8" w:color="14202A"/>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440" w:type="dxa"/>
            <w:vAlign w:val="bottom"/>
          </w:tcPr>
          <w:p>
            <w:pPr>
              <w:ind w:left="120"/>
              <w:spacing w:after="0"/>
              <w:rPr>
                <w:sz w:val="20"/>
                <w:szCs w:val="20"/>
                <w:color w:val="auto"/>
              </w:rPr>
            </w:pPr>
            <w:r>
              <w:rPr>
                <w:rFonts w:ascii="Arial" w:cs="Arial" w:eastAsia="Arial" w:hAnsi="Arial"/>
                <w:sz w:val="12"/>
                <w:szCs w:val="12"/>
                <w:color w:val="14202A"/>
              </w:rPr>
              <w:t>Stacy L. Bogart</w:t>
            </w:r>
          </w:p>
        </w:tc>
        <w:tc>
          <w:tcPr>
            <w:tcW w:w="1120" w:type="dxa"/>
            <w:vAlign w:val="bottom"/>
          </w:tcPr>
          <w:p>
            <w:pPr>
              <w:ind w:left="40"/>
              <w:spacing w:after="0"/>
              <w:rPr>
                <w:sz w:val="20"/>
                <w:szCs w:val="20"/>
                <w:color w:val="auto"/>
              </w:rPr>
            </w:pPr>
            <w:r>
              <w:rPr>
                <w:rFonts w:ascii="Arial" w:cs="Arial" w:eastAsia="Arial" w:hAnsi="Arial"/>
                <w:sz w:val="13"/>
                <w:szCs w:val="13"/>
                <w:color w:val="14202A"/>
              </w:rPr>
              <w:t>Stock Options</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14202A"/>
                <w:w w:val="97"/>
              </w:rPr>
              <w:t>12,973</w:t>
            </w:r>
          </w:p>
        </w:tc>
        <w:tc>
          <w:tcPr>
            <w:tcW w:w="620" w:type="dxa"/>
            <w:vAlign w:val="bottom"/>
          </w:tcPr>
          <w:p>
            <w:pPr>
              <w:jc w:val="center"/>
              <w:spacing w:after="0"/>
              <w:rPr>
                <w:sz w:val="20"/>
                <w:szCs w:val="20"/>
                <w:color w:val="auto"/>
              </w:rPr>
            </w:pPr>
            <w:r>
              <w:rPr>
                <w:rFonts w:ascii="Arial" w:cs="Arial" w:eastAsia="Arial" w:hAnsi="Arial"/>
                <w:sz w:val="12"/>
                <w:szCs w:val="12"/>
                <w:color w:val="14202A"/>
                <w:w w:val="99"/>
              </w:rPr>
              <w:t>30.75</w:t>
            </w: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132,584</w:t>
            </w: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RSU Award</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14202A"/>
                <w:w w:val="97"/>
              </w:rPr>
              <w:t>10,061</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309,376</w:t>
            </w: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gridSpan w:val="2"/>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2026 OICP</w:t>
            </w:r>
          </w:p>
        </w:tc>
        <w:tc>
          <w:tcPr>
            <w:tcW w:w="800" w:type="dxa"/>
            <w:vAlign w:val="bottom"/>
          </w:tcPr>
          <w:p>
            <w:pPr>
              <w:spacing w:after="0"/>
              <w:rPr>
                <w:sz w:val="18"/>
                <w:szCs w:val="18"/>
                <w:color w:val="auto"/>
              </w:rPr>
            </w:pPr>
          </w:p>
        </w:tc>
        <w:tc>
          <w:tcPr>
            <w:tcW w:w="680" w:type="dxa"/>
            <w:vAlign w:val="bottom"/>
            <w:gridSpan w:val="2"/>
          </w:tcPr>
          <w:p>
            <w:pPr>
              <w:jc w:val="right"/>
              <w:ind w:right="82"/>
              <w:spacing w:after="0"/>
              <w:rPr>
                <w:sz w:val="20"/>
                <w:szCs w:val="20"/>
                <w:color w:val="auto"/>
              </w:rPr>
            </w:pPr>
            <w:r>
              <w:rPr>
                <w:rFonts w:ascii="Arial" w:cs="Arial" w:eastAsia="Arial" w:hAnsi="Arial"/>
                <w:sz w:val="12"/>
                <w:szCs w:val="12"/>
                <w:color w:val="14202A"/>
              </w:rPr>
              <w:t>242,362</w:t>
            </w:r>
          </w:p>
        </w:tc>
        <w:tc>
          <w:tcPr>
            <w:tcW w:w="640" w:type="dxa"/>
            <w:vAlign w:val="bottom"/>
          </w:tcPr>
          <w:p>
            <w:pPr>
              <w:jc w:val="right"/>
              <w:ind w:right="2"/>
              <w:spacing w:after="0"/>
              <w:rPr>
                <w:sz w:val="20"/>
                <w:szCs w:val="20"/>
                <w:color w:val="auto"/>
              </w:rPr>
            </w:pPr>
            <w:r>
              <w:rPr>
                <w:rFonts w:ascii="Arial" w:cs="Arial" w:eastAsia="Arial" w:hAnsi="Arial"/>
                <w:sz w:val="12"/>
                <w:szCs w:val="12"/>
                <w:color w:val="14202A"/>
              </w:rPr>
              <w:t>484,724</w:t>
            </w:r>
          </w:p>
        </w:tc>
        <w:tc>
          <w:tcPr>
            <w:tcW w:w="660" w:type="dxa"/>
            <w:vAlign w:val="bottom"/>
          </w:tcPr>
          <w:p>
            <w:pPr>
              <w:jc w:val="right"/>
              <w:ind w:right="22"/>
              <w:spacing w:after="0"/>
              <w:rPr>
                <w:sz w:val="20"/>
                <w:szCs w:val="20"/>
                <w:color w:val="auto"/>
              </w:rPr>
            </w:pPr>
            <w:r>
              <w:rPr>
                <w:rFonts w:ascii="Arial" w:cs="Arial" w:eastAsia="Arial" w:hAnsi="Arial"/>
                <w:sz w:val="12"/>
                <w:szCs w:val="12"/>
                <w:color w:val="14202A"/>
              </w:rPr>
              <w:t>969,447</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720" w:type="dxa"/>
            <w:vAlign w:val="bottom"/>
            <w:tcBorders>
              <w:bottom w:val="single" w:sz="8" w:color="14202A"/>
            </w:tcBorders>
            <w:gridSpan w:val="2"/>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2026-2028 LTIP</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center"/>
              <w:ind w:left="2"/>
              <w:spacing w:after="0"/>
              <w:rPr>
                <w:sz w:val="20"/>
                <w:szCs w:val="20"/>
                <w:color w:val="auto"/>
              </w:rPr>
            </w:pPr>
            <w:r>
              <w:rPr>
                <w:rFonts w:ascii="Arial" w:cs="Arial" w:eastAsia="Arial" w:hAnsi="Arial"/>
                <w:sz w:val="12"/>
                <w:szCs w:val="12"/>
                <w:color w:val="14202A"/>
                <w:w w:val="99"/>
              </w:rPr>
              <w:t>7,186</w:t>
            </w:r>
          </w:p>
        </w:tc>
        <w:tc>
          <w:tcPr>
            <w:tcW w:w="500" w:type="dxa"/>
            <w:vAlign w:val="bottom"/>
          </w:tcPr>
          <w:p>
            <w:pPr>
              <w:jc w:val="center"/>
              <w:spacing w:after="0"/>
              <w:rPr>
                <w:sz w:val="20"/>
                <w:szCs w:val="20"/>
                <w:color w:val="auto"/>
              </w:rPr>
            </w:pPr>
            <w:r>
              <w:rPr>
                <w:rFonts w:ascii="Arial" w:cs="Arial" w:eastAsia="Arial" w:hAnsi="Arial"/>
                <w:sz w:val="12"/>
                <w:szCs w:val="12"/>
                <w:color w:val="14202A"/>
                <w:w w:val="97"/>
              </w:rPr>
              <w:t>14,372</w:t>
            </w:r>
          </w:p>
        </w:tc>
        <w:tc>
          <w:tcPr>
            <w:tcW w:w="660" w:type="dxa"/>
            <w:vAlign w:val="bottom"/>
          </w:tcPr>
          <w:p>
            <w:pPr>
              <w:jc w:val="right"/>
              <w:ind w:right="62"/>
              <w:spacing w:after="0"/>
              <w:rPr>
                <w:sz w:val="20"/>
                <w:szCs w:val="20"/>
                <w:color w:val="auto"/>
              </w:rPr>
            </w:pPr>
            <w:r>
              <w:rPr>
                <w:rFonts w:ascii="Arial" w:cs="Arial" w:eastAsia="Arial" w:hAnsi="Arial"/>
                <w:sz w:val="12"/>
                <w:szCs w:val="12"/>
                <w:color w:val="14202A"/>
              </w:rPr>
              <w:t>28,744</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441,939</w:t>
            </w:r>
          </w:p>
        </w:tc>
        <w:tc>
          <w:tcPr>
            <w:tcW w:w="0" w:type="dxa"/>
            <w:vAlign w:val="bottom"/>
          </w:tcPr>
          <w:p>
            <w:pPr>
              <w:spacing w:after="0"/>
              <w:rPr>
                <w:sz w:val="1"/>
                <w:szCs w:val="1"/>
                <w:color w:val="auto"/>
              </w:rPr>
            </w:pPr>
          </w:p>
        </w:tc>
      </w:tr>
      <w:tr>
        <w:trPr>
          <w:trHeight w:val="41"/>
        </w:trPr>
        <w:tc>
          <w:tcPr>
            <w:tcW w:w="144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800" w:type="dxa"/>
            <w:vAlign w:val="bottom"/>
            <w:tcBorders>
              <w:bottom w:val="single" w:sz="8" w:color="14202A"/>
            </w:tcBorders>
          </w:tcPr>
          <w:p>
            <w:pPr>
              <w:spacing w:after="0"/>
              <w:rPr>
                <w:sz w:val="3"/>
                <w:szCs w:val="3"/>
                <w:color w:val="auto"/>
              </w:rPr>
            </w:pPr>
          </w:p>
        </w:tc>
        <w:tc>
          <w:tcPr>
            <w:tcW w:w="40" w:type="dxa"/>
            <w:vAlign w:val="bottom"/>
            <w:tcBorders>
              <w:bottom w:val="single" w:sz="8" w:color="14202A"/>
            </w:tcBorders>
          </w:tcPr>
          <w:p>
            <w:pPr>
              <w:spacing w:after="0"/>
              <w:rPr>
                <w:sz w:val="3"/>
                <w:szCs w:val="3"/>
                <w:color w:val="auto"/>
              </w:rPr>
            </w:pPr>
          </w:p>
        </w:tc>
        <w:tc>
          <w:tcPr>
            <w:tcW w:w="640" w:type="dxa"/>
            <w:vAlign w:val="bottom"/>
            <w:tcBorders>
              <w:bottom w:val="single" w:sz="8" w:color="14202A"/>
            </w:tcBorders>
          </w:tcPr>
          <w:p>
            <w:pPr>
              <w:spacing w:after="0"/>
              <w:rPr>
                <w:sz w:val="3"/>
                <w:szCs w:val="3"/>
                <w:color w:val="auto"/>
              </w:rPr>
            </w:pPr>
          </w:p>
        </w:tc>
        <w:tc>
          <w:tcPr>
            <w:tcW w:w="640" w:type="dxa"/>
            <w:vAlign w:val="bottom"/>
            <w:tcBorders>
              <w:bottom w:val="single" w:sz="8" w:color="14202A"/>
            </w:tcBorders>
          </w:tcPr>
          <w:p>
            <w:pPr>
              <w:spacing w:after="0"/>
              <w:rPr>
                <w:sz w:val="3"/>
                <w:szCs w:val="3"/>
                <w:color w:val="auto"/>
              </w:rPr>
            </w:pPr>
          </w:p>
        </w:tc>
        <w:tc>
          <w:tcPr>
            <w:tcW w:w="660" w:type="dxa"/>
            <w:vAlign w:val="bottom"/>
            <w:tcBorders>
              <w:bottom w:val="single" w:sz="8" w:color="14202A"/>
            </w:tcBorders>
          </w:tcPr>
          <w:p>
            <w:pPr>
              <w:spacing w:after="0"/>
              <w:rPr>
                <w:sz w:val="3"/>
                <w:szCs w:val="3"/>
                <w:color w:val="auto"/>
              </w:rPr>
            </w:pPr>
          </w:p>
        </w:tc>
        <w:tc>
          <w:tcPr>
            <w:tcW w:w="40" w:type="dxa"/>
            <w:vAlign w:val="bottom"/>
            <w:tcBorders>
              <w:bottom w:val="single" w:sz="8" w:color="14202A"/>
            </w:tcBorders>
          </w:tcPr>
          <w:p>
            <w:pPr>
              <w:spacing w:after="0"/>
              <w:rPr>
                <w:sz w:val="3"/>
                <w:szCs w:val="3"/>
                <w:color w:val="auto"/>
              </w:rPr>
            </w:pPr>
          </w:p>
        </w:tc>
        <w:tc>
          <w:tcPr>
            <w:tcW w:w="680" w:type="dxa"/>
            <w:vAlign w:val="bottom"/>
            <w:tcBorders>
              <w:bottom w:val="single" w:sz="8" w:color="14202A"/>
            </w:tcBorders>
          </w:tcPr>
          <w:p>
            <w:pPr>
              <w:spacing w:after="0"/>
              <w:rPr>
                <w:sz w:val="3"/>
                <w:szCs w:val="3"/>
                <w:color w:val="auto"/>
              </w:rPr>
            </w:pPr>
          </w:p>
        </w:tc>
        <w:tc>
          <w:tcPr>
            <w:tcW w:w="500" w:type="dxa"/>
            <w:vAlign w:val="bottom"/>
            <w:tcBorders>
              <w:bottom w:val="single" w:sz="8" w:color="14202A"/>
            </w:tcBorders>
          </w:tcPr>
          <w:p>
            <w:pPr>
              <w:spacing w:after="0"/>
              <w:rPr>
                <w:sz w:val="3"/>
                <w:szCs w:val="3"/>
                <w:color w:val="auto"/>
              </w:rPr>
            </w:pPr>
          </w:p>
        </w:tc>
        <w:tc>
          <w:tcPr>
            <w:tcW w:w="660" w:type="dxa"/>
            <w:vAlign w:val="bottom"/>
            <w:tcBorders>
              <w:bottom w:val="single" w:sz="8" w:color="14202A"/>
            </w:tcBorders>
          </w:tcPr>
          <w:p>
            <w:pPr>
              <w:spacing w:after="0"/>
              <w:rPr>
                <w:sz w:val="3"/>
                <w:szCs w:val="3"/>
                <w:color w:val="auto"/>
              </w:rPr>
            </w:pPr>
          </w:p>
        </w:tc>
        <w:tc>
          <w:tcPr>
            <w:tcW w:w="40" w:type="dxa"/>
            <w:vAlign w:val="bottom"/>
            <w:tcBorders>
              <w:bottom w:val="single" w:sz="8" w:color="14202A"/>
            </w:tcBorders>
          </w:tcPr>
          <w:p>
            <w:pPr>
              <w:spacing w:after="0"/>
              <w:rPr>
                <w:sz w:val="3"/>
                <w:szCs w:val="3"/>
                <w:color w:val="auto"/>
              </w:rPr>
            </w:pPr>
          </w:p>
        </w:tc>
        <w:tc>
          <w:tcPr>
            <w:tcW w:w="680" w:type="dxa"/>
            <w:vAlign w:val="bottom"/>
            <w:tcBorders>
              <w:bottom w:val="single" w:sz="8" w:color="14202A"/>
            </w:tcBorders>
          </w:tcPr>
          <w:p>
            <w:pPr>
              <w:spacing w:after="0"/>
              <w:rPr>
                <w:sz w:val="3"/>
                <w:szCs w:val="3"/>
                <w:color w:val="auto"/>
              </w:rPr>
            </w:pPr>
          </w:p>
        </w:tc>
        <w:tc>
          <w:tcPr>
            <w:tcW w:w="760" w:type="dxa"/>
            <w:vAlign w:val="bottom"/>
            <w:tcBorders>
              <w:bottom w:val="single" w:sz="8" w:color="14202A"/>
            </w:tcBorders>
          </w:tcPr>
          <w:p>
            <w:pPr>
              <w:spacing w:after="0"/>
              <w:rPr>
                <w:sz w:val="3"/>
                <w:szCs w:val="3"/>
                <w:color w:val="auto"/>
              </w:rPr>
            </w:pPr>
          </w:p>
        </w:tc>
        <w:tc>
          <w:tcPr>
            <w:tcW w:w="620" w:type="dxa"/>
            <w:vAlign w:val="bottom"/>
            <w:tcBorders>
              <w:bottom w:val="single" w:sz="8" w:color="14202A"/>
            </w:tcBorders>
          </w:tcPr>
          <w:p>
            <w:pPr>
              <w:spacing w:after="0"/>
              <w:rPr>
                <w:sz w:val="3"/>
                <w:szCs w:val="3"/>
                <w:color w:val="auto"/>
              </w:rPr>
            </w:pPr>
          </w:p>
        </w:tc>
        <w:tc>
          <w:tcPr>
            <w:tcW w:w="84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-3933825</wp:posOffset>
            </wp:positionV>
            <wp:extent cx="241744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43" w:lineRule="exact"/>
        <w:rPr>
          <w:sz w:val="20"/>
          <w:szCs w:val="20"/>
          <w:color w:val="auto"/>
        </w:rPr>
      </w:pPr>
    </w:p>
    <w:p>
      <w:pPr>
        <w:ind w:left="800" w:right="560" w:hanging="360"/>
        <w:spacing w:after="0" w:line="233" w:lineRule="auto"/>
        <w:tabs>
          <w:tab w:leader="none" w:pos="800" w:val="left"/>
        </w:tabs>
        <w:numPr>
          <w:ilvl w:val="0"/>
          <w:numId w:val="38"/>
        </w:numPr>
        <w:rPr>
          <w:rFonts w:ascii="Arial" w:cs="Arial" w:eastAsia="Arial" w:hAnsi="Arial"/>
          <w:sz w:val="13"/>
          <w:szCs w:val="13"/>
          <w:color w:val="14202A"/>
        </w:rPr>
      </w:pPr>
      <w:r>
        <w:rPr>
          <w:rFonts w:ascii="Arial" w:cs="Arial" w:eastAsia="Arial" w:hAnsi="Arial"/>
          <w:sz w:val="13"/>
          <w:szCs w:val="13"/>
          <w:color w:val="14202A"/>
        </w:rPr>
        <w:t>Fiscal 2026 OICP targets annual performance against goals approved by the committee. Awards under the Fiscal 2026 OICP are payable in cash. The threshold, target and maximum amounts presented above represent amounts that could have been earned by our NEOs for Fiscal 2026 under the Fiscal 2026 OICP.</w:t>
      </w:r>
    </w:p>
    <w:p>
      <w:pPr>
        <w:spacing w:after="0" w:line="23" w:lineRule="exact"/>
        <w:rPr>
          <w:rFonts w:ascii="Arial" w:cs="Arial" w:eastAsia="Arial" w:hAnsi="Arial"/>
          <w:sz w:val="13"/>
          <w:szCs w:val="13"/>
          <w:color w:val="14202A"/>
        </w:rPr>
      </w:pPr>
    </w:p>
    <w:p>
      <w:pPr>
        <w:ind w:left="800" w:right="480" w:hanging="360"/>
        <w:spacing w:after="0" w:line="233" w:lineRule="auto"/>
        <w:tabs>
          <w:tab w:leader="none" w:pos="800" w:val="left"/>
        </w:tabs>
        <w:numPr>
          <w:ilvl w:val="0"/>
          <w:numId w:val="38"/>
        </w:numPr>
        <w:rPr>
          <w:rFonts w:ascii="Arial" w:cs="Arial" w:eastAsia="Arial" w:hAnsi="Arial"/>
          <w:sz w:val="13"/>
          <w:szCs w:val="13"/>
          <w:color w:val="14202A"/>
        </w:rPr>
      </w:pPr>
      <w:r>
        <w:rPr>
          <w:rFonts w:ascii="Arial" w:cs="Arial" w:eastAsia="Arial" w:hAnsi="Arial"/>
          <w:sz w:val="13"/>
          <w:szCs w:val="13"/>
          <w:color w:val="14202A"/>
        </w:rPr>
        <w:t>Fiscal 2026-2028 LTIP refers to our performance share units. For each of the NEOs except for Mr. Clark, the threshold, target and maximum amounts under the Fiscal 2026-2028 LTIP represent potential performance share amounts that are measured over a three-year performance period from August 31, 2025 through August 26, 2028.</w:t>
      </w:r>
    </w:p>
    <w:p>
      <w:pPr>
        <w:spacing w:after="0" w:line="23" w:lineRule="exact"/>
        <w:rPr>
          <w:rFonts w:ascii="Arial" w:cs="Arial" w:eastAsia="Arial" w:hAnsi="Arial"/>
          <w:sz w:val="13"/>
          <w:szCs w:val="13"/>
          <w:color w:val="14202A"/>
        </w:rPr>
      </w:pPr>
    </w:p>
    <w:p>
      <w:pPr>
        <w:ind w:left="800" w:hanging="360"/>
        <w:spacing w:after="0"/>
        <w:tabs>
          <w:tab w:leader="none" w:pos="800" w:val="left"/>
        </w:tabs>
        <w:numPr>
          <w:ilvl w:val="0"/>
          <w:numId w:val="38"/>
        </w:numPr>
        <w:rPr>
          <w:rFonts w:ascii="Arial" w:cs="Arial" w:eastAsia="Arial" w:hAnsi="Arial"/>
          <w:sz w:val="13"/>
          <w:szCs w:val="13"/>
          <w:color w:val="14202A"/>
        </w:rPr>
      </w:pPr>
      <w:r>
        <w:rPr>
          <w:rFonts w:ascii="Arial" w:cs="Arial" w:eastAsia="Arial" w:hAnsi="Arial"/>
          <w:sz w:val="13"/>
          <w:szCs w:val="13"/>
          <w:color w:val="14202A"/>
        </w:rPr>
        <w:t>Consists of restricted stock units that vest one-third each year on the anniversary of the grant date.</w:t>
      </w:r>
    </w:p>
    <w:p>
      <w:pPr>
        <w:spacing w:after="0" w:line="39" w:lineRule="exact"/>
        <w:rPr>
          <w:rFonts w:ascii="Arial" w:cs="Arial" w:eastAsia="Arial" w:hAnsi="Arial"/>
          <w:sz w:val="13"/>
          <w:szCs w:val="13"/>
          <w:color w:val="14202A"/>
        </w:rPr>
      </w:pPr>
    </w:p>
    <w:p>
      <w:pPr>
        <w:ind w:left="800" w:hanging="360"/>
        <w:spacing w:after="0"/>
        <w:tabs>
          <w:tab w:leader="none" w:pos="800" w:val="left"/>
        </w:tabs>
        <w:numPr>
          <w:ilvl w:val="0"/>
          <w:numId w:val="38"/>
        </w:numPr>
        <w:rPr>
          <w:rFonts w:ascii="Arial" w:cs="Arial" w:eastAsia="Arial" w:hAnsi="Arial"/>
          <w:sz w:val="13"/>
          <w:szCs w:val="13"/>
          <w:color w:val="14202A"/>
        </w:rPr>
      </w:pPr>
      <w:r>
        <w:rPr>
          <w:rFonts w:ascii="Arial" w:cs="Arial" w:eastAsia="Arial" w:hAnsi="Arial"/>
          <w:sz w:val="13"/>
          <w:szCs w:val="13"/>
          <w:color w:val="14202A"/>
        </w:rPr>
        <w:t>The grant date fair value per share of restricted stock units was $30.75. The Black-Scholes grant date fair value per option award was $10.22.</w:t>
      </w:r>
    </w:p>
    <w:p>
      <w:pPr>
        <w:spacing w:after="0" w:line="39" w:lineRule="exact"/>
        <w:rPr>
          <w:rFonts w:ascii="Arial" w:cs="Arial" w:eastAsia="Arial" w:hAnsi="Arial"/>
          <w:sz w:val="13"/>
          <w:szCs w:val="13"/>
          <w:color w:val="14202A"/>
        </w:rPr>
      </w:pPr>
    </w:p>
    <w:p>
      <w:pPr>
        <w:ind w:left="800" w:right="500" w:hanging="360"/>
        <w:spacing w:after="0" w:line="243" w:lineRule="auto"/>
        <w:tabs>
          <w:tab w:leader="none" w:pos="800" w:val="left"/>
        </w:tabs>
        <w:numPr>
          <w:ilvl w:val="0"/>
          <w:numId w:val="38"/>
        </w:numPr>
        <w:rPr>
          <w:rFonts w:ascii="Arial" w:cs="Arial" w:eastAsia="Arial" w:hAnsi="Arial"/>
          <w:sz w:val="13"/>
          <w:szCs w:val="13"/>
          <w:color w:val="14202A"/>
        </w:rPr>
      </w:pPr>
      <w:r>
        <w:rPr>
          <w:rFonts w:ascii="Arial" w:cs="Arial" w:eastAsia="Arial" w:hAnsi="Arial"/>
          <w:sz w:val="13"/>
          <w:szCs w:val="13"/>
          <w:color w:val="14202A"/>
        </w:rPr>
        <w:t>The committee approved the Fiscal 2026 OICP and Fiscal 2026-2028 LTIP performance share units on October 14, 2025, effective as of the beginning of Fiscal 2026.</w:t>
      </w:r>
    </w:p>
    <w:p>
      <w:pPr>
        <w:spacing w:after="0" w:line="21" w:lineRule="exact"/>
        <w:rPr>
          <w:rFonts w:ascii="Arial" w:cs="Arial" w:eastAsia="Arial" w:hAnsi="Arial"/>
          <w:sz w:val="13"/>
          <w:szCs w:val="13"/>
          <w:color w:val="14202A"/>
        </w:rPr>
      </w:pPr>
    </w:p>
    <w:p>
      <w:pPr>
        <w:ind w:left="800" w:right="760" w:hanging="360"/>
        <w:spacing w:after="0" w:line="243" w:lineRule="auto"/>
        <w:tabs>
          <w:tab w:leader="none" w:pos="800" w:val="left"/>
        </w:tabs>
        <w:numPr>
          <w:ilvl w:val="0"/>
          <w:numId w:val="38"/>
        </w:numPr>
        <w:rPr>
          <w:rFonts w:ascii="Arial" w:cs="Arial" w:eastAsia="Arial" w:hAnsi="Arial"/>
          <w:sz w:val="13"/>
          <w:szCs w:val="13"/>
          <w:color w:val="14202A"/>
        </w:rPr>
      </w:pPr>
      <w:r>
        <w:rPr>
          <w:rFonts w:ascii="Arial" w:cs="Arial" w:eastAsia="Arial" w:hAnsi="Arial"/>
          <w:sz w:val="13"/>
          <w:szCs w:val="13"/>
          <w:color w:val="14202A"/>
        </w:rPr>
        <w:t>Mr. Clark is not eligible to participate in the OICP or LTIP; however, he is eligible to participate in the Grand Design MIP. For Fiscal 2026, Mr. Clark’s annual incentive plan payout under the Grand Design MIP paid out 100% in cash.</w:t>
      </w:r>
    </w:p>
    <w:p>
      <w:pPr>
        <w:spacing w:after="0" w:line="21" w:lineRule="exact"/>
        <w:rPr>
          <w:rFonts w:ascii="Arial" w:cs="Arial" w:eastAsia="Arial" w:hAnsi="Arial"/>
          <w:sz w:val="13"/>
          <w:szCs w:val="13"/>
          <w:color w:val="14202A"/>
        </w:rPr>
      </w:pPr>
    </w:p>
    <w:p>
      <w:pPr>
        <w:ind w:left="800" w:right="720" w:hanging="360"/>
        <w:spacing w:after="0" w:line="283" w:lineRule="auto"/>
        <w:tabs>
          <w:tab w:leader="none" w:pos="800" w:val="left"/>
        </w:tabs>
        <w:numPr>
          <w:ilvl w:val="0"/>
          <w:numId w:val="38"/>
        </w:numPr>
        <w:rPr>
          <w:rFonts w:ascii="Arial" w:cs="Arial" w:eastAsia="Arial" w:hAnsi="Arial"/>
          <w:sz w:val="12"/>
          <w:szCs w:val="12"/>
          <w:color w:val="14202A"/>
        </w:rPr>
      </w:pPr>
      <w:r>
        <w:rPr>
          <w:rFonts w:ascii="Arial" w:cs="Arial" w:eastAsia="Arial" w:hAnsi="Arial"/>
          <w:sz w:val="12"/>
          <w:szCs w:val="12"/>
          <w:color w:val="14202A"/>
        </w:rPr>
        <w:t>Mr. Tubman also participates in the Motorhome Bonus Plan. This award does not include a threshold or maximum level. If all or part of this award is earned, 50% would be paid in cash and 50% would be paid in restricted stock units which vest one year from the date of grant or upon an involuntary termination.</w:t>
      </w:r>
    </w:p>
    <w:p>
      <w:pPr>
        <w:spacing w:after="0" w:line="269" w:lineRule="exact"/>
        <w:rPr>
          <w:sz w:val="20"/>
          <w:szCs w:val="20"/>
          <w:color w:val="auto"/>
        </w:rPr>
      </w:pPr>
    </w:p>
    <w:p>
      <w:pPr>
        <w:ind w:left="7000"/>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165100</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-83185</wp:posOffset>
            </wp:positionV>
            <wp:extent cx="1465580" cy="939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0160"/>
          </w:cols>
          <w:pgMar w:left="860" w:top="114" w:right="8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right="160"/>
        <w:spacing w:after="0" w:line="272" w:lineRule="auto"/>
        <w:rPr>
          <w:sz w:val="20"/>
          <w:szCs w:val="20"/>
          <w:color w:val="auto"/>
        </w:rPr>
      </w:pPr>
      <w:r>
        <w:rPr>
          <w:rFonts w:ascii="Arial" w:cs="Arial" w:eastAsia="Arial" w:hAnsi="Arial"/>
          <w:sz w:val="22"/>
          <w:szCs w:val="22"/>
          <w:b w:val="1"/>
          <w:bCs w:val="1"/>
          <w:color w:val="DAD490"/>
        </w:rPr>
        <w:t>Narrative Disclosure to Summary Compensation Table and Grants of Plan-Based Awards Table</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Executive Employment Arrangements</w:t>
      </w:r>
    </w:p>
    <w:p>
      <w:pPr>
        <w:spacing w:after="0" w:line="18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14202A"/>
        </w:rPr>
        <w:t>None of the current NEOs have an employment agreement with us except for Mr. Happe and Mr. Clark, as previously discussed. However, all NEOs are party to a CIC Agreement that provides the executive with two years (or three years, in the case of</w:t>
      </w:r>
    </w:p>
    <w:p>
      <w:pPr>
        <w:spacing w:after="0" w:line="1"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14202A"/>
        </w:rPr>
        <w:t>Mr. Happe, or capped at $3,000,000 in the case of Mr. Clark) of severance benefits in the event he or she ceased to be employed by the Company within two years of a change in control, as defined in the CIC Agreement. Discussion of the payouts provided for under various termination situations is set forth in the section “Potential Payments upon Termination or Change in Control” below.</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Base Salary</w:t>
      </w:r>
    </w:p>
    <w:p>
      <w:pPr>
        <w:spacing w:after="0" w:line="194"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14202A"/>
        </w:rPr>
        <w:t>In general, the committee annually reviews and adjusts base pay, in keeping with the overall objectives, pay philosophy and relative position with comparable companies, as discussed in more detail in the Compensation Discussion and Analysis.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Time-Based Stock and Option Awards</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14202A"/>
        </w:rPr>
        <w:t>Grants of restricted stock units and stock options, the ASC 718 grant date fair value of which is disclosed in the Summary Compensation Table, begin vesting annually in increments of one-third beginning one year from the date of grant for restricted stock unit and stock option grants. Restricted stock unit grants and stock option awards are subject to earlier vesting in the event of a change in control, retirement (at the earlier of age 65, or age 55 with 10 years of service) or certain termination of employment scenarios, as set forth in the section “Potential Payments upon Termination or Change in Control” below.</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Annual Incentive Plan</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14202A"/>
        </w:rPr>
        <w:t>In addition to base salary, each NEO (other than Mr. Clark, who is eligible for a bonus as described in the Compensation Discussion and Analysis) is eligible to receive, subject to the Company’s achievement of certain financial performance metrics and the NEO’s achievement of certain individual goals, a target annual incentive cash award equal to a percentage of his or her annual base salary, which is discussed in the Compensation Discussion and Analysis.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Long-Term Incentive Plans/Performance Share Units</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14202A"/>
        </w:rPr>
        <w:t>This element of compensation is described in the Compensation Discussion and Analysis. Additionally, see the Compensation Discussion and Analysis for further information regarding the terms of awards reported in the Summary Compensation Table and the Grants of Plan-Based Awards Table and for discussions regarding incentive compensation awards and allocations between short-term and long-term compensation. See also “Additional Compensation Policies” above for information regarding officer stock ownership guidelines.</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DAD490"/>
        </w:rPr>
        <w:t>Outstanding Equity Awards at Fiscal Year End Table</w:t>
      </w:r>
    </w:p>
    <w:p>
      <w:pPr>
        <w:spacing w:after="0" w:line="139" w:lineRule="exact"/>
        <w:rPr>
          <w:sz w:val="20"/>
          <w:szCs w:val="20"/>
          <w:color w:val="auto"/>
        </w:rPr>
      </w:pPr>
    </w:p>
    <w:p>
      <w:pPr>
        <w:ind w:left="440" w:right="840"/>
        <w:spacing w:after="0" w:line="286" w:lineRule="auto"/>
        <w:rPr>
          <w:sz w:val="20"/>
          <w:szCs w:val="20"/>
          <w:color w:val="auto"/>
        </w:rPr>
      </w:pPr>
      <w:r>
        <w:rPr>
          <w:rFonts w:ascii="Arial" w:cs="Arial" w:eastAsia="Arial" w:hAnsi="Arial"/>
          <w:sz w:val="16"/>
          <w:szCs w:val="16"/>
          <w:color w:val="14202A"/>
        </w:rPr>
        <w:t>The following table provides information regarding the outstanding equity awards held by each of the NEOs as of August 29, 2026:</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20" w:type="dxa"/>
            <w:vAlign w:val="bottom"/>
            <w:shd w:val="clear" w:color="auto" w:fill="14202A"/>
          </w:tcPr>
          <w:p>
            <w:pPr>
              <w:spacing w:after="0"/>
              <w:rPr>
                <w:sz w:val="22"/>
                <w:szCs w:val="22"/>
                <w:color w:val="auto"/>
              </w:rPr>
            </w:pPr>
          </w:p>
        </w:tc>
        <w:tc>
          <w:tcPr>
            <w:tcW w:w="140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880" w:type="dxa"/>
            <w:vAlign w:val="bottom"/>
            <w:shd w:val="clear" w:color="auto" w:fill="14202A"/>
          </w:tcPr>
          <w:p>
            <w:pPr>
              <w:spacing w:after="0"/>
              <w:rPr>
                <w:sz w:val="22"/>
                <w:szCs w:val="22"/>
                <w:color w:val="auto"/>
              </w:rPr>
            </w:pPr>
          </w:p>
        </w:tc>
        <w:tc>
          <w:tcPr>
            <w:tcW w:w="1800" w:type="dxa"/>
            <w:vAlign w:val="bottom"/>
            <w:gridSpan w:val="2"/>
            <w:shd w:val="clear" w:color="auto" w:fill="14202A"/>
          </w:tcPr>
          <w:p>
            <w:pPr>
              <w:ind w:left="400"/>
              <w:spacing w:after="0"/>
              <w:rPr>
                <w:sz w:val="20"/>
                <w:szCs w:val="20"/>
                <w:color w:val="auto"/>
              </w:rPr>
            </w:pPr>
            <w:r>
              <w:rPr>
                <w:rFonts w:ascii="Arial" w:cs="Arial" w:eastAsia="Arial" w:hAnsi="Arial"/>
                <w:sz w:val="13"/>
                <w:szCs w:val="13"/>
                <w:b w:val="1"/>
                <w:bCs w:val="1"/>
                <w:color w:val="FFFFFF"/>
              </w:rPr>
              <w:t>Option Awards</w:t>
            </w:r>
          </w:p>
        </w:tc>
        <w:tc>
          <w:tcPr>
            <w:tcW w:w="78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2140" w:type="dxa"/>
            <w:vAlign w:val="bottom"/>
            <w:gridSpan w:val="2"/>
            <w:shd w:val="clear" w:color="auto" w:fill="14202A"/>
          </w:tcPr>
          <w:p>
            <w:pPr>
              <w:jc w:val="right"/>
              <w:ind w:right="558"/>
              <w:spacing w:after="0"/>
              <w:rPr>
                <w:sz w:val="20"/>
                <w:szCs w:val="20"/>
                <w:color w:val="auto"/>
              </w:rPr>
            </w:pPr>
            <w:r>
              <w:rPr>
                <w:rFonts w:ascii="Arial" w:cs="Arial" w:eastAsia="Arial" w:hAnsi="Arial"/>
                <w:sz w:val="13"/>
                <w:szCs w:val="13"/>
                <w:b w:val="1"/>
                <w:bCs w:val="1"/>
                <w:color w:val="FFFFFF"/>
              </w:rPr>
              <w:t>Stock Awards</w:t>
            </w:r>
          </w:p>
        </w:tc>
        <w:tc>
          <w:tcPr>
            <w:tcW w:w="2880" w:type="dxa"/>
            <w:vAlign w:val="bottom"/>
            <w:gridSpan w:val="2"/>
            <w:shd w:val="clear" w:color="auto" w:fill="14202A"/>
          </w:tcPr>
          <w:p>
            <w:pPr>
              <w:jc w:val="right"/>
              <w:ind w:right="558"/>
              <w:spacing w:after="0"/>
              <w:rPr>
                <w:sz w:val="20"/>
                <w:szCs w:val="20"/>
                <w:color w:val="auto"/>
              </w:rPr>
            </w:pPr>
            <w:r>
              <w:rPr>
                <w:rFonts w:ascii="Arial" w:cs="Arial" w:eastAsia="Arial" w:hAnsi="Arial"/>
                <w:sz w:val="13"/>
                <w:szCs w:val="13"/>
                <w:b w:val="1"/>
                <w:bCs w:val="1"/>
                <w:color w:val="FFFFFF"/>
              </w:rPr>
              <w:t>LTIP / Performance Shares</w:t>
            </w:r>
          </w:p>
        </w:tc>
        <w:tc>
          <w:tcPr>
            <w:tcW w:w="0" w:type="dxa"/>
            <w:vAlign w:val="bottom"/>
          </w:tcPr>
          <w:p>
            <w:pPr>
              <w:spacing w:after="0"/>
              <w:rPr>
                <w:sz w:val="1"/>
                <w:szCs w:val="1"/>
                <w:color w:val="auto"/>
              </w:rPr>
            </w:pPr>
          </w:p>
        </w:tc>
      </w:tr>
      <w:tr>
        <w:trPr>
          <w:trHeight w:val="211"/>
        </w:trPr>
        <w:tc>
          <w:tcPr>
            <w:tcW w:w="120" w:type="dxa"/>
            <w:vAlign w:val="bottom"/>
            <w:shd w:val="clear" w:color="auto" w:fill="14202A"/>
          </w:tcPr>
          <w:p>
            <w:pPr>
              <w:spacing w:after="0"/>
              <w:rPr>
                <w:sz w:val="18"/>
                <w:szCs w:val="18"/>
                <w:color w:val="auto"/>
              </w:rPr>
            </w:pPr>
          </w:p>
        </w:tc>
        <w:tc>
          <w:tcPr>
            <w:tcW w:w="1400" w:type="dxa"/>
            <w:vAlign w:val="bottom"/>
            <w:shd w:val="clear" w:color="auto" w:fill="14202A"/>
          </w:tcPr>
          <w:p>
            <w:pPr>
              <w:spacing w:after="0"/>
              <w:rPr>
                <w:sz w:val="18"/>
                <w:szCs w:val="18"/>
                <w:color w:val="auto"/>
              </w:rPr>
            </w:pPr>
          </w:p>
        </w:tc>
        <w:tc>
          <w:tcPr>
            <w:tcW w:w="80" w:type="dxa"/>
            <w:vAlign w:val="bottom"/>
            <w:shd w:val="clear" w:color="auto" w:fill="14202A"/>
          </w:tcPr>
          <w:p>
            <w:pPr>
              <w:spacing w:after="0"/>
              <w:rPr>
                <w:sz w:val="18"/>
                <w:szCs w:val="18"/>
                <w:color w:val="auto"/>
              </w:rPr>
            </w:pPr>
          </w:p>
        </w:tc>
        <w:tc>
          <w:tcPr>
            <w:tcW w:w="880" w:type="dxa"/>
            <w:vAlign w:val="bottom"/>
            <w:vMerge w:val="restart"/>
            <w:shd w:val="clear" w:color="auto" w:fill="14202A"/>
          </w:tcPr>
          <w:p>
            <w:pPr>
              <w:jc w:val="center"/>
              <w:ind w:right="37"/>
              <w:spacing w:after="0"/>
              <w:rPr>
                <w:sz w:val="20"/>
                <w:szCs w:val="20"/>
                <w:color w:val="auto"/>
              </w:rPr>
            </w:pPr>
            <w:r>
              <w:rPr>
                <w:rFonts w:ascii="Arial" w:cs="Arial" w:eastAsia="Arial" w:hAnsi="Arial"/>
                <w:sz w:val="13"/>
                <w:szCs w:val="13"/>
                <w:b w:val="1"/>
                <w:bCs w:val="1"/>
                <w:color w:val="FFFFFF"/>
                <w:w w:val="95"/>
              </w:rPr>
              <w:t>Number of</w:t>
            </w:r>
          </w:p>
        </w:tc>
        <w:tc>
          <w:tcPr>
            <w:tcW w:w="10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720" w:type="dxa"/>
            <w:vAlign w:val="bottom"/>
            <w:shd w:val="clear" w:color="auto" w:fill="14202A"/>
          </w:tcPr>
          <w:p>
            <w:pPr>
              <w:spacing w:after="0"/>
              <w:rPr>
                <w:sz w:val="18"/>
                <w:szCs w:val="18"/>
                <w:color w:val="auto"/>
              </w:rPr>
            </w:pPr>
          </w:p>
        </w:tc>
        <w:tc>
          <w:tcPr>
            <w:tcW w:w="780" w:type="dxa"/>
            <w:vAlign w:val="bottom"/>
            <w:shd w:val="clear" w:color="auto" w:fill="14202A"/>
          </w:tcPr>
          <w:p>
            <w:pPr>
              <w:spacing w:after="0"/>
              <w:rPr>
                <w:sz w:val="18"/>
                <w:szCs w:val="18"/>
                <w:color w:val="auto"/>
              </w:rPr>
            </w:pPr>
          </w:p>
        </w:tc>
        <w:tc>
          <w:tcPr>
            <w:tcW w:w="80" w:type="dxa"/>
            <w:vAlign w:val="bottom"/>
            <w:shd w:val="clear" w:color="auto" w:fill="14202A"/>
          </w:tcPr>
          <w:p>
            <w:pPr>
              <w:spacing w:after="0"/>
              <w:rPr>
                <w:sz w:val="18"/>
                <w:szCs w:val="18"/>
                <w:color w:val="auto"/>
              </w:rPr>
            </w:pPr>
          </w:p>
        </w:tc>
        <w:tc>
          <w:tcPr>
            <w:tcW w:w="1080" w:type="dxa"/>
            <w:vAlign w:val="bottom"/>
            <w:shd w:val="clear" w:color="auto" w:fill="14202A"/>
          </w:tcPr>
          <w:p>
            <w:pPr>
              <w:spacing w:after="0"/>
              <w:rPr>
                <w:sz w:val="18"/>
                <w:szCs w:val="18"/>
                <w:color w:val="auto"/>
              </w:rPr>
            </w:pPr>
          </w:p>
        </w:tc>
        <w:tc>
          <w:tcPr>
            <w:tcW w:w="1060" w:type="dxa"/>
            <w:vAlign w:val="bottom"/>
            <w:shd w:val="clear" w:color="auto" w:fill="14202A"/>
          </w:tcPr>
          <w:p>
            <w:pPr>
              <w:spacing w:after="0"/>
              <w:rPr>
                <w:sz w:val="18"/>
                <w:szCs w:val="18"/>
                <w:color w:val="auto"/>
              </w:rPr>
            </w:pPr>
          </w:p>
        </w:tc>
        <w:tc>
          <w:tcPr>
            <w:tcW w:w="14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Equity Incentive</w:t>
            </w:r>
          </w:p>
        </w:tc>
        <w:tc>
          <w:tcPr>
            <w:tcW w:w="14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Equity Incentive</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880" w:type="dxa"/>
            <w:vAlign w:val="bottom"/>
            <w:vMerge w:val="continue"/>
            <w:shd w:val="clear" w:color="auto" w:fill="14202A"/>
          </w:tcPr>
          <w:p>
            <w:pPr>
              <w:spacing w:after="0"/>
              <w:rPr>
                <w:sz w:val="11"/>
                <w:szCs w:val="11"/>
                <w:color w:val="auto"/>
              </w:rPr>
            </w:pPr>
          </w:p>
        </w:tc>
        <w:tc>
          <w:tcPr>
            <w:tcW w:w="1080" w:type="dxa"/>
            <w:vAlign w:val="bottom"/>
            <w:vMerge w:val="continue"/>
            <w:shd w:val="clear" w:color="auto" w:fill="14202A"/>
          </w:tcPr>
          <w:p>
            <w:pPr>
              <w:spacing w:after="0"/>
              <w:rPr>
                <w:sz w:val="11"/>
                <w:szCs w:val="11"/>
                <w:color w:val="auto"/>
              </w:rPr>
            </w:pPr>
          </w:p>
        </w:tc>
        <w:tc>
          <w:tcPr>
            <w:tcW w:w="720" w:type="dxa"/>
            <w:vAlign w:val="bottom"/>
            <w:shd w:val="clear" w:color="auto" w:fill="14202A"/>
          </w:tcPr>
          <w:p>
            <w:pPr>
              <w:spacing w:after="0"/>
              <w:rPr>
                <w:sz w:val="11"/>
                <w:szCs w:val="11"/>
                <w:color w:val="auto"/>
              </w:rPr>
            </w:pPr>
          </w:p>
        </w:tc>
        <w:tc>
          <w:tcPr>
            <w:tcW w:w="78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10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0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Market Value</w:t>
            </w: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Plan Awards:</w:t>
            </w:r>
          </w:p>
        </w:tc>
        <w:tc>
          <w:tcPr>
            <w:tcW w:w="14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Plan Awards:</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57"/>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720" w:type="dxa"/>
            <w:vAlign w:val="bottom"/>
            <w:shd w:val="clear" w:color="auto" w:fill="14202A"/>
          </w:tcPr>
          <w:p>
            <w:pPr>
              <w:spacing w:after="0"/>
              <w:rPr>
                <w:sz w:val="11"/>
                <w:szCs w:val="11"/>
                <w:color w:val="auto"/>
              </w:rPr>
            </w:pPr>
          </w:p>
        </w:tc>
        <w:tc>
          <w:tcPr>
            <w:tcW w:w="78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1080" w:type="dxa"/>
            <w:vAlign w:val="bottom"/>
            <w:vMerge w:val="continue"/>
            <w:shd w:val="clear" w:color="auto" w:fill="14202A"/>
          </w:tcPr>
          <w:p>
            <w:pPr>
              <w:spacing w:after="0"/>
              <w:rPr>
                <w:sz w:val="11"/>
                <w:szCs w:val="11"/>
                <w:color w:val="auto"/>
              </w:rPr>
            </w:pPr>
          </w:p>
        </w:tc>
        <w:tc>
          <w:tcPr>
            <w:tcW w:w="1060" w:type="dxa"/>
            <w:vAlign w:val="bottom"/>
            <w:vMerge w:val="continue"/>
            <w:shd w:val="clear" w:color="auto" w:fill="14202A"/>
          </w:tcPr>
          <w:p>
            <w:pPr>
              <w:spacing w:after="0"/>
              <w:rPr>
                <w:sz w:val="11"/>
                <w:szCs w:val="11"/>
                <w:color w:val="auto"/>
              </w:rPr>
            </w:pP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460" w:type="dxa"/>
            <w:vAlign w:val="bottom"/>
            <w:shd w:val="clear" w:color="auto" w:fill="14202A"/>
          </w:tcPr>
          <w:p>
            <w:pPr>
              <w:jc w:val="center"/>
              <w:ind w:right="18"/>
              <w:spacing w:after="0" w:line="135" w:lineRule="exact"/>
              <w:rPr>
                <w:sz w:val="20"/>
                <w:szCs w:val="20"/>
                <w:color w:val="auto"/>
              </w:rPr>
            </w:pPr>
            <w:r>
              <w:rPr>
                <w:rFonts w:ascii="Arial" w:cs="Arial" w:eastAsia="Arial" w:hAnsi="Arial"/>
                <w:sz w:val="13"/>
                <w:szCs w:val="13"/>
                <w:b w:val="1"/>
                <w:bCs w:val="1"/>
                <w:color w:val="FFFFFF"/>
                <w:w w:val="96"/>
              </w:rPr>
              <w:t>Market or Payout</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7"/>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72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78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Shares or</w:t>
            </w:r>
          </w:p>
        </w:tc>
        <w:tc>
          <w:tcPr>
            <w:tcW w:w="10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of Shares or</w:t>
            </w: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Unearned Shares,</w:t>
            </w:r>
          </w:p>
        </w:tc>
        <w:tc>
          <w:tcPr>
            <w:tcW w:w="1460" w:type="dxa"/>
            <w:vAlign w:val="bottom"/>
            <w:shd w:val="clear" w:color="auto" w:fill="14202A"/>
          </w:tcPr>
          <w:p>
            <w:pPr>
              <w:jc w:val="center"/>
              <w:ind w:right="18"/>
              <w:spacing w:after="0" w:line="135" w:lineRule="exact"/>
              <w:rPr>
                <w:sz w:val="20"/>
                <w:szCs w:val="20"/>
                <w:color w:val="auto"/>
              </w:rPr>
            </w:pPr>
            <w:r>
              <w:rPr>
                <w:rFonts w:ascii="Arial" w:cs="Arial" w:eastAsia="Arial" w:hAnsi="Arial"/>
                <w:sz w:val="13"/>
                <w:szCs w:val="13"/>
                <w:b w:val="1"/>
                <w:bCs w:val="1"/>
                <w:color w:val="FFFFFF"/>
                <w:w w:val="96"/>
              </w:rPr>
              <w:t>Value of Unearned</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7"/>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720" w:type="dxa"/>
            <w:vAlign w:val="bottom"/>
            <w:vMerge w:val="continue"/>
            <w:shd w:val="clear" w:color="auto" w:fill="14202A"/>
          </w:tcPr>
          <w:p>
            <w:pPr>
              <w:spacing w:after="0"/>
              <w:rPr>
                <w:sz w:val="11"/>
                <w:szCs w:val="11"/>
                <w:color w:val="auto"/>
              </w:rPr>
            </w:pPr>
          </w:p>
        </w:tc>
        <w:tc>
          <w:tcPr>
            <w:tcW w:w="7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80" w:type="dxa"/>
            <w:vAlign w:val="bottom"/>
            <w:shd w:val="clear" w:color="auto" w:fill="14202A"/>
          </w:tcPr>
          <w:p>
            <w:pPr>
              <w:spacing w:after="0"/>
              <w:rPr>
                <w:sz w:val="11"/>
                <w:szCs w:val="11"/>
                <w:color w:val="auto"/>
              </w:rPr>
            </w:pP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Units of Stock</w:t>
            </w:r>
          </w:p>
        </w:tc>
        <w:tc>
          <w:tcPr>
            <w:tcW w:w="10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Units of Stock</w:t>
            </w: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8"/>
              </w:rPr>
              <w:t>Units or Other</w:t>
            </w:r>
          </w:p>
        </w:tc>
        <w:tc>
          <w:tcPr>
            <w:tcW w:w="14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Shares, Units or</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7"/>
              <w:spacing w:after="0" w:line="135" w:lineRule="exact"/>
              <w:rPr>
                <w:sz w:val="20"/>
                <w:szCs w:val="20"/>
                <w:color w:val="auto"/>
              </w:rPr>
            </w:pPr>
            <w:r>
              <w:rPr>
                <w:rFonts w:ascii="Arial" w:cs="Arial" w:eastAsia="Arial" w:hAnsi="Arial"/>
                <w:sz w:val="13"/>
                <w:szCs w:val="13"/>
                <w:b w:val="1"/>
                <w:bCs w:val="1"/>
                <w:color w:val="FFFFFF"/>
                <w:w w:val="93"/>
              </w:rPr>
              <w:t>Options</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Options</w:t>
            </w:r>
          </w:p>
        </w:tc>
        <w:tc>
          <w:tcPr>
            <w:tcW w:w="7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Exercise</w:t>
            </w:r>
          </w:p>
        </w:tc>
        <w:tc>
          <w:tcPr>
            <w:tcW w:w="780" w:type="dxa"/>
            <w:vAlign w:val="bottom"/>
            <w:vMerge w:val="continue"/>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That Have Not</w:t>
            </w:r>
          </w:p>
        </w:tc>
        <w:tc>
          <w:tcPr>
            <w:tcW w:w="10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That Have Not</w:t>
            </w: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Rights That Have</w:t>
            </w:r>
          </w:p>
        </w:tc>
        <w:tc>
          <w:tcPr>
            <w:tcW w:w="1460" w:type="dxa"/>
            <w:vAlign w:val="bottom"/>
            <w:shd w:val="clear" w:color="auto" w:fill="14202A"/>
          </w:tcPr>
          <w:p>
            <w:pPr>
              <w:jc w:val="center"/>
              <w:ind w:right="18"/>
              <w:spacing w:after="0" w:line="135" w:lineRule="exact"/>
              <w:rPr>
                <w:sz w:val="20"/>
                <w:szCs w:val="20"/>
                <w:color w:val="auto"/>
              </w:rPr>
            </w:pPr>
            <w:r>
              <w:rPr>
                <w:rFonts w:ascii="Arial" w:cs="Arial" w:eastAsia="Arial" w:hAnsi="Arial"/>
                <w:sz w:val="13"/>
                <w:szCs w:val="13"/>
                <w:b w:val="1"/>
                <w:bCs w:val="1"/>
                <w:color w:val="FFFFFF"/>
                <w:w w:val="96"/>
              </w:rPr>
              <w:t>Other Rights That</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8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7"/>
              <w:spacing w:after="0" w:line="135" w:lineRule="exact"/>
              <w:rPr>
                <w:sz w:val="20"/>
                <w:szCs w:val="20"/>
                <w:color w:val="auto"/>
              </w:rPr>
            </w:pPr>
            <w:r>
              <w:rPr>
                <w:rFonts w:ascii="Arial" w:cs="Arial" w:eastAsia="Arial" w:hAnsi="Arial"/>
                <w:sz w:val="13"/>
                <w:szCs w:val="13"/>
                <w:b w:val="1"/>
                <w:bCs w:val="1"/>
                <w:color w:val="FFFFFF"/>
                <w:w w:val="87"/>
              </w:rPr>
              <w:t>(#)</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rPr>
              <w:t>(#)</w:t>
            </w:r>
          </w:p>
        </w:tc>
        <w:tc>
          <w:tcPr>
            <w:tcW w:w="7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Price</w:t>
            </w:r>
          </w:p>
        </w:tc>
        <w:tc>
          <w:tcPr>
            <w:tcW w:w="780" w:type="dxa"/>
            <w:vAlign w:val="bottom"/>
            <w:shd w:val="clear" w:color="auto" w:fill="14202A"/>
          </w:tcPr>
          <w:p>
            <w:pPr>
              <w:jc w:val="center"/>
              <w:ind w:left="17"/>
              <w:spacing w:after="0" w:line="135" w:lineRule="exact"/>
              <w:rPr>
                <w:sz w:val="20"/>
                <w:szCs w:val="20"/>
                <w:color w:val="auto"/>
              </w:rPr>
            </w:pPr>
            <w:r>
              <w:rPr>
                <w:rFonts w:ascii="Arial" w:cs="Arial" w:eastAsia="Arial" w:hAnsi="Arial"/>
                <w:sz w:val="13"/>
                <w:szCs w:val="13"/>
                <w:b w:val="1"/>
                <w:bCs w:val="1"/>
                <w:color w:val="FFFFFF"/>
                <w:w w:val="97"/>
              </w:rPr>
              <w:t>Expiration</w:t>
            </w:r>
          </w:p>
        </w:tc>
        <w:tc>
          <w:tcPr>
            <w:tcW w:w="80" w:type="dxa"/>
            <w:vAlign w:val="bottom"/>
            <w:shd w:val="clear" w:color="auto" w:fill="14202A"/>
          </w:tcPr>
          <w:p>
            <w:pPr>
              <w:spacing w:after="0"/>
              <w:rPr>
                <w:sz w:val="11"/>
                <w:szCs w:val="11"/>
                <w:color w:val="auto"/>
              </w:rPr>
            </w:pP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3"/>
              </w:rPr>
              <w:t>Vested</w:t>
            </w:r>
          </w:p>
        </w:tc>
        <w:tc>
          <w:tcPr>
            <w:tcW w:w="10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3"/>
              </w:rPr>
              <w:t>Vested</w:t>
            </w: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3"/>
              </w:rPr>
              <w:t>Not Yet Vested</w:t>
            </w:r>
          </w:p>
        </w:tc>
        <w:tc>
          <w:tcPr>
            <w:tcW w:w="1460" w:type="dxa"/>
            <w:vAlign w:val="bottom"/>
            <w:shd w:val="clear" w:color="auto" w:fill="14202A"/>
          </w:tcPr>
          <w:p>
            <w:pPr>
              <w:jc w:val="center"/>
              <w:ind w:right="18"/>
              <w:spacing w:after="0" w:line="135" w:lineRule="exact"/>
              <w:rPr>
                <w:sz w:val="20"/>
                <w:szCs w:val="20"/>
                <w:color w:val="auto"/>
              </w:rPr>
            </w:pPr>
            <w:r>
              <w:rPr>
                <w:rFonts w:ascii="Arial" w:cs="Arial" w:eastAsia="Arial" w:hAnsi="Arial"/>
                <w:sz w:val="13"/>
                <w:szCs w:val="13"/>
                <w:b w:val="1"/>
                <w:bCs w:val="1"/>
                <w:color w:val="FFFFFF"/>
                <w:w w:val="95"/>
              </w:rPr>
              <w:t>Have Not Vested</w:t>
            </w:r>
          </w:p>
        </w:tc>
        <w:tc>
          <w:tcPr>
            <w:tcW w:w="0" w:type="dxa"/>
            <w:vAlign w:val="bottom"/>
          </w:tcPr>
          <w:p>
            <w:pPr>
              <w:spacing w:after="0"/>
              <w:rPr>
                <w:sz w:val="1"/>
                <w:szCs w:val="1"/>
                <w:color w:val="auto"/>
              </w:rPr>
            </w:pPr>
          </w:p>
        </w:tc>
      </w:tr>
      <w:tr>
        <w:trPr>
          <w:trHeight w:val="203"/>
        </w:trPr>
        <w:tc>
          <w:tcPr>
            <w:tcW w:w="120" w:type="dxa"/>
            <w:vAlign w:val="bottom"/>
            <w:shd w:val="clear" w:color="auto" w:fill="14202A"/>
          </w:tcPr>
          <w:p>
            <w:pPr>
              <w:spacing w:after="0"/>
              <w:rPr>
                <w:sz w:val="17"/>
                <w:szCs w:val="17"/>
                <w:color w:val="auto"/>
              </w:rPr>
            </w:pPr>
          </w:p>
        </w:tc>
        <w:tc>
          <w:tcPr>
            <w:tcW w:w="1400" w:type="dxa"/>
            <w:vAlign w:val="bottom"/>
            <w:vMerge w:val="continue"/>
            <w:shd w:val="clear" w:color="auto" w:fill="14202A"/>
          </w:tcPr>
          <w:p>
            <w:pPr>
              <w:spacing w:after="0"/>
              <w:rPr>
                <w:sz w:val="17"/>
                <w:szCs w:val="17"/>
                <w:color w:val="auto"/>
              </w:rPr>
            </w:pPr>
          </w:p>
        </w:tc>
        <w:tc>
          <w:tcPr>
            <w:tcW w:w="80" w:type="dxa"/>
            <w:vAlign w:val="bottom"/>
            <w:shd w:val="clear" w:color="auto" w:fill="14202A"/>
          </w:tcPr>
          <w:p>
            <w:pPr>
              <w:spacing w:after="0"/>
              <w:rPr>
                <w:sz w:val="17"/>
                <w:szCs w:val="17"/>
                <w:color w:val="auto"/>
              </w:rPr>
            </w:pPr>
          </w:p>
        </w:tc>
        <w:tc>
          <w:tcPr>
            <w:tcW w:w="8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Exercisable</w:t>
            </w:r>
          </w:p>
        </w:tc>
        <w:tc>
          <w:tcPr>
            <w:tcW w:w="10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Unexercisable</w:t>
            </w:r>
          </w:p>
        </w:tc>
        <w:tc>
          <w:tcPr>
            <w:tcW w:w="7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14202A"/>
          </w:tcPr>
          <w:p>
            <w:pPr>
              <w:jc w:val="center"/>
              <w:ind w:left="37"/>
              <w:spacing w:after="0"/>
              <w:rPr>
                <w:sz w:val="20"/>
                <w:szCs w:val="20"/>
                <w:color w:val="auto"/>
              </w:rPr>
            </w:pPr>
            <w:r>
              <w:rPr>
                <w:rFonts w:ascii="Arial" w:cs="Arial" w:eastAsia="Arial" w:hAnsi="Arial"/>
                <w:sz w:val="13"/>
                <w:szCs w:val="13"/>
                <w:b w:val="1"/>
                <w:bCs w:val="1"/>
                <w:color w:val="FFFFFF"/>
                <w:w w:val="99"/>
              </w:rPr>
              <w:t>Date</w:t>
            </w:r>
          </w:p>
        </w:tc>
        <w:tc>
          <w:tcPr>
            <w:tcW w:w="80" w:type="dxa"/>
            <w:vAlign w:val="bottom"/>
            <w:shd w:val="clear" w:color="auto" w:fill="14202A"/>
          </w:tcPr>
          <w:p>
            <w:pPr>
              <w:spacing w:after="0"/>
              <w:rPr>
                <w:sz w:val="17"/>
                <w:szCs w:val="17"/>
                <w:color w:val="auto"/>
              </w:rPr>
            </w:pPr>
          </w:p>
        </w:tc>
        <w:tc>
          <w:tcPr>
            <w:tcW w:w="10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060" w:type="dxa"/>
            <w:vAlign w:val="bottom"/>
            <w:shd w:val="clear" w:color="auto" w:fill="14202A"/>
          </w:tcPr>
          <w:p>
            <w:pPr>
              <w:jc w:val="right"/>
              <w:ind w:right="258"/>
              <w:spacing w:after="0" w:line="202"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0"/>
                <w:szCs w:val="10"/>
                <w:b w:val="1"/>
                <w:bCs w:val="1"/>
                <w:color w:val="FFFFFF"/>
              </w:rPr>
              <w:t>(14)</w:t>
            </w:r>
          </w:p>
        </w:tc>
        <w:tc>
          <w:tcPr>
            <w:tcW w:w="1420" w:type="dxa"/>
            <w:vAlign w:val="bottom"/>
            <w:shd w:val="clear" w:color="auto" w:fill="14202A"/>
          </w:tcPr>
          <w:p>
            <w:pPr>
              <w:jc w:val="center"/>
              <w:ind w:left="17"/>
              <w:spacing w:after="0"/>
              <w:rPr>
                <w:sz w:val="20"/>
                <w:szCs w:val="20"/>
                <w:color w:val="auto"/>
              </w:rPr>
            </w:pPr>
            <w:r>
              <w:rPr>
                <w:rFonts w:ascii="Arial" w:cs="Arial" w:eastAsia="Arial" w:hAnsi="Arial"/>
                <w:sz w:val="13"/>
                <w:szCs w:val="13"/>
                <w:b w:val="1"/>
                <w:bCs w:val="1"/>
                <w:color w:val="FFFFFF"/>
                <w:w w:val="87"/>
              </w:rPr>
              <w:t>(#)</w:t>
            </w:r>
          </w:p>
        </w:tc>
        <w:tc>
          <w:tcPr>
            <w:tcW w:w="1460" w:type="dxa"/>
            <w:vAlign w:val="bottom"/>
            <w:shd w:val="clear" w:color="auto" w:fill="14202A"/>
          </w:tcPr>
          <w:p>
            <w:pPr>
              <w:jc w:val="right"/>
              <w:ind w:right="518"/>
              <w:spacing w:after="0" w:line="202"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0"/>
                <w:szCs w:val="10"/>
                <w:b w:val="1"/>
                <w:bCs w:val="1"/>
                <w:color w:val="FFFFFF"/>
              </w:rPr>
              <w:t>(15)</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400" w:type="dxa"/>
            <w:vAlign w:val="bottom"/>
          </w:tcPr>
          <w:p>
            <w:pPr>
              <w:ind w:left="60"/>
              <w:spacing w:after="0"/>
              <w:rPr>
                <w:sz w:val="20"/>
                <w:szCs w:val="20"/>
                <w:color w:val="auto"/>
              </w:rPr>
            </w:pPr>
            <w:r>
              <w:rPr>
                <w:rFonts w:ascii="Arial" w:cs="Arial" w:eastAsia="Arial" w:hAnsi="Arial"/>
                <w:sz w:val="13"/>
                <w:szCs w:val="13"/>
                <w:color w:val="14202A"/>
              </w:rPr>
              <w:t>Michael J. Happe</w:t>
            </w: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17,000</w:t>
            </w:r>
          </w:p>
        </w:tc>
        <w:tc>
          <w:tcPr>
            <w:tcW w:w="1080" w:type="dxa"/>
            <w:vAlign w:val="bottom"/>
            <w:tcBorders>
              <w:bottom w:val="single" w:sz="8" w:color="14202A"/>
            </w:tcBorders>
          </w:tcPr>
          <w:p>
            <w:pPr>
              <w:jc w:val="right"/>
              <w:ind w:right="162"/>
              <w:spacing w:after="0" w:line="257"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(1)</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35.50</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12/13/26</w:t>
            </w:r>
          </w:p>
        </w:tc>
        <w:tc>
          <w:tcPr>
            <w:tcW w:w="80" w:type="dxa"/>
            <w:vAlign w:val="bottom"/>
            <w:tcBorders>
              <w:bottom w:val="single" w:sz="8" w:color="14202A"/>
            </w:tcBorders>
          </w:tcPr>
          <w:p>
            <w:pPr>
              <w:spacing w:after="0"/>
              <w:rPr>
                <w:sz w:val="22"/>
                <w:szCs w:val="22"/>
                <w:color w:val="auto"/>
              </w:rPr>
            </w:pPr>
          </w:p>
        </w:tc>
        <w:tc>
          <w:tcPr>
            <w:tcW w:w="1080" w:type="dxa"/>
            <w:vAlign w:val="bottom"/>
            <w:tcBorders>
              <w:bottom w:val="single" w:sz="8" w:color="14202A"/>
            </w:tcBorders>
          </w:tcPr>
          <w:p>
            <w:pPr>
              <w:spacing w:after="0"/>
              <w:rPr>
                <w:sz w:val="22"/>
                <w:szCs w:val="22"/>
                <w:color w:val="auto"/>
              </w:rPr>
            </w:pPr>
          </w:p>
        </w:tc>
        <w:tc>
          <w:tcPr>
            <w:tcW w:w="1060" w:type="dxa"/>
            <w:vAlign w:val="bottom"/>
            <w:tcBorders>
              <w:bottom w:val="single" w:sz="8" w:color="14202A"/>
            </w:tcBorders>
          </w:tcPr>
          <w:p>
            <w:pPr>
              <w:spacing w:after="0"/>
              <w:rPr>
                <w:sz w:val="22"/>
                <w:szCs w:val="22"/>
                <w:color w:val="auto"/>
              </w:rPr>
            </w:pPr>
          </w:p>
        </w:tc>
        <w:tc>
          <w:tcPr>
            <w:tcW w:w="1420" w:type="dxa"/>
            <w:vAlign w:val="bottom"/>
            <w:tcBorders>
              <w:bottom w:val="single" w:sz="8" w:color="14202A"/>
            </w:tcBorders>
          </w:tcPr>
          <w:p>
            <w:pPr>
              <w:spacing w:after="0"/>
              <w:rPr>
                <w:sz w:val="22"/>
                <w:szCs w:val="22"/>
                <w:color w:val="auto"/>
              </w:rPr>
            </w:pPr>
          </w:p>
        </w:tc>
        <w:tc>
          <w:tcPr>
            <w:tcW w:w="1460" w:type="dxa"/>
            <w:vAlign w:val="bottom"/>
            <w:tcBorders>
              <w:bottom w:val="single" w:sz="8" w:color="14202A"/>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28,015</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(2)</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44.40</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10/18/27</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42,831</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(3)</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31.70</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10/15/28</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27,417</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(4)</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47.93</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12/17/29</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25,660</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(5)</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54.49</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10/13/30</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20,669</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(6)</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75.59</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10/12/31</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31,328</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(7)</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56.09</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10/11/32</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22,109</w:t>
            </w:r>
          </w:p>
        </w:tc>
        <w:tc>
          <w:tcPr>
            <w:tcW w:w="1080" w:type="dxa"/>
            <w:vAlign w:val="bottom"/>
            <w:tcBorders>
              <w:bottom w:val="single" w:sz="8" w:color="14202A"/>
            </w:tcBorders>
          </w:tcPr>
          <w:p>
            <w:pPr>
              <w:jc w:val="right"/>
              <w:ind w:right="162"/>
              <w:spacing w:after="0"/>
              <w:rPr>
                <w:sz w:val="20"/>
                <w:szCs w:val="20"/>
                <w:color w:val="auto"/>
              </w:rPr>
            </w:pPr>
            <w:r>
              <w:rPr>
                <w:rFonts w:ascii="Arial" w:cs="Arial" w:eastAsia="Arial" w:hAnsi="Arial"/>
                <w:sz w:val="13"/>
                <w:szCs w:val="13"/>
                <w:color w:val="14202A"/>
              </w:rPr>
              <w:t>11,058</w:t>
            </w:r>
            <w:r>
              <w:rPr>
                <w:rFonts w:ascii="Arial" w:cs="Arial" w:eastAsia="Arial" w:hAnsi="Arial"/>
                <w:sz w:val="20"/>
                <w:szCs w:val="20"/>
                <w:color w:val="14202A"/>
                <w:vertAlign w:val="superscript"/>
              </w:rPr>
              <w:t>(8)</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58.68</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10/10/33</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12,917</w:t>
            </w:r>
          </w:p>
        </w:tc>
        <w:tc>
          <w:tcPr>
            <w:tcW w:w="1080" w:type="dxa"/>
            <w:vAlign w:val="bottom"/>
            <w:tcBorders>
              <w:bottom w:val="single" w:sz="8" w:color="14202A"/>
            </w:tcBorders>
          </w:tcPr>
          <w:p>
            <w:pPr>
              <w:jc w:val="right"/>
              <w:ind w:right="162"/>
              <w:spacing w:after="0"/>
              <w:rPr>
                <w:sz w:val="20"/>
                <w:szCs w:val="20"/>
                <w:color w:val="auto"/>
              </w:rPr>
            </w:pPr>
            <w:r>
              <w:rPr>
                <w:rFonts w:ascii="Arial" w:cs="Arial" w:eastAsia="Arial" w:hAnsi="Arial"/>
                <w:sz w:val="13"/>
                <w:szCs w:val="13"/>
                <w:color w:val="14202A"/>
              </w:rPr>
              <w:t>25,838</w:t>
            </w:r>
            <w:r>
              <w:rPr>
                <w:rFonts w:ascii="Arial" w:cs="Arial" w:eastAsia="Arial" w:hAnsi="Arial"/>
                <w:sz w:val="20"/>
                <w:szCs w:val="20"/>
                <w:color w:val="14202A"/>
                <w:vertAlign w:val="superscript"/>
              </w:rPr>
              <w:t>(9)</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58.87</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10/15/34</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jc w:val="right"/>
              <w:ind w:right="237"/>
              <w:spacing w:after="0"/>
              <w:rPr>
                <w:sz w:val="20"/>
                <w:szCs w:val="20"/>
                <w:color w:val="auto"/>
              </w:rPr>
            </w:pPr>
            <w:r>
              <w:rPr>
                <w:rFonts w:ascii="Arial" w:cs="Arial" w:eastAsia="Arial" w:hAnsi="Arial"/>
                <w:sz w:val="13"/>
                <w:szCs w:val="13"/>
                <w:color w:val="14202A"/>
              </w:rPr>
              <w:t>—</w:t>
            </w:r>
          </w:p>
        </w:tc>
        <w:tc>
          <w:tcPr>
            <w:tcW w:w="1080" w:type="dxa"/>
            <w:vAlign w:val="bottom"/>
            <w:tcBorders>
              <w:bottom w:val="single" w:sz="8" w:color="14202A"/>
            </w:tcBorders>
          </w:tcPr>
          <w:p>
            <w:pPr>
              <w:jc w:val="right"/>
              <w:ind w:right="102"/>
              <w:spacing w:after="0"/>
              <w:rPr>
                <w:sz w:val="20"/>
                <w:szCs w:val="20"/>
                <w:color w:val="auto"/>
              </w:rPr>
            </w:pPr>
            <w:r>
              <w:rPr>
                <w:rFonts w:ascii="Arial" w:cs="Arial" w:eastAsia="Arial" w:hAnsi="Arial"/>
                <w:sz w:val="13"/>
                <w:szCs w:val="13"/>
                <w:color w:val="14202A"/>
              </w:rPr>
              <w:t>89,530</w:t>
            </w:r>
            <w:r>
              <w:rPr>
                <w:rFonts w:ascii="Arial" w:cs="Arial" w:eastAsia="Arial" w:hAnsi="Arial"/>
                <w:sz w:val="20"/>
                <w:szCs w:val="20"/>
                <w:color w:val="14202A"/>
                <w:vertAlign w:val="superscript"/>
              </w:rPr>
              <w:t>(10)</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30.75</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10/14/35</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77"/>
              <w:spacing w:after="0"/>
              <w:rPr>
                <w:sz w:val="20"/>
                <w:szCs w:val="20"/>
                <w:color w:val="auto"/>
              </w:rPr>
            </w:pPr>
            <w:r>
              <w:rPr>
                <w:rFonts w:ascii="Arial" w:cs="Arial" w:eastAsia="Arial" w:hAnsi="Arial"/>
                <w:sz w:val="13"/>
                <w:szCs w:val="13"/>
                <w:color w:val="14202A"/>
              </w:rPr>
              <w:t>47,290</w:t>
            </w:r>
            <w:r>
              <w:rPr>
                <w:rFonts w:ascii="Arial" w:cs="Arial" w:eastAsia="Arial" w:hAnsi="Arial"/>
                <w:sz w:val="20"/>
                <w:szCs w:val="20"/>
                <w:color w:val="14202A"/>
                <w:vertAlign w:val="superscript"/>
              </w:rPr>
              <w:t>(11)</w:t>
            </w:r>
          </w:p>
        </w:tc>
        <w:tc>
          <w:tcPr>
            <w:tcW w:w="1460" w:type="dxa"/>
            <w:vAlign w:val="bottom"/>
            <w:tcBorders>
              <w:bottom w:val="single" w:sz="8" w:color="14202A"/>
            </w:tcBorders>
          </w:tcPr>
          <w:p>
            <w:pPr>
              <w:jc w:val="right"/>
              <w:ind w:right="438"/>
              <w:spacing w:after="0"/>
              <w:rPr>
                <w:sz w:val="20"/>
                <w:szCs w:val="20"/>
                <w:color w:val="auto"/>
              </w:rPr>
            </w:pPr>
            <w:r>
              <w:rPr>
                <w:rFonts w:ascii="Arial" w:cs="Arial" w:eastAsia="Arial" w:hAnsi="Arial"/>
                <w:sz w:val="13"/>
                <w:szCs w:val="13"/>
                <w:color w:val="14202A"/>
              </w:rPr>
              <w:t>1,447,074</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rPr>
              <w:t>51,809</w:t>
            </w:r>
            <w:r>
              <w:rPr>
                <w:rFonts w:ascii="Arial" w:cs="Arial" w:eastAsia="Arial" w:hAnsi="Arial"/>
                <w:sz w:val="20"/>
                <w:szCs w:val="20"/>
                <w:color w:val="14202A"/>
                <w:vertAlign w:val="superscript"/>
              </w:rPr>
              <w:t>(12)</w:t>
            </w:r>
          </w:p>
        </w:tc>
        <w:tc>
          <w:tcPr>
            <w:tcW w:w="1460" w:type="dxa"/>
            <w:vAlign w:val="bottom"/>
            <w:tcBorders>
              <w:bottom w:val="single" w:sz="8" w:color="14202A"/>
            </w:tcBorders>
          </w:tcPr>
          <w:p>
            <w:pPr>
              <w:jc w:val="right"/>
              <w:ind w:right="438"/>
              <w:spacing w:after="0"/>
              <w:rPr>
                <w:sz w:val="20"/>
                <w:szCs w:val="20"/>
                <w:color w:val="auto"/>
              </w:rPr>
            </w:pPr>
            <w:r>
              <w:rPr>
                <w:rFonts w:ascii="Arial" w:cs="Arial" w:eastAsia="Arial" w:hAnsi="Arial"/>
                <w:sz w:val="13"/>
                <w:szCs w:val="13"/>
                <w:color w:val="14202A"/>
              </w:rPr>
              <w:t>1,585,355</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rPr>
              <w:t>99,187</w:t>
            </w:r>
            <w:r>
              <w:rPr>
                <w:rFonts w:ascii="Arial" w:cs="Arial" w:eastAsia="Arial" w:hAnsi="Arial"/>
                <w:sz w:val="20"/>
                <w:szCs w:val="20"/>
                <w:color w:val="14202A"/>
                <w:vertAlign w:val="superscript"/>
              </w:rPr>
              <w:t>(13)</w:t>
            </w:r>
          </w:p>
        </w:tc>
        <w:tc>
          <w:tcPr>
            <w:tcW w:w="1460" w:type="dxa"/>
            <w:vAlign w:val="bottom"/>
            <w:tcBorders>
              <w:bottom w:val="single" w:sz="8" w:color="14202A"/>
            </w:tcBorders>
          </w:tcPr>
          <w:p>
            <w:pPr>
              <w:jc w:val="right"/>
              <w:ind w:right="438"/>
              <w:spacing w:after="0"/>
              <w:rPr>
                <w:sz w:val="20"/>
                <w:szCs w:val="20"/>
                <w:color w:val="auto"/>
              </w:rPr>
            </w:pPr>
            <w:r>
              <w:rPr>
                <w:rFonts w:ascii="Arial" w:cs="Arial" w:eastAsia="Arial" w:hAnsi="Arial"/>
                <w:sz w:val="13"/>
                <w:szCs w:val="13"/>
                <w:color w:val="14202A"/>
              </w:rPr>
              <w:t>3,035,122</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157"/>
              <w:spacing w:after="0"/>
              <w:rPr>
                <w:sz w:val="20"/>
                <w:szCs w:val="20"/>
                <w:color w:val="auto"/>
              </w:rPr>
            </w:pPr>
            <w:r>
              <w:rPr>
                <w:rFonts w:ascii="Arial" w:cs="Arial" w:eastAsia="Arial" w:hAnsi="Arial"/>
                <w:sz w:val="13"/>
                <w:szCs w:val="13"/>
                <w:color w:val="14202A"/>
              </w:rPr>
              <w:t>11,037</w:t>
            </w:r>
            <w:r>
              <w:rPr>
                <w:rFonts w:ascii="Arial" w:cs="Arial" w:eastAsia="Arial" w:hAnsi="Arial"/>
                <w:sz w:val="20"/>
                <w:szCs w:val="20"/>
                <w:color w:val="14202A"/>
                <w:vertAlign w:val="superscript"/>
              </w:rPr>
              <w:t>(8)</w:t>
            </w:r>
          </w:p>
        </w:tc>
        <w:tc>
          <w:tcPr>
            <w:tcW w:w="1060" w:type="dxa"/>
            <w:vAlign w:val="bottom"/>
            <w:tcBorders>
              <w:bottom w:val="single" w:sz="8" w:color="14202A"/>
            </w:tcBorders>
          </w:tcPr>
          <w:p>
            <w:pPr>
              <w:jc w:val="right"/>
              <w:ind w:right="158"/>
              <w:spacing w:after="0"/>
              <w:rPr>
                <w:sz w:val="20"/>
                <w:szCs w:val="20"/>
                <w:color w:val="auto"/>
              </w:rPr>
            </w:pPr>
            <w:r>
              <w:rPr>
                <w:rFonts w:ascii="Arial" w:cs="Arial" w:eastAsia="Arial" w:hAnsi="Arial"/>
                <w:sz w:val="13"/>
                <w:szCs w:val="13"/>
                <w:color w:val="14202A"/>
              </w:rPr>
              <w:t>337,732</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157"/>
              <w:spacing w:after="0"/>
              <w:rPr>
                <w:sz w:val="20"/>
                <w:szCs w:val="20"/>
                <w:color w:val="auto"/>
              </w:rPr>
            </w:pPr>
            <w:r>
              <w:rPr>
                <w:rFonts w:ascii="Arial" w:cs="Arial" w:eastAsia="Arial" w:hAnsi="Arial"/>
                <w:sz w:val="13"/>
                <w:szCs w:val="13"/>
                <w:color w:val="14202A"/>
              </w:rPr>
              <w:t>24,179</w:t>
            </w:r>
            <w:r>
              <w:rPr>
                <w:rFonts w:ascii="Arial" w:cs="Arial" w:eastAsia="Arial" w:hAnsi="Arial"/>
                <w:sz w:val="20"/>
                <w:szCs w:val="20"/>
                <w:color w:val="14202A"/>
                <w:vertAlign w:val="superscript"/>
              </w:rPr>
              <w:t>(9)</w:t>
            </w:r>
          </w:p>
        </w:tc>
        <w:tc>
          <w:tcPr>
            <w:tcW w:w="1060" w:type="dxa"/>
            <w:vAlign w:val="bottom"/>
            <w:tcBorders>
              <w:bottom w:val="single" w:sz="8" w:color="14202A"/>
            </w:tcBorders>
          </w:tcPr>
          <w:p>
            <w:pPr>
              <w:jc w:val="right"/>
              <w:ind w:right="158"/>
              <w:spacing w:after="0"/>
              <w:rPr>
                <w:sz w:val="20"/>
                <w:szCs w:val="20"/>
                <w:color w:val="auto"/>
              </w:rPr>
            </w:pPr>
            <w:r>
              <w:rPr>
                <w:rFonts w:ascii="Arial" w:cs="Arial" w:eastAsia="Arial" w:hAnsi="Arial"/>
                <w:sz w:val="13"/>
                <w:szCs w:val="13"/>
                <w:color w:val="14202A"/>
              </w:rPr>
              <w:t>739,877</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Borders>
              <w:bottom w:val="single" w:sz="8" w:color="14202A"/>
            </w:tcBorders>
          </w:tcPr>
          <w:p>
            <w:pPr>
              <w:spacing w:after="0"/>
              <w:rPr>
                <w:sz w:val="20"/>
                <w:szCs w:val="20"/>
                <w:color w:val="auto"/>
              </w:rPr>
            </w:pPr>
          </w:p>
        </w:tc>
        <w:tc>
          <w:tcPr>
            <w:tcW w:w="140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97"/>
              <w:spacing w:after="0"/>
              <w:rPr>
                <w:sz w:val="20"/>
                <w:szCs w:val="20"/>
                <w:color w:val="auto"/>
              </w:rPr>
            </w:pPr>
            <w:r>
              <w:rPr>
                <w:rFonts w:ascii="Arial" w:cs="Arial" w:eastAsia="Arial" w:hAnsi="Arial"/>
                <w:sz w:val="13"/>
                <w:szCs w:val="13"/>
                <w:color w:val="14202A"/>
              </w:rPr>
              <w:t>69,431</w:t>
            </w:r>
            <w:r>
              <w:rPr>
                <w:rFonts w:ascii="Arial" w:cs="Arial" w:eastAsia="Arial" w:hAnsi="Arial"/>
                <w:sz w:val="20"/>
                <w:szCs w:val="20"/>
                <w:color w:val="14202A"/>
                <w:vertAlign w:val="superscript"/>
              </w:rPr>
              <w:t>(10)</w:t>
            </w:r>
          </w:p>
        </w:tc>
        <w:tc>
          <w:tcPr>
            <w:tcW w:w="1060" w:type="dxa"/>
            <w:vAlign w:val="bottom"/>
            <w:tcBorders>
              <w:bottom w:val="single" w:sz="8" w:color="14202A"/>
            </w:tcBorders>
          </w:tcPr>
          <w:p>
            <w:pPr>
              <w:jc w:val="right"/>
              <w:ind w:right="138"/>
              <w:spacing w:after="0"/>
              <w:rPr>
                <w:sz w:val="20"/>
                <w:szCs w:val="20"/>
                <w:color w:val="auto"/>
              </w:rPr>
            </w:pPr>
            <w:r>
              <w:rPr>
                <w:rFonts w:ascii="Arial" w:cs="Arial" w:eastAsia="Arial" w:hAnsi="Arial"/>
                <w:sz w:val="13"/>
                <w:szCs w:val="13"/>
                <w:color w:val="14202A"/>
              </w:rPr>
              <w:t>2,124,589</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3"/>
                <w:szCs w:val="13"/>
                <w:color w:val="14202A"/>
              </w:rPr>
              <w:t>Bryan L. Hughes</w:t>
            </w: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8,373</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(2)</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44.40</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10/18/27</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11,438</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(3)</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31.70</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10/15/28</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4,932</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(4)</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47.93</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12/17/29</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4,811</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(5)</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54.49</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10/13/30</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4,060</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(6)</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75.59</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10/12/31</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6,305</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(7)</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56.09</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10/11/32</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4,302</w:t>
            </w:r>
          </w:p>
        </w:tc>
        <w:tc>
          <w:tcPr>
            <w:tcW w:w="1080" w:type="dxa"/>
            <w:vAlign w:val="bottom"/>
            <w:tcBorders>
              <w:bottom w:val="single" w:sz="8" w:color="14202A"/>
            </w:tcBorders>
          </w:tcPr>
          <w:p>
            <w:pPr>
              <w:jc w:val="right"/>
              <w:ind w:right="162"/>
              <w:spacing w:after="0"/>
              <w:rPr>
                <w:sz w:val="20"/>
                <w:szCs w:val="20"/>
                <w:color w:val="auto"/>
              </w:rPr>
            </w:pPr>
            <w:r>
              <w:rPr>
                <w:rFonts w:ascii="Arial" w:cs="Arial" w:eastAsia="Arial" w:hAnsi="Arial"/>
                <w:sz w:val="13"/>
                <w:szCs w:val="13"/>
                <w:color w:val="14202A"/>
              </w:rPr>
              <w:t>2,152</w:t>
            </w:r>
            <w:r>
              <w:rPr>
                <w:rFonts w:ascii="Arial" w:cs="Arial" w:eastAsia="Arial" w:hAnsi="Arial"/>
                <w:sz w:val="20"/>
                <w:szCs w:val="20"/>
                <w:color w:val="14202A"/>
                <w:vertAlign w:val="superscript"/>
              </w:rPr>
              <w:t>(8)</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58.68</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10/10/33</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2,647</w:t>
            </w:r>
          </w:p>
        </w:tc>
        <w:tc>
          <w:tcPr>
            <w:tcW w:w="1080" w:type="dxa"/>
            <w:vAlign w:val="bottom"/>
            <w:tcBorders>
              <w:bottom w:val="single" w:sz="8" w:color="14202A"/>
            </w:tcBorders>
          </w:tcPr>
          <w:p>
            <w:pPr>
              <w:jc w:val="right"/>
              <w:ind w:right="162"/>
              <w:spacing w:after="0"/>
              <w:rPr>
                <w:sz w:val="20"/>
                <w:szCs w:val="20"/>
                <w:color w:val="auto"/>
              </w:rPr>
            </w:pPr>
            <w:r>
              <w:rPr>
                <w:rFonts w:ascii="Arial" w:cs="Arial" w:eastAsia="Arial" w:hAnsi="Arial"/>
                <w:sz w:val="13"/>
                <w:szCs w:val="13"/>
                <w:color w:val="14202A"/>
              </w:rPr>
              <w:t>5,295</w:t>
            </w:r>
            <w:r>
              <w:rPr>
                <w:rFonts w:ascii="Arial" w:cs="Arial" w:eastAsia="Arial" w:hAnsi="Arial"/>
                <w:sz w:val="20"/>
                <w:szCs w:val="20"/>
                <w:color w:val="14202A"/>
                <w:vertAlign w:val="superscript"/>
              </w:rPr>
              <w:t>(9)</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58.87</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10/15/34</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jc w:val="right"/>
              <w:ind w:right="237"/>
              <w:spacing w:after="0"/>
              <w:rPr>
                <w:sz w:val="20"/>
                <w:szCs w:val="20"/>
                <w:color w:val="auto"/>
              </w:rPr>
            </w:pPr>
            <w:r>
              <w:rPr>
                <w:rFonts w:ascii="Arial" w:cs="Arial" w:eastAsia="Arial" w:hAnsi="Arial"/>
                <w:sz w:val="13"/>
                <w:szCs w:val="13"/>
                <w:color w:val="14202A"/>
              </w:rPr>
              <w:t>—</w:t>
            </w:r>
          </w:p>
        </w:tc>
        <w:tc>
          <w:tcPr>
            <w:tcW w:w="1080" w:type="dxa"/>
            <w:vAlign w:val="bottom"/>
            <w:tcBorders>
              <w:bottom w:val="single" w:sz="8" w:color="14202A"/>
            </w:tcBorders>
          </w:tcPr>
          <w:p>
            <w:pPr>
              <w:jc w:val="right"/>
              <w:ind w:right="102"/>
              <w:spacing w:after="0"/>
              <w:rPr>
                <w:sz w:val="20"/>
                <w:szCs w:val="20"/>
                <w:color w:val="auto"/>
              </w:rPr>
            </w:pPr>
            <w:r>
              <w:rPr>
                <w:rFonts w:ascii="Arial" w:cs="Arial" w:eastAsia="Arial" w:hAnsi="Arial"/>
                <w:sz w:val="13"/>
                <w:szCs w:val="13"/>
                <w:color w:val="14202A"/>
              </w:rPr>
              <w:t>18,897</w:t>
            </w:r>
            <w:r>
              <w:rPr>
                <w:rFonts w:ascii="Arial" w:cs="Arial" w:eastAsia="Arial" w:hAnsi="Arial"/>
                <w:sz w:val="20"/>
                <w:szCs w:val="20"/>
                <w:color w:val="14202A"/>
                <w:vertAlign w:val="superscript"/>
              </w:rPr>
              <w:t>(10)</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30.75</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10/14/35</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77"/>
              <w:spacing w:after="0"/>
              <w:rPr>
                <w:sz w:val="20"/>
                <w:szCs w:val="20"/>
                <w:color w:val="auto"/>
              </w:rPr>
            </w:pPr>
            <w:r>
              <w:rPr>
                <w:rFonts w:ascii="Arial" w:cs="Arial" w:eastAsia="Arial" w:hAnsi="Arial"/>
                <w:sz w:val="13"/>
                <w:szCs w:val="13"/>
                <w:color w:val="14202A"/>
              </w:rPr>
              <w:t>9,202</w:t>
            </w:r>
            <w:r>
              <w:rPr>
                <w:rFonts w:ascii="Arial" w:cs="Arial" w:eastAsia="Arial" w:hAnsi="Arial"/>
                <w:sz w:val="20"/>
                <w:szCs w:val="20"/>
                <w:color w:val="14202A"/>
                <w:vertAlign w:val="superscript"/>
              </w:rPr>
              <w:t>(11)</w:t>
            </w:r>
          </w:p>
        </w:tc>
        <w:tc>
          <w:tcPr>
            <w:tcW w:w="1460" w:type="dxa"/>
            <w:vAlign w:val="bottom"/>
            <w:tcBorders>
              <w:bottom w:val="single" w:sz="8" w:color="14202A"/>
            </w:tcBorders>
          </w:tcPr>
          <w:p>
            <w:pPr>
              <w:jc w:val="right"/>
              <w:ind w:right="438"/>
              <w:spacing w:after="0"/>
              <w:rPr>
                <w:sz w:val="20"/>
                <w:szCs w:val="20"/>
                <w:color w:val="auto"/>
              </w:rPr>
            </w:pPr>
            <w:r>
              <w:rPr>
                <w:rFonts w:ascii="Arial" w:cs="Arial" w:eastAsia="Arial" w:hAnsi="Arial"/>
                <w:sz w:val="13"/>
                <w:szCs w:val="13"/>
                <w:color w:val="14202A"/>
              </w:rPr>
              <w:t>281,581</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rPr>
              <w:t>10,617</w:t>
            </w:r>
            <w:r>
              <w:rPr>
                <w:rFonts w:ascii="Arial" w:cs="Arial" w:eastAsia="Arial" w:hAnsi="Arial"/>
                <w:sz w:val="20"/>
                <w:szCs w:val="20"/>
                <w:color w:val="14202A"/>
                <w:vertAlign w:val="superscript"/>
              </w:rPr>
              <w:t>(12)</w:t>
            </w:r>
          </w:p>
        </w:tc>
        <w:tc>
          <w:tcPr>
            <w:tcW w:w="1460" w:type="dxa"/>
            <w:vAlign w:val="bottom"/>
            <w:tcBorders>
              <w:bottom w:val="single" w:sz="8" w:color="14202A"/>
            </w:tcBorders>
          </w:tcPr>
          <w:p>
            <w:pPr>
              <w:jc w:val="right"/>
              <w:ind w:right="438"/>
              <w:spacing w:after="0"/>
              <w:rPr>
                <w:sz w:val="20"/>
                <w:szCs w:val="20"/>
                <w:color w:val="auto"/>
              </w:rPr>
            </w:pPr>
            <w:r>
              <w:rPr>
                <w:rFonts w:ascii="Arial" w:cs="Arial" w:eastAsia="Arial" w:hAnsi="Arial"/>
                <w:sz w:val="13"/>
                <w:szCs w:val="13"/>
                <w:color w:val="14202A"/>
              </w:rPr>
              <w:t>324,880</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rPr>
              <w:t>20,935</w:t>
            </w:r>
            <w:r>
              <w:rPr>
                <w:rFonts w:ascii="Arial" w:cs="Arial" w:eastAsia="Arial" w:hAnsi="Arial"/>
                <w:sz w:val="20"/>
                <w:szCs w:val="20"/>
                <w:color w:val="14202A"/>
                <w:vertAlign w:val="superscript"/>
              </w:rPr>
              <w:t>(13)</w:t>
            </w:r>
          </w:p>
        </w:tc>
        <w:tc>
          <w:tcPr>
            <w:tcW w:w="1460" w:type="dxa"/>
            <w:vAlign w:val="bottom"/>
            <w:tcBorders>
              <w:bottom w:val="single" w:sz="8" w:color="14202A"/>
            </w:tcBorders>
          </w:tcPr>
          <w:p>
            <w:pPr>
              <w:jc w:val="right"/>
              <w:ind w:right="438"/>
              <w:spacing w:after="0"/>
              <w:rPr>
                <w:sz w:val="20"/>
                <w:szCs w:val="20"/>
                <w:color w:val="auto"/>
              </w:rPr>
            </w:pPr>
            <w:r>
              <w:rPr>
                <w:rFonts w:ascii="Arial" w:cs="Arial" w:eastAsia="Arial" w:hAnsi="Arial"/>
                <w:sz w:val="13"/>
                <w:szCs w:val="13"/>
                <w:color w:val="14202A"/>
              </w:rPr>
              <w:t>640,611</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157"/>
              <w:spacing w:after="0"/>
              <w:rPr>
                <w:sz w:val="20"/>
                <w:szCs w:val="20"/>
                <w:color w:val="auto"/>
              </w:rPr>
            </w:pPr>
            <w:r>
              <w:rPr>
                <w:rFonts w:ascii="Arial" w:cs="Arial" w:eastAsia="Arial" w:hAnsi="Arial"/>
                <w:sz w:val="13"/>
                <w:szCs w:val="13"/>
                <w:color w:val="14202A"/>
              </w:rPr>
              <w:t>2,148</w:t>
            </w:r>
            <w:r>
              <w:rPr>
                <w:rFonts w:ascii="Arial" w:cs="Arial" w:eastAsia="Arial" w:hAnsi="Arial"/>
                <w:sz w:val="20"/>
                <w:szCs w:val="20"/>
                <w:color w:val="14202A"/>
                <w:vertAlign w:val="superscript"/>
              </w:rPr>
              <w:t>(8)</w:t>
            </w:r>
          </w:p>
        </w:tc>
        <w:tc>
          <w:tcPr>
            <w:tcW w:w="1060" w:type="dxa"/>
            <w:vAlign w:val="bottom"/>
            <w:tcBorders>
              <w:bottom w:val="single" w:sz="8" w:color="14202A"/>
            </w:tcBorders>
          </w:tcPr>
          <w:p>
            <w:pPr>
              <w:jc w:val="right"/>
              <w:ind w:right="138"/>
              <w:spacing w:after="0"/>
              <w:rPr>
                <w:sz w:val="20"/>
                <w:szCs w:val="20"/>
                <w:color w:val="auto"/>
              </w:rPr>
            </w:pPr>
            <w:r>
              <w:rPr>
                <w:rFonts w:ascii="Arial" w:cs="Arial" w:eastAsia="Arial" w:hAnsi="Arial"/>
                <w:sz w:val="13"/>
                <w:szCs w:val="13"/>
                <w:color w:val="14202A"/>
              </w:rPr>
              <w:t>65,729</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157"/>
              <w:spacing w:after="0"/>
              <w:rPr>
                <w:sz w:val="20"/>
                <w:szCs w:val="20"/>
                <w:color w:val="auto"/>
              </w:rPr>
            </w:pPr>
            <w:r>
              <w:rPr>
                <w:rFonts w:ascii="Arial" w:cs="Arial" w:eastAsia="Arial" w:hAnsi="Arial"/>
                <w:sz w:val="13"/>
                <w:szCs w:val="13"/>
                <w:color w:val="14202A"/>
              </w:rPr>
              <w:t>4,955</w:t>
            </w:r>
            <w:r>
              <w:rPr>
                <w:rFonts w:ascii="Arial" w:cs="Arial" w:eastAsia="Arial" w:hAnsi="Arial"/>
                <w:sz w:val="20"/>
                <w:szCs w:val="20"/>
                <w:color w:val="14202A"/>
                <w:vertAlign w:val="superscript"/>
              </w:rPr>
              <w:t>(9)</w:t>
            </w:r>
          </w:p>
        </w:tc>
        <w:tc>
          <w:tcPr>
            <w:tcW w:w="1060" w:type="dxa"/>
            <w:vAlign w:val="bottom"/>
            <w:tcBorders>
              <w:bottom w:val="single" w:sz="8" w:color="14202A"/>
            </w:tcBorders>
          </w:tcPr>
          <w:p>
            <w:pPr>
              <w:jc w:val="right"/>
              <w:ind w:right="158"/>
              <w:spacing w:after="0"/>
              <w:rPr>
                <w:sz w:val="20"/>
                <w:szCs w:val="20"/>
                <w:color w:val="auto"/>
              </w:rPr>
            </w:pPr>
            <w:r>
              <w:rPr>
                <w:rFonts w:ascii="Arial" w:cs="Arial" w:eastAsia="Arial" w:hAnsi="Arial"/>
                <w:sz w:val="13"/>
                <w:szCs w:val="13"/>
                <w:color w:val="14202A"/>
              </w:rPr>
              <w:t>151,623</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Borders>
              <w:bottom w:val="single" w:sz="8" w:color="14202A"/>
            </w:tcBorders>
          </w:tcPr>
          <w:p>
            <w:pPr>
              <w:spacing w:after="0"/>
              <w:rPr>
                <w:sz w:val="20"/>
                <w:szCs w:val="20"/>
                <w:color w:val="auto"/>
              </w:rPr>
            </w:pPr>
          </w:p>
        </w:tc>
        <w:tc>
          <w:tcPr>
            <w:tcW w:w="140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97"/>
              <w:spacing w:after="0"/>
              <w:rPr>
                <w:sz w:val="20"/>
                <w:szCs w:val="20"/>
                <w:color w:val="auto"/>
              </w:rPr>
            </w:pPr>
            <w:r>
              <w:rPr>
                <w:rFonts w:ascii="Arial" w:cs="Arial" w:eastAsia="Arial" w:hAnsi="Arial"/>
                <w:sz w:val="13"/>
                <w:szCs w:val="13"/>
                <w:color w:val="14202A"/>
              </w:rPr>
              <w:t>14,654</w:t>
            </w:r>
            <w:r>
              <w:rPr>
                <w:rFonts w:ascii="Arial" w:cs="Arial" w:eastAsia="Arial" w:hAnsi="Arial"/>
                <w:sz w:val="20"/>
                <w:szCs w:val="20"/>
                <w:color w:val="14202A"/>
                <w:vertAlign w:val="superscript"/>
              </w:rPr>
              <w:t>(10)</w:t>
            </w:r>
          </w:p>
        </w:tc>
        <w:tc>
          <w:tcPr>
            <w:tcW w:w="1060" w:type="dxa"/>
            <w:vAlign w:val="bottom"/>
            <w:tcBorders>
              <w:bottom w:val="single" w:sz="8" w:color="14202A"/>
            </w:tcBorders>
          </w:tcPr>
          <w:p>
            <w:pPr>
              <w:jc w:val="right"/>
              <w:ind w:right="158"/>
              <w:spacing w:after="0"/>
              <w:rPr>
                <w:sz w:val="20"/>
                <w:szCs w:val="20"/>
                <w:color w:val="auto"/>
              </w:rPr>
            </w:pPr>
            <w:r>
              <w:rPr>
                <w:rFonts w:ascii="Arial" w:cs="Arial" w:eastAsia="Arial" w:hAnsi="Arial"/>
                <w:sz w:val="13"/>
                <w:szCs w:val="13"/>
                <w:color w:val="14202A"/>
              </w:rPr>
              <w:t>448,412</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Borders>
              <w:bottom w:val="single" w:sz="8" w:color="14202A"/>
            </w:tcBorders>
          </w:tcPr>
          <w:p>
            <w:pPr>
              <w:spacing w:after="0"/>
              <w:rPr>
                <w:sz w:val="20"/>
                <w:szCs w:val="20"/>
                <w:color w:val="auto"/>
              </w:rPr>
            </w:pPr>
          </w:p>
        </w:tc>
        <w:tc>
          <w:tcPr>
            <w:tcW w:w="1400" w:type="dxa"/>
            <w:vAlign w:val="bottom"/>
            <w:tcBorders>
              <w:bottom w:val="single" w:sz="8" w:color="14202A"/>
            </w:tcBorders>
          </w:tcPr>
          <w:p>
            <w:pPr>
              <w:ind w:left="60"/>
              <w:spacing w:after="0"/>
              <w:rPr>
                <w:sz w:val="20"/>
                <w:szCs w:val="20"/>
                <w:color w:val="auto"/>
              </w:rPr>
            </w:pPr>
            <w:r>
              <w:rPr>
                <w:rFonts w:ascii="Arial" w:cs="Arial" w:eastAsia="Arial" w:hAnsi="Arial"/>
                <w:sz w:val="13"/>
                <w:szCs w:val="13"/>
                <w:color w:val="14202A"/>
              </w:rPr>
              <w:t>Donald J. Clark</w:t>
            </w: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157"/>
              <w:spacing w:after="0"/>
              <w:rPr>
                <w:sz w:val="20"/>
                <w:szCs w:val="20"/>
                <w:color w:val="auto"/>
              </w:rPr>
            </w:pPr>
            <w:r>
              <w:rPr>
                <w:rFonts w:ascii="Arial" w:cs="Arial" w:eastAsia="Arial" w:hAnsi="Arial"/>
                <w:sz w:val="13"/>
                <w:szCs w:val="13"/>
                <w:color w:val="14202A"/>
              </w:rPr>
              <w:t>5,199</w:t>
            </w:r>
            <w:r>
              <w:rPr>
                <w:rFonts w:ascii="Arial" w:cs="Arial" w:eastAsia="Arial" w:hAnsi="Arial"/>
                <w:sz w:val="20"/>
                <w:szCs w:val="20"/>
                <w:color w:val="14202A"/>
                <w:vertAlign w:val="superscript"/>
              </w:rPr>
              <w:t>(8)</w:t>
            </w:r>
          </w:p>
        </w:tc>
        <w:tc>
          <w:tcPr>
            <w:tcW w:w="1060" w:type="dxa"/>
            <w:vAlign w:val="bottom"/>
            <w:tcBorders>
              <w:bottom w:val="single" w:sz="8" w:color="14202A"/>
            </w:tcBorders>
          </w:tcPr>
          <w:p>
            <w:pPr>
              <w:jc w:val="right"/>
              <w:ind w:right="158"/>
              <w:spacing w:after="0"/>
              <w:rPr>
                <w:sz w:val="20"/>
                <w:szCs w:val="20"/>
                <w:color w:val="auto"/>
              </w:rPr>
            </w:pPr>
            <w:r>
              <w:rPr>
                <w:rFonts w:ascii="Arial" w:cs="Arial" w:eastAsia="Arial" w:hAnsi="Arial"/>
                <w:sz w:val="13"/>
                <w:szCs w:val="13"/>
                <w:color w:val="14202A"/>
              </w:rPr>
              <w:t>159,089</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3"/>
                <w:szCs w:val="13"/>
                <w:color w:val="14202A"/>
              </w:rPr>
              <w:t>Casey J. Tubman</w:t>
            </w: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3,133</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(7)</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56.09</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10/11/32</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2,344</w:t>
            </w:r>
          </w:p>
        </w:tc>
        <w:tc>
          <w:tcPr>
            <w:tcW w:w="1080" w:type="dxa"/>
            <w:vAlign w:val="bottom"/>
            <w:tcBorders>
              <w:bottom w:val="single" w:sz="8" w:color="14202A"/>
            </w:tcBorders>
          </w:tcPr>
          <w:p>
            <w:pPr>
              <w:jc w:val="right"/>
              <w:ind w:right="162"/>
              <w:spacing w:after="0"/>
              <w:rPr>
                <w:sz w:val="20"/>
                <w:szCs w:val="20"/>
                <w:color w:val="auto"/>
              </w:rPr>
            </w:pPr>
            <w:r>
              <w:rPr>
                <w:rFonts w:ascii="Arial" w:cs="Arial" w:eastAsia="Arial" w:hAnsi="Arial"/>
                <w:sz w:val="13"/>
                <w:szCs w:val="13"/>
                <w:color w:val="14202A"/>
              </w:rPr>
              <w:t>1,173</w:t>
            </w:r>
            <w:r>
              <w:rPr>
                <w:rFonts w:ascii="Arial" w:cs="Arial" w:eastAsia="Arial" w:hAnsi="Arial"/>
                <w:sz w:val="20"/>
                <w:szCs w:val="20"/>
                <w:color w:val="14202A"/>
                <w:vertAlign w:val="superscript"/>
              </w:rPr>
              <w:t>(8)</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58.68</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10/10/33</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1,422</w:t>
            </w:r>
          </w:p>
        </w:tc>
        <w:tc>
          <w:tcPr>
            <w:tcW w:w="1080" w:type="dxa"/>
            <w:vAlign w:val="bottom"/>
            <w:tcBorders>
              <w:bottom w:val="single" w:sz="8" w:color="14202A"/>
            </w:tcBorders>
          </w:tcPr>
          <w:p>
            <w:pPr>
              <w:jc w:val="right"/>
              <w:ind w:right="162"/>
              <w:spacing w:after="0"/>
              <w:rPr>
                <w:sz w:val="20"/>
                <w:szCs w:val="20"/>
                <w:color w:val="auto"/>
              </w:rPr>
            </w:pPr>
            <w:r>
              <w:rPr>
                <w:rFonts w:ascii="Arial" w:cs="Arial" w:eastAsia="Arial" w:hAnsi="Arial"/>
                <w:sz w:val="13"/>
                <w:szCs w:val="13"/>
                <w:color w:val="14202A"/>
              </w:rPr>
              <w:t>2,847</w:t>
            </w:r>
            <w:r>
              <w:rPr>
                <w:rFonts w:ascii="Arial" w:cs="Arial" w:eastAsia="Arial" w:hAnsi="Arial"/>
                <w:sz w:val="20"/>
                <w:szCs w:val="20"/>
                <w:color w:val="14202A"/>
                <w:vertAlign w:val="superscript"/>
              </w:rPr>
              <w:t>(9)</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58.87</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10/15/34</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jc w:val="right"/>
              <w:ind w:right="237"/>
              <w:spacing w:after="0"/>
              <w:rPr>
                <w:sz w:val="20"/>
                <w:szCs w:val="20"/>
                <w:color w:val="auto"/>
              </w:rPr>
            </w:pPr>
            <w:r>
              <w:rPr>
                <w:rFonts w:ascii="Arial" w:cs="Arial" w:eastAsia="Arial" w:hAnsi="Arial"/>
                <w:sz w:val="13"/>
                <w:szCs w:val="13"/>
                <w:color w:val="14202A"/>
              </w:rPr>
              <w:t>—</w:t>
            </w:r>
          </w:p>
        </w:tc>
        <w:tc>
          <w:tcPr>
            <w:tcW w:w="1080" w:type="dxa"/>
            <w:vAlign w:val="bottom"/>
            <w:tcBorders>
              <w:bottom w:val="single" w:sz="8" w:color="14202A"/>
            </w:tcBorders>
          </w:tcPr>
          <w:p>
            <w:pPr>
              <w:jc w:val="right"/>
              <w:ind w:right="102"/>
              <w:spacing w:after="0"/>
              <w:rPr>
                <w:sz w:val="20"/>
                <w:szCs w:val="20"/>
                <w:color w:val="auto"/>
              </w:rPr>
            </w:pPr>
            <w:r>
              <w:rPr>
                <w:rFonts w:ascii="Arial" w:cs="Arial" w:eastAsia="Arial" w:hAnsi="Arial"/>
                <w:sz w:val="13"/>
                <w:szCs w:val="13"/>
                <w:color w:val="14202A"/>
              </w:rPr>
              <w:t>13,855</w:t>
            </w:r>
            <w:r>
              <w:rPr>
                <w:rFonts w:ascii="Arial" w:cs="Arial" w:eastAsia="Arial" w:hAnsi="Arial"/>
                <w:sz w:val="20"/>
                <w:szCs w:val="20"/>
                <w:color w:val="14202A"/>
                <w:vertAlign w:val="superscript"/>
              </w:rPr>
              <w:t>(10)</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30.75</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10/14/35</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77"/>
              <w:spacing w:after="0"/>
              <w:rPr>
                <w:sz w:val="20"/>
                <w:szCs w:val="20"/>
                <w:color w:val="auto"/>
              </w:rPr>
            </w:pPr>
            <w:r>
              <w:rPr>
                <w:rFonts w:ascii="Arial" w:cs="Arial" w:eastAsia="Arial" w:hAnsi="Arial"/>
                <w:sz w:val="13"/>
                <w:szCs w:val="13"/>
                <w:color w:val="14202A"/>
              </w:rPr>
              <w:t>5,014</w:t>
            </w:r>
            <w:r>
              <w:rPr>
                <w:rFonts w:ascii="Arial" w:cs="Arial" w:eastAsia="Arial" w:hAnsi="Arial"/>
                <w:sz w:val="20"/>
                <w:szCs w:val="20"/>
                <w:color w:val="14202A"/>
                <w:vertAlign w:val="superscript"/>
              </w:rPr>
              <w:t>(11)</w:t>
            </w:r>
          </w:p>
        </w:tc>
        <w:tc>
          <w:tcPr>
            <w:tcW w:w="1460" w:type="dxa"/>
            <w:vAlign w:val="bottom"/>
            <w:tcBorders>
              <w:bottom w:val="single" w:sz="8" w:color="14202A"/>
            </w:tcBorders>
          </w:tcPr>
          <w:p>
            <w:pPr>
              <w:jc w:val="right"/>
              <w:ind w:right="438"/>
              <w:spacing w:after="0"/>
              <w:rPr>
                <w:sz w:val="20"/>
                <w:szCs w:val="20"/>
                <w:color w:val="auto"/>
              </w:rPr>
            </w:pPr>
            <w:r>
              <w:rPr>
                <w:rFonts w:ascii="Arial" w:cs="Arial" w:eastAsia="Arial" w:hAnsi="Arial"/>
                <w:sz w:val="13"/>
                <w:szCs w:val="13"/>
                <w:color w:val="14202A"/>
              </w:rPr>
              <w:t>153,428</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rPr>
              <w:t>5,707</w:t>
            </w:r>
            <w:r>
              <w:rPr>
                <w:rFonts w:ascii="Arial" w:cs="Arial" w:eastAsia="Arial" w:hAnsi="Arial"/>
                <w:sz w:val="20"/>
                <w:szCs w:val="20"/>
                <w:color w:val="14202A"/>
                <w:vertAlign w:val="superscript"/>
              </w:rPr>
              <w:t>(12)</w:t>
            </w:r>
          </w:p>
        </w:tc>
        <w:tc>
          <w:tcPr>
            <w:tcW w:w="1460" w:type="dxa"/>
            <w:vAlign w:val="bottom"/>
            <w:tcBorders>
              <w:bottom w:val="single" w:sz="8" w:color="14202A"/>
            </w:tcBorders>
          </w:tcPr>
          <w:p>
            <w:pPr>
              <w:jc w:val="right"/>
              <w:ind w:right="438"/>
              <w:spacing w:after="0"/>
              <w:rPr>
                <w:sz w:val="20"/>
                <w:szCs w:val="20"/>
                <w:color w:val="auto"/>
              </w:rPr>
            </w:pPr>
            <w:r>
              <w:rPr>
                <w:rFonts w:ascii="Arial" w:cs="Arial" w:eastAsia="Arial" w:hAnsi="Arial"/>
                <w:sz w:val="13"/>
                <w:szCs w:val="13"/>
                <w:color w:val="14202A"/>
              </w:rPr>
              <w:t>174,634</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rPr>
              <w:t>15,350</w:t>
            </w:r>
            <w:r>
              <w:rPr>
                <w:rFonts w:ascii="Arial" w:cs="Arial" w:eastAsia="Arial" w:hAnsi="Arial"/>
                <w:sz w:val="20"/>
                <w:szCs w:val="20"/>
                <w:color w:val="14202A"/>
                <w:vertAlign w:val="superscript"/>
              </w:rPr>
              <w:t>(13)</w:t>
            </w:r>
          </w:p>
        </w:tc>
        <w:tc>
          <w:tcPr>
            <w:tcW w:w="1460" w:type="dxa"/>
            <w:vAlign w:val="bottom"/>
            <w:tcBorders>
              <w:bottom w:val="single" w:sz="8" w:color="14202A"/>
            </w:tcBorders>
          </w:tcPr>
          <w:p>
            <w:pPr>
              <w:jc w:val="right"/>
              <w:ind w:right="438"/>
              <w:spacing w:after="0"/>
              <w:rPr>
                <w:sz w:val="20"/>
                <w:szCs w:val="20"/>
                <w:color w:val="auto"/>
              </w:rPr>
            </w:pPr>
            <w:r>
              <w:rPr>
                <w:rFonts w:ascii="Arial" w:cs="Arial" w:eastAsia="Arial" w:hAnsi="Arial"/>
                <w:sz w:val="13"/>
                <w:szCs w:val="13"/>
                <w:color w:val="14202A"/>
              </w:rPr>
              <w:t>469,710</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157"/>
              <w:spacing w:after="0"/>
              <w:rPr>
                <w:sz w:val="20"/>
                <w:szCs w:val="20"/>
                <w:color w:val="auto"/>
              </w:rPr>
            </w:pPr>
            <w:r>
              <w:rPr>
                <w:rFonts w:ascii="Arial" w:cs="Arial" w:eastAsia="Arial" w:hAnsi="Arial"/>
                <w:sz w:val="13"/>
                <w:szCs w:val="13"/>
                <w:color w:val="14202A"/>
              </w:rPr>
              <w:t>1,171</w:t>
            </w:r>
            <w:r>
              <w:rPr>
                <w:rFonts w:ascii="Arial" w:cs="Arial" w:eastAsia="Arial" w:hAnsi="Arial"/>
                <w:sz w:val="20"/>
                <w:szCs w:val="20"/>
                <w:color w:val="14202A"/>
                <w:vertAlign w:val="superscript"/>
              </w:rPr>
              <w:t>(8)</w:t>
            </w:r>
          </w:p>
        </w:tc>
        <w:tc>
          <w:tcPr>
            <w:tcW w:w="1060" w:type="dxa"/>
            <w:vAlign w:val="bottom"/>
            <w:tcBorders>
              <w:bottom w:val="single" w:sz="8" w:color="14202A"/>
            </w:tcBorders>
          </w:tcPr>
          <w:p>
            <w:pPr>
              <w:jc w:val="right"/>
              <w:ind w:right="138"/>
              <w:spacing w:after="0"/>
              <w:rPr>
                <w:sz w:val="20"/>
                <w:szCs w:val="20"/>
                <w:color w:val="auto"/>
              </w:rPr>
            </w:pPr>
            <w:r>
              <w:rPr>
                <w:rFonts w:ascii="Arial" w:cs="Arial" w:eastAsia="Arial" w:hAnsi="Arial"/>
                <w:sz w:val="13"/>
                <w:szCs w:val="13"/>
                <w:color w:val="14202A"/>
              </w:rPr>
              <w:t>35,833</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157"/>
              <w:spacing w:after="0"/>
              <w:rPr>
                <w:sz w:val="20"/>
                <w:szCs w:val="20"/>
                <w:color w:val="auto"/>
              </w:rPr>
            </w:pPr>
            <w:r>
              <w:rPr>
                <w:rFonts w:ascii="Arial" w:cs="Arial" w:eastAsia="Arial" w:hAnsi="Arial"/>
                <w:sz w:val="13"/>
                <w:szCs w:val="13"/>
                <w:color w:val="14202A"/>
              </w:rPr>
              <w:t>2,664</w:t>
            </w:r>
            <w:r>
              <w:rPr>
                <w:rFonts w:ascii="Arial" w:cs="Arial" w:eastAsia="Arial" w:hAnsi="Arial"/>
                <w:sz w:val="20"/>
                <w:szCs w:val="20"/>
                <w:color w:val="14202A"/>
                <w:vertAlign w:val="superscript"/>
              </w:rPr>
              <w:t>(9)</w:t>
            </w:r>
          </w:p>
        </w:tc>
        <w:tc>
          <w:tcPr>
            <w:tcW w:w="1060" w:type="dxa"/>
            <w:vAlign w:val="bottom"/>
            <w:tcBorders>
              <w:bottom w:val="single" w:sz="8" w:color="14202A"/>
            </w:tcBorders>
          </w:tcPr>
          <w:p>
            <w:pPr>
              <w:jc w:val="right"/>
              <w:ind w:right="138"/>
              <w:spacing w:after="0"/>
              <w:rPr>
                <w:sz w:val="20"/>
                <w:szCs w:val="20"/>
                <w:color w:val="auto"/>
              </w:rPr>
            </w:pPr>
            <w:r>
              <w:rPr>
                <w:rFonts w:ascii="Arial" w:cs="Arial" w:eastAsia="Arial" w:hAnsi="Arial"/>
                <w:sz w:val="13"/>
                <w:szCs w:val="13"/>
                <w:color w:val="14202A"/>
              </w:rPr>
              <w:t>81,518</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0" w:type="dxa"/>
            <w:vAlign w:val="bottom"/>
            <w:tcBorders>
              <w:bottom w:val="single" w:sz="8" w:color="14202A"/>
            </w:tcBorders>
          </w:tcPr>
          <w:p>
            <w:pPr>
              <w:spacing w:after="0"/>
              <w:rPr>
                <w:sz w:val="21"/>
                <w:szCs w:val="21"/>
                <w:color w:val="auto"/>
              </w:rPr>
            </w:pPr>
          </w:p>
        </w:tc>
        <w:tc>
          <w:tcPr>
            <w:tcW w:w="1400" w:type="dxa"/>
            <w:vAlign w:val="bottom"/>
            <w:tcBorders>
              <w:bottom w:val="single" w:sz="8" w:color="14202A"/>
            </w:tcBorders>
          </w:tcPr>
          <w:p>
            <w:pPr>
              <w:spacing w:after="0"/>
              <w:rPr>
                <w:sz w:val="21"/>
                <w:szCs w:val="21"/>
                <w:color w:val="auto"/>
              </w:rPr>
            </w:pPr>
          </w:p>
        </w:tc>
        <w:tc>
          <w:tcPr>
            <w:tcW w:w="80" w:type="dxa"/>
            <w:vAlign w:val="bottom"/>
            <w:tcBorders>
              <w:bottom w:val="single" w:sz="8" w:color="14202A"/>
            </w:tcBorders>
          </w:tcPr>
          <w:p>
            <w:pPr>
              <w:spacing w:after="0"/>
              <w:rPr>
                <w:sz w:val="21"/>
                <w:szCs w:val="21"/>
                <w:color w:val="auto"/>
              </w:rPr>
            </w:pPr>
          </w:p>
        </w:tc>
        <w:tc>
          <w:tcPr>
            <w:tcW w:w="880" w:type="dxa"/>
            <w:vAlign w:val="bottom"/>
            <w:tcBorders>
              <w:bottom w:val="single" w:sz="8" w:color="14202A"/>
            </w:tcBorders>
          </w:tcPr>
          <w:p>
            <w:pPr>
              <w:spacing w:after="0"/>
              <w:rPr>
                <w:sz w:val="21"/>
                <w:szCs w:val="21"/>
                <w:color w:val="auto"/>
              </w:rPr>
            </w:pPr>
          </w:p>
        </w:tc>
        <w:tc>
          <w:tcPr>
            <w:tcW w:w="1080" w:type="dxa"/>
            <w:vAlign w:val="bottom"/>
            <w:tcBorders>
              <w:bottom w:val="single" w:sz="8" w:color="14202A"/>
            </w:tcBorders>
          </w:tcPr>
          <w:p>
            <w:pPr>
              <w:spacing w:after="0"/>
              <w:rPr>
                <w:sz w:val="21"/>
                <w:szCs w:val="21"/>
                <w:color w:val="auto"/>
              </w:rPr>
            </w:pPr>
          </w:p>
        </w:tc>
        <w:tc>
          <w:tcPr>
            <w:tcW w:w="720" w:type="dxa"/>
            <w:vAlign w:val="bottom"/>
            <w:tcBorders>
              <w:bottom w:val="single" w:sz="8" w:color="14202A"/>
            </w:tcBorders>
          </w:tcPr>
          <w:p>
            <w:pPr>
              <w:spacing w:after="0"/>
              <w:rPr>
                <w:sz w:val="21"/>
                <w:szCs w:val="21"/>
                <w:color w:val="auto"/>
              </w:rPr>
            </w:pPr>
          </w:p>
        </w:tc>
        <w:tc>
          <w:tcPr>
            <w:tcW w:w="780" w:type="dxa"/>
            <w:vAlign w:val="bottom"/>
            <w:tcBorders>
              <w:bottom w:val="single" w:sz="8" w:color="14202A"/>
            </w:tcBorders>
          </w:tcPr>
          <w:p>
            <w:pPr>
              <w:spacing w:after="0"/>
              <w:rPr>
                <w:sz w:val="21"/>
                <w:szCs w:val="21"/>
                <w:color w:val="auto"/>
              </w:rPr>
            </w:pPr>
          </w:p>
        </w:tc>
        <w:tc>
          <w:tcPr>
            <w:tcW w:w="1160" w:type="dxa"/>
            <w:vAlign w:val="bottom"/>
            <w:tcBorders>
              <w:bottom w:val="single" w:sz="8" w:color="14202A"/>
            </w:tcBorders>
            <w:gridSpan w:val="2"/>
          </w:tcPr>
          <w:p>
            <w:pPr>
              <w:jc w:val="right"/>
              <w:ind w:right="97"/>
              <w:spacing w:after="0"/>
              <w:rPr>
                <w:sz w:val="20"/>
                <w:szCs w:val="20"/>
                <w:color w:val="auto"/>
              </w:rPr>
            </w:pPr>
            <w:r>
              <w:rPr>
                <w:rFonts w:ascii="Arial" w:cs="Arial" w:eastAsia="Arial" w:hAnsi="Arial"/>
                <w:sz w:val="13"/>
                <w:szCs w:val="13"/>
                <w:color w:val="14202A"/>
              </w:rPr>
              <w:t>10,745</w:t>
            </w:r>
            <w:r>
              <w:rPr>
                <w:rFonts w:ascii="Arial" w:cs="Arial" w:eastAsia="Arial" w:hAnsi="Arial"/>
                <w:sz w:val="20"/>
                <w:szCs w:val="20"/>
                <w:color w:val="14202A"/>
                <w:vertAlign w:val="superscript"/>
              </w:rPr>
              <w:t>(10)</w:t>
            </w:r>
          </w:p>
        </w:tc>
        <w:tc>
          <w:tcPr>
            <w:tcW w:w="1060" w:type="dxa"/>
            <w:vAlign w:val="bottom"/>
            <w:tcBorders>
              <w:bottom w:val="single" w:sz="8" w:color="14202A"/>
            </w:tcBorders>
          </w:tcPr>
          <w:p>
            <w:pPr>
              <w:jc w:val="right"/>
              <w:ind w:right="158"/>
              <w:spacing w:after="0"/>
              <w:rPr>
                <w:sz w:val="20"/>
                <w:szCs w:val="20"/>
                <w:color w:val="auto"/>
              </w:rPr>
            </w:pPr>
            <w:r>
              <w:rPr>
                <w:rFonts w:ascii="Arial" w:cs="Arial" w:eastAsia="Arial" w:hAnsi="Arial"/>
                <w:sz w:val="13"/>
                <w:szCs w:val="13"/>
                <w:color w:val="14202A"/>
              </w:rPr>
              <w:t>328,797</w:t>
            </w:r>
          </w:p>
        </w:tc>
        <w:tc>
          <w:tcPr>
            <w:tcW w:w="1420" w:type="dxa"/>
            <w:vAlign w:val="bottom"/>
            <w:tcBorders>
              <w:bottom w:val="single" w:sz="8" w:color="14202A"/>
            </w:tcBorders>
          </w:tcPr>
          <w:p>
            <w:pPr>
              <w:spacing w:after="0"/>
              <w:rPr>
                <w:sz w:val="21"/>
                <w:szCs w:val="21"/>
                <w:color w:val="auto"/>
              </w:rPr>
            </w:pPr>
          </w:p>
        </w:tc>
        <w:tc>
          <w:tcPr>
            <w:tcW w:w="1460" w:type="dxa"/>
            <w:vAlign w:val="bottom"/>
            <w:tcBorders>
              <w:bottom w:val="single" w:sz="8" w:color="14202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-7620000</wp:posOffset>
            </wp:positionV>
            <wp:extent cx="53574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286" w:lineRule="exact"/>
        <w:rPr>
          <w:sz w:val="20"/>
          <w:szCs w:val="20"/>
          <w:color w:val="auto"/>
        </w:rPr>
      </w:pPr>
    </w:p>
    <w:p>
      <w:pPr>
        <w:ind w:left="7000"/>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165100</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-83185</wp:posOffset>
            </wp:positionV>
            <wp:extent cx="1465580" cy="939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0160"/>
          </w:cols>
          <w:pgMar w:left="860" w:top="114" w:right="8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20" w:type="dxa"/>
            <w:vAlign w:val="bottom"/>
            <w:shd w:val="clear" w:color="auto" w:fill="14202A"/>
          </w:tcPr>
          <w:p>
            <w:pPr>
              <w:spacing w:after="0"/>
              <w:rPr>
                <w:sz w:val="22"/>
                <w:szCs w:val="22"/>
                <w:color w:val="auto"/>
              </w:rPr>
            </w:pPr>
          </w:p>
        </w:tc>
        <w:tc>
          <w:tcPr>
            <w:tcW w:w="140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880" w:type="dxa"/>
            <w:vAlign w:val="bottom"/>
            <w:shd w:val="clear" w:color="auto" w:fill="14202A"/>
          </w:tcPr>
          <w:p>
            <w:pPr>
              <w:spacing w:after="0"/>
              <w:rPr>
                <w:sz w:val="22"/>
                <w:szCs w:val="22"/>
                <w:color w:val="auto"/>
              </w:rPr>
            </w:pPr>
          </w:p>
        </w:tc>
        <w:tc>
          <w:tcPr>
            <w:tcW w:w="1800" w:type="dxa"/>
            <w:vAlign w:val="bottom"/>
            <w:gridSpan w:val="2"/>
            <w:shd w:val="clear" w:color="auto" w:fill="14202A"/>
          </w:tcPr>
          <w:p>
            <w:pPr>
              <w:ind w:left="400"/>
              <w:spacing w:after="0"/>
              <w:rPr>
                <w:sz w:val="20"/>
                <w:szCs w:val="20"/>
                <w:color w:val="auto"/>
              </w:rPr>
            </w:pPr>
            <w:r>
              <w:rPr>
                <w:rFonts w:ascii="Arial" w:cs="Arial" w:eastAsia="Arial" w:hAnsi="Arial"/>
                <w:sz w:val="13"/>
                <w:szCs w:val="13"/>
                <w:b w:val="1"/>
                <w:bCs w:val="1"/>
                <w:color w:val="FFFFFF"/>
              </w:rPr>
              <w:t>Option Awards</w:t>
            </w:r>
          </w:p>
        </w:tc>
        <w:tc>
          <w:tcPr>
            <w:tcW w:w="78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2140" w:type="dxa"/>
            <w:vAlign w:val="bottom"/>
            <w:gridSpan w:val="2"/>
            <w:shd w:val="clear" w:color="auto" w:fill="14202A"/>
          </w:tcPr>
          <w:p>
            <w:pPr>
              <w:jc w:val="right"/>
              <w:ind w:right="558"/>
              <w:spacing w:after="0"/>
              <w:rPr>
                <w:sz w:val="20"/>
                <w:szCs w:val="20"/>
                <w:color w:val="auto"/>
              </w:rPr>
            </w:pPr>
            <w:r>
              <w:rPr>
                <w:rFonts w:ascii="Arial" w:cs="Arial" w:eastAsia="Arial" w:hAnsi="Arial"/>
                <w:sz w:val="13"/>
                <w:szCs w:val="13"/>
                <w:b w:val="1"/>
                <w:bCs w:val="1"/>
                <w:color w:val="FFFFFF"/>
              </w:rPr>
              <w:t>Stock Awards</w:t>
            </w:r>
          </w:p>
        </w:tc>
        <w:tc>
          <w:tcPr>
            <w:tcW w:w="2880" w:type="dxa"/>
            <w:vAlign w:val="bottom"/>
            <w:gridSpan w:val="2"/>
            <w:shd w:val="clear" w:color="auto" w:fill="14202A"/>
          </w:tcPr>
          <w:p>
            <w:pPr>
              <w:jc w:val="right"/>
              <w:ind w:right="558"/>
              <w:spacing w:after="0"/>
              <w:rPr>
                <w:sz w:val="20"/>
                <w:szCs w:val="20"/>
                <w:color w:val="auto"/>
              </w:rPr>
            </w:pPr>
            <w:r>
              <w:rPr>
                <w:rFonts w:ascii="Arial" w:cs="Arial" w:eastAsia="Arial" w:hAnsi="Arial"/>
                <w:sz w:val="13"/>
                <w:szCs w:val="13"/>
                <w:b w:val="1"/>
                <w:bCs w:val="1"/>
                <w:color w:val="FFFFFF"/>
              </w:rPr>
              <w:t>LTIP / Performance Shares</w:t>
            </w:r>
          </w:p>
        </w:tc>
        <w:tc>
          <w:tcPr>
            <w:tcW w:w="0" w:type="dxa"/>
            <w:vAlign w:val="bottom"/>
          </w:tcPr>
          <w:p>
            <w:pPr>
              <w:spacing w:after="0"/>
              <w:rPr>
                <w:sz w:val="1"/>
                <w:szCs w:val="1"/>
                <w:color w:val="auto"/>
              </w:rPr>
            </w:pPr>
          </w:p>
        </w:tc>
      </w:tr>
      <w:tr>
        <w:trPr>
          <w:trHeight w:val="211"/>
        </w:trPr>
        <w:tc>
          <w:tcPr>
            <w:tcW w:w="120" w:type="dxa"/>
            <w:vAlign w:val="bottom"/>
            <w:shd w:val="clear" w:color="auto" w:fill="14202A"/>
          </w:tcPr>
          <w:p>
            <w:pPr>
              <w:spacing w:after="0"/>
              <w:rPr>
                <w:sz w:val="18"/>
                <w:szCs w:val="18"/>
                <w:color w:val="auto"/>
              </w:rPr>
            </w:pPr>
          </w:p>
        </w:tc>
        <w:tc>
          <w:tcPr>
            <w:tcW w:w="1400" w:type="dxa"/>
            <w:vAlign w:val="bottom"/>
            <w:shd w:val="clear" w:color="auto" w:fill="14202A"/>
          </w:tcPr>
          <w:p>
            <w:pPr>
              <w:spacing w:after="0"/>
              <w:rPr>
                <w:sz w:val="18"/>
                <w:szCs w:val="18"/>
                <w:color w:val="auto"/>
              </w:rPr>
            </w:pPr>
          </w:p>
        </w:tc>
        <w:tc>
          <w:tcPr>
            <w:tcW w:w="80" w:type="dxa"/>
            <w:vAlign w:val="bottom"/>
            <w:shd w:val="clear" w:color="auto" w:fill="14202A"/>
          </w:tcPr>
          <w:p>
            <w:pPr>
              <w:spacing w:after="0"/>
              <w:rPr>
                <w:sz w:val="18"/>
                <w:szCs w:val="18"/>
                <w:color w:val="auto"/>
              </w:rPr>
            </w:pPr>
          </w:p>
        </w:tc>
        <w:tc>
          <w:tcPr>
            <w:tcW w:w="880" w:type="dxa"/>
            <w:vAlign w:val="bottom"/>
            <w:vMerge w:val="restart"/>
            <w:shd w:val="clear" w:color="auto" w:fill="14202A"/>
          </w:tcPr>
          <w:p>
            <w:pPr>
              <w:jc w:val="center"/>
              <w:ind w:right="37"/>
              <w:spacing w:after="0"/>
              <w:rPr>
                <w:sz w:val="20"/>
                <w:szCs w:val="20"/>
                <w:color w:val="auto"/>
              </w:rPr>
            </w:pPr>
            <w:r>
              <w:rPr>
                <w:rFonts w:ascii="Arial" w:cs="Arial" w:eastAsia="Arial" w:hAnsi="Arial"/>
                <w:sz w:val="13"/>
                <w:szCs w:val="13"/>
                <w:b w:val="1"/>
                <w:bCs w:val="1"/>
                <w:color w:val="FFFFFF"/>
                <w:w w:val="95"/>
              </w:rPr>
              <w:t>Number of</w:t>
            </w:r>
          </w:p>
        </w:tc>
        <w:tc>
          <w:tcPr>
            <w:tcW w:w="10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720" w:type="dxa"/>
            <w:vAlign w:val="bottom"/>
            <w:shd w:val="clear" w:color="auto" w:fill="14202A"/>
          </w:tcPr>
          <w:p>
            <w:pPr>
              <w:spacing w:after="0"/>
              <w:rPr>
                <w:sz w:val="18"/>
                <w:szCs w:val="18"/>
                <w:color w:val="auto"/>
              </w:rPr>
            </w:pPr>
          </w:p>
        </w:tc>
        <w:tc>
          <w:tcPr>
            <w:tcW w:w="780" w:type="dxa"/>
            <w:vAlign w:val="bottom"/>
            <w:shd w:val="clear" w:color="auto" w:fill="14202A"/>
          </w:tcPr>
          <w:p>
            <w:pPr>
              <w:spacing w:after="0"/>
              <w:rPr>
                <w:sz w:val="18"/>
                <w:szCs w:val="18"/>
                <w:color w:val="auto"/>
              </w:rPr>
            </w:pPr>
          </w:p>
        </w:tc>
        <w:tc>
          <w:tcPr>
            <w:tcW w:w="80" w:type="dxa"/>
            <w:vAlign w:val="bottom"/>
            <w:shd w:val="clear" w:color="auto" w:fill="14202A"/>
          </w:tcPr>
          <w:p>
            <w:pPr>
              <w:spacing w:after="0"/>
              <w:rPr>
                <w:sz w:val="18"/>
                <w:szCs w:val="18"/>
                <w:color w:val="auto"/>
              </w:rPr>
            </w:pPr>
          </w:p>
        </w:tc>
        <w:tc>
          <w:tcPr>
            <w:tcW w:w="1080" w:type="dxa"/>
            <w:vAlign w:val="bottom"/>
            <w:shd w:val="clear" w:color="auto" w:fill="14202A"/>
          </w:tcPr>
          <w:p>
            <w:pPr>
              <w:spacing w:after="0"/>
              <w:rPr>
                <w:sz w:val="18"/>
                <w:szCs w:val="18"/>
                <w:color w:val="auto"/>
              </w:rPr>
            </w:pPr>
          </w:p>
        </w:tc>
        <w:tc>
          <w:tcPr>
            <w:tcW w:w="1060" w:type="dxa"/>
            <w:vAlign w:val="bottom"/>
            <w:shd w:val="clear" w:color="auto" w:fill="14202A"/>
          </w:tcPr>
          <w:p>
            <w:pPr>
              <w:spacing w:after="0"/>
              <w:rPr>
                <w:sz w:val="18"/>
                <w:szCs w:val="18"/>
                <w:color w:val="auto"/>
              </w:rPr>
            </w:pPr>
          </w:p>
        </w:tc>
        <w:tc>
          <w:tcPr>
            <w:tcW w:w="14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Equity Incentive</w:t>
            </w:r>
          </w:p>
        </w:tc>
        <w:tc>
          <w:tcPr>
            <w:tcW w:w="14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Equity Incentive</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880" w:type="dxa"/>
            <w:vAlign w:val="bottom"/>
            <w:vMerge w:val="continue"/>
            <w:shd w:val="clear" w:color="auto" w:fill="14202A"/>
          </w:tcPr>
          <w:p>
            <w:pPr>
              <w:spacing w:after="0"/>
              <w:rPr>
                <w:sz w:val="11"/>
                <w:szCs w:val="11"/>
                <w:color w:val="auto"/>
              </w:rPr>
            </w:pPr>
          </w:p>
        </w:tc>
        <w:tc>
          <w:tcPr>
            <w:tcW w:w="1080" w:type="dxa"/>
            <w:vAlign w:val="bottom"/>
            <w:vMerge w:val="continue"/>
            <w:shd w:val="clear" w:color="auto" w:fill="14202A"/>
          </w:tcPr>
          <w:p>
            <w:pPr>
              <w:spacing w:after="0"/>
              <w:rPr>
                <w:sz w:val="11"/>
                <w:szCs w:val="11"/>
                <w:color w:val="auto"/>
              </w:rPr>
            </w:pPr>
          </w:p>
        </w:tc>
        <w:tc>
          <w:tcPr>
            <w:tcW w:w="720" w:type="dxa"/>
            <w:vAlign w:val="bottom"/>
            <w:shd w:val="clear" w:color="auto" w:fill="14202A"/>
          </w:tcPr>
          <w:p>
            <w:pPr>
              <w:spacing w:after="0"/>
              <w:rPr>
                <w:sz w:val="11"/>
                <w:szCs w:val="11"/>
                <w:color w:val="auto"/>
              </w:rPr>
            </w:pPr>
          </w:p>
        </w:tc>
        <w:tc>
          <w:tcPr>
            <w:tcW w:w="78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10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0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Market Value</w:t>
            </w: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Plan Awards:</w:t>
            </w:r>
          </w:p>
        </w:tc>
        <w:tc>
          <w:tcPr>
            <w:tcW w:w="14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Plan Awards:</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57"/>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720" w:type="dxa"/>
            <w:vAlign w:val="bottom"/>
            <w:shd w:val="clear" w:color="auto" w:fill="14202A"/>
          </w:tcPr>
          <w:p>
            <w:pPr>
              <w:spacing w:after="0"/>
              <w:rPr>
                <w:sz w:val="11"/>
                <w:szCs w:val="11"/>
                <w:color w:val="auto"/>
              </w:rPr>
            </w:pPr>
          </w:p>
        </w:tc>
        <w:tc>
          <w:tcPr>
            <w:tcW w:w="78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1080" w:type="dxa"/>
            <w:vAlign w:val="bottom"/>
            <w:vMerge w:val="continue"/>
            <w:shd w:val="clear" w:color="auto" w:fill="14202A"/>
          </w:tcPr>
          <w:p>
            <w:pPr>
              <w:spacing w:after="0"/>
              <w:rPr>
                <w:sz w:val="11"/>
                <w:szCs w:val="11"/>
                <w:color w:val="auto"/>
              </w:rPr>
            </w:pPr>
          </w:p>
        </w:tc>
        <w:tc>
          <w:tcPr>
            <w:tcW w:w="1060" w:type="dxa"/>
            <w:vAlign w:val="bottom"/>
            <w:vMerge w:val="continue"/>
            <w:shd w:val="clear" w:color="auto" w:fill="14202A"/>
          </w:tcPr>
          <w:p>
            <w:pPr>
              <w:spacing w:after="0"/>
              <w:rPr>
                <w:sz w:val="11"/>
                <w:szCs w:val="11"/>
                <w:color w:val="auto"/>
              </w:rPr>
            </w:pP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460" w:type="dxa"/>
            <w:vAlign w:val="bottom"/>
            <w:shd w:val="clear" w:color="auto" w:fill="14202A"/>
          </w:tcPr>
          <w:p>
            <w:pPr>
              <w:jc w:val="center"/>
              <w:ind w:right="18"/>
              <w:spacing w:after="0" w:line="135" w:lineRule="exact"/>
              <w:rPr>
                <w:sz w:val="20"/>
                <w:szCs w:val="20"/>
                <w:color w:val="auto"/>
              </w:rPr>
            </w:pPr>
            <w:r>
              <w:rPr>
                <w:rFonts w:ascii="Arial" w:cs="Arial" w:eastAsia="Arial" w:hAnsi="Arial"/>
                <w:sz w:val="13"/>
                <w:szCs w:val="13"/>
                <w:b w:val="1"/>
                <w:bCs w:val="1"/>
                <w:color w:val="FFFFFF"/>
                <w:w w:val="96"/>
              </w:rPr>
              <w:t>Market or Payout</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7"/>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72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78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Shares or</w:t>
            </w:r>
          </w:p>
        </w:tc>
        <w:tc>
          <w:tcPr>
            <w:tcW w:w="10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of Shares or</w:t>
            </w: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Unearned Shares,</w:t>
            </w:r>
          </w:p>
        </w:tc>
        <w:tc>
          <w:tcPr>
            <w:tcW w:w="1460" w:type="dxa"/>
            <w:vAlign w:val="bottom"/>
            <w:shd w:val="clear" w:color="auto" w:fill="14202A"/>
          </w:tcPr>
          <w:p>
            <w:pPr>
              <w:jc w:val="center"/>
              <w:ind w:right="18"/>
              <w:spacing w:after="0" w:line="135" w:lineRule="exact"/>
              <w:rPr>
                <w:sz w:val="20"/>
                <w:szCs w:val="20"/>
                <w:color w:val="auto"/>
              </w:rPr>
            </w:pPr>
            <w:r>
              <w:rPr>
                <w:rFonts w:ascii="Arial" w:cs="Arial" w:eastAsia="Arial" w:hAnsi="Arial"/>
                <w:sz w:val="13"/>
                <w:szCs w:val="13"/>
                <w:b w:val="1"/>
                <w:bCs w:val="1"/>
                <w:color w:val="FFFFFF"/>
                <w:w w:val="96"/>
              </w:rPr>
              <w:t>Value of Unearned</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7"/>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720" w:type="dxa"/>
            <w:vAlign w:val="bottom"/>
            <w:vMerge w:val="continue"/>
            <w:shd w:val="clear" w:color="auto" w:fill="14202A"/>
          </w:tcPr>
          <w:p>
            <w:pPr>
              <w:spacing w:after="0"/>
              <w:rPr>
                <w:sz w:val="11"/>
                <w:szCs w:val="11"/>
                <w:color w:val="auto"/>
              </w:rPr>
            </w:pPr>
          </w:p>
        </w:tc>
        <w:tc>
          <w:tcPr>
            <w:tcW w:w="7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80" w:type="dxa"/>
            <w:vAlign w:val="bottom"/>
            <w:shd w:val="clear" w:color="auto" w:fill="14202A"/>
          </w:tcPr>
          <w:p>
            <w:pPr>
              <w:spacing w:after="0"/>
              <w:rPr>
                <w:sz w:val="11"/>
                <w:szCs w:val="11"/>
                <w:color w:val="auto"/>
              </w:rPr>
            </w:pP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Units of Stock</w:t>
            </w:r>
          </w:p>
        </w:tc>
        <w:tc>
          <w:tcPr>
            <w:tcW w:w="10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Units of Stock</w:t>
            </w: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8"/>
              </w:rPr>
              <w:t>Units or Other</w:t>
            </w:r>
          </w:p>
        </w:tc>
        <w:tc>
          <w:tcPr>
            <w:tcW w:w="14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Shares, Units or</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7"/>
              <w:spacing w:after="0" w:line="135" w:lineRule="exact"/>
              <w:rPr>
                <w:sz w:val="20"/>
                <w:szCs w:val="20"/>
                <w:color w:val="auto"/>
              </w:rPr>
            </w:pPr>
            <w:r>
              <w:rPr>
                <w:rFonts w:ascii="Arial" w:cs="Arial" w:eastAsia="Arial" w:hAnsi="Arial"/>
                <w:sz w:val="13"/>
                <w:szCs w:val="13"/>
                <w:b w:val="1"/>
                <w:bCs w:val="1"/>
                <w:color w:val="FFFFFF"/>
                <w:w w:val="93"/>
              </w:rPr>
              <w:t>Options</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Options</w:t>
            </w:r>
          </w:p>
        </w:tc>
        <w:tc>
          <w:tcPr>
            <w:tcW w:w="7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Exercise</w:t>
            </w:r>
          </w:p>
        </w:tc>
        <w:tc>
          <w:tcPr>
            <w:tcW w:w="780" w:type="dxa"/>
            <w:vAlign w:val="bottom"/>
            <w:vMerge w:val="continue"/>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That Have Not</w:t>
            </w:r>
          </w:p>
        </w:tc>
        <w:tc>
          <w:tcPr>
            <w:tcW w:w="10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That Have Not</w:t>
            </w: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Rights That Have</w:t>
            </w:r>
          </w:p>
        </w:tc>
        <w:tc>
          <w:tcPr>
            <w:tcW w:w="1460" w:type="dxa"/>
            <w:vAlign w:val="bottom"/>
            <w:shd w:val="clear" w:color="auto" w:fill="14202A"/>
          </w:tcPr>
          <w:p>
            <w:pPr>
              <w:jc w:val="center"/>
              <w:ind w:right="18"/>
              <w:spacing w:after="0" w:line="135" w:lineRule="exact"/>
              <w:rPr>
                <w:sz w:val="20"/>
                <w:szCs w:val="20"/>
                <w:color w:val="auto"/>
              </w:rPr>
            </w:pPr>
            <w:r>
              <w:rPr>
                <w:rFonts w:ascii="Arial" w:cs="Arial" w:eastAsia="Arial" w:hAnsi="Arial"/>
                <w:sz w:val="13"/>
                <w:szCs w:val="13"/>
                <w:b w:val="1"/>
                <w:bCs w:val="1"/>
                <w:color w:val="FFFFFF"/>
                <w:w w:val="96"/>
              </w:rPr>
              <w:t>Other Rights That</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8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7"/>
              <w:spacing w:after="0" w:line="135" w:lineRule="exact"/>
              <w:rPr>
                <w:sz w:val="20"/>
                <w:szCs w:val="20"/>
                <w:color w:val="auto"/>
              </w:rPr>
            </w:pPr>
            <w:r>
              <w:rPr>
                <w:rFonts w:ascii="Arial" w:cs="Arial" w:eastAsia="Arial" w:hAnsi="Arial"/>
                <w:sz w:val="13"/>
                <w:szCs w:val="13"/>
                <w:b w:val="1"/>
                <w:bCs w:val="1"/>
                <w:color w:val="FFFFFF"/>
                <w:w w:val="87"/>
              </w:rPr>
              <w:t>(#)</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rPr>
              <w:t>(#)</w:t>
            </w:r>
          </w:p>
        </w:tc>
        <w:tc>
          <w:tcPr>
            <w:tcW w:w="7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Price</w:t>
            </w:r>
          </w:p>
        </w:tc>
        <w:tc>
          <w:tcPr>
            <w:tcW w:w="780" w:type="dxa"/>
            <w:vAlign w:val="bottom"/>
            <w:shd w:val="clear" w:color="auto" w:fill="14202A"/>
          </w:tcPr>
          <w:p>
            <w:pPr>
              <w:jc w:val="center"/>
              <w:ind w:left="17"/>
              <w:spacing w:after="0" w:line="135" w:lineRule="exact"/>
              <w:rPr>
                <w:sz w:val="20"/>
                <w:szCs w:val="20"/>
                <w:color w:val="auto"/>
              </w:rPr>
            </w:pPr>
            <w:r>
              <w:rPr>
                <w:rFonts w:ascii="Arial" w:cs="Arial" w:eastAsia="Arial" w:hAnsi="Arial"/>
                <w:sz w:val="13"/>
                <w:szCs w:val="13"/>
                <w:b w:val="1"/>
                <w:bCs w:val="1"/>
                <w:color w:val="FFFFFF"/>
                <w:w w:val="97"/>
              </w:rPr>
              <w:t>Expiration</w:t>
            </w:r>
          </w:p>
        </w:tc>
        <w:tc>
          <w:tcPr>
            <w:tcW w:w="80" w:type="dxa"/>
            <w:vAlign w:val="bottom"/>
            <w:shd w:val="clear" w:color="auto" w:fill="14202A"/>
          </w:tcPr>
          <w:p>
            <w:pPr>
              <w:spacing w:after="0"/>
              <w:rPr>
                <w:sz w:val="11"/>
                <w:szCs w:val="11"/>
                <w:color w:val="auto"/>
              </w:rPr>
            </w:pP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3"/>
              </w:rPr>
              <w:t>Vested</w:t>
            </w:r>
          </w:p>
        </w:tc>
        <w:tc>
          <w:tcPr>
            <w:tcW w:w="10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3"/>
              </w:rPr>
              <w:t>Vested</w:t>
            </w: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3"/>
              </w:rPr>
              <w:t>Not Yet Vested</w:t>
            </w:r>
          </w:p>
        </w:tc>
        <w:tc>
          <w:tcPr>
            <w:tcW w:w="1460" w:type="dxa"/>
            <w:vAlign w:val="bottom"/>
            <w:shd w:val="clear" w:color="auto" w:fill="14202A"/>
          </w:tcPr>
          <w:p>
            <w:pPr>
              <w:jc w:val="center"/>
              <w:ind w:right="18"/>
              <w:spacing w:after="0" w:line="135" w:lineRule="exact"/>
              <w:rPr>
                <w:sz w:val="20"/>
                <w:szCs w:val="20"/>
                <w:color w:val="auto"/>
              </w:rPr>
            </w:pPr>
            <w:r>
              <w:rPr>
                <w:rFonts w:ascii="Arial" w:cs="Arial" w:eastAsia="Arial" w:hAnsi="Arial"/>
                <w:sz w:val="13"/>
                <w:szCs w:val="13"/>
                <w:b w:val="1"/>
                <w:bCs w:val="1"/>
                <w:color w:val="FFFFFF"/>
                <w:w w:val="95"/>
              </w:rPr>
              <w:t>Have Not Vested</w:t>
            </w:r>
          </w:p>
        </w:tc>
        <w:tc>
          <w:tcPr>
            <w:tcW w:w="0" w:type="dxa"/>
            <w:vAlign w:val="bottom"/>
          </w:tcPr>
          <w:p>
            <w:pPr>
              <w:spacing w:after="0"/>
              <w:rPr>
                <w:sz w:val="1"/>
                <w:szCs w:val="1"/>
                <w:color w:val="auto"/>
              </w:rPr>
            </w:pPr>
          </w:p>
        </w:tc>
      </w:tr>
      <w:tr>
        <w:trPr>
          <w:trHeight w:val="203"/>
        </w:trPr>
        <w:tc>
          <w:tcPr>
            <w:tcW w:w="120" w:type="dxa"/>
            <w:vAlign w:val="bottom"/>
            <w:shd w:val="clear" w:color="auto" w:fill="14202A"/>
          </w:tcPr>
          <w:p>
            <w:pPr>
              <w:spacing w:after="0"/>
              <w:rPr>
                <w:sz w:val="17"/>
                <w:szCs w:val="17"/>
                <w:color w:val="auto"/>
              </w:rPr>
            </w:pPr>
          </w:p>
        </w:tc>
        <w:tc>
          <w:tcPr>
            <w:tcW w:w="1400" w:type="dxa"/>
            <w:vAlign w:val="bottom"/>
            <w:vMerge w:val="continue"/>
            <w:shd w:val="clear" w:color="auto" w:fill="14202A"/>
          </w:tcPr>
          <w:p>
            <w:pPr>
              <w:spacing w:after="0"/>
              <w:rPr>
                <w:sz w:val="17"/>
                <w:szCs w:val="17"/>
                <w:color w:val="auto"/>
              </w:rPr>
            </w:pPr>
          </w:p>
        </w:tc>
        <w:tc>
          <w:tcPr>
            <w:tcW w:w="80" w:type="dxa"/>
            <w:vAlign w:val="bottom"/>
            <w:shd w:val="clear" w:color="auto" w:fill="14202A"/>
          </w:tcPr>
          <w:p>
            <w:pPr>
              <w:spacing w:after="0"/>
              <w:rPr>
                <w:sz w:val="17"/>
                <w:szCs w:val="17"/>
                <w:color w:val="auto"/>
              </w:rPr>
            </w:pPr>
          </w:p>
        </w:tc>
        <w:tc>
          <w:tcPr>
            <w:tcW w:w="8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Exercisable</w:t>
            </w:r>
          </w:p>
        </w:tc>
        <w:tc>
          <w:tcPr>
            <w:tcW w:w="10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Unexercisable</w:t>
            </w:r>
          </w:p>
        </w:tc>
        <w:tc>
          <w:tcPr>
            <w:tcW w:w="7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14202A"/>
          </w:tcPr>
          <w:p>
            <w:pPr>
              <w:jc w:val="center"/>
              <w:ind w:left="37"/>
              <w:spacing w:after="0"/>
              <w:rPr>
                <w:sz w:val="20"/>
                <w:szCs w:val="20"/>
                <w:color w:val="auto"/>
              </w:rPr>
            </w:pPr>
            <w:r>
              <w:rPr>
                <w:rFonts w:ascii="Arial" w:cs="Arial" w:eastAsia="Arial" w:hAnsi="Arial"/>
                <w:sz w:val="13"/>
                <w:szCs w:val="13"/>
                <w:b w:val="1"/>
                <w:bCs w:val="1"/>
                <w:color w:val="FFFFFF"/>
                <w:w w:val="99"/>
              </w:rPr>
              <w:t>Date</w:t>
            </w:r>
          </w:p>
        </w:tc>
        <w:tc>
          <w:tcPr>
            <w:tcW w:w="80" w:type="dxa"/>
            <w:vAlign w:val="bottom"/>
            <w:shd w:val="clear" w:color="auto" w:fill="14202A"/>
          </w:tcPr>
          <w:p>
            <w:pPr>
              <w:spacing w:after="0"/>
              <w:rPr>
                <w:sz w:val="17"/>
                <w:szCs w:val="17"/>
                <w:color w:val="auto"/>
              </w:rPr>
            </w:pPr>
          </w:p>
        </w:tc>
        <w:tc>
          <w:tcPr>
            <w:tcW w:w="10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060" w:type="dxa"/>
            <w:vAlign w:val="bottom"/>
            <w:shd w:val="clear" w:color="auto" w:fill="14202A"/>
          </w:tcPr>
          <w:p>
            <w:pPr>
              <w:jc w:val="center"/>
              <w:ind w:left="18"/>
              <w:spacing w:after="0" w:line="202" w:lineRule="exact"/>
              <w:rPr>
                <w:sz w:val="20"/>
                <w:szCs w:val="20"/>
                <w:color w:val="auto"/>
              </w:rPr>
            </w:pPr>
            <w:r>
              <w:rPr>
                <w:rFonts w:ascii="Arial" w:cs="Arial" w:eastAsia="Arial" w:hAnsi="Arial"/>
                <w:sz w:val="23"/>
                <w:szCs w:val="23"/>
                <w:b w:val="1"/>
                <w:bCs w:val="1"/>
                <w:color w:val="FFFFFF"/>
                <w:w w:val="92"/>
                <w:vertAlign w:val="subscript"/>
              </w:rPr>
              <w:t>($)</w:t>
            </w:r>
            <w:r>
              <w:rPr>
                <w:rFonts w:ascii="Arial" w:cs="Arial" w:eastAsia="Arial" w:hAnsi="Arial"/>
                <w:sz w:val="10"/>
                <w:szCs w:val="10"/>
                <w:b w:val="1"/>
                <w:bCs w:val="1"/>
                <w:color w:val="FFFFFF"/>
                <w:w w:val="92"/>
              </w:rPr>
              <w:t>(14)</w:t>
            </w:r>
          </w:p>
        </w:tc>
        <w:tc>
          <w:tcPr>
            <w:tcW w:w="1420" w:type="dxa"/>
            <w:vAlign w:val="bottom"/>
            <w:shd w:val="clear" w:color="auto" w:fill="14202A"/>
          </w:tcPr>
          <w:p>
            <w:pPr>
              <w:jc w:val="center"/>
              <w:ind w:left="17"/>
              <w:spacing w:after="0"/>
              <w:rPr>
                <w:sz w:val="20"/>
                <w:szCs w:val="20"/>
                <w:color w:val="auto"/>
              </w:rPr>
            </w:pPr>
            <w:r>
              <w:rPr>
                <w:rFonts w:ascii="Arial" w:cs="Arial" w:eastAsia="Arial" w:hAnsi="Arial"/>
                <w:sz w:val="13"/>
                <w:szCs w:val="13"/>
                <w:b w:val="1"/>
                <w:bCs w:val="1"/>
                <w:color w:val="FFFFFF"/>
                <w:w w:val="87"/>
              </w:rPr>
              <w:t>(#)</w:t>
            </w:r>
          </w:p>
        </w:tc>
        <w:tc>
          <w:tcPr>
            <w:tcW w:w="1460" w:type="dxa"/>
            <w:vAlign w:val="bottom"/>
            <w:shd w:val="clear" w:color="auto" w:fill="14202A"/>
          </w:tcPr>
          <w:p>
            <w:pPr>
              <w:jc w:val="right"/>
              <w:ind w:right="518"/>
              <w:spacing w:after="0" w:line="202"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0"/>
                <w:szCs w:val="10"/>
                <w:b w:val="1"/>
                <w:bCs w:val="1"/>
                <w:color w:val="FFFFFF"/>
              </w:rPr>
              <w:t>(15)</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400" w:type="dxa"/>
            <w:vAlign w:val="bottom"/>
          </w:tcPr>
          <w:p>
            <w:pPr>
              <w:ind w:left="60"/>
              <w:spacing w:after="0"/>
              <w:rPr>
                <w:sz w:val="20"/>
                <w:szCs w:val="20"/>
                <w:color w:val="auto"/>
              </w:rPr>
            </w:pPr>
            <w:r>
              <w:rPr>
                <w:rFonts w:ascii="Arial" w:cs="Arial" w:eastAsia="Arial" w:hAnsi="Arial"/>
                <w:sz w:val="13"/>
                <w:szCs w:val="13"/>
                <w:color w:val="14202A"/>
              </w:rPr>
              <w:t>Stacy L. Bogart</w:t>
            </w:r>
          </w:p>
        </w:tc>
        <w:tc>
          <w:tcPr>
            <w:tcW w:w="96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9,823</w:t>
            </w:r>
          </w:p>
        </w:tc>
        <w:tc>
          <w:tcPr>
            <w:tcW w:w="1080" w:type="dxa"/>
            <w:vAlign w:val="bottom"/>
            <w:tcBorders>
              <w:bottom w:val="single" w:sz="8" w:color="14202A"/>
            </w:tcBorders>
          </w:tcPr>
          <w:p>
            <w:pPr>
              <w:jc w:val="right"/>
              <w:ind w:right="140"/>
              <w:spacing w:after="0" w:line="257"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(3)</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31.70</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10/15/28</w:t>
            </w:r>
          </w:p>
        </w:tc>
        <w:tc>
          <w:tcPr>
            <w:tcW w:w="80" w:type="dxa"/>
            <w:vAlign w:val="bottom"/>
            <w:tcBorders>
              <w:bottom w:val="single" w:sz="8" w:color="14202A"/>
            </w:tcBorders>
          </w:tcPr>
          <w:p>
            <w:pPr>
              <w:spacing w:after="0"/>
              <w:rPr>
                <w:sz w:val="22"/>
                <w:szCs w:val="22"/>
                <w:color w:val="auto"/>
              </w:rPr>
            </w:pPr>
          </w:p>
        </w:tc>
        <w:tc>
          <w:tcPr>
            <w:tcW w:w="1080" w:type="dxa"/>
            <w:vAlign w:val="bottom"/>
            <w:tcBorders>
              <w:bottom w:val="single" w:sz="8" w:color="14202A"/>
            </w:tcBorders>
          </w:tcPr>
          <w:p>
            <w:pPr>
              <w:spacing w:after="0"/>
              <w:rPr>
                <w:sz w:val="22"/>
                <w:szCs w:val="22"/>
                <w:color w:val="auto"/>
              </w:rPr>
            </w:pPr>
          </w:p>
        </w:tc>
        <w:tc>
          <w:tcPr>
            <w:tcW w:w="1060" w:type="dxa"/>
            <w:vAlign w:val="bottom"/>
            <w:tcBorders>
              <w:bottom w:val="single" w:sz="8" w:color="14202A"/>
            </w:tcBorders>
          </w:tcPr>
          <w:p>
            <w:pPr>
              <w:spacing w:after="0"/>
              <w:rPr>
                <w:sz w:val="22"/>
                <w:szCs w:val="22"/>
                <w:color w:val="auto"/>
              </w:rPr>
            </w:pPr>
          </w:p>
        </w:tc>
        <w:tc>
          <w:tcPr>
            <w:tcW w:w="1420" w:type="dxa"/>
            <w:vAlign w:val="bottom"/>
            <w:tcBorders>
              <w:bottom w:val="single" w:sz="8" w:color="14202A"/>
            </w:tcBorders>
          </w:tcPr>
          <w:p>
            <w:pPr>
              <w:spacing w:after="0"/>
              <w:rPr>
                <w:sz w:val="22"/>
                <w:szCs w:val="22"/>
                <w:color w:val="auto"/>
              </w:rPr>
            </w:pPr>
          </w:p>
        </w:tc>
        <w:tc>
          <w:tcPr>
            <w:tcW w:w="1460" w:type="dxa"/>
            <w:vAlign w:val="bottom"/>
            <w:tcBorders>
              <w:bottom w:val="single" w:sz="8" w:color="14202A"/>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4,091</w:t>
            </w:r>
          </w:p>
        </w:tc>
        <w:tc>
          <w:tcPr>
            <w:tcW w:w="1080" w:type="dxa"/>
            <w:vAlign w:val="bottom"/>
            <w:tcBorders>
              <w:bottom w:val="single" w:sz="8" w:color="14202A"/>
            </w:tcBorders>
          </w:tcPr>
          <w:p>
            <w:pPr>
              <w:jc w:val="right"/>
              <w:ind w:right="140"/>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(4)</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47.93</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12/17/29</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3,710</w:t>
            </w:r>
          </w:p>
        </w:tc>
        <w:tc>
          <w:tcPr>
            <w:tcW w:w="1080" w:type="dxa"/>
            <w:vAlign w:val="bottom"/>
            <w:tcBorders>
              <w:bottom w:val="single" w:sz="8" w:color="14202A"/>
            </w:tcBorders>
          </w:tcPr>
          <w:p>
            <w:pPr>
              <w:jc w:val="right"/>
              <w:ind w:right="140"/>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(5)</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54.49</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10/13/30</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3,255</w:t>
            </w:r>
          </w:p>
        </w:tc>
        <w:tc>
          <w:tcPr>
            <w:tcW w:w="1080" w:type="dxa"/>
            <w:vAlign w:val="bottom"/>
            <w:tcBorders>
              <w:bottom w:val="single" w:sz="8" w:color="14202A"/>
            </w:tcBorders>
          </w:tcPr>
          <w:p>
            <w:pPr>
              <w:jc w:val="right"/>
              <w:ind w:right="140"/>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(6)</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75.59</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10/12/31</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4,812</w:t>
            </w:r>
          </w:p>
        </w:tc>
        <w:tc>
          <w:tcPr>
            <w:tcW w:w="1080" w:type="dxa"/>
            <w:vAlign w:val="bottom"/>
            <w:tcBorders>
              <w:bottom w:val="single" w:sz="8" w:color="14202A"/>
            </w:tcBorders>
          </w:tcPr>
          <w:p>
            <w:pPr>
              <w:jc w:val="right"/>
              <w:ind w:right="140"/>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(7)</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56.09</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10/11/32</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3,185</w:t>
            </w:r>
          </w:p>
        </w:tc>
        <w:tc>
          <w:tcPr>
            <w:tcW w:w="1080" w:type="dxa"/>
            <w:vAlign w:val="bottom"/>
            <w:tcBorders>
              <w:bottom w:val="single" w:sz="8" w:color="14202A"/>
            </w:tcBorders>
          </w:tcPr>
          <w:p>
            <w:pPr>
              <w:jc w:val="right"/>
              <w:ind w:right="140"/>
              <w:spacing w:after="0"/>
              <w:rPr>
                <w:sz w:val="20"/>
                <w:szCs w:val="20"/>
                <w:color w:val="auto"/>
              </w:rPr>
            </w:pPr>
            <w:r>
              <w:rPr>
                <w:rFonts w:ascii="Arial" w:cs="Arial" w:eastAsia="Arial" w:hAnsi="Arial"/>
                <w:sz w:val="13"/>
                <w:szCs w:val="13"/>
                <w:color w:val="14202A"/>
              </w:rPr>
              <w:t>1,593</w:t>
            </w:r>
            <w:r>
              <w:rPr>
                <w:rFonts w:ascii="Arial" w:cs="Arial" w:eastAsia="Arial" w:hAnsi="Arial"/>
                <w:sz w:val="20"/>
                <w:szCs w:val="20"/>
                <w:color w:val="14202A"/>
                <w:vertAlign w:val="superscript"/>
              </w:rPr>
              <w:t>(8)</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58.68</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10/10/33</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1,821</w:t>
            </w:r>
          </w:p>
        </w:tc>
        <w:tc>
          <w:tcPr>
            <w:tcW w:w="1080" w:type="dxa"/>
            <w:vAlign w:val="bottom"/>
            <w:tcBorders>
              <w:bottom w:val="single" w:sz="8" w:color="14202A"/>
            </w:tcBorders>
          </w:tcPr>
          <w:p>
            <w:pPr>
              <w:jc w:val="right"/>
              <w:ind w:right="140"/>
              <w:spacing w:after="0"/>
              <w:rPr>
                <w:sz w:val="20"/>
                <w:szCs w:val="20"/>
                <w:color w:val="auto"/>
              </w:rPr>
            </w:pPr>
            <w:r>
              <w:rPr>
                <w:rFonts w:ascii="Arial" w:cs="Arial" w:eastAsia="Arial" w:hAnsi="Arial"/>
                <w:sz w:val="13"/>
                <w:szCs w:val="13"/>
                <w:color w:val="14202A"/>
              </w:rPr>
              <w:t>3,644</w:t>
            </w:r>
            <w:r>
              <w:rPr>
                <w:rFonts w:ascii="Arial" w:cs="Arial" w:eastAsia="Arial" w:hAnsi="Arial"/>
                <w:sz w:val="20"/>
                <w:szCs w:val="20"/>
                <w:color w:val="14202A"/>
                <w:vertAlign w:val="superscript"/>
              </w:rPr>
              <w:t>(9)</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58.87</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10/15/34</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rPr>
              <w:t>—</w:t>
            </w:r>
          </w:p>
        </w:tc>
        <w:tc>
          <w:tcPr>
            <w:tcW w:w="1080" w:type="dxa"/>
            <w:vAlign w:val="bottom"/>
            <w:tcBorders>
              <w:bottom w:val="single" w:sz="8" w:color="14202A"/>
            </w:tcBorders>
          </w:tcPr>
          <w:p>
            <w:pPr>
              <w:jc w:val="right"/>
              <w:ind w:right="80"/>
              <w:spacing w:after="0"/>
              <w:rPr>
                <w:sz w:val="20"/>
                <w:szCs w:val="20"/>
                <w:color w:val="auto"/>
              </w:rPr>
            </w:pPr>
            <w:r>
              <w:rPr>
                <w:rFonts w:ascii="Arial" w:cs="Arial" w:eastAsia="Arial" w:hAnsi="Arial"/>
                <w:sz w:val="13"/>
                <w:szCs w:val="13"/>
                <w:color w:val="14202A"/>
              </w:rPr>
              <w:t>12,973</w:t>
            </w:r>
            <w:r>
              <w:rPr>
                <w:rFonts w:ascii="Arial" w:cs="Arial" w:eastAsia="Arial" w:hAnsi="Arial"/>
                <w:sz w:val="20"/>
                <w:szCs w:val="20"/>
                <w:color w:val="14202A"/>
                <w:vertAlign w:val="superscript"/>
              </w:rPr>
              <w:t>(10)</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30.75</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10/14/35</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rPr>
              <w:t>6,812</w:t>
            </w:r>
            <w:r>
              <w:rPr>
                <w:rFonts w:ascii="Arial" w:cs="Arial" w:eastAsia="Arial" w:hAnsi="Arial"/>
                <w:sz w:val="20"/>
                <w:szCs w:val="20"/>
                <w:color w:val="14202A"/>
                <w:vertAlign w:val="superscript"/>
              </w:rPr>
              <w:t>(11)</w:t>
            </w:r>
          </w:p>
        </w:tc>
        <w:tc>
          <w:tcPr>
            <w:tcW w:w="1460" w:type="dxa"/>
            <w:vAlign w:val="bottom"/>
            <w:tcBorders>
              <w:bottom w:val="single" w:sz="8" w:color="14202A"/>
            </w:tcBorders>
          </w:tcPr>
          <w:p>
            <w:pPr>
              <w:jc w:val="right"/>
              <w:ind w:right="498"/>
              <w:spacing w:after="0"/>
              <w:rPr>
                <w:sz w:val="20"/>
                <w:szCs w:val="20"/>
                <w:color w:val="auto"/>
              </w:rPr>
            </w:pPr>
            <w:r>
              <w:rPr>
                <w:rFonts w:ascii="Arial" w:cs="Arial" w:eastAsia="Arial" w:hAnsi="Arial"/>
                <w:sz w:val="13"/>
                <w:szCs w:val="13"/>
                <w:color w:val="14202A"/>
              </w:rPr>
              <w:t>208,447</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37"/>
              <w:spacing w:after="0"/>
              <w:rPr>
                <w:sz w:val="20"/>
                <w:szCs w:val="20"/>
                <w:color w:val="auto"/>
              </w:rPr>
            </w:pPr>
            <w:r>
              <w:rPr>
                <w:rFonts w:ascii="Arial" w:cs="Arial" w:eastAsia="Arial" w:hAnsi="Arial"/>
                <w:sz w:val="13"/>
                <w:szCs w:val="13"/>
                <w:color w:val="14202A"/>
              </w:rPr>
              <w:t>7,306</w:t>
            </w:r>
            <w:r>
              <w:rPr>
                <w:rFonts w:ascii="Arial" w:cs="Arial" w:eastAsia="Arial" w:hAnsi="Arial"/>
                <w:sz w:val="20"/>
                <w:szCs w:val="20"/>
                <w:color w:val="14202A"/>
                <w:vertAlign w:val="superscript"/>
              </w:rPr>
              <w:t>(12)</w:t>
            </w:r>
          </w:p>
        </w:tc>
        <w:tc>
          <w:tcPr>
            <w:tcW w:w="1460" w:type="dxa"/>
            <w:vAlign w:val="bottom"/>
            <w:tcBorders>
              <w:bottom w:val="single" w:sz="8" w:color="14202A"/>
            </w:tcBorders>
          </w:tcPr>
          <w:p>
            <w:pPr>
              <w:jc w:val="right"/>
              <w:ind w:right="498"/>
              <w:spacing w:after="0"/>
              <w:rPr>
                <w:sz w:val="20"/>
                <w:szCs w:val="20"/>
                <w:color w:val="auto"/>
              </w:rPr>
            </w:pPr>
            <w:r>
              <w:rPr>
                <w:rFonts w:ascii="Arial" w:cs="Arial" w:eastAsia="Arial" w:hAnsi="Arial"/>
                <w:sz w:val="13"/>
                <w:szCs w:val="13"/>
                <w:color w:val="14202A"/>
              </w:rPr>
              <w:t>223,564</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37"/>
              <w:spacing w:after="0"/>
              <w:rPr>
                <w:sz w:val="20"/>
                <w:szCs w:val="20"/>
                <w:color w:val="auto"/>
              </w:rPr>
            </w:pPr>
            <w:r>
              <w:rPr>
                <w:rFonts w:ascii="Arial" w:cs="Arial" w:eastAsia="Arial" w:hAnsi="Arial"/>
                <w:sz w:val="13"/>
                <w:szCs w:val="13"/>
                <w:color w:val="14202A"/>
              </w:rPr>
              <w:t>14,372</w:t>
            </w:r>
            <w:r>
              <w:rPr>
                <w:rFonts w:ascii="Arial" w:cs="Arial" w:eastAsia="Arial" w:hAnsi="Arial"/>
                <w:sz w:val="20"/>
                <w:szCs w:val="20"/>
                <w:color w:val="14202A"/>
                <w:vertAlign w:val="superscript"/>
              </w:rPr>
              <w:t>(13)</w:t>
            </w:r>
          </w:p>
        </w:tc>
        <w:tc>
          <w:tcPr>
            <w:tcW w:w="1460" w:type="dxa"/>
            <w:vAlign w:val="bottom"/>
            <w:tcBorders>
              <w:bottom w:val="single" w:sz="8" w:color="14202A"/>
            </w:tcBorders>
          </w:tcPr>
          <w:p>
            <w:pPr>
              <w:jc w:val="right"/>
              <w:ind w:right="498"/>
              <w:spacing w:after="0"/>
              <w:rPr>
                <w:sz w:val="20"/>
                <w:szCs w:val="20"/>
                <w:color w:val="auto"/>
              </w:rPr>
            </w:pPr>
            <w:r>
              <w:rPr>
                <w:rFonts w:ascii="Arial" w:cs="Arial" w:eastAsia="Arial" w:hAnsi="Arial"/>
                <w:sz w:val="13"/>
                <w:szCs w:val="13"/>
                <w:color w:val="14202A"/>
              </w:rPr>
              <w:t>439,783</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1,590</w:t>
            </w:r>
            <w:r>
              <w:rPr>
                <w:rFonts w:ascii="Arial" w:cs="Arial" w:eastAsia="Arial" w:hAnsi="Arial"/>
                <w:sz w:val="20"/>
                <w:szCs w:val="20"/>
                <w:color w:val="14202A"/>
                <w:vertAlign w:val="superscript"/>
              </w:rPr>
              <w:t>(8)</w:t>
            </w:r>
          </w:p>
        </w:tc>
        <w:tc>
          <w:tcPr>
            <w:tcW w:w="1060" w:type="dxa"/>
            <w:vAlign w:val="bottom"/>
            <w:tcBorders>
              <w:bottom w:val="single" w:sz="8" w:color="14202A"/>
            </w:tcBorders>
          </w:tcPr>
          <w:p>
            <w:pPr>
              <w:jc w:val="right"/>
              <w:ind w:right="218"/>
              <w:spacing w:after="0"/>
              <w:rPr>
                <w:sz w:val="20"/>
                <w:szCs w:val="20"/>
                <w:color w:val="auto"/>
              </w:rPr>
            </w:pPr>
            <w:r>
              <w:rPr>
                <w:rFonts w:ascii="Arial" w:cs="Arial" w:eastAsia="Arial" w:hAnsi="Arial"/>
                <w:sz w:val="13"/>
                <w:szCs w:val="13"/>
                <w:color w:val="14202A"/>
              </w:rPr>
              <w:t>48,654</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3,410</w:t>
            </w:r>
            <w:r>
              <w:rPr>
                <w:rFonts w:ascii="Arial" w:cs="Arial" w:eastAsia="Arial" w:hAnsi="Arial"/>
                <w:sz w:val="20"/>
                <w:szCs w:val="20"/>
                <w:color w:val="14202A"/>
                <w:vertAlign w:val="superscript"/>
              </w:rPr>
              <w:t>(9)</w:t>
            </w:r>
          </w:p>
        </w:tc>
        <w:tc>
          <w:tcPr>
            <w:tcW w:w="1060" w:type="dxa"/>
            <w:vAlign w:val="bottom"/>
            <w:tcBorders>
              <w:bottom w:val="single" w:sz="8" w:color="14202A"/>
            </w:tcBorders>
          </w:tcPr>
          <w:p>
            <w:pPr>
              <w:jc w:val="right"/>
              <w:ind w:right="218"/>
              <w:spacing w:after="0"/>
              <w:rPr>
                <w:sz w:val="20"/>
                <w:szCs w:val="20"/>
                <w:color w:val="auto"/>
              </w:rPr>
            </w:pPr>
            <w:r>
              <w:rPr>
                <w:rFonts w:ascii="Arial" w:cs="Arial" w:eastAsia="Arial" w:hAnsi="Arial"/>
                <w:sz w:val="13"/>
                <w:szCs w:val="13"/>
                <w:color w:val="14202A"/>
              </w:rPr>
              <w:t>104,346</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0" w:type="dxa"/>
            <w:vAlign w:val="bottom"/>
            <w:tcBorders>
              <w:bottom w:val="single" w:sz="8" w:color="14202A"/>
            </w:tcBorders>
          </w:tcPr>
          <w:p>
            <w:pPr>
              <w:spacing w:after="0"/>
              <w:rPr>
                <w:sz w:val="21"/>
                <w:szCs w:val="21"/>
                <w:color w:val="auto"/>
              </w:rPr>
            </w:pPr>
          </w:p>
        </w:tc>
        <w:tc>
          <w:tcPr>
            <w:tcW w:w="1400" w:type="dxa"/>
            <w:vAlign w:val="bottom"/>
            <w:tcBorders>
              <w:bottom w:val="single" w:sz="8" w:color="14202A"/>
            </w:tcBorders>
          </w:tcPr>
          <w:p>
            <w:pPr>
              <w:spacing w:after="0"/>
              <w:rPr>
                <w:sz w:val="21"/>
                <w:szCs w:val="21"/>
                <w:color w:val="auto"/>
              </w:rPr>
            </w:pPr>
          </w:p>
        </w:tc>
        <w:tc>
          <w:tcPr>
            <w:tcW w:w="80" w:type="dxa"/>
            <w:vAlign w:val="bottom"/>
            <w:tcBorders>
              <w:bottom w:val="single" w:sz="8" w:color="14202A"/>
            </w:tcBorders>
          </w:tcPr>
          <w:p>
            <w:pPr>
              <w:spacing w:after="0"/>
              <w:rPr>
                <w:sz w:val="21"/>
                <w:szCs w:val="21"/>
                <w:color w:val="auto"/>
              </w:rPr>
            </w:pPr>
          </w:p>
        </w:tc>
        <w:tc>
          <w:tcPr>
            <w:tcW w:w="880" w:type="dxa"/>
            <w:vAlign w:val="bottom"/>
            <w:tcBorders>
              <w:bottom w:val="single" w:sz="8" w:color="14202A"/>
            </w:tcBorders>
          </w:tcPr>
          <w:p>
            <w:pPr>
              <w:spacing w:after="0"/>
              <w:rPr>
                <w:sz w:val="21"/>
                <w:szCs w:val="21"/>
                <w:color w:val="auto"/>
              </w:rPr>
            </w:pPr>
          </w:p>
        </w:tc>
        <w:tc>
          <w:tcPr>
            <w:tcW w:w="1080" w:type="dxa"/>
            <w:vAlign w:val="bottom"/>
            <w:tcBorders>
              <w:bottom w:val="single" w:sz="8" w:color="14202A"/>
            </w:tcBorders>
          </w:tcPr>
          <w:p>
            <w:pPr>
              <w:spacing w:after="0"/>
              <w:rPr>
                <w:sz w:val="21"/>
                <w:szCs w:val="21"/>
                <w:color w:val="auto"/>
              </w:rPr>
            </w:pPr>
          </w:p>
        </w:tc>
        <w:tc>
          <w:tcPr>
            <w:tcW w:w="720" w:type="dxa"/>
            <w:vAlign w:val="bottom"/>
            <w:tcBorders>
              <w:bottom w:val="single" w:sz="8" w:color="14202A"/>
            </w:tcBorders>
          </w:tcPr>
          <w:p>
            <w:pPr>
              <w:spacing w:after="0"/>
              <w:rPr>
                <w:sz w:val="21"/>
                <w:szCs w:val="21"/>
                <w:color w:val="auto"/>
              </w:rPr>
            </w:pPr>
          </w:p>
        </w:tc>
        <w:tc>
          <w:tcPr>
            <w:tcW w:w="780" w:type="dxa"/>
            <w:vAlign w:val="bottom"/>
            <w:tcBorders>
              <w:bottom w:val="single" w:sz="8" w:color="14202A"/>
            </w:tcBorders>
          </w:tcPr>
          <w:p>
            <w:pPr>
              <w:spacing w:after="0"/>
              <w:rPr>
                <w:sz w:val="21"/>
                <w:szCs w:val="21"/>
                <w:color w:val="auto"/>
              </w:rPr>
            </w:pPr>
          </w:p>
        </w:tc>
        <w:tc>
          <w:tcPr>
            <w:tcW w:w="1160" w:type="dxa"/>
            <w:vAlign w:val="bottom"/>
            <w:tcBorders>
              <w:bottom w:val="single" w:sz="8" w:color="14202A"/>
            </w:tcBorders>
            <w:gridSpan w:val="2"/>
          </w:tcPr>
          <w:p>
            <w:pPr>
              <w:jc w:val="right"/>
              <w:ind w:right="77"/>
              <w:spacing w:after="0"/>
              <w:rPr>
                <w:sz w:val="20"/>
                <w:szCs w:val="20"/>
                <w:color w:val="auto"/>
              </w:rPr>
            </w:pPr>
            <w:r>
              <w:rPr>
                <w:rFonts w:ascii="Arial" w:cs="Arial" w:eastAsia="Arial" w:hAnsi="Arial"/>
                <w:sz w:val="13"/>
                <w:szCs w:val="13"/>
                <w:color w:val="14202A"/>
              </w:rPr>
              <w:t>10,061</w:t>
            </w:r>
            <w:r>
              <w:rPr>
                <w:rFonts w:ascii="Arial" w:cs="Arial" w:eastAsia="Arial" w:hAnsi="Arial"/>
                <w:sz w:val="20"/>
                <w:szCs w:val="20"/>
                <w:color w:val="14202A"/>
                <w:vertAlign w:val="superscript"/>
              </w:rPr>
              <w:t>(10)</w:t>
            </w:r>
          </w:p>
        </w:tc>
        <w:tc>
          <w:tcPr>
            <w:tcW w:w="1060" w:type="dxa"/>
            <w:vAlign w:val="bottom"/>
            <w:tcBorders>
              <w:bottom w:val="single" w:sz="8" w:color="14202A"/>
            </w:tcBorders>
          </w:tcPr>
          <w:p>
            <w:pPr>
              <w:jc w:val="right"/>
              <w:ind w:right="218"/>
              <w:spacing w:after="0"/>
              <w:rPr>
                <w:sz w:val="20"/>
                <w:szCs w:val="20"/>
                <w:color w:val="auto"/>
              </w:rPr>
            </w:pPr>
            <w:r>
              <w:rPr>
                <w:rFonts w:ascii="Arial" w:cs="Arial" w:eastAsia="Arial" w:hAnsi="Arial"/>
                <w:sz w:val="13"/>
                <w:szCs w:val="13"/>
                <w:color w:val="14202A"/>
              </w:rPr>
              <w:t>307,867</w:t>
            </w:r>
          </w:p>
        </w:tc>
        <w:tc>
          <w:tcPr>
            <w:tcW w:w="1420" w:type="dxa"/>
            <w:vAlign w:val="bottom"/>
            <w:tcBorders>
              <w:bottom w:val="single" w:sz="8" w:color="14202A"/>
            </w:tcBorders>
          </w:tcPr>
          <w:p>
            <w:pPr>
              <w:spacing w:after="0"/>
              <w:rPr>
                <w:sz w:val="21"/>
                <w:szCs w:val="21"/>
                <w:color w:val="auto"/>
              </w:rPr>
            </w:pPr>
          </w:p>
        </w:tc>
        <w:tc>
          <w:tcPr>
            <w:tcW w:w="1460" w:type="dxa"/>
            <w:vAlign w:val="bottom"/>
            <w:tcBorders>
              <w:bottom w:val="single" w:sz="8" w:color="14202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-3059430</wp:posOffset>
            </wp:positionV>
            <wp:extent cx="53574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357495" cy="8890"/>
                    </a:xfrm>
                    <a:prstGeom prst="rect">
                      <a:avLst/>
                    </a:prstGeom>
                    <a:noFill/>
                  </pic:spPr>
                </pic:pic>
              </a:graphicData>
            </a:graphic>
          </wp:anchor>
        </w:drawing>
      </w:r>
    </w:p>
    <w:p>
      <w:pPr>
        <w:spacing w:after="0" w:line="43" w:lineRule="exact"/>
        <w:rPr>
          <w:sz w:val="20"/>
          <w:szCs w:val="20"/>
          <w:color w:val="auto"/>
        </w:rPr>
      </w:pPr>
    </w:p>
    <w:p>
      <w:pPr>
        <w:jc w:val="both"/>
        <w:ind w:left="800" w:right="600" w:hanging="360"/>
        <w:spacing w:after="0" w:line="281" w:lineRule="auto"/>
        <w:tabs>
          <w:tab w:leader="none" w:pos="800" w:val="left"/>
        </w:tabs>
        <w:numPr>
          <w:ilvl w:val="0"/>
          <w:numId w:val="39"/>
        </w:numPr>
        <w:rPr>
          <w:rFonts w:ascii="Arial" w:cs="Arial" w:eastAsia="Arial" w:hAnsi="Arial"/>
          <w:sz w:val="12"/>
          <w:szCs w:val="12"/>
          <w:color w:val="14202A"/>
        </w:rPr>
      </w:pPr>
      <w:r>
        <w:rPr>
          <w:rFonts w:ascii="Arial" w:cs="Arial" w:eastAsia="Arial" w:hAnsi="Arial"/>
          <w:sz w:val="12"/>
          <w:szCs w:val="12"/>
          <w:color w:val="14202A"/>
        </w:rPr>
        <w:t>Represents award granted on December 13, 2016 as a grant for the purchase of Grand Design RV, LLC under the 2014 Omnibus Equity, Performance Award and Incentive Compensation Plan (the “2014 Plan”), which vested with respect to 33% of the shares on each of the first three anniversaries of the grant date.</w:t>
      </w:r>
    </w:p>
    <w:p>
      <w:pPr>
        <w:ind w:left="800" w:right="74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award granted on October 18, 2017 as an annual stock or option grant under the 2014 Plan, which vested with respect to 33% of the shares on each of the first three anniversaries of the grant date.</w:t>
      </w:r>
    </w:p>
    <w:p>
      <w:pPr>
        <w:spacing w:after="0" w:line="21" w:lineRule="exact"/>
        <w:rPr>
          <w:rFonts w:ascii="Arial" w:cs="Arial" w:eastAsia="Arial" w:hAnsi="Arial"/>
          <w:sz w:val="13"/>
          <w:szCs w:val="13"/>
          <w:color w:val="14202A"/>
        </w:rPr>
      </w:pPr>
    </w:p>
    <w:p>
      <w:pPr>
        <w:ind w:left="800" w:right="52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award granted on October 15, 2018 as an annual stock or option grant under the 2014 Plan, which vested with respect to 33% of the shares on the first three anniversaries of the date of grant.</w:t>
      </w:r>
    </w:p>
    <w:p>
      <w:pPr>
        <w:spacing w:after="0" w:line="21" w:lineRule="exact"/>
        <w:rPr>
          <w:rFonts w:ascii="Arial" w:cs="Arial" w:eastAsia="Arial" w:hAnsi="Arial"/>
          <w:sz w:val="13"/>
          <w:szCs w:val="13"/>
          <w:color w:val="14202A"/>
        </w:rPr>
      </w:pPr>
    </w:p>
    <w:p>
      <w:pPr>
        <w:ind w:left="800" w:right="60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award granted on December 17, 2019 as an annual stock or option grant under the 2019 Plan, which vested with respect to 33% of the shares on the first three anniversaries of the date of grant.</w:t>
      </w:r>
    </w:p>
    <w:p>
      <w:pPr>
        <w:spacing w:after="0" w:line="21" w:lineRule="exact"/>
        <w:rPr>
          <w:rFonts w:ascii="Arial" w:cs="Arial" w:eastAsia="Arial" w:hAnsi="Arial"/>
          <w:sz w:val="13"/>
          <w:szCs w:val="13"/>
          <w:color w:val="14202A"/>
        </w:rPr>
      </w:pPr>
    </w:p>
    <w:p>
      <w:pPr>
        <w:ind w:left="800" w:right="74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award granted on October 13, 2020 as an annual stock or option grant under the 2019 Plan, which vested with respect to 33% of the shares on each of the first three anniversaries of the date of grant.</w:t>
      </w:r>
    </w:p>
    <w:p>
      <w:pPr>
        <w:spacing w:after="0" w:line="21" w:lineRule="exact"/>
        <w:rPr>
          <w:rFonts w:ascii="Arial" w:cs="Arial" w:eastAsia="Arial" w:hAnsi="Arial"/>
          <w:sz w:val="13"/>
          <w:szCs w:val="13"/>
          <w:color w:val="14202A"/>
        </w:rPr>
      </w:pPr>
    </w:p>
    <w:p>
      <w:pPr>
        <w:ind w:left="800" w:right="74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award granted on October 12, 2021 as an annual stock or option grant under the 2019 Plan, which vested with respect to 33% of the shares on each of the first three anniversaries of the date of grant.</w:t>
      </w:r>
    </w:p>
    <w:p>
      <w:pPr>
        <w:spacing w:after="0" w:line="21" w:lineRule="exact"/>
        <w:rPr>
          <w:rFonts w:ascii="Arial" w:cs="Arial" w:eastAsia="Arial" w:hAnsi="Arial"/>
          <w:sz w:val="13"/>
          <w:szCs w:val="13"/>
          <w:color w:val="14202A"/>
        </w:rPr>
      </w:pPr>
    </w:p>
    <w:p>
      <w:pPr>
        <w:ind w:left="800" w:right="44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award granted on October 11, 2022 as an annual stock or option grant under the 2019 Plan, which vested with respect to 33% of the shares on each of the first three anniversaries of the date of grant.</w:t>
      </w:r>
    </w:p>
    <w:p>
      <w:pPr>
        <w:spacing w:after="0" w:line="21" w:lineRule="exact"/>
        <w:rPr>
          <w:rFonts w:ascii="Arial" w:cs="Arial" w:eastAsia="Arial" w:hAnsi="Arial"/>
          <w:sz w:val="13"/>
          <w:szCs w:val="13"/>
          <w:color w:val="14202A"/>
        </w:rPr>
      </w:pPr>
    </w:p>
    <w:p>
      <w:pPr>
        <w:ind w:left="800" w:right="66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award granted on October 10, 2023 as an annual stock or option grant under the 2019 Plan, which will vest with respect to 33% of the shares on each of the first three anniversaries of the date of grant.</w:t>
      </w:r>
    </w:p>
    <w:p>
      <w:pPr>
        <w:spacing w:after="0" w:line="21" w:lineRule="exact"/>
        <w:rPr>
          <w:rFonts w:ascii="Arial" w:cs="Arial" w:eastAsia="Arial" w:hAnsi="Arial"/>
          <w:sz w:val="13"/>
          <w:szCs w:val="13"/>
          <w:color w:val="14202A"/>
        </w:rPr>
      </w:pPr>
    </w:p>
    <w:p>
      <w:pPr>
        <w:ind w:left="800" w:right="66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award granted on October 15, 2024 as an annual stock or option grant under the 2019 Plan, which will vest with respect to 33% of the shares on each of the first three anniversaries of the date of grant.</w:t>
      </w:r>
    </w:p>
    <w:p>
      <w:pPr>
        <w:spacing w:after="0" w:line="21" w:lineRule="exact"/>
        <w:rPr>
          <w:rFonts w:ascii="Arial" w:cs="Arial" w:eastAsia="Arial" w:hAnsi="Arial"/>
          <w:sz w:val="13"/>
          <w:szCs w:val="13"/>
          <w:color w:val="14202A"/>
        </w:rPr>
      </w:pPr>
    </w:p>
    <w:p>
      <w:pPr>
        <w:ind w:left="800" w:right="66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award granted on October 14, 2025 as an annual stock or option grant under the 2019 Plan, which will vest with respect to 33% of the shares on each of the first three anniversaries of the date of grant.</w:t>
      </w:r>
    </w:p>
    <w:p>
      <w:pPr>
        <w:spacing w:after="0" w:line="21" w:lineRule="exact"/>
        <w:rPr>
          <w:rFonts w:ascii="Arial" w:cs="Arial" w:eastAsia="Arial" w:hAnsi="Arial"/>
          <w:sz w:val="13"/>
          <w:szCs w:val="13"/>
          <w:color w:val="14202A"/>
        </w:rPr>
      </w:pPr>
    </w:p>
    <w:p>
      <w:pPr>
        <w:ind w:left="800" w:right="78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Fiscal 2024-2026 LTIP at target, under the 2019 Plan for the three-year performance period beginning August 27, 2023 and ending August 29, 2026.</w:t>
      </w:r>
    </w:p>
    <w:p>
      <w:pPr>
        <w:spacing w:after="0" w:line="21" w:lineRule="exact"/>
        <w:rPr>
          <w:rFonts w:ascii="Arial" w:cs="Arial" w:eastAsia="Arial" w:hAnsi="Arial"/>
          <w:sz w:val="13"/>
          <w:szCs w:val="13"/>
          <w:color w:val="14202A"/>
        </w:rPr>
      </w:pPr>
    </w:p>
    <w:p>
      <w:pPr>
        <w:ind w:left="800" w:right="62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Fiscal 2025-2027 LTIP at target, under the 2019 Plan for the three-year performance period beginning September 1, 2024 and ending August 28, 2027.</w:t>
      </w:r>
    </w:p>
    <w:p>
      <w:pPr>
        <w:spacing w:after="0" w:line="21" w:lineRule="exact"/>
        <w:rPr>
          <w:rFonts w:ascii="Arial" w:cs="Arial" w:eastAsia="Arial" w:hAnsi="Arial"/>
          <w:sz w:val="13"/>
          <w:szCs w:val="13"/>
          <w:color w:val="14202A"/>
        </w:rPr>
      </w:pPr>
    </w:p>
    <w:p>
      <w:pPr>
        <w:ind w:left="800" w:right="78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Fiscal 2026-2028 LTIP at target, under the 2019 Plan for the three-year performance period beginning August 31, 2025 and ending August 26, 2028.</w:t>
      </w:r>
    </w:p>
    <w:p>
      <w:pPr>
        <w:spacing w:after="0" w:line="21" w:lineRule="exact"/>
        <w:rPr>
          <w:rFonts w:ascii="Arial" w:cs="Arial" w:eastAsia="Arial" w:hAnsi="Arial"/>
          <w:sz w:val="13"/>
          <w:szCs w:val="13"/>
          <w:color w:val="14202A"/>
        </w:rPr>
      </w:pPr>
    </w:p>
    <w:p>
      <w:pPr>
        <w:ind w:left="800" w:hanging="360"/>
        <w:spacing w:after="0"/>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the value of unvested stock based on the closing stock price as of August 28, 2026 of $30.60.</w:t>
      </w:r>
    </w:p>
    <w:p>
      <w:pPr>
        <w:spacing w:after="0" w:line="39" w:lineRule="exact"/>
        <w:rPr>
          <w:rFonts w:ascii="Arial" w:cs="Arial" w:eastAsia="Arial" w:hAnsi="Arial"/>
          <w:sz w:val="13"/>
          <w:szCs w:val="13"/>
          <w:color w:val="14202A"/>
        </w:rPr>
      </w:pPr>
    </w:p>
    <w:p>
      <w:pPr>
        <w:ind w:left="800" w:hanging="360"/>
        <w:spacing w:after="0"/>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the value of unearned performance share units at target based on the closing stock price as of August 28, 2026 of $30.60.</w:t>
      </w:r>
    </w:p>
    <w:p>
      <w:pPr>
        <w:spacing w:after="0" w:line="310" w:lineRule="exact"/>
        <w:rPr>
          <w:sz w:val="20"/>
          <w:szCs w:val="20"/>
          <w:color w:val="auto"/>
        </w:rPr>
      </w:pPr>
    </w:p>
    <w:p>
      <w:pPr>
        <w:ind w:left="7000"/>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156210</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-83185</wp:posOffset>
            </wp:positionV>
            <wp:extent cx="1465580" cy="939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0160"/>
          </w:cols>
          <w:pgMar w:left="860" w:top="114" w:right="8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Option Exercises and Stock Vested Table</w:t>
      </w:r>
    </w:p>
    <w:p>
      <w:pPr>
        <w:spacing w:after="0" w:line="180"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14202A"/>
        </w:rPr>
        <w:t>The following table provides the amounts received before payroll withholding taxes upon the exercise of options or similar instruments or the vesting of stock or similar instruments during Fiscal 2026.</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0" w:type="dxa"/>
            <w:vAlign w:val="bottom"/>
            <w:shd w:val="clear" w:color="auto" w:fill="14202A"/>
          </w:tcPr>
          <w:p>
            <w:pPr>
              <w:spacing w:after="0"/>
              <w:rPr>
                <w:sz w:val="22"/>
                <w:szCs w:val="22"/>
                <w:color w:val="auto"/>
              </w:rPr>
            </w:pPr>
          </w:p>
        </w:tc>
        <w:tc>
          <w:tcPr>
            <w:tcW w:w="2600" w:type="dxa"/>
            <w:vAlign w:val="bottom"/>
            <w:shd w:val="clear" w:color="auto" w:fill="14202A"/>
          </w:tcPr>
          <w:p>
            <w:pPr>
              <w:spacing w:after="0"/>
              <w:rPr>
                <w:sz w:val="22"/>
                <w:szCs w:val="22"/>
                <w:color w:val="auto"/>
              </w:rPr>
            </w:pPr>
          </w:p>
        </w:tc>
        <w:tc>
          <w:tcPr>
            <w:tcW w:w="3240" w:type="dxa"/>
            <w:vAlign w:val="bottom"/>
            <w:gridSpan w:val="2"/>
            <w:shd w:val="clear" w:color="auto" w:fill="14202A"/>
          </w:tcPr>
          <w:p>
            <w:pPr>
              <w:jc w:val="right"/>
              <w:ind w:right="1051"/>
              <w:spacing w:after="0"/>
              <w:rPr>
                <w:sz w:val="20"/>
                <w:szCs w:val="20"/>
                <w:color w:val="auto"/>
              </w:rPr>
            </w:pPr>
            <w:r>
              <w:rPr>
                <w:rFonts w:ascii="Arial" w:cs="Arial" w:eastAsia="Arial" w:hAnsi="Arial"/>
                <w:sz w:val="13"/>
                <w:szCs w:val="13"/>
                <w:b w:val="1"/>
                <w:bCs w:val="1"/>
                <w:color w:val="FFFFFF"/>
              </w:rPr>
              <w:t>Option Awards</w:t>
            </w:r>
          </w:p>
        </w:tc>
        <w:tc>
          <w:tcPr>
            <w:tcW w:w="3240" w:type="dxa"/>
            <w:vAlign w:val="bottom"/>
            <w:gridSpan w:val="2"/>
            <w:shd w:val="clear" w:color="auto" w:fill="14202A"/>
          </w:tcPr>
          <w:p>
            <w:pPr>
              <w:ind w:left="1260"/>
              <w:spacing w:after="0"/>
              <w:rPr>
                <w:sz w:val="20"/>
                <w:szCs w:val="20"/>
                <w:color w:val="auto"/>
              </w:rPr>
            </w:pPr>
            <w:r>
              <w:rPr>
                <w:rFonts w:ascii="Arial" w:cs="Arial" w:eastAsia="Arial" w:hAnsi="Arial"/>
                <w:sz w:val="13"/>
                <w:szCs w:val="13"/>
                <w:b w:val="1"/>
                <w:bCs w:val="1"/>
                <w:color w:val="FFFFFF"/>
              </w:rPr>
              <w:t>Stock Awards</w:t>
            </w:r>
          </w:p>
        </w:tc>
        <w:tc>
          <w:tcPr>
            <w:tcW w:w="10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00" w:type="dxa"/>
            <w:vAlign w:val="bottom"/>
            <w:shd w:val="clear" w:color="auto" w:fill="14202A"/>
          </w:tcPr>
          <w:p>
            <w:pPr>
              <w:spacing w:after="0"/>
              <w:rPr>
                <w:sz w:val="22"/>
                <w:szCs w:val="22"/>
                <w:color w:val="auto"/>
              </w:rPr>
            </w:pPr>
          </w:p>
        </w:tc>
        <w:tc>
          <w:tcPr>
            <w:tcW w:w="2600" w:type="dxa"/>
            <w:vAlign w:val="bottom"/>
            <w:shd w:val="clear" w:color="auto" w:fill="14202A"/>
          </w:tcPr>
          <w:p>
            <w:pPr>
              <w:spacing w:after="0"/>
              <w:rPr>
                <w:sz w:val="22"/>
                <w:szCs w:val="22"/>
                <w:color w:val="auto"/>
              </w:rPr>
            </w:pPr>
          </w:p>
        </w:tc>
        <w:tc>
          <w:tcPr>
            <w:tcW w:w="16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5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Value Realized</w:t>
            </w:r>
          </w:p>
        </w:tc>
        <w:tc>
          <w:tcPr>
            <w:tcW w:w="16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5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Value Realized</w:t>
            </w:r>
          </w:p>
        </w:tc>
        <w:tc>
          <w:tcPr>
            <w:tcW w:w="10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100" w:type="dxa"/>
            <w:vAlign w:val="bottom"/>
            <w:shd w:val="clear" w:color="auto" w:fill="14202A"/>
          </w:tcPr>
          <w:p>
            <w:pPr>
              <w:spacing w:after="0"/>
              <w:rPr>
                <w:sz w:val="10"/>
                <w:szCs w:val="10"/>
                <w:color w:val="auto"/>
              </w:rPr>
            </w:pPr>
          </w:p>
        </w:tc>
        <w:tc>
          <w:tcPr>
            <w:tcW w:w="2600" w:type="dxa"/>
            <w:vAlign w:val="bottom"/>
            <w:shd w:val="clear" w:color="auto" w:fill="14202A"/>
          </w:tcPr>
          <w:p>
            <w:pPr>
              <w:spacing w:after="0"/>
              <w:rPr>
                <w:sz w:val="10"/>
                <w:szCs w:val="10"/>
                <w:color w:val="auto"/>
              </w:rPr>
            </w:pPr>
          </w:p>
        </w:tc>
        <w:tc>
          <w:tcPr>
            <w:tcW w:w="1680" w:type="dxa"/>
            <w:vAlign w:val="bottom"/>
            <w:shd w:val="clear" w:color="auto" w:fill="14202A"/>
          </w:tcPr>
          <w:p>
            <w:pPr>
              <w:jc w:val="center"/>
              <w:spacing w:after="0" w:line="126" w:lineRule="exact"/>
              <w:rPr>
                <w:sz w:val="20"/>
                <w:szCs w:val="20"/>
                <w:color w:val="auto"/>
              </w:rPr>
            </w:pPr>
            <w:r>
              <w:rPr>
                <w:rFonts w:ascii="Arial" w:cs="Arial" w:eastAsia="Arial" w:hAnsi="Arial"/>
                <w:sz w:val="13"/>
                <w:szCs w:val="13"/>
                <w:b w:val="1"/>
                <w:bCs w:val="1"/>
                <w:color w:val="FFFFFF"/>
                <w:w w:val="96"/>
              </w:rPr>
              <w:t>Shares Acquired</w:t>
            </w:r>
          </w:p>
        </w:tc>
        <w:tc>
          <w:tcPr>
            <w:tcW w:w="1560" w:type="dxa"/>
            <w:vAlign w:val="bottom"/>
            <w:vMerge w:val="continue"/>
            <w:shd w:val="clear" w:color="auto" w:fill="14202A"/>
          </w:tcPr>
          <w:p>
            <w:pPr>
              <w:spacing w:after="0"/>
              <w:rPr>
                <w:sz w:val="10"/>
                <w:szCs w:val="10"/>
                <w:color w:val="auto"/>
              </w:rPr>
            </w:pPr>
          </w:p>
        </w:tc>
        <w:tc>
          <w:tcPr>
            <w:tcW w:w="1680" w:type="dxa"/>
            <w:vAlign w:val="bottom"/>
            <w:shd w:val="clear" w:color="auto" w:fill="14202A"/>
          </w:tcPr>
          <w:p>
            <w:pPr>
              <w:jc w:val="center"/>
              <w:spacing w:after="0" w:line="126" w:lineRule="exact"/>
              <w:rPr>
                <w:sz w:val="20"/>
                <w:szCs w:val="20"/>
                <w:color w:val="auto"/>
              </w:rPr>
            </w:pPr>
            <w:r>
              <w:rPr>
                <w:rFonts w:ascii="Arial" w:cs="Arial" w:eastAsia="Arial" w:hAnsi="Arial"/>
                <w:sz w:val="13"/>
                <w:szCs w:val="13"/>
                <w:b w:val="1"/>
                <w:bCs w:val="1"/>
                <w:color w:val="FFFFFF"/>
                <w:w w:val="96"/>
              </w:rPr>
              <w:t>Shares Acquired</w:t>
            </w:r>
          </w:p>
        </w:tc>
        <w:tc>
          <w:tcPr>
            <w:tcW w:w="1560" w:type="dxa"/>
            <w:vAlign w:val="bottom"/>
            <w:vMerge w:val="continue"/>
            <w:shd w:val="clear" w:color="auto" w:fill="14202A"/>
          </w:tcPr>
          <w:p>
            <w:pPr>
              <w:spacing w:after="0"/>
              <w:rPr>
                <w:sz w:val="10"/>
                <w:szCs w:val="10"/>
                <w:color w:val="auto"/>
              </w:rPr>
            </w:pPr>
          </w:p>
        </w:tc>
        <w:tc>
          <w:tcPr>
            <w:tcW w:w="100" w:type="dxa"/>
            <w:vAlign w:val="bottom"/>
            <w:shd w:val="clear" w:color="auto" w:fill="14202A"/>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260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16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on Exercise</w:t>
            </w:r>
          </w:p>
        </w:tc>
        <w:tc>
          <w:tcPr>
            <w:tcW w:w="15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on Exercise</w:t>
            </w:r>
          </w:p>
        </w:tc>
        <w:tc>
          <w:tcPr>
            <w:tcW w:w="16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on Vesting</w:t>
            </w:r>
          </w:p>
        </w:tc>
        <w:tc>
          <w:tcPr>
            <w:tcW w:w="15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on Vesting</w:t>
            </w:r>
          </w:p>
        </w:tc>
        <w:tc>
          <w:tcPr>
            <w:tcW w:w="10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00" w:type="dxa"/>
            <w:vAlign w:val="bottom"/>
            <w:shd w:val="clear" w:color="auto" w:fill="14202A"/>
          </w:tcPr>
          <w:p>
            <w:pPr>
              <w:spacing w:after="0"/>
              <w:rPr>
                <w:sz w:val="21"/>
                <w:szCs w:val="21"/>
                <w:color w:val="auto"/>
              </w:rPr>
            </w:pPr>
          </w:p>
        </w:tc>
        <w:tc>
          <w:tcPr>
            <w:tcW w:w="2600" w:type="dxa"/>
            <w:vAlign w:val="bottom"/>
            <w:vMerge w:val="continue"/>
            <w:shd w:val="clear" w:color="auto" w:fill="14202A"/>
          </w:tcPr>
          <w:p>
            <w:pPr>
              <w:spacing w:after="0"/>
              <w:rPr>
                <w:sz w:val="21"/>
                <w:szCs w:val="21"/>
                <w:color w:val="auto"/>
              </w:rPr>
            </w:pPr>
          </w:p>
        </w:tc>
        <w:tc>
          <w:tcPr>
            <w:tcW w:w="16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5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6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560" w:type="dxa"/>
            <w:vAlign w:val="bottom"/>
            <w:shd w:val="clear" w:color="auto" w:fill="14202A"/>
          </w:tcPr>
          <w:p>
            <w:pPr>
              <w:jc w:val="center"/>
              <w:spacing w:after="0" w:line="242" w:lineRule="exact"/>
              <w:rPr>
                <w:sz w:val="20"/>
                <w:szCs w:val="20"/>
                <w:color w:val="auto"/>
              </w:rPr>
            </w:pPr>
            <w:r>
              <w:rPr>
                <w:rFonts w:ascii="Arial" w:cs="Arial" w:eastAsia="Arial" w:hAnsi="Arial"/>
                <w:sz w:val="25"/>
                <w:szCs w:val="25"/>
                <w:b w:val="1"/>
                <w:bCs w:val="1"/>
                <w:color w:val="FFFFFF"/>
                <w:w w:val="85"/>
                <w:vertAlign w:val="subscript"/>
              </w:rPr>
              <w:t>($)</w:t>
            </w:r>
            <w:r>
              <w:rPr>
                <w:rFonts w:ascii="Arial" w:cs="Arial" w:eastAsia="Arial" w:hAnsi="Arial"/>
                <w:sz w:val="10"/>
                <w:szCs w:val="10"/>
                <w:b w:val="1"/>
                <w:bCs w:val="1"/>
                <w:color w:val="FFFFFF"/>
                <w:w w:val="85"/>
              </w:rPr>
              <w:t>(1)</w:t>
            </w:r>
          </w:p>
        </w:tc>
        <w:tc>
          <w:tcPr>
            <w:tcW w:w="100" w:type="dxa"/>
            <w:vAlign w:val="bottom"/>
            <w:shd w:val="clear" w:color="auto" w:fill="14202A"/>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4"/>
                <w:szCs w:val="14"/>
                <w:color w:val="14202A"/>
              </w:rPr>
              <w:t>Michael J. Happe</w:t>
            </w:r>
          </w:p>
        </w:tc>
        <w:tc>
          <w:tcPr>
            <w:tcW w:w="1680" w:type="dxa"/>
            <w:vAlign w:val="bottom"/>
          </w:tcPr>
          <w:p>
            <w:pPr>
              <w:jc w:val="right"/>
              <w:ind w:right="533"/>
              <w:spacing w:after="0"/>
              <w:rPr>
                <w:sz w:val="20"/>
                <w:szCs w:val="20"/>
                <w:color w:val="auto"/>
              </w:rPr>
            </w:pPr>
            <w:r>
              <w:rPr>
                <w:rFonts w:ascii="Arial" w:cs="Arial" w:eastAsia="Arial" w:hAnsi="Arial"/>
                <w:sz w:val="14"/>
                <w:szCs w:val="14"/>
                <w:color w:val="14202A"/>
              </w:rPr>
              <w:t>23,300</w:t>
            </w:r>
          </w:p>
        </w:tc>
        <w:tc>
          <w:tcPr>
            <w:tcW w:w="1560" w:type="dxa"/>
            <w:vAlign w:val="bottom"/>
          </w:tcPr>
          <w:p>
            <w:pPr>
              <w:jc w:val="right"/>
              <w:ind w:right="451"/>
              <w:spacing w:after="0"/>
              <w:rPr>
                <w:sz w:val="20"/>
                <w:szCs w:val="20"/>
                <w:color w:val="auto"/>
              </w:rPr>
            </w:pPr>
            <w:r>
              <w:rPr>
                <w:rFonts w:ascii="Arial" w:cs="Arial" w:eastAsia="Arial" w:hAnsi="Arial"/>
                <w:sz w:val="14"/>
                <w:szCs w:val="14"/>
                <w:color w:val="14202A"/>
              </w:rPr>
              <w:t>847,828</w:t>
            </w:r>
          </w:p>
        </w:tc>
        <w:tc>
          <w:tcPr>
            <w:tcW w:w="1680" w:type="dxa"/>
            <w:vAlign w:val="bottom"/>
          </w:tcPr>
          <w:p>
            <w:pPr>
              <w:jc w:val="right"/>
              <w:ind w:right="533"/>
              <w:spacing w:after="0"/>
              <w:rPr>
                <w:sz w:val="20"/>
                <w:szCs w:val="20"/>
                <w:color w:val="auto"/>
              </w:rPr>
            </w:pPr>
            <w:r>
              <w:rPr>
                <w:rFonts w:ascii="Arial" w:cs="Arial" w:eastAsia="Arial" w:hAnsi="Arial"/>
                <w:sz w:val="14"/>
                <w:szCs w:val="14"/>
                <w:color w:val="14202A"/>
              </w:rPr>
              <w:t>33,523</w:t>
            </w:r>
          </w:p>
        </w:tc>
        <w:tc>
          <w:tcPr>
            <w:tcW w:w="1560" w:type="dxa"/>
            <w:vAlign w:val="bottom"/>
          </w:tcPr>
          <w:p>
            <w:pPr>
              <w:jc w:val="center"/>
              <w:spacing w:after="0"/>
              <w:rPr>
                <w:sz w:val="20"/>
                <w:szCs w:val="20"/>
                <w:color w:val="auto"/>
              </w:rPr>
            </w:pPr>
            <w:r>
              <w:rPr>
                <w:rFonts w:ascii="Arial" w:cs="Arial" w:eastAsia="Arial" w:hAnsi="Arial"/>
                <w:sz w:val="14"/>
                <w:szCs w:val="14"/>
                <w:color w:val="14202A"/>
              </w:rPr>
              <w:t>999,852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0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00" w:type="dxa"/>
            <w:vAlign w:val="bottom"/>
          </w:tcPr>
          <w:p>
            <w:pPr>
              <w:ind w:left="60"/>
              <w:spacing w:after="0"/>
              <w:rPr>
                <w:sz w:val="20"/>
                <w:szCs w:val="20"/>
                <w:color w:val="auto"/>
              </w:rPr>
            </w:pPr>
            <w:r>
              <w:rPr>
                <w:rFonts w:ascii="Arial" w:cs="Arial" w:eastAsia="Arial" w:hAnsi="Arial"/>
                <w:sz w:val="14"/>
                <w:szCs w:val="14"/>
                <w:color w:val="14202A"/>
              </w:rPr>
              <w:t>Bryan L. Hughes</w:t>
            </w:r>
          </w:p>
        </w:tc>
        <w:tc>
          <w:tcPr>
            <w:tcW w:w="1680" w:type="dxa"/>
            <w:vAlign w:val="bottom"/>
          </w:tcPr>
          <w:p>
            <w:pPr>
              <w:jc w:val="right"/>
              <w:ind w:right="533"/>
              <w:spacing w:after="0"/>
              <w:rPr>
                <w:sz w:val="20"/>
                <w:szCs w:val="20"/>
                <w:color w:val="auto"/>
              </w:rPr>
            </w:pPr>
            <w:r>
              <w:rPr>
                <w:rFonts w:ascii="Arial" w:cs="Arial" w:eastAsia="Arial" w:hAnsi="Arial"/>
                <w:sz w:val="14"/>
                <w:szCs w:val="14"/>
                <w:color w:val="14202A"/>
              </w:rPr>
              <w:t>—</w:t>
            </w:r>
          </w:p>
        </w:tc>
        <w:tc>
          <w:tcPr>
            <w:tcW w:w="1560" w:type="dxa"/>
            <w:vAlign w:val="bottom"/>
          </w:tcPr>
          <w:p>
            <w:pPr>
              <w:jc w:val="right"/>
              <w:ind w:right="451"/>
              <w:spacing w:after="0"/>
              <w:rPr>
                <w:sz w:val="20"/>
                <w:szCs w:val="20"/>
                <w:color w:val="auto"/>
              </w:rPr>
            </w:pPr>
            <w:r>
              <w:rPr>
                <w:rFonts w:ascii="Arial" w:cs="Arial" w:eastAsia="Arial" w:hAnsi="Arial"/>
                <w:sz w:val="14"/>
                <w:szCs w:val="14"/>
                <w:color w:val="14202A"/>
              </w:rPr>
              <w:t>—</w:t>
            </w:r>
          </w:p>
        </w:tc>
        <w:tc>
          <w:tcPr>
            <w:tcW w:w="1680" w:type="dxa"/>
            <w:vAlign w:val="bottom"/>
          </w:tcPr>
          <w:p>
            <w:pPr>
              <w:jc w:val="right"/>
              <w:ind w:right="533"/>
              <w:spacing w:after="0"/>
              <w:rPr>
                <w:sz w:val="20"/>
                <w:szCs w:val="20"/>
                <w:color w:val="auto"/>
              </w:rPr>
            </w:pPr>
            <w:r>
              <w:rPr>
                <w:rFonts w:ascii="Arial" w:cs="Arial" w:eastAsia="Arial" w:hAnsi="Arial"/>
                <w:sz w:val="14"/>
                <w:szCs w:val="14"/>
                <w:color w:val="14202A"/>
              </w:rPr>
              <w:t>6,718</w:t>
            </w:r>
          </w:p>
        </w:tc>
        <w:tc>
          <w:tcPr>
            <w:tcW w:w="1560" w:type="dxa"/>
            <w:vAlign w:val="bottom"/>
          </w:tcPr>
          <w:p>
            <w:pPr>
              <w:jc w:val="center"/>
              <w:spacing w:after="0"/>
              <w:rPr>
                <w:sz w:val="20"/>
                <w:szCs w:val="20"/>
                <w:color w:val="auto"/>
              </w:rPr>
            </w:pPr>
            <w:r>
              <w:rPr>
                <w:rFonts w:ascii="Arial" w:cs="Arial" w:eastAsia="Arial" w:hAnsi="Arial"/>
                <w:sz w:val="14"/>
                <w:szCs w:val="14"/>
                <w:color w:val="14202A"/>
              </w:rPr>
              <w:t>200,395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60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00" w:type="dxa"/>
            <w:vAlign w:val="bottom"/>
          </w:tcPr>
          <w:p>
            <w:pPr>
              <w:ind w:left="60"/>
              <w:spacing w:after="0"/>
              <w:rPr>
                <w:sz w:val="20"/>
                <w:szCs w:val="20"/>
                <w:color w:val="auto"/>
              </w:rPr>
            </w:pPr>
            <w:r>
              <w:rPr>
                <w:rFonts w:ascii="Arial" w:cs="Arial" w:eastAsia="Arial" w:hAnsi="Arial"/>
                <w:sz w:val="14"/>
                <w:szCs w:val="14"/>
                <w:color w:val="14202A"/>
              </w:rPr>
              <w:t>Donald J. Clark</w:t>
            </w:r>
          </w:p>
        </w:tc>
        <w:tc>
          <w:tcPr>
            <w:tcW w:w="1680" w:type="dxa"/>
            <w:vAlign w:val="bottom"/>
          </w:tcPr>
          <w:p>
            <w:pPr>
              <w:jc w:val="right"/>
              <w:ind w:right="533"/>
              <w:spacing w:after="0"/>
              <w:rPr>
                <w:sz w:val="20"/>
                <w:szCs w:val="20"/>
                <w:color w:val="auto"/>
              </w:rPr>
            </w:pPr>
            <w:r>
              <w:rPr>
                <w:rFonts w:ascii="Arial" w:cs="Arial" w:eastAsia="Arial" w:hAnsi="Arial"/>
                <w:sz w:val="14"/>
                <w:szCs w:val="14"/>
                <w:color w:val="14202A"/>
              </w:rPr>
              <w:t>—</w:t>
            </w:r>
          </w:p>
        </w:tc>
        <w:tc>
          <w:tcPr>
            <w:tcW w:w="1560" w:type="dxa"/>
            <w:vAlign w:val="bottom"/>
          </w:tcPr>
          <w:p>
            <w:pPr>
              <w:jc w:val="right"/>
              <w:ind w:right="451"/>
              <w:spacing w:after="0"/>
              <w:rPr>
                <w:sz w:val="20"/>
                <w:szCs w:val="20"/>
                <w:color w:val="auto"/>
              </w:rPr>
            </w:pPr>
            <w:r>
              <w:rPr>
                <w:rFonts w:ascii="Arial" w:cs="Arial" w:eastAsia="Arial" w:hAnsi="Arial"/>
                <w:sz w:val="14"/>
                <w:szCs w:val="14"/>
                <w:color w:val="14202A"/>
              </w:rPr>
              <w:t>—</w:t>
            </w:r>
          </w:p>
        </w:tc>
        <w:tc>
          <w:tcPr>
            <w:tcW w:w="1680" w:type="dxa"/>
            <w:vAlign w:val="bottom"/>
          </w:tcPr>
          <w:p>
            <w:pPr>
              <w:jc w:val="right"/>
              <w:ind w:right="533"/>
              <w:spacing w:after="0"/>
              <w:rPr>
                <w:sz w:val="20"/>
                <w:szCs w:val="20"/>
                <w:color w:val="auto"/>
              </w:rPr>
            </w:pPr>
            <w:r>
              <w:rPr>
                <w:rFonts w:ascii="Arial" w:cs="Arial" w:eastAsia="Arial" w:hAnsi="Arial"/>
                <w:sz w:val="14"/>
                <w:szCs w:val="14"/>
                <w:color w:val="14202A"/>
              </w:rPr>
              <w:t>16,838</w:t>
            </w:r>
          </w:p>
        </w:tc>
        <w:tc>
          <w:tcPr>
            <w:tcW w:w="1560" w:type="dxa"/>
            <w:vAlign w:val="bottom"/>
          </w:tcPr>
          <w:p>
            <w:pPr>
              <w:jc w:val="center"/>
              <w:spacing w:after="0"/>
              <w:rPr>
                <w:sz w:val="20"/>
                <w:szCs w:val="20"/>
                <w:color w:val="auto"/>
              </w:rPr>
            </w:pPr>
            <w:r>
              <w:rPr>
                <w:rFonts w:ascii="Arial" w:cs="Arial" w:eastAsia="Arial" w:hAnsi="Arial"/>
                <w:sz w:val="14"/>
                <w:szCs w:val="14"/>
                <w:color w:val="14202A"/>
              </w:rPr>
              <w:t>499,415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0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00" w:type="dxa"/>
            <w:vAlign w:val="bottom"/>
          </w:tcPr>
          <w:p>
            <w:pPr>
              <w:ind w:left="60"/>
              <w:spacing w:after="0"/>
              <w:rPr>
                <w:sz w:val="20"/>
                <w:szCs w:val="20"/>
                <w:color w:val="auto"/>
              </w:rPr>
            </w:pPr>
            <w:r>
              <w:rPr>
                <w:rFonts w:ascii="Arial" w:cs="Arial" w:eastAsia="Arial" w:hAnsi="Arial"/>
                <w:sz w:val="14"/>
                <w:szCs w:val="14"/>
                <w:color w:val="14202A"/>
              </w:rPr>
              <w:t>Casey J. Tubman</w:t>
            </w:r>
          </w:p>
        </w:tc>
        <w:tc>
          <w:tcPr>
            <w:tcW w:w="1680" w:type="dxa"/>
            <w:vAlign w:val="bottom"/>
          </w:tcPr>
          <w:p>
            <w:pPr>
              <w:jc w:val="right"/>
              <w:ind w:right="533"/>
              <w:spacing w:after="0"/>
              <w:rPr>
                <w:sz w:val="20"/>
                <w:szCs w:val="20"/>
                <w:color w:val="auto"/>
              </w:rPr>
            </w:pPr>
            <w:r>
              <w:rPr>
                <w:rFonts w:ascii="Arial" w:cs="Arial" w:eastAsia="Arial" w:hAnsi="Arial"/>
                <w:sz w:val="14"/>
                <w:szCs w:val="14"/>
                <w:color w:val="14202A"/>
              </w:rPr>
              <w:t>—</w:t>
            </w:r>
          </w:p>
        </w:tc>
        <w:tc>
          <w:tcPr>
            <w:tcW w:w="1560" w:type="dxa"/>
            <w:vAlign w:val="bottom"/>
          </w:tcPr>
          <w:p>
            <w:pPr>
              <w:jc w:val="right"/>
              <w:ind w:right="451"/>
              <w:spacing w:after="0"/>
              <w:rPr>
                <w:sz w:val="20"/>
                <w:szCs w:val="20"/>
                <w:color w:val="auto"/>
              </w:rPr>
            </w:pPr>
            <w:r>
              <w:rPr>
                <w:rFonts w:ascii="Arial" w:cs="Arial" w:eastAsia="Arial" w:hAnsi="Arial"/>
                <w:sz w:val="14"/>
                <w:szCs w:val="14"/>
                <w:color w:val="14202A"/>
              </w:rPr>
              <w:t>—</w:t>
            </w:r>
          </w:p>
        </w:tc>
        <w:tc>
          <w:tcPr>
            <w:tcW w:w="1680" w:type="dxa"/>
            <w:vAlign w:val="bottom"/>
          </w:tcPr>
          <w:p>
            <w:pPr>
              <w:jc w:val="right"/>
              <w:ind w:right="533"/>
              <w:spacing w:after="0"/>
              <w:rPr>
                <w:sz w:val="20"/>
                <w:szCs w:val="20"/>
                <w:color w:val="auto"/>
              </w:rPr>
            </w:pPr>
            <w:r>
              <w:rPr>
                <w:rFonts w:ascii="Arial" w:cs="Arial" w:eastAsia="Arial" w:hAnsi="Arial"/>
                <w:sz w:val="14"/>
                <w:szCs w:val="14"/>
                <w:color w:val="14202A"/>
              </w:rPr>
              <w:t>3,542</w:t>
            </w:r>
          </w:p>
        </w:tc>
        <w:tc>
          <w:tcPr>
            <w:tcW w:w="1560" w:type="dxa"/>
            <w:vAlign w:val="bottom"/>
          </w:tcPr>
          <w:p>
            <w:pPr>
              <w:jc w:val="center"/>
              <w:spacing w:after="0"/>
              <w:rPr>
                <w:sz w:val="20"/>
                <w:szCs w:val="20"/>
                <w:color w:val="auto"/>
              </w:rPr>
            </w:pPr>
            <w:r>
              <w:rPr>
                <w:rFonts w:ascii="Arial" w:cs="Arial" w:eastAsia="Arial" w:hAnsi="Arial"/>
                <w:sz w:val="14"/>
                <w:szCs w:val="14"/>
                <w:color w:val="14202A"/>
              </w:rPr>
              <w:t>105,668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60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00" w:type="dxa"/>
            <w:vAlign w:val="bottom"/>
          </w:tcPr>
          <w:p>
            <w:pPr>
              <w:ind w:left="60"/>
              <w:spacing w:after="0"/>
              <w:rPr>
                <w:sz w:val="20"/>
                <w:szCs w:val="20"/>
                <w:color w:val="auto"/>
              </w:rPr>
            </w:pPr>
            <w:r>
              <w:rPr>
                <w:rFonts w:ascii="Arial" w:cs="Arial" w:eastAsia="Arial" w:hAnsi="Arial"/>
                <w:sz w:val="14"/>
                <w:szCs w:val="14"/>
                <w:color w:val="14202A"/>
              </w:rPr>
              <w:t>Stacy L. Bogart</w:t>
            </w:r>
          </w:p>
        </w:tc>
        <w:tc>
          <w:tcPr>
            <w:tcW w:w="1680" w:type="dxa"/>
            <w:vAlign w:val="bottom"/>
          </w:tcPr>
          <w:p>
            <w:pPr>
              <w:jc w:val="right"/>
              <w:ind w:right="533"/>
              <w:spacing w:after="0"/>
              <w:rPr>
                <w:sz w:val="20"/>
                <w:szCs w:val="20"/>
                <w:color w:val="auto"/>
              </w:rPr>
            </w:pPr>
            <w:r>
              <w:rPr>
                <w:rFonts w:ascii="Arial" w:cs="Arial" w:eastAsia="Arial" w:hAnsi="Arial"/>
                <w:sz w:val="14"/>
                <w:szCs w:val="14"/>
                <w:color w:val="14202A"/>
              </w:rPr>
              <w:t>—</w:t>
            </w:r>
          </w:p>
        </w:tc>
        <w:tc>
          <w:tcPr>
            <w:tcW w:w="1560" w:type="dxa"/>
            <w:vAlign w:val="bottom"/>
          </w:tcPr>
          <w:p>
            <w:pPr>
              <w:jc w:val="right"/>
              <w:ind w:right="451"/>
              <w:spacing w:after="0"/>
              <w:rPr>
                <w:sz w:val="20"/>
                <w:szCs w:val="20"/>
                <w:color w:val="auto"/>
              </w:rPr>
            </w:pPr>
            <w:r>
              <w:rPr>
                <w:rFonts w:ascii="Arial" w:cs="Arial" w:eastAsia="Arial" w:hAnsi="Arial"/>
                <w:sz w:val="14"/>
                <w:szCs w:val="14"/>
                <w:color w:val="14202A"/>
              </w:rPr>
              <w:t>—</w:t>
            </w:r>
          </w:p>
        </w:tc>
        <w:tc>
          <w:tcPr>
            <w:tcW w:w="1680" w:type="dxa"/>
            <w:vAlign w:val="bottom"/>
          </w:tcPr>
          <w:p>
            <w:pPr>
              <w:jc w:val="right"/>
              <w:ind w:right="533"/>
              <w:spacing w:after="0"/>
              <w:rPr>
                <w:sz w:val="20"/>
                <w:szCs w:val="20"/>
                <w:color w:val="auto"/>
              </w:rPr>
            </w:pPr>
            <w:r>
              <w:rPr>
                <w:rFonts w:ascii="Arial" w:cs="Arial" w:eastAsia="Arial" w:hAnsi="Arial"/>
                <w:sz w:val="14"/>
                <w:szCs w:val="14"/>
                <w:color w:val="14202A"/>
              </w:rPr>
              <w:t>4,892</w:t>
            </w:r>
          </w:p>
        </w:tc>
        <w:tc>
          <w:tcPr>
            <w:tcW w:w="1560" w:type="dxa"/>
            <w:vAlign w:val="bottom"/>
          </w:tcPr>
          <w:p>
            <w:pPr>
              <w:jc w:val="center"/>
              <w:spacing w:after="0"/>
              <w:rPr>
                <w:sz w:val="20"/>
                <w:szCs w:val="20"/>
                <w:color w:val="auto"/>
              </w:rPr>
            </w:pPr>
            <w:r>
              <w:rPr>
                <w:rFonts w:ascii="Arial" w:cs="Arial" w:eastAsia="Arial" w:hAnsi="Arial"/>
                <w:sz w:val="14"/>
                <w:szCs w:val="14"/>
                <w:color w:val="14202A"/>
              </w:rPr>
              <w:t>145,881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2600" w:type="dxa"/>
            <w:vAlign w:val="bottom"/>
            <w:tcBorders>
              <w:bottom w:val="single" w:sz="8" w:color="14202A"/>
            </w:tcBorders>
          </w:tcPr>
          <w:p>
            <w:pPr>
              <w:spacing w:after="0" w:line="20" w:lineRule="exact"/>
              <w:rPr>
                <w:sz w:val="1"/>
                <w:szCs w:val="1"/>
                <w:color w:val="auto"/>
              </w:rPr>
            </w:pPr>
          </w:p>
        </w:tc>
        <w:tc>
          <w:tcPr>
            <w:tcW w:w="1680" w:type="dxa"/>
            <w:vAlign w:val="bottom"/>
            <w:tcBorders>
              <w:bottom w:val="single" w:sz="8" w:color="14202A"/>
            </w:tcBorders>
          </w:tcPr>
          <w:p>
            <w:pPr>
              <w:spacing w:after="0" w:line="20" w:lineRule="exact"/>
              <w:rPr>
                <w:sz w:val="1"/>
                <w:szCs w:val="1"/>
                <w:color w:val="auto"/>
              </w:rPr>
            </w:pPr>
          </w:p>
        </w:tc>
        <w:tc>
          <w:tcPr>
            <w:tcW w:w="1560" w:type="dxa"/>
            <w:vAlign w:val="bottom"/>
            <w:tcBorders>
              <w:bottom w:val="single" w:sz="8" w:color="14202A"/>
            </w:tcBorders>
          </w:tcPr>
          <w:p>
            <w:pPr>
              <w:spacing w:after="0" w:line="20" w:lineRule="exact"/>
              <w:rPr>
                <w:sz w:val="1"/>
                <w:szCs w:val="1"/>
                <w:color w:val="auto"/>
              </w:rPr>
            </w:pPr>
          </w:p>
        </w:tc>
        <w:tc>
          <w:tcPr>
            <w:tcW w:w="1680" w:type="dxa"/>
            <w:vAlign w:val="bottom"/>
            <w:tcBorders>
              <w:bottom w:val="single" w:sz="8" w:color="14202A"/>
            </w:tcBorders>
          </w:tcPr>
          <w:p>
            <w:pPr>
              <w:spacing w:after="0" w:line="20" w:lineRule="exact"/>
              <w:rPr>
                <w:sz w:val="1"/>
                <w:szCs w:val="1"/>
                <w:color w:val="auto"/>
              </w:rPr>
            </w:pPr>
          </w:p>
        </w:tc>
        <w:tc>
          <w:tcPr>
            <w:tcW w:w="1560" w:type="dxa"/>
            <w:vAlign w:val="bottom"/>
            <w:tcBorders>
              <w:bottom w:val="single" w:sz="8" w:color="14202A"/>
            </w:tcBorders>
          </w:tcPr>
          <w:p>
            <w:pPr>
              <w:spacing w:after="0" w:line="20" w:lineRule="exact"/>
              <w:rPr>
                <w:sz w:val="1"/>
                <w:szCs w:val="1"/>
                <w:color w:val="auto"/>
              </w:rPr>
            </w:pPr>
          </w:p>
        </w:tc>
        <w:tc>
          <w:tcPr>
            <w:tcW w:w="1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-1422400</wp:posOffset>
            </wp:positionV>
            <wp:extent cx="40462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70" w:lineRule="exact"/>
        <w:rPr>
          <w:sz w:val="20"/>
          <w:szCs w:val="20"/>
          <w:color w:val="auto"/>
        </w:rPr>
      </w:pPr>
    </w:p>
    <w:p>
      <w:pPr>
        <w:ind w:left="360" w:right="160" w:hanging="360"/>
        <w:spacing w:after="0" w:line="243" w:lineRule="auto"/>
        <w:tabs>
          <w:tab w:leader="none" w:pos="360" w:val="left"/>
        </w:tabs>
        <w:numPr>
          <w:ilvl w:val="0"/>
          <w:numId w:val="40"/>
        </w:numPr>
        <w:rPr>
          <w:rFonts w:ascii="Arial" w:cs="Arial" w:eastAsia="Arial" w:hAnsi="Arial"/>
          <w:sz w:val="13"/>
          <w:szCs w:val="13"/>
          <w:color w:val="14202A"/>
        </w:rPr>
      </w:pPr>
      <w:r>
        <w:rPr>
          <w:rFonts w:ascii="Arial" w:cs="Arial" w:eastAsia="Arial" w:hAnsi="Arial"/>
          <w:sz w:val="13"/>
          <w:szCs w:val="13"/>
          <w:color w:val="14202A"/>
        </w:rPr>
        <w:t>Valued at the closing market price of the Company’s common stock of $29.66 (October 10, 2025), $29.66 (October 11, 2025), $30.75 (October 14, 2025), and $30.12 (October 15, 2025) as quoted on the NYSE on the vesting dates.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Non-Qualified Deferred Compensation</w:t>
      </w:r>
    </w:p>
    <w:p>
      <w:pPr>
        <w:spacing w:after="0" w:line="180" w:lineRule="exact"/>
        <w:rPr>
          <w:sz w:val="20"/>
          <w:szCs w:val="20"/>
          <w:color w:val="auto"/>
        </w:rPr>
      </w:pPr>
    </w:p>
    <w:p>
      <w:pPr>
        <w:ind w:right="520"/>
        <w:spacing w:after="0" w:line="266" w:lineRule="auto"/>
        <w:rPr>
          <w:sz w:val="20"/>
          <w:szCs w:val="20"/>
          <w:color w:val="auto"/>
        </w:rPr>
      </w:pPr>
      <w:r>
        <w:rPr>
          <w:rFonts w:ascii="Arial" w:cs="Arial" w:eastAsia="Arial" w:hAnsi="Arial"/>
          <w:sz w:val="16"/>
          <w:szCs w:val="16"/>
          <w:color w:val="14202A"/>
        </w:rPr>
        <w:t>A summary of our Deferred Compensation Plan is included in the Compensation Discussion &amp; Analysis under “Executive Deferred Compensation Plan (Non-Qualified Deferred Compensation Plan)”. The following table summarizes non-qualified deferred compensation by NEOs during Fiscal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2280" w:type="dxa"/>
            <w:vAlign w:val="bottom"/>
            <w:shd w:val="clear" w:color="auto" w:fill="14202A"/>
          </w:tcPr>
          <w:p>
            <w:pPr>
              <w:spacing w:after="0"/>
              <w:rPr>
                <w:sz w:val="19"/>
                <w:szCs w:val="19"/>
                <w:color w:val="auto"/>
              </w:rPr>
            </w:pPr>
          </w:p>
        </w:tc>
        <w:tc>
          <w:tcPr>
            <w:tcW w:w="2220" w:type="dxa"/>
            <w:vAlign w:val="bottom"/>
            <w:shd w:val="clear" w:color="auto" w:fill="14202A"/>
          </w:tcPr>
          <w:p>
            <w:pPr>
              <w:jc w:val="center"/>
              <w:ind w:left="855"/>
              <w:spacing w:after="0"/>
              <w:rPr>
                <w:sz w:val="20"/>
                <w:szCs w:val="20"/>
                <w:color w:val="auto"/>
              </w:rPr>
            </w:pPr>
            <w:r>
              <w:rPr>
                <w:rFonts w:ascii="Arial" w:cs="Arial" w:eastAsia="Arial" w:hAnsi="Arial"/>
                <w:sz w:val="13"/>
                <w:szCs w:val="13"/>
                <w:b w:val="1"/>
                <w:bCs w:val="1"/>
                <w:color w:val="FFFFFF"/>
                <w:w w:val="95"/>
              </w:rPr>
              <w:t>Executive</w:t>
            </w:r>
          </w:p>
        </w:tc>
        <w:tc>
          <w:tcPr>
            <w:tcW w:w="12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Registrant</w:t>
            </w:r>
          </w:p>
        </w:tc>
        <w:tc>
          <w:tcPr>
            <w:tcW w:w="10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Aggregate</w:t>
            </w:r>
          </w:p>
        </w:tc>
        <w:tc>
          <w:tcPr>
            <w:tcW w:w="1220" w:type="dxa"/>
            <w:vAlign w:val="bottom"/>
            <w:shd w:val="clear" w:color="auto" w:fill="14202A"/>
          </w:tcPr>
          <w:p>
            <w:pPr>
              <w:jc w:val="right"/>
              <w:ind w:right="235"/>
              <w:spacing w:after="0"/>
              <w:rPr>
                <w:sz w:val="20"/>
                <w:szCs w:val="20"/>
                <w:color w:val="auto"/>
              </w:rPr>
            </w:pPr>
            <w:r>
              <w:rPr>
                <w:rFonts w:ascii="Arial" w:cs="Arial" w:eastAsia="Arial" w:hAnsi="Arial"/>
                <w:sz w:val="13"/>
                <w:szCs w:val="13"/>
                <w:b w:val="1"/>
                <w:bCs w:val="1"/>
                <w:color w:val="FFFFFF"/>
              </w:rPr>
              <w:t>Aggregate</w:t>
            </w:r>
          </w:p>
        </w:tc>
        <w:tc>
          <w:tcPr>
            <w:tcW w:w="1120" w:type="dxa"/>
            <w:vAlign w:val="bottom"/>
            <w:shd w:val="clear" w:color="auto" w:fill="14202A"/>
          </w:tcPr>
          <w:p>
            <w:pPr>
              <w:jc w:val="center"/>
              <w:ind w:left="35"/>
              <w:spacing w:after="0"/>
              <w:rPr>
                <w:sz w:val="20"/>
                <w:szCs w:val="20"/>
                <w:color w:val="auto"/>
              </w:rPr>
            </w:pPr>
            <w:r>
              <w:rPr>
                <w:rFonts w:ascii="Arial" w:cs="Arial" w:eastAsia="Arial" w:hAnsi="Arial"/>
                <w:sz w:val="13"/>
                <w:szCs w:val="13"/>
                <w:b w:val="1"/>
                <w:bCs w:val="1"/>
                <w:color w:val="FFFFFF"/>
                <w:w w:val="96"/>
              </w:rPr>
              <w:t>Aggregate</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2280" w:type="dxa"/>
            <w:vAlign w:val="bottom"/>
            <w:shd w:val="clear" w:color="auto" w:fill="14202A"/>
          </w:tcPr>
          <w:p>
            <w:pPr>
              <w:spacing w:after="0"/>
              <w:rPr>
                <w:sz w:val="11"/>
                <w:szCs w:val="11"/>
                <w:color w:val="auto"/>
              </w:rPr>
            </w:pPr>
          </w:p>
        </w:tc>
        <w:tc>
          <w:tcPr>
            <w:tcW w:w="2220" w:type="dxa"/>
            <w:vAlign w:val="bottom"/>
            <w:shd w:val="clear" w:color="auto" w:fill="14202A"/>
          </w:tcPr>
          <w:p>
            <w:pPr>
              <w:jc w:val="center"/>
              <w:ind w:left="855"/>
              <w:spacing w:after="0" w:line="135" w:lineRule="exact"/>
              <w:rPr>
                <w:sz w:val="20"/>
                <w:szCs w:val="20"/>
                <w:color w:val="auto"/>
              </w:rPr>
            </w:pPr>
            <w:r>
              <w:rPr>
                <w:rFonts w:ascii="Arial" w:cs="Arial" w:eastAsia="Arial" w:hAnsi="Arial"/>
                <w:sz w:val="13"/>
                <w:szCs w:val="13"/>
                <w:b w:val="1"/>
                <w:bCs w:val="1"/>
                <w:color w:val="FFFFFF"/>
                <w:w w:val="96"/>
              </w:rPr>
              <w:t>Contributions</w:t>
            </w:r>
          </w:p>
        </w:tc>
        <w:tc>
          <w:tcPr>
            <w:tcW w:w="12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Contributions</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Earnings</w:t>
            </w:r>
          </w:p>
        </w:tc>
        <w:tc>
          <w:tcPr>
            <w:tcW w:w="1220" w:type="dxa"/>
            <w:vAlign w:val="bottom"/>
            <w:shd w:val="clear" w:color="auto" w:fill="14202A"/>
          </w:tcPr>
          <w:p>
            <w:pPr>
              <w:jc w:val="right"/>
              <w:ind w:right="155"/>
              <w:spacing w:after="0" w:line="135" w:lineRule="exact"/>
              <w:rPr>
                <w:sz w:val="20"/>
                <w:szCs w:val="20"/>
                <w:color w:val="auto"/>
              </w:rPr>
            </w:pPr>
            <w:r>
              <w:rPr>
                <w:rFonts w:ascii="Arial" w:cs="Arial" w:eastAsia="Arial" w:hAnsi="Arial"/>
                <w:sz w:val="13"/>
                <w:szCs w:val="13"/>
                <w:b w:val="1"/>
                <w:bCs w:val="1"/>
                <w:color w:val="FFFFFF"/>
              </w:rPr>
              <w:t>Withdrawals/</w:t>
            </w:r>
          </w:p>
        </w:tc>
        <w:tc>
          <w:tcPr>
            <w:tcW w:w="1120" w:type="dxa"/>
            <w:vAlign w:val="bottom"/>
            <w:shd w:val="clear" w:color="auto" w:fill="14202A"/>
          </w:tcPr>
          <w:p>
            <w:pPr>
              <w:jc w:val="center"/>
              <w:ind w:left="15"/>
              <w:spacing w:after="0" w:line="135" w:lineRule="exact"/>
              <w:rPr>
                <w:sz w:val="20"/>
                <w:szCs w:val="20"/>
                <w:color w:val="auto"/>
              </w:rPr>
            </w:pPr>
            <w:r>
              <w:rPr>
                <w:rFonts w:ascii="Arial" w:cs="Arial" w:eastAsia="Arial" w:hAnsi="Arial"/>
                <w:sz w:val="13"/>
                <w:szCs w:val="13"/>
                <w:b w:val="1"/>
                <w:bCs w:val="1"/>
                <w:color w:val="FFFFFF"/>
                <w:w w:val="96"/>
              </w:rPr>
              <w:t>Balance</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228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2220" w:type="dxa"/>
            <w:vAlign w:val="bottom"/>
            <w:shd w:val="clear" w:color="auto" w:fill="14202A"/>
          </w:tcPr>
          <w:p>
            <w:pPr>
              <w:jc w:val="center"/>
              <w:ind w:left="875"/>
              <w:spacing w:after="0" w:line="135" w:lineRule="exact"/>
              <w:rPr>
                <w:sz w:val="20"/>
                <w:szCs w:val="20"/>
                <w:color w:val="auto"/>
              </w:rPr>
            </w:pPr>
            <w:r>
              <w:rPr>
                <w:rFonts w:ascii="Arial" w:cs="Arial" w:eastAsia="Arial" w:hAnsi="Arial"/>
                <w:sz w:val="13"/>
                <w:szCs w:val="13"/>
                <w:b w:val="1"/>
                <w:bCs w:val="1"/>
                <w:color w:val="FFFFFF"/>
                <w:w w:val="96"/>
              </w:rPr>
              <w:t>in Last FY</w:t>
            </w:r>
          </w:p>
        </w:tc>
        <w:tc>
          <w:tcPr>
            <w:tcW w:w="12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in Last FY</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in Last FY</w:t>
            </w:r>
          </w:p>
        </w:tc>
        <w:tc>
          <w:tcPr>
            <w:tcW w:w="1220" w:type="dxa"/>
            <w:vAlign w:val="bottom"/>
            <w:shd w:val="clear" w:color="auto" w:fill="14202A"/>
          </w:tcPr>
          <w:p>
            <w:pPr>
              <w:jc w:val="right"/>
              <w:ind w:right="155"/>
              <w:spacing w:after="0" w:line="135" w:lineRule="exact"/>
              <w:rPr>
                <w:sz w:val="20"/>
                <w:szCs w:val="20"/>
                <w:color w:val="auto"/>
              </w:rPr>
            </w:pPr>
            <w:r>
              <w:rPr>
                <w:rFonts w:ascii="Arial" w:cs="Arial" w:eastAsia="Arial" w:hAnsi="Arial"/>
                <w:sz w:val="13"/>
                <w:szCs w:val="13"/>
                <w:b w:val="1"/>
                <w:bCs w:val="1"/>
                <w:color w:val="FFFFFF"/>
              </w:rPr>
              <w:t>Distributions</w:t>
            </w:r>
          </w:p>
        </w:tc>
        <w:tc>
          <w:tcPr>
            <w:tcW w:w="1120" w:type="dxa"/>
            <w:vAlign w:val="bottom"/>
            <w:shd w:val="clear" w:color="auto" w:fill="14202A"/>
          </w:tcPr>
          <w:p>
            <w:pPr>
              <w:jc w:val="center"/>
              <w:ind w:left="35"/>
              <w:spacing w:after="0" w:line="135" w:lineRule="exact"/>
              <w:rPr>
                <w:sz w:val="20"/>
                <w:szCs w:val="20"/>
                <w:color w:val="auto"/>
              </w:rPr>
            </w:pPr>
            <w:r>
              <w:rPr>
                <w:rFonts w:ascii="Arial" w:cs="Arial" w:eastAsia="Arial" w:hAnsi="Arial"/>
                <w:sz w:val="13"/>
                <w:szCs w:val="13"/>
                <w:b w:val="1"/>
                <w:bCs w:val="1"/>
                <w:color w:val="FFFFFF"/>
                <w:w w:val="98"/>
              </w:rPr>
              <w:t>at Last FYE</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2280" w:type="dxa"/>
            <w:vAlign w:val="bottom"/>
            <w:vMerge w:val="continue"/>
            <w:shd w:val="clear" w:color="auto" w:fill="14202A"/>
          </w:tcPr>
          <w:p>
            <w:pPr>
              <w:spacing w:after="0"/>
              <w:rPr>
                <w:sz w:val="14"/>
                <w:szCs w:val="14"/>
                <w:color w:val="auto"/>
              </w:rPr>
            </w:pPr>
          </w:p>
        </w:tc>
        <w:tc>
          <w:tcPr>
            <w:tcW w:w="2220" w:type="dxa"/>
            <w:vAlign w:val="bottom"/>
            <w:shd w:val="clear" w:color="auto" w:fill="14202A"/>
          </w:tcPr>
          <w:p>
            <w:pPr>
              <w:jc w:val="right"/>
              <w:ind w:right="495"/>
              <w:spacing w:after="0"/>
              <w:rPr>
                <w:sz w:val="20"/>
                <w:szCs w:val="20"/>
                <w:color w:val="auto"/>
              </w:rPr>
            </w:pPr>
            <w:r>
              <w:rPr>
                <w:rFonts w:ascii="Arial" w:cs="Arial" w:eastAsia="Arial" w:hAnsi="Arial"/>
                <w:sz w:val="13"/>
                <w:szCs w:val="13"/>
                <w:b w:val="1"/>
                <w:bCs w:val="1"/>
                <w:color w:val="FFFFFF"/>
              </w:rPr>
              <w:t>($)</w:t>
            </w:r>
          </w:p>
        </w:tc>
        <w:tc>
          <w:tcPr>
            <w:tcW w:w="1260" w:type="dxa"/>
            <w:vAlign w:val="bottom"/>
            <w:shd w:val="clear" w:color="auto" w:fill="14202A"/>
          </w:tcPr>
          <w:p>
            <w:pPr>
              <w:jc w:val="right"/>
              <w:ind w:right="495"/>
              <w:spacing w:after="0"/>
              <w:rPr>
                <w:sz w:val="20"/>
                <w:szCs w:val="20"/>
                <w:color w:val="auto"/>
              </w:rPr>
            </w:pPr>
            <w:r>
              <w:rPr>
                <w:rFonts w:ascii="Arial" w:cs="Arial" w:eastAsia="Arial" w:hAnsi="Arial"/>
                <w:sz w:val="13"/>
                <w:szCs w:val="13"/>
                <w:b w:val="1"/>
                <w:bCs w:val="1"/>
                <w:color w:val="FFFFFF"/>
              </w:rPr>
              <w:t>($)</w:t>
            </w:r>
          </w:p>
        </w:tc>
        <w:tc>
          <w:tcPr>
            <w:tcW w:w="10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220" w:type="dxa"/>
            <w:vAlign w:val="bottom"/>
            <w:shd w:val="clear" w:color="auto" w:fill="14202A"/>
          </w:tcPr>
          <w:p>
            <w:pPr>
              <w:jc w:val="right"/>
              <w:ind w:right="475"/>
              <w:spacing w:after="0"/>
              <w:rPr>
                <w:sz w:val="20"/>
                <w:szCs w:val="20"/>
                <w:color w:val="auto"/>
              </w:rPr>
            </w:pPr>
            <w:r>
              <w:rPr>
                <w:rFonts w:ascii="Arial" w:cs="Arial" w:eastAsia="Arial" w:hAnsi="Arial"/>
                <w:sz w:val="13"/>
                <w:szCs w:val="13"/>
                <w:b w:val="1"/>
                <w:bCs w:val="1"/>
                <w:color w:val="FFFFFF"/>
              </w:rPr>
              <w:t>($)</w:t>
            </w:r>
          </w:p>
        </w:tc>
        <w:tc>
          <w:tcPr>
            <w:tcW w:w="1120" w:type="dxa"/>
            <w:vAlign w:val="bottom"/>
            <w:shd w:val="clear" w:color="auto" w:fill="14202A"/>
          </w:tcPr>
          <w:p>
            <w:pPr>
              <w:jc w:val="center"/>
              <w:ind w:left="35"/>
              <w:spacing w:after="0"/>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2280" w:type="dxa"/>
            <w:vAlign w:val="bottom"/>
            <w:shd w:val="clear" w:color="auto" w:fill="14202A"/>
          </w:tcPr>
          <w:p>
            <w:pPr>
              <w:spacing w:after="0"/>
              <w:rPr>
                <w:sz w:val="5"/>
                <w:szCs w:val="5"/>
                <w:color w:val="auto"/>
              </w:rPr>
            </w:pPr>
          </w:p>
        </w:tc>
        <w:tc>
          <w:tcPr>
            <w:tcW w:w="2220" w:type="dxa"/>
            <w:vAlign w:val="bottom"/>
            <w:shd w:val="clear" w:color="auto" w:fill="14202A"/>
          </w:tcPr>
          <w:p>
            <w:pPr>
              <w:spacing w:after="0"/>
              <w:rPr>
                <w:sz w:val="5"/>
                <w:szCs w:val="5"/>
                <w:color w:val="auto"/>
              </w:rPr>
            </w:pPr>
          </w:p>
        </w:tc>
        <w:tc>
          <w:tcPr>
            <w:tcW w:w="1260" w:type="dxa"/>
            <w:vAlign w:val="bottom"/>
            <w:shd w:val="clear" w:color="auto" w:fill="14202A"/>
          </w:tcPr>
          <w:p>
            <w:pPr>
              <w:spacing w:after="0"/>
              <w:rPr>
                <w:sz w:val="5"/>
                <w:szCs w:val="5"/>
                <w:color w:val="auto"/>
              </w:rPr>
            </w:pPr>
          </w:p>
        </w:tc>
        <w:tc>
          <w:tcPr>
            <w:tcW w:w="1080" w:type="dxa"/>
            <w:vAlign w:val="bottom"/>
            <w:shd w:val="clear" w:color="auto" w:fill="14202A"/>
          </w:tcPr>
          <w:p>
            <w:pPr>
              <w:spacing w:after="0"/>
              <w:rPr>
                <w:sz w:val="5"/>
                <w:szCs w:val="5"/>
                <w:color w:val="auto"/>
              </w:rPr>
            </w:pPr>
          </w:p>
        </w:tc>
        <w:tc>
          <w:tcPr>
            <w:tcW w:w="1220" w:type="dxa"/>
            <w:vAlign w:val="bottom"/>
            <w:shd w:val="clear" w:color="auto" w:fill="14202A"/>
          </w:tcPr>
          <w:p>
            <w:pPr>
              <w:spacing w:after="0"/>
              <w:rPr>
                <w:sz w:val="5"/>
                <w:szCs w:val="5"/>
                <w:color w:val="auto"/>
              </w:rPr>
            </w:pPr>
          </w:p>
        </w:tc>
        <w:tc>
          <w:tcPr>
            <w:tcW w:w="112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00" w:type="dxa"/>
            <w:vAlign w:val="bottom"/>
            <w:tcBorders>
              <w:bottom w:val="single" w:sz="8" w:color="14202A"/>
            </w:tcBorders>
          </w:tcPr>
          <w:p>
            <w:pPr>
              <w:spacing w:after="0"/>
              <w:rPr>
                <w:sz w:val="24"/>
                <w:szCs w:val="24"/>
                <w:color w:val="auto"/>
              </w:rPr>
            </w:pPr>
          </w:p>
        </w:tc>
        <w:tc>
          <w:tcPr>
            <w:tcW w:w="2280" w:type="dxa"/>
            <w:vAlign w:val="bottom"/>
            <w:tcBorders>
              <w:bottom w:val="single" w:sz="8" w:color="14202A"/>
            </w:tcBorders>
          </w:tcPr>
          <w:p>
            <w:pPr>
              <w:ind w:left="60"/>
              <w:spacing w:after="0"/>
              <w:rPr>
                <w:sz w:val="20"/>
                <w:szCs w:val="20"/>
                <w:color w:val="auto"/>
              </w:rPr>
            </w:pPr>
            <w:r>
              <w:rPr>
                <w:rFonts w:ascii="Arial" w:cs="Arial" w:eastAsia="Arial" w:hAnsi="Arial"/>
                <w:sz w:val="14"/>
                <w:szCs w:val="14"/>
                <w:color w:val="14202A"/>
              </w:rPr>
              <w:t>Bryan L. Hughes</w:t>
            </w:r>
          </w:p>
        </w:tc>
        <w:tc>
          <w:tcPr>
            <w:tcW w:w="2220" w:type="dxa"/>
            <w:vAlign w:val="bottom"/>
            <w:tcBorders>
              <w:bottom w:val="single" w:sz="8" w:color="14202A"/>
            </w:tcBorders>
          </w:tcPr>
          <w:p>
            <w:pPr>
              <w:jc w:val="right"/>
              <w:ind w:right="515"/>
              <w:spacing w:after="0"/>
              <w:rPr>
                <w:sz w:val="20"/>
                <w:szCs w:val="20"/>
                <w:color w:val="auto"/>
              </w:rPr>
            </w:pPr>
            <w:r>
              <w:rPr>
                <w:rFonts w:ascii="Arial" w:cs="Arial" w:eastAsia="Arial" w:hAnsi="Arial"/>
                <w:sz w:val="14"/>
                <w:szCs w:val="14"/>
                <w:color w:val="14202A"/>
              </w:rPr>
              <w:t>—</w:t>
            </w:r>
          </w:p>
        </w:tc>
        <w:tc>
          <w:tcPr>
            <w:tcW w:w="1260" w:type="dxa"/>
            <w:vAlign w:val="bottom"/>
            <w:tcBorders>
              <w:bottom w:val="single" w:sz="8" w:color="14202A"/>
            </w:tcBorders>
          </w:tcPr>
          <w:p>
            <w:pPr>
              <w:jc w:val="right"/>
              <w:ind w:right="495"/>
              <w:spacing w:after="0"/>
              <w:rPr>
                <w:sz w:val="20"/>
                <w:szCs w:val="20"/>
                <w:color w:val="auto"/>
              </w:rPr>
            </w:pPr>
            <w:r>
              <w:rPr>
                <w:rFonts w:ascii="Arial" w:cs="Arial" w:eastAsia="Arial" w:hAnsi="Arial"/>
                <w:sz w:val="14"/>
                <w:szCs w:val="14"/>
                <w:color w:val="14202A"/>
              </w:rPr>
              <w:t>—</w:t>
            </w:r>
          </w:p>
        </w:tc>
        <w:tc>
          <w:tcPr>
            <w:tcW w:w="108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rPr>
              <w:t>165,796</w:t>
            </w:r>
          </w:p>
        </w:tc>
        <w:tc>
          <w:tcPr>
            <w:tcW w:w="1220" w:type="dxa"/>
            <w:vAlign w:val="bottom"/>
            <w:tcBorders>
              <w:bottom w:val="single" w:sz="8" w:color="14202A"/>
            </w:tcBorders>
          </w:tcPr>
          <w:p>
            <w:pPr>
              <w:jc w:val="right"/>
              <w:ind w:right="475"/>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14202A"/>
            </w:tcBorders>
          </w:tcPr>
          <w:p>
            <w:pPr>
              <w:jc w:val="center"/>
              <w:ind w:left="55"/>
              <w:spacing w:after="0"/>
              <w:rPr>
                <w:sz w:val="20"/>
                <w:szCs w:val="20"/>
                <w:color w:val="auto"/>
              </w:rPr>
            </w:pPr>
            <w:r>
              <w:rPr>
                <w:rFonts w:ascii="Arial" w:cs="Arial" w:eastAsia="Arial" w:hAnsi="Arial"/>
                <w:sz w:val="14"/>
                <w:szCs w:val="14"/>
                <w:color w:val="14202A"/>
                <w:w w:val="98"/>
              </w:rPr>
              <w:t>1,281,524</w:t>
            </w:r>
            <w:r>
              <w:rPr>
                <w:rFonts w:ascii="Arial" w:cs="Arial" w:eastAsia="Arial" w:hAnsi="Arial"/>
                <w:sz w:val="23"/>
                <w:szCs w:val="23"/>
                <w:color w:val="14202A"/>
                <w:w w:val="98"/>
                <w:vertAlign w:val="superscript"/>
              </w:rPr>
              <w:t>(1)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40" w:hanging="360"/>
        <w:spacing w:after="0" w:line="226" w:lineRule="auto"/>
        <w:tabs>
          <w:tab w:leader="none" w:pos="360" w:val="left"/>
        </w:tabs>
        <w:numPr>
          <w:ilvl w:val="0"/>
          <w:numId w:val="41"/>
        </w:numPr>
        <w:rPr>
          <w:rFonts w:ascii="Arial" w:cs="Arial" w:eastAsia="Arial" w:hAnsi="Arial"/>
          <w:sz w:val="13"/>
          <w:szCs w:val="13"/>
          <w:color w:val="14202A"/>
        </w:rPr>
      </w:pPr>
      <w:r>
        <w:rPr>
          <w:rFonts w:ascii="Arial" w:cs="Arial" w:eastAsia="Arial" w:hAnsi="Arial"/>
          <w:sz w:val="13"/>
          <w:szCs w:val="13"/>
          <w:color w:val="14202A"/>
        </w:rPr>
        <w:t>Balance includes (i) amounts from Mr. Hughes’ annual incentive payouts that were previously reported as Non-Equity Incentive Plan Compensation as follows: Fiscal 2018 - $60,792, Fiscal 2019 – $17,744, Fiscal 2020 – $54,027, Fiscal 2021 – $363,867, and Fiscal 2022 – $228,853 and (ii) amounts from Mr. Hughes’ base salary that were previously reported as Salary as follows: Fiscal 2021 – $52,500, and Fiscal 2022 – $54,904. Mr. Hughes has elected to receive his account balance upon his separation from service. For his 2018, 2019, and 2020 deferrals, he has elected to receive distribution in 60 monthly installments, and for his 2021 and 2022 deferrals, he has elected to receive distribution in 120 monthly installments.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Potential Payments upon Termination or Change in Control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Executive Officer Severance Plan</w:t>
      </w:r>
    </w:p>
    <w:p>
      <w:pPr>
        <w:spacing w:after="0" w:line="181" w:lineRule="exact"/>
        <w:rPr>
          <w:sz w:val="20"/>
          <w:szCs w:val="20"/>
          <w:color w:val="auto"/>
        </w:rPr>
      </w:pPr>
    </w:p>
    <w:p>
      <w:pPr>
        <w:spacing w:after="0" w:line="250" w:lineRule="auto"/>
        <w:rPr>
          <w:sz w:val="20"/>
          <w:szCs w:val="20"/>
          <w:color w:val="auto"/>
        </w:rPr>
      </w:pPr>
      <w:r>
        <w:rPr>
          <w:rFonts w:ascii="Arial" w:cs="Arial" w:eastAsia="Arial" w:hAnsi="Arial"/>
          <w:sz w:val="16"/>
          <w:szCs w:val="16"/>
          <w:color w:val="14202A"/>
        </w:rPr>
        <w:t>The Executive Officer Severance Plan (the “Executive Severance Plan”) applies to all executive officers other than Mr. Happe and Mr. Clark. The Executive Severance Plan provides that, if an eligible executive is terminated by the Company (or an affiliate) without cause or terminates employment with the Company (and affiliates) for good reason (as such terms are defined in the Executive Severance Plan), the eligible executive would be entitled to receive: (a) severance pay equal to one times the executive’s annualized base salary as of the executive’s employment termination date, payable in substantially equal installments over the 12 months after the executive’s employment with the Company (or an affiliate) ends, and (b) an amount equal to one times the sum of (i) the executive’s annual target bonus, as in effect on the executive’s employment termination date, plus (ii) the annual COBRA premium cost for continuation of the executive’s then-current group medical, dental and vision insurance coverage, payable in a lump sum with the initial installment of severance pay. To receive benefits, the executive must sign a release agreement and otherwise comply with the terms of the Executive Severance Plan.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Executive Change in Control Agreements</w:t>
      </w:r>
    </w:p>
    <w:p>
      <w:pPr>
        <w:spacing w:after="0" w:line="194"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14202A"/>
        </w:rPr>
        <w:t>Each of our NEOs is covered by a CIC Agreement. Due to the unique nature of Mr. Clark’s employment and compensation arrangements with the Company, we initially entered into a CIC Agreement with Mr. Clark in connection with the Grand Design acquisition and an amended and restated CIC Agreement, having the same</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14202A"/>
        </w:rPr>
        <w:t>terms as the prior agreement, was entered into on October 17, 2023 in connection with his amended and restated employment agreement. The purpose of the CIC Agreements is to reinforce and encourage executives to remain with the Company, to maintain objectivity and a high level of attention to their duties without distraction from the possibility of a change in control of the Company. The CIC Agreements provide that in the event of a change of control of the Company, as that term is defined in the CIC Agreements, the executive (provided such change in control occurs when the executive is employed by the Company) would receive, in the event he or she ceases to be employed by the Company within two years following a change in control of the Company (for a reason other than death, disability, termination for cause or, under certain circumstances, a voluntary termination of employment by the executive), a lump-sum equal to two (or three, in the case of Mr. Happe) times the annual salary and target annual incentives (as well as the annual COBRA premium cost). In the case of Mr. Clark, the total severance benefit would be capped at $3,000,000. These multiples were arrived at by the committee after an analysis of certain compensation peers’ change in control agreements at the time these CIC Agreements were initially developed.</w:t>
      </w:r>
    </w:p>
    <w:p>
      <w:pPr>
        <w:spacing w:after="0" w:line="146"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14202A"/>
        </w:rPr>
        <w:t>Under the CIC Agreements, a “change in control” generally refers to the acquisition by a person or group of beneficial ownership of 30% or more of the combined voting power of the Company’s voting securities, the Company’s continuing directors ceasing to constitute a majority of its Board of Directors, or the consummation of a corporate transaction as defined below (unless immediately following such corporate transaction all or substantially all of the Company’s previous holders of voting securities beneficially own 50% or more of the combined voting power of the resulting entity in substantially the same proportions). A “corporate transaction” generally means (i) a sale or other disposition of all or substantially all of the assets of the Company, or</w:t>
      </w:r>
    </w:p>
    <w:p>
      <w:pPr>
        <w:spacing w:after="0" w:line="251" w:lineRule="auto"/>
        <w:tabs>
          <w:tab w:leader="none" w:pos="225" w:val="left"/>
        </w:tabs>
        <w:numPr>
          <w:ilvl w:val="0"/>
          <w:numId w:val="42"/>
        </w:numPr>
        <w:rPr>
          <w:rFonts w:ascii="Arial" w:cs="Arial" w:eastAsia="Arial" w:hAnsi="Arial"/>
          <w:sz w:val="16"/>
          <w:szCs w:val="16"/>
          <w:color w:val="14202A"/>
        </w:rPr>
      </w:pPr>
      <w:r>
        <w:rPr>
          <w:rFonts w:ascii="Arial" w:cs="Arial" w:eastAsia="Arial" w:hAnsi="Arial"/>
          <w:sz w:val="16"/>
          <w:szCs w:val="16"/>
          <w:color w:val="14202A"/>
        </w:rPr>
        <w:t>a merger, consolidation, share exchange or similar transaction involving the Company. The CIC Agreements also include a “net best” provision providing that the amount of any severance payments and benefits that the NEO otherwise would be entitled to receive would be reduced to the extent necessary to avoid the excise tax under the Code, but only if such reduction would result in the executive retaining a greater amount of such payments and benefits on an after-tax basis than had no reduction been made. The calculations in the table below do not reflect any reduction that may apply as a result of this provision.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Annual Incentive Plan Payments</w:t>
      </w:r>
    </w:p>
    <w:p>
      <w:pPr>
        <w:spacing w:after="0" w:line="194"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14202A"/>
        </w:rPr>
        <w:t>A participant must be employed by the Company as of the bonus payment date to be eligible for annual incentive payments, except for a change in control as described below or as otherwise determined by the committee in its discretion upon retirement, disability and death. In the event of a change in control (as defined in the applicable OICP), participants are entitled to receive payouts of awards within 15 days of the effective date of the change in control in an amount equal to the greater of the actual level of performance (if determinable) and target if the participant’s employment is terminated and the award is not assumed by the successor or is otherwise discontinued.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Motorhome Bonus Plan</w:t>
      </w:r>
    </w:p>
    <w:p>
      <w:pPr>
        <w:spacing w:after="0" w:line="181"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14202A"/>
        </w:rPr>
        <w:t>Mr. Tubman participates in the Motorhome Bonus Plan, which provides that if a participant is involuntarily terminated without cause, or resigns for good reason (as defined in the CIC Agreement) after a corporate transaction (as defined in the 2019 Plan) but prior to the last day of the performance period, then one-third of the award shall immediately vest and be paid in cash.</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2014 Plan and 2019 Plan Benefits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Long-Term Incentive Program and Performance Share Units</w:t>
      </w: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16"/>
          <w:szCs w:val="16"/>
          <w:color w:val="14202A"/>
        </w:rPr>
        <w:t>A participant must be employed by the Company at the end of the three-fiscal-year performance period to be eligible for any long-term incentive award, except in cases of: death and termination due to disability (which, in each case would result in a payment at target or, in the discretion of the committee, based on actual results), or a change in control, as described below, or as waived by the committee. If, due to retirement (as defined in the applicable plan or award agreement), a participant’s employment terminates at least 12 months after the grant date but before the end of the performance period, the participant’s award will remain outstanding and eligible to vest based on actual performance results, as if he or she had not retired. In the event of a change of control (as defined in the plan or other agreement), the performance goals under a long-term incentive award will be deemed to be achieved at the greater of the target or actual level of performance (if determinable) and will continue to vest over the service period of the award. In the event of the participant’s involuntary termination of employment for</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14202A"/>
        </w:rPr>
        <w:t>reasons other than cause (as defined in the applicable plan or agreement) or if the committee so provides, the participant’s termination of employment for good reason (as defined in an applicable agreement), in either case, within 24 months following a change in control, the award will vest in full.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Restricted Stock Units</w:t>
      </w:r>
    </w:p>
    <w:p>
      <w:pPr>
        <w:spacing w:after="0" w:line="18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14202A"/>
        </w:rPr>
        <w:t>Pursuant to award agreements entered into by each NEO, unvested awards of restricted stock units will immediately vest to NEOs if the NEO’s termination of employment is due to his or her death or disability (as defined in the applicable plan) or, beginning in Fiscal 2022 and later, his or her retirement (as defined in the applicable plan); provided such retirement occurs at least 12 months after the grant date. In addition, any unvested restricted stock units vest upon the occurrence of a participant’s involuntary termination following a change in control (as defined in the applicable plan or award agreement) for reasons other than cause (as defined in the applicable plan or award agreement) or participant’s termination of employment for good reason (as defined in the applicable plan or award agreement), in either case, within 24 months following a change in control. In all other circumstances, in the event that a NEO ceases to be employed by the Company or any subsidiary, any unvested awards held by such grantee will terminate and thereafter be null and void.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Stock Options</w:t>
      </w:r>
    </w:p>
    <w:p>
      <w:pPr>
        <w:spacing w:after="0" w:line="181" w:lineRule="exact"/>
        <w:rPr>
          <w:sz w:val="20"/>
          <w:szCs w:val="20"/>
          <w:color w:val="auto"/>
        </w:rPr>
      </w:pPr>
    </w:p>
    <w:p>
      <w:pPr>
        <w:ind w:right="440"/>
        <w:spacing w:after="0" w:line="259" w:lineRule="auto"/>
        <w:rPr>
          <w:sz w:val="20"/>
          <w:szCs w:val="20"/>
          <w:color w:val="auto"/>
        </w:rPr>
      </w:pPr>
      <w:r>
        <w:rPr>
          <w:rFonts w:ascii="Arial" w:cs="Arial" w:eastAsia="Arial" w:hAnsi="Arial"/>
          <w:sz w:val="16"/>
          <w:szCs w:val="16"/>
          <w:color w:val="14202A"/>
        </w:rPr>
        <w:t>Pursuant to the stock option agreements entered into by certain of our NEOs, unvested options vest after a participant’s involuntary termination for reasons other than Cause (as defined in the applicable plan or award agreement) or participant’s termination of employment for Good Reason (as defined in the applicable plan or award agreement), in either case, within 24 months following a change in control (as defined in the applicable plan or award agreement).</w:t>
      </w:r>
    </w:p>
    <w:p>
      <w:pPr>
        <w:spacing w:after="0" w:line="137"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14202A"/>
        </w:rPr>
        <w:t>In addition, in the event that a NEO ceases to be employed by the Company not in connection with a change in control, stock options held by such NEO will vest as follows:</w:t>
      </w:r>
    </w:p>
    <w:p>
      <w:pPr>
        <w:spacing w:after="0" w:line="118" w:lineRule="exact"/>
        <w:rPr>
          <w:sz w:val="20"/>
          <w:szCs w:val="20"/>
          <w:color w:val="auto"/>
        </w:rPr>
      </w:pPr>
    </w:p>
    <w:p>
      <w:pPr>
        <w:ind w:left="720" w:right="540"/>
        <w:spacing w:after="0" w:line="286" w:lineRule="auto"/>
        <w:rPr>
          <w:sz w:val="20"/>
          <w:szCs w:val="20"/>
          <w:color w:val="auto"/>
        </w:rPr>
      </w:pPr>
      <w:r>
        <w:rPr>
          <w:rFonts w:ascii="Arial" w:cs="Arial" w:eastAsia="Arial" w:hAnsi="Arial"/>
          <w:sz w:val="16"/>
          <w:szCs w:val="16"/>
          <w:color w:val="14202A"/>
        </w:rPr>
        <w:t>if the NEO’s termination of employment is due to his or her disability, the stock options become vested in full and immediately exercisable for a period of one year after termination;</w:t>
      </w:r>
    </w:p>
    <w:p>
      <w:pPr>
        <w:spacing w:after="0" w:line="125" w:lineRule="exact"/>
        <w:rPr>
          <w:sz w:val="20"/>
          <w:szCs w:val="20"/>
          <w:color w:val="auto"/>
        </w:rPr>
      </w:pPr>
    </w:p>
    <w:p>
      <w:pPr>
        <w:jc w:val="both"/>
        <w:ind w:left="720"/>
        <w:spacing w:after="0" w:line="259" w:lineRule="auto"/>
        <w:rPr>
          <w:sz w:val="20"/>
          <w:szCs w:val="20"/>
          <w:color w:val="auto"/>
        </w:rPr>
      </w:pPr>
      <w:r>
        <w:rPr>
          <w:rFonts w:ascii="Arial" w:cs="Arial" w:eastAsia="Arial" w:hAnsi="Arial"/>
          <w:sz w:val="16"/>
          <w:szCs w:val="16"/>
          <w:color w:val="14202A"/>
        </w:rPr>
        <w:t>if the NEO’s termination of employment is due to his or her death, the options will become vested in full and immediately exercisable by the NEO’s estate or legal representative for a period of 10 years after any stock option grant date for non-qualified stock options (or in the case of options granted beginning Fiscal 2019 or thereafter, for a period of one year after death); and</w:t>
      </w:r>
    </w:p>
    <w:p>
      <w:pPr>
        <w:spacing w:after="0" w:line="137" w:lineRule="exact"/>
        <w:rPr>
          <w:sz w:val="20"/>
          <w:szCs w:val="20"/>
          <w:color w:val="auto"/>
        </w:rPr>
      </w:pPr>
    </w:p>
    <w:p>
      <w:pPr>
        <w:ind w:left="720" w:right="160"/>
        <w:spacing w:after="0" w:line="259" w:lineRule="auto"/>
        <w:rPr>
          <w:sz w:val="20"/>
          <w:szCs w:val="20"/>
          <w:color w:val="auto"/>
        </w:rPr>
      </w:pPr>
      <w:r>
        <w:rPr>
          <w:rFonts w:ascii="Arial" w:cs="Arial" w:eastAsia="Arial" w:hAnsi="Arial"/>
          <w:sz w:val="16"/>
          <w:szCs w:val="16"/>
          <w:color w:val="14202A"/>
        </w:rPr>
        <w:t>in the case of options granted beginning Fiscal 2022 or after, if the NEO’s termination of employment is due to his or her retirement (as defined in the applicable plan or award agreement) and such retirement occurs at least 12 months after the grant date, the options will become vested in full and immediately exercisable by the NEO for a period of one year after retirement.</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In the event that a NEO ceases to be employed by the Company other than because of a change in control, disability, death or retirement, any outstanding stock options held by the NEO which have not vested as of the date of termination of employment will terminate. In the case of each award type above, if the award is not assumed or replaced in a change in control, the award will vest in full (in the case of any performance-based award, the award will vest as to a pro-rata portion of the greater of the actual level of performance (if determinable) or target).</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ind w:right="260"/>
        <w:spacing w:after="0" w:line="287" w:lineRule="auto"/>
        <w:rPr>
          <w:sz w:val="20"/>
          <w:szCs w:val="20"/>
          <w:color w:val="auto"/>
        </w:rPr>
      </w:pPr>
      <w:r>
        <w:rPr>
          <w:rFonts w:ascii="Arial" w:cs="Arial" w:eastAsia="Arial" w:hAnsi="Arial"/>
          <w:sz w:val="27"/>
          <w:szCs w:val="27"/>
          <w:b w:val="1"/>
          <w:bCs w:val="1"/>
          <w:color w:val="14202A"/>
        </w:rPr>
        <w:t>Estimated Change in Control or Termination Payments and Benefits at the End of Fiscal 2026</w:t>
      </w:r>
    </w:p>
    <w:p>
      <w:pPr>
        <w:spacing w:after="0" w:line="83" w:lineRule="exact"/>
        <w:rPr>
          <w:sz w:val="20"/>
          <w:szCs w:val="20"/>
          <w:color w:val="auto"/>
        </w:rPr>
      </w:pPr>
    </w:p>
    <w:p>
      <w:pPr>
        <w:spacing w:after="0" w:line="251" w:lineRule="auto"/>
        <w:rPr>
          <w:sz w:val="20"/>
          <w:szCs w:val="20"/>
          <w:color w:val="auto"/>
        </w:rPr>
      </w:pPr>
      <w:r>
        <w:rPr>
          <w:rFonts w:ascii="Arial" w:cs="Arial" w:eastAsia="Arial" w:hAnsi="Arial"/>
          <w:sz w:val="16"/>
          <w:szCs w:val="16"/>
          <w:color w:val="14202A"/>
        </w:rPr>
        <w:t>The following table reflects the payments and benefits payable to each of the NEOs in the event of a termination of the executive’s employment under several different circumstances or upon a change in control. The amounts shown assume that termination and change in control were effective as of August 29, 2026, at the executive’s compensation and service levels as of that date and are estimates of the amounts that would be payable to the NEOs in each scenario. The amounts do not include benefits paid by insurance providers under life and disability policies or payments, benefits provided on a non-discriminatory basis to employees upon a termination of employment or vested deferred compensation. The actual amounts to be paid out can only be determined at the time of an executive’s actual separation from the Company or change in control. Factors that could affect the nature and the amounts paid on termination of employment, among others, include the timing of the event, compensation level, the market price of the Company’s common stock and the executive’s age.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3400" w:type="dxa"/>
            <w:vAlign w:val="bottom"/>
            <w:shd w:val="clear" w:color="auto" w:fill="14202A"/>
          </w:tcPr>
          <w:p>
            <w:pPr>
              <w:spacing w:after="0"/>
              <w:rPr>
                <w:sz w:val="19"/>
                <w:szCs w:val="19"/>
                <w:color w:val="auto"/>
              </w:rPr>
            </w:pPr>
          </w:p>
        </w:tc>
        <w:tc>
          <w:tcPr>
            <w:tcW w:w="1100" w:type="dxa"/>
            <w:vAlign w:val="bottom"/>
            <w:shd w:val="clear" w:color="auto" w:fill="14202A"/>
          </w:tcPr>
          <w:p>
            <w:pPr>
              <w:spacing w:after="0"/>
              <w:rPr>
                <w:sz w:val="19"/>
                <w:szCs w:val="19"/>
                <w:color w:val="auto"/>
              </w:rPr>
            </w:pPr>
          </w:p>
        </w:tc>
        <w:tc>
          <w:tcPr>
            <w:tcW w:w="11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Annual or</w:t>
            </w:r>
          </w:p>
        </w:tc>
        <w:tc>
          <w:tcPr>
            <w:tcW w:w="114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LTIP /</w:t>
            </w:r>
          </w:p>
        </w:tc>
        <w:tc>
          <w:tcPr>
            <w:tcW w:w="12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Restricted</w:t>
            </w:r>
          </w:p>
        </w:tc>
        <w:tc>
          <w:tcPr>
            <w:tcW w:w="12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400" w:type="dxa"/>
            <w:vAlign w:val="bottom"/>
            <w:shd w:val="clear" w:color="auto" w:fill="14202A"/>
          </w:tcPr>
          <w:p>
            <w:pPr>
              <w:spacing w:after="0"/>
              <w:rPr>
                <w:sz w:val="11"/>
                <w:szCs w:val="11"/>
                <w:color w:val="auto"/>
              </w:rPr>
            </w:pPr>
          </w:p>
        </w:tc>
        <w:tc>
          <w:tcPr>
            <w:tcW w:w="1100" w:type="dxa"/>
            <w:vAlign w:val="bottom"/>
            <w:shd w:val="clear" w:color="auto" w:fill="14202A"/>
          </w:tcPr>
          <w:p>
            <w:pPr>
              <w:spacing w:after="0"/>
              <w:rPr>
                <w:sz w:val="11"/>
                <w:szCs w:val="11"/>
                <w:color w:val="auto"/>
              </w:rPr>
            </w:pPr>
          </w:p>
        </w:tc>
        <w:tc>
          <w:tcPr>
            <w:tcW w:w="11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Management</w:t>
            </w:r>
          </w:p>
        </w:tc>
        <w:tc>
          <w:tcPr>
            <w:tcW w:w="1140" w:type="dxa"/>
            <w:vAlign w:val="bottom"/>
            <w:vMerge w:val="continue"/>
            <w:shd w:val="clear" w:color="auto" w:fill="14202A"/>
          </w:tcPr>
          <w:p>
            <w:pPr>
              <w:spacing w:after="0"/>
              <w:rPr>
                <w:sz w:val="11"/>
                <w:szCs w:val="11"/>
                <w:color w:val="auto"/>
              </w:rPr>
            </w:pPr>
          </w:p>
        </w:tc>
        <w:tc>
          <w:tcPr>
            <w:tcW w:w="12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rPr>
              <w:t>Stock-</w:t>
            </w:r>
          </w:p>
        </w:tc>
        <w:tc>
          <w:tcPr>
            <w:tcW w:w="12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1"/>
              </w:rPr>
              <w:t>Options -</w:t>
            </w:r>
          </w:p>
        </w:tc>
        <w:tc>
          <w:tcPr>
            <w:tcW w:w="0" w:type="dxa"/>
            <w:vAlign w:val="bottom"/>
          </w:tcPr>
          <w:p>
            <w:pPr>
              <w:spacing w:after="0"/>
              <w:rPr>
                <w:sz w:val="1"/>
                <w:szCs w:val="1"/>
                <w:color w:val="auto"/>
              </w:rPr>
            </w:pPr>
          </w:p>
        </w:tc>
      </w:tr>
      <w:tr>
        <w:trPr>
          <w:trHeight w:val="143"/>
        </w:trPr>
        <w:tc>
          <w:tcPr>
            <w:tcW w:w="100" w:type="dxa"/>
            <w:vAlign w:val="bottom"/>
            <w:shd w:val="clear" w:color="auto" w:fill="14202A"/>
          </w:tcPr>
          <w:p>
            <w:pPr>
              <w:spacing w:after="0"/>
              <w:rPr>
                <w:sz w:val="12"/>
                <w:szCs w:val="12"/>
                <w:color w:val="auto"/>
              </w:rPr>
            </w:pPr>
          </w:p>
        </w:tc>
        <w:tc>
          <w:tcPr>
            <w:tcW w:w="3400" w:type="dxa"/>
            <w:vAlign w:val="bottom"/>
            <w:shd w:val="clear" w:color="auto" w:fill="14202A"/>
          </w:tcPr>
          <w:p>
            <w:pPr>
              <w:spacing w:after="0"/>
              <w:rPr>
                <w:sz w:val="12"/>
                <w:szCs w:val="12"/>
                <w:color w:val="auto"/>
              </w:rPr>
            </w:pPr>
          </w:p>
        </w:tc>
        <w:tc>
          <w:tcPr>
            <w:tcW w:w="1100" w:type="dxa"/>
            <w:vAlign w:val="bottom"/>
            <w:shd w:val="clear" w:color="auto" w:fill="14202A"/>
          </w:tcPr>
          <w:p>
            <w:pPr>
              <w:spacing w:after="0"/>
              <w:rPr>
                <w:sz w:val="12"/>
                <w:szCs w:val="12"/>
                <w:color w:val="auto"/>
              </w:rPr>
            </w:pPr>
          </w:p>
        </w:tc>
        <w:tc>
          <w:tcPr>
            <w:tcW w:w="112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9"/>
              </w:rPr>
              <w:t>Incentive</w:t>
            </w:r>
          </w:p>
        </w:tc>
        <w:tc>
          <w:tcPr>
            <w:tcW w:w="114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8"/>
              </w:rPr>
              <w:t>Performance</w:t>
            </w:r>
          </w:p>
        </w:tc>
        <w:tc>
          <w:tcPr>
            <w:tcW w:w="122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8"/>
              </w:rPr>
              <w:t>Unvested and</w:t>
            </w:r>
          </w:p>
        </w:tc>
        <w:tc>
          <w:tcPr>
            <w:tcW w:w="120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6"/>
              </w:rPr>
              <w:t>Unvested and</w:t>
            </w:r>
          </w:p>
        </w:tc>
        <w:tc>
          <w:tcPr>
            <w:tcW w:w="0" w:type="dxa"/>
            <w:vAlign w:val="bottom"/>
          </w:tcPr>
          <w:p>
            <w:pPr>
              <w:spacing w:after="0"/>
              <w:rPr>
                <w:sz w:val="1"/>
                <w:szCs w:val="1"/>
                <w:color w:val="auto"/>
              </w:rPr>
            </w:pPr>
          </w:p>
        </w:tc>
      </w:tr>
      <w:tr>
        <w:trPr>
          <w:trHeight w:val="168"/>
        </w:trPr>
        <w:tc>
          <w:tcPr>
            <w:tcW w:w="100" w:type="dxa"/>
            <w:vAlign w:val="bottom"/>
            <w:shd w:val="clear" w:color="auto" w:fill="14202A"/>
          </w:tcPr>
          <w:p>
            <w:pPr>
              <w:spacing w:after="0"/>
              <w:rPr>
                <w:sz w:val="14"/>
                <w:szCs w:val="14"/>
                <w:color w:val="auto"/>
              </w:rPr>
            </w:pPr>
          </w:p>
        </w:tc>
        <w:tc>
          <w:tcPr>
            <w:tcW w:w="340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1100" w:type="dxa"/>
            <w:vAlign w:val="bottom"/>
            <w:shd w:val="clear" w:color="auto" w:fill="14202A"/>
          </w:tcPr>
          <w:p>
            <w:pPr>
              <w:jc w:val="right"/>
              <w:ind w:right="109"/>
              <w:spacing w:after="0" w:line="168" w:lineRule="exact"/>
              <w:rPr>
                <w:sz w:val="20"/>
                <w:szCs w:val="20"/>
                <w:color w:val="auto"/>
              </w:rPr>
            </w:pPr>
            <w:r>
              <w:rPr>
                <w:rFonts w:ascii="Arial" w:cs="Arial" w:eastAsia="Arial" w:hAnsi="Arial"/>
                <w:sz w:val="12"/>
                <w:szCs w:val="12"/>
                <w:b w:val="1"/>
                <w:bCs w:val="1"/>
                <w:color w:val="FFFFFF"/>
              </w:rPr>
              <w:t>Severance</w:t>
            </w:r>
            <w:r>
              <w:rPr>
                <w:rFonts w:ascii="Arial" w:cs="Arial" w:eastAsia="Arial" w:hAnsi="Arial"/>
                <w:sz w:val="19"/>
                <w:szCs w:val="19"/>
                <w:b w:val="1"/>
                <w:bCs w:val="1"/>
                <w:color w:val="FFFFFF"/>
                <w:vertAlign w:val="superscript"/>
              </w:rPr>
              <w:t>(1)</w:t>
            </w:r>
          </w:p>
        </w:tc>
        <w:tc>
          <w:tcPr>
            <w:tcW w:w="112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w w:val="97"/>
              </w:rPr>
              <w:t>Plan</w:t>
            </w:r>
            <w:r>
              <w:rPr>
                <w:rFonts w:ascii="Arial" w:cs="Arial" w:eastAsia="Arial" w:hAnsi="Arial"/>
                <w:sz w:val="19"/>
                <w:szCs w:val="19"/>
                <w:b w:val="1"/>
                <w:bCs w:val="1"/>
                <w:color w:val="FFFFFF"/>
                <w:w w:val="97"/>
                <w:vertAlign w:val="superscript"/>
              </w:rPr>
              <w:t>(2)</w:t>
            </w:r>
          </w:p>
        </w:tc>
        <w:tc>
          <w:tcPr>
            <w:tcW w:w="114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w w:val="97"/>
              </w:rPr>
              <w:t>Shares</w:t>
            </w:r>
            <w:r>
              <w:rPr>
                <w:rFonts w:ascii="Arial" w:cs="Arial" w:eastAsia="Arial" w:hAnsi="Arial"/>
                <w:sz w:val="19"/>
                <w:szCs w:val="19"/>
                <w:b w:val="1"/>
                <w:bCs w:val="1"/>
                <w:color w:val="FFFFFF"/>
                <w:w w:val="97"/>
                <w:vertAlign w:val="superscript"/>
              </w:rPr>
              <w:t>(3)</w:t>
            </w:r>
          </w:p>
        </w:tc>
        <w:tc>
          <w:tcPr>
            <w:tcW w:w="122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rPr>
              <w:t>Accelerated</w:t>
            </w:r>
            <w:r>
              <w:rPr>
                <w:rFonts w:ascii="Arial" w:cs="Arial" w:eastAsia="Arial" w:hAnsi="Arial"/>
                <w:sz w:val="19"/>
                <w:szCs w:val="19"/>
                <w:b w:val="1"/>
                <w:bCs w:val="1"/>
                <w:color w:val="FFFFFF"/>
                <w:vertAlign w:val="superscript"/>
              </w:rPr>
              <w:t>(4)</w:t>
            </w:r>
          </w:p>
        </w:tc>
        <w:tc>
          <w:tcPr>
            <w:tcW w:w="120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rPr>
              <w:t>Accelerated</w:t>
            </w:r>
            <w:r>
              <w:rPr>
                <w:rFonts w:ascii="Arial" w:cs="Arial" w:eastAsia="Arial" w:hAnsi="Arial"/>
                <w:sz w:val="19"/>
                <w:szCs w:val="19"/>
                <w:b w:val="1"/>
                <w:bCs w:val="1"/>
                <w:color w:val="FFFFFF"/>
                <w:vertAlign w:val="superscript"/>
              </w:rPr>
              <w:t>(5)</w:t>
            </w:r>
          </w:p>
        </w:tc>
        <w:tc>
          <w:tcPr>
            <w:tcW w:w="0" w:type="dxa"/>
            <w:vAlign w:val="bottom"/>
          </w:tcPr>
          <w:p>
            <w:pPr>
              <w:spacing w:after="0"/>
              <w:rPr>
                <w:sz w:val="1"/>
                <w:szCs w:val="1"/>
                <w:color w:val="auto"/>
              </w:rPr>
            </w:pPr>
          </w:p>
        </w:tc>
      </w:tr>
      <w:tr>
        <w:trPr>
          <w:trHeight w:val="200"/>
        </w:trPr>
        <w:tc>
          <w:tcPr>
            <w:tcW w:w="100" w:type="dxa"/>
            <w:vAlign w:val="bottom"/>
            <w:tcBorders>
              <w:bottom w:val="single" w:sz="8" w:color="14202A"/>
            </w:tcBorders>
            <w:shd w:val="clear" w:color="auto" w:fill="14202A"/>
          </w:tcPr>
          <w:p>
            <w:pPr>
              <w:spacing w:after="0"/>
              <w:rPr>
                <w:sz w:val="17"/>
                <w:szCs w:val="17"/>
                <w:color w:val="auto"/>
              </w:rPr>
            </w:pPr>
          </w:p>
        </w:tc>
        <w:tc>
          <w:tcPr>
            <w:tcW w:w="3400" w:type="dxa"/>
            <w:vAlign w:val="bottom"/>
            <w:tcBorders>
              <w:bottom w:val="single" w:sz="8" w:color="14202A"/>
            </w:tcBorders>
            <w:vMerge w:val="continue"/>
            <w:shd w:val="clear" w:color="auto" w:fill="14202A"/>
          </w:tcPr>
          <w:p>
            <w:pPr>
              <w:spacing w:after="0"/>
              <w:rPr>
                <w:sz w:val="17"/>
                <w:szCs w:val="17"/>
                <w:color w:val="auto"/>
              </w:rPr>
            </w:pPr>
          </w:p>
        </w:tc>
        <w:tc>
          <w:tcPr>
            <w:tcW w:w="1100" w:type="dxa"/>
            <w:vAlign w:val="bottom"/>
            <w:tcBorders>
              <w:bottom w:val="single" w:sz="8" w:color="14202A"/>
            </w:tcBorders>
            <w:shd w:val="clear" w:color="auto" w:fill="14202A"/>
          </w:tcPr>
          <w:p>
            <w:pPr>
              <w:jc w:val="right"/>
              <w:ind w:right="409"/>
              <w:spacing w:after="0"/>
              <w:rPr>
                <w:sz w:val="20"/>
                <w:szCs w:val="20"/>
                <w:color w:val="auto"/>
              </w:rPr>
            </w:pPr>
            <w:r>
              <w:rPr>
                <w:rFonts w:ascii="Arial" w:cs="Arial" w:eastAsia="Arial" w:hAnsi="Arial"/>
                <w:sz w:val="13"/>
                <w:szCs w:val="13"/>
                <w:b w:val="1"/>
                <w:bCs w:val="1"/>
                <w:color w:val="FFFFFF"/>
              </w:rPr>
              <w:t>($)</w:t>
            </w:r>
          </w:p>
        </w:tc>
        <w:tc>
          <w:tcPr>
            <w:tcW w:w="112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14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22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20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75"/>
        </w:trPr>
        <w:tc>
          <w:tcPr>
            <w:tcW w:w="100" w:type="dxa"/>
            <w:vAlign w:val="bottom"/>
            <w:tcBorders>
              <w:bottom w:val="single" w:sz="8" w:color="CBD3D8"/>
            </w:tcBorders>
            <w:shd w:val="clear" w:color="auto" w:fill="CBD3D8"/>
          </w:tcPr>
          <w:p>
            <w:pPr>
              <w:spacing w:after="0"/>
              <w:rPr>
                <w:sz w:val="23"/>
                <w:szCs w:val="23"/>
                <w:color w:val="auto"/>
              </w:rPr>
            </w:pPr>
          </w:p>
        </w:tc>
        <w:tc>
          <w:tcPr>
            <w:tcW w:w="3400" w:type="dxa"/>
            <w:vAlign w:val="bottom"/>
            <w:tcBorders>
              <w:bottom w:val="single" w:sz="8" w:color="CBD3D8"/>
            </w:tcBorders>
            <w:shd w:val="clear" w:color="auto" w:fill="CBD3D8"/>
          </w:tcPr>
          <w:p>
            <w:pPr>
              <w:ind w:left="60"/>
              <w:spacing w:after="0"/>
              <w:rPr>
                <w:sz w:val="20"/>
                <w:szCs w:val="20"/>
                <w:color w:val="auto"/>
              </w:rPr>
            </w:pPr>
            <w:r>
              <w:rPr>
                <w:rFonts w:ascii="Arial" w:cs="Arial" w:eastAsia="Arial" w:hAnsi="Arial"/>
                <w:sz w:val="14"/>
                <w:szCs w:val="14"/>
                <w:b w:val="1"/>
                <w:bCs w:val="1"/>
                <w:color w:val="14202A"/>
              </w:rPr>
              <w:t>Michael J. Happe</w:t>
            </w:r>
          </w:p>
        </w:tc>
        <w:tc>
          <w:tcPr>
            <w:tcW w:w="1100" w:type="dxa"/>
            <w:vAlign w:val="bottom"/>
            <w:tcBorders>
              <w:bottom w:val="single" w:sz="8" w:color="CBD3D8"/>
            </w:tcBorders>
            <w:shd w:val="clear" w:color="auto" w:fill="CBD3D8"/>
          </w:tcPr>
          <w:p>
            <w:pPr>
              <w:spacing w:after="0"/>
              <w:rPr>
                <w:sz w:val="23"/>
                <w:szCs w:val="23"/>
                <w:color w:val="auto"/>
              </w:rPr>
            </w:pPr>
          </w:p>
        </w:tc>
        <w:tc>
          <w:tcPr>
            <w:tcW w:w="1120" w:type="dxa"/>
            <w:vAlign w:val="bottom"/>
            <w:tcBorders>
              <w:bottom w:val="single" w:sz="8" w:color="CBD3D8"/>
            </w:tcBorders>
            <w:shd w:val="clear" w:color="auto" w:fill="CBD3D8"/>
          </w:tcPr>
          <w:p>
            <w:pPr>
              <w:spacing w:after="0"/>
              <w:rPr>
                <w:sz w:val="23"/>
                <w:szCs w:val="23"/>
                <w:color w:val="auto"/>
              </w:rPr>
            </w:pPr>
          </w:p>
        </w:tc>
        <w:tc>
          <w:tcPr>
            <w:tcW w:w="1140" w:type="dxa"/>
            <w:vAlign w:val="bottom"/>
            <w:tcBorders>
              <w:bottom w:val="single" w:sz="8" w:color="CBD3D8"/>
            </w:tcBorders>
            <w:shd w:val="clear" w:color="auto" w:fill="CBD3D8"/>
          </w:tcPr>
          <w:p>
            <w:pPr>
              <w:spacing w:after="0"/>
              <w:rPr>
                <w:sz w:val="23"/>
                <w:szCs w:val="23"/>
                <w:color w:val="auto"/>
              </w:rPr>
            </w:pPr>
          </w:p>
        </w:tc>
        <w:tc>
          <w:tcPr>
            <w:tcW w:w="1220" w:type="dxa"/>
            <w:vAlign w:val="bottom"/>
            <w:tcBorders>
              <w:bottom w:val="single" w:sz="8" w:color="CBD3D8"/>
            </w:tcBorders>
            <w:shd w:val="clear" w:color="auto" w:fill="CBD3D8"/>
          </w:tcPr>
          <w:p>
            <w:pPr>
              <w:spacing w:after="0"/>
              <w:rPr>
                <w:sz w:val="23"/>
                <w:szCs w:val="23"/>
                <w:color w:val="auto"/>
              </w:rPr>
            </w:pPr>
          </w:p>
        </w:tc>
        <w:tc>
          <w:tcPr>
            <w:tcW w:w="1200" w:type="dxa"/>
            <w:vAlign w:val="bottom"/>
            <w:tcBorders>
              <w:bottom w:val="single" w:sz="8" w:color="CBD3D8"/>
            </w:tcBorders>
            <w:shd w:val="clear" w:color="auto" w:fill="CBD3D8"/>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100" w:type="dxa"/>
            <w:vAlign w:val="bottom"/>
            <w:tcBorders>
              <w:top w:val="single" w:sz="8" w:color="14202A"/>
              <w:bottom w:val="single" w:sz="8" w:color="14202A"/>
            </w:tcBorders>
          </w:tcPr>
          <w:p>
            <w:pPr>
              <w:spacing w:after="0"/>
              <w:rPr>
                <w:sz w:val="24"/>
                <w:szCs w:val="24"/>
                <w:color w:val="auto"/>
              </w:rPr>
            </w:pPr>
          </w:p>
        </w:tc>
        <w:tc>
          <w:tcPr>
            <w:tcW w:w="3400" w:type="dxa"/>
            <w:vAlign w:val="bottom"/>
            <w:tcBorders>
              <w:top w:val="single" w:sz="8" w:color="14202A"/>
              <w:bottom w:val="single" w:sz="8" w:color="14202A"/>
            </w:tcBorders>
          </w:tcPr>
          <w:p>
            <w:pPr>
              <w:ind w:left="240"/>
              <w:spacing w:after="0"/>
              <w:rPr>
                <w:sz w:val="20"/>
                <w:szCs w:val="20"/>
                <w:color w:val="auto"/>
              </w:rPr>
            </w:pPr>
            <w:r>
              <w:rPr>
                <w:rFonts w:ascii="Arial" w:cs="Arial" w:eastAsia="Arial" w:hAnsi="Arial"/>
                <w:sz w:val="14"/>
                <w:szCs w:val="14"/>
                <w:color w:val="14202A"/>
              </w:rPr>
              <w:t>Retirement</w:t>
            </w:r>
            <w:r>
              <w:rPr>
                <w:rFonts w:ascii="Arial" w:cs="Arial" w:eastAsia="Arial" w:hAnsi="Arial"/>
                <w:sz w:val="23"/>
                <w:szCs w:val="23"/>
                <w:color w:val="14202A"/>
                <w:vertAlign w:val="superscript"/>
              </w:rPr>
              <w:t>(6)</w:t>
            </w:r>
            <w:r>
              <w:rPr>
                <w:rFonts w:ascii="Arial" w:cs="Arial" w:eastAsia="Arial" w:hAnsi="Arial"/>
                <w:sz w:val="14"/>
                <w:szCs w:val="14"/>
                <w:color w:val="14202A"/>
              </w:rPr>
              <w:t xml:space="preserve"> or Voluntary Separation</w:t>
            </w:r>
          </w:p>
        </w:tc>
        <w:tc>
          <w:tcPr>
            <w:tcW w:w="1100" w:type="dxa"/>
            <w:vAlign w:val="bottom"/>
            <w:tcBorders>
              <w:top w:val="single" w:sz="8" w:color="14202A"/>
              <w:bottom w:val="single" w:sz="8" w:color="14202A"/>
            </w:tcBorders>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Borders>
              <w:top w:val="single" w:sz="8" w:color="14202A"/>
              <w:bottom w:val="single" w:sz="8" w:color="14202A"/>
            </w:tcBorders>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Borders>
              <w:top w:val="single" w:sz="8" w:color="14202A"/>
              <w:bottom w:val="single" w:sz="8" w:color="14202A"/>
            </w:tcBorders>
          </w:tcPr>
          <w:p>
            <w:pPr>
              <w:jc w:val="right"/>
              <w:ind w:right="190"/>
              <w:spacing w:after="0"/>
              <w:rPr>
                <w:sz w:val="20"/>
                <w:szCs w:val="20"/>
                <w:color w:val="auto"/>
              </w:rPr>
            </w:pPr>
            <w:r>
              <w:rPr>
                <w:rFonts w:ascii="Arial" w:cs="Arial" w:eastAsia="Arial" w:hAnsi="Arial"/>
                <w:sz w:val="14"/>
                <w:szCs w:val="14"/>
                <w:color w:val="14202A"/>
              </w:rPr>
              <w:t>3,032,429</w:t>
            </w:r>
          </w:p>
        </w:tc>
        <w:tc>
          <w:tcPr>
            <w:tcW w:w="1220" w:type="dxa"/>
            <w:vAlign w:val="bottom"/>
            <w:tcBorders>
              <w:top w:val="single" w:sz="8" w:color="14202A"/>
              <w:bottom w:val="single" w:sz="8" w:color="14202A"/>
            </w:tcBorders>
          </w:tcPr>
          <w:p>
            <w:pPr>
              <w:jc w:val="right"/>
              <w:ind w:right="210"/>
              <w:spacing w:after="0"/>
              <w:rPr>
                <w:sz w:val="20"/>
                <w:szCs w:val="20"/>
                <w:color w:val="auto"/>
              </w:rPr>
            </w:pPr>
            <w:r>
              <w:rPr>
                <w:rFonts w:ascii="Arial" w:cs="Arial" w:eastAsia="Arial" w:hAnsi="Arial"/>
                <w:sz w:val="14"/>
                <w:szCs w:val="14"/>
                <w:color w:val="14202A"/>
              </w:rPr>
              <w:t>1,077,610</w:t>
            </w:r>
          </w:p>
        </w:tc>
        <w:tc>
          <w:tcPr>
            <w:tcW w:w="1200" w:type="dxa"/>
            <w:vAlign w:val="bottom"/>
            <w:tcBorders>
              <w:top w:val="single" w:sz="8" w:color="14202A"/>
              <w:bottom w:val="single" w:sz="8" w:color="14202A"/>
            </w:tcBorders>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14202A"/>
              </w:rPr>
              <w:t>Involuntary Termination without Cause/Good</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00" w:type="dxa"/>
            <w:vAlign w:val="bottom"/>
          </w:tcPr>
          <w:p>
            <w:pPr>
              <w:ind w:left="420"/>
              <w:spacing w:after="0"/>
              <w:rPr>
                <w:sz w:val="20"/>
                <w:szCs w:val="20"/>
                <w:color w:val="auto"/>
              </w:rPr>
            </w:pPr>
            <w:r>
              <w:rPr>
                <w:rFonts w:ascii="Arial" w:cs="Arial" w:eastAsia="Arial" w:hAnsi="Arial"/>
                <w:sz w:val="14"/>
                <w:szCs w:val="14"/>
                <w:color w:val="14202A"/>
              </w:rPr>
              <w:t>Reason</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4,930,229</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00" w:type="dxa"/>
            <w:vAlign w:val="bottom"/>
            <w:tcBorders>
              <w:bottom w:val="single" w:sz="8" w:color="14202A"/>
            </w:tcBorders>
          </w:tcPr>
          <w:p>
            <w:pPr>
              <w:spacing w:after="0"/>
              <w:rPr>
                <w:sz w:val="24"/>
                <w:szCs w:val="24"/>
                <w:color w:val="auto"/>
              </w:rPr>
            </w:pPr>
          </w:p>
        </w:tc>
        <w:tc>
          <w:tcPr>
            <w:tcW w:w="340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Change in Control</w:t>
            </w:r>
            <w:r>
              <w:rPr>
                <w:rFonts w:ascii="Arial" w:cs="Arial" w:eastAsia="Arial" w:hAnsi="Arial"/>
                <w:sz w:val="23"/>
                <w:szCs w:val="23"/>
                <w:color w:val="14202A"/>
                <w:vertAlign w:val="superscript"/>
              </w:rPr>
              <w:t>(7)</w:t>
            </w:r>
            <w:r>
              <w:rPr>
                <w:rFonts w:ascii="Arial" w:cs="Arial" w:eastAsia="Arial" w:hAnsi="Arial"/>
                <w:sz w:val="14"/>
                <w:szCs w:val="14"/>
                <w:color w:val="14202A"/>
              </w:rPr>
              <w:t>:</w:t>
            </w:r>
          </w:p>
        </w:tc>
        <w:tc>
          <w:tcPr>
            <w:tcW w:w="1100" w:type="dxa"/>
            <w:vAlign w:val="bottom"/>
            <w:tcBorders>
              <w:bottom w:val="single" w:sz="8" w:color="14202A"/>
            </w:tcBorders>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14202A"/>
            </w:tcBorders>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14202A"/>
            </w:tcBorders>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Borders>
              <w:bottom w:val="single" w:sz="8" w:color="14202A"/>
            </w:tcBorders>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Pr>
          <w:p>
            <w:pPr>
              <w:ind w:left="420"/>
              <w:spacing w:after="0"/>
              <w:rPr>
                <w:sz w:val="20"/>
                <w:szCs w:val="20"/>
                <w:color w:val="auto"/>
              </w:rPr>
            </w:pPr>
            <w:r>
              <w:rPr>
                <w:rFonts w:ascii="Arial" w:cs="Arial" w:eastAsia="Arial" w:hAnsi="Arial"/>
                <w:sz w:val="14"/>
                <w:szCs w:val="14"/>
                <w:color w:val="14202A"/>
              </w:rPr>
              <w:t>Involuntary Termination without Cause/Good</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00" w:type="dxa"/>
            <w:vAlign w:val="bottom"/>
          </w:tcPr>
          <w:p>
            <w:pPr>
              <w:ind w:left="600"/>
              <w:spacing w:after="0"/>
              <w:rPr>
                <w:sz w:val="20"/>
                <w:szCs w:val="20"/>
                <w:color w:val="auto"/>
              </w:rPr>
            </w:pPr>
            <w:r>
              <w:rPr>
                <w:rFonts w:ascii="Arial" w:cs="Arial" w:eastAsia="Arial" w:hAnsi="Arial"/>
                <w:sz w:val="14"/>
                <w:szCs w:val="14"/>
                <w:color w:val="14202A"/>
              </w:rPr>
              <w:t>Reason</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7,395,343</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1,335,750</w:t>
            </w:r>
          </w:p>
        </w:tc>
        <w:tc>
          <w:tcPr>
            <w:tcW w:w="1140" w:type="dxa"/>
            <w:vAlign w:val="bottom"/>
          </w:tcPr>
          <w:p>
            <w:pPr>
              <w:jc w:val="right"/>
              <w:ind w:right="190"/>
              <w:spacing w:after="0"/>
              <w:rPr>
                <w:sz w:val="20"/>
                <w:szCs w:val="20"/>
                <w:color w:val="auto"/>
              </w:rPr>
            </w:pPr>
            <w:r>
              <w:rPr>
                <w:rFonts w:ascii="Arial" w:cs="Arial" w:eastAsia="Arial" w:hAnsi="Arial"/>
                <w:sz w:val="14"/>
                <w:szCs w:val="14"/>
                <w:color w:val="14202A"/>
              </w:rPr>
              <w:t>4,620,478</w:t>
            </w:r>
          </w:p>
        </w:tc>
        <w:tc>
          <w:tcPr>
            <w:tcW w:w="1220" w:type="dxa"/>
            <w:vAlign w:val="bottom"/>
          </w:tcPr>
          <w:p>
            <w:pPr>
              <w:jc w:val="right"/>
              <w:ind w:right="210"/>
              <w:spacing w:after="0"/>
              <w:rPr>
                <w:sz w:val="20"/>
                <w:szCs w:val="20"/>
                <w:color w:val="auto"/>
              </w:rPr>
            </w:pPr>
            <w:r>
              <w:rPr>
                <w:rFonts w:ascii="Arial" w:cs="Arial" w:eastAsia="Arial" w:hAnsi="Arial"/>
                <w:sz w:val="14"/>
                <w:szCs w:val="14"/>
                <w:color w:val="14202A"/>
              </w:rPr>
              <w:t>3,202,198</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14202A"/>
              </w:rPr>
              <w:t>Death or Disability</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90"/>
              <w:spacing w:after="0"/>
              <w:rPr>
                <w:sz w:val="20"/>
                <w:szCs w:val="20"/>
                <w:color w:val="auto"/>
              </w:rPr>
            </w:pPr>
            <w:r>
              <w:rPr>
                <w:rFonts w:ascii="Arial" w:cs="Arial" w:eastAsia="Arial" w:hAnsi="Arial"/>
                <w:sz w:val="14"/>
                <w:szCs w:val="14"/>
                <w:color w:val="14202A"/>
              </w:rPr>
              <w:t>4,620,478</w:t>
            </w:r>
          </w:p>
        </w:tc>
        <w:tc>
          <w:tcPr>
            <w:tcW w:w="1220" w:type="dxa"/>
            <w:vAlign w:val="bottom"/>
          </w:tcPr>
          <w:p>
            <w:pPr>
              <w:jc w:val="right"/>
              <w:ind w:right="210"/>
              <w:spacing w:after="0"/>
              <w:rPr>
                <w:sz w:val="20"/>
                <w:szCs w:val="20"/>
                <w:color w:val="auto"/>
              </w:rPr>
            </w:pPr>
            <w:r>
              <w:rPr>
                <w:rFonts w:ascii="Arial" w:cs="Arial" w:eastAsia="Arial" w:hAnsi="Arial"/>
                <w:sz w:val="14"/>
                <w:szCs w:val="14"/>
                <w:color w:val="14202A"/>
              </w:rPr>
              <w:t>3,202,198</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100" w:type="dxa"/>
            <w:vAlign w:val="bottom"/>
            <w:tcBorders>
              <w:bottom w:val="single" w:sz="8" w:color="CBD3D8"/>
            </w:tcBorders>
            <w:shd w:val="clear" w:color="auto" w:fill="CBD3D8"/>
          </w:tcPr>
          <w:p>
            <w:pPr>
              <w:spacing w:after="0"/>
              <w:rPr>
                <w:sz w:val="22"/>
                <w:szCs w:val="22"/>
                <w:color w:val="auto"/>
              </w:rPr>
            </w:pPr>
          </w:p>
        </w:tc>
        <w:tc>
          <w:tcPr>
            <w:tcW w:w="3400" w:type="dxa"/>
            <w:vAlign w:val="bottom"/>
            <w:tcBorders>
              <w:bottom w:val="single" w:sz="8" w:color="CBD3D8"/>
            </w:tcBorders>
            <w:shd w:val="clear" w:color="auto" w:fill="CBD3D8"/>
          </w:tcPr>
          <w:p>
            <w:pPr>
              <w:ind w:left="60"/>
              <w:spacing w:after="0"/>
              <w:rPr>
                <w:sz w:val="20"/>
                <w:szCs w:val="20"/>
                <w:color w:val="auto"/>
              </w:rPr>
            </w:pPr>
            <w:r>
              <w:rPr>
                <w:rFonts w:ascii="Arial" w:cs="Arial" w:eastAsia="Arial" w:hAnsi="Arial"/>
                <w:sz w:val="14"/>
                <w:szCs w:val="14"/>
                <w:b w:val="1"/>
                <w:bCs w:val="1"/>
                <w:color w:val="14202A"/>
              </w:rPr>
              <w:t>Bryan L. Hughes</w:t>
            </w:r>
          </w:p>
        </w:tc>
        <w:tc>
          <w:tcPr>
            <w:tcW w:w="1100" w:type="dxa"/>
            <w:vAlign w:val="bottom"/>
            <w:tcBorders>
              <w:bottom w:val="single" w:sz="8" w:color="CBD3D8"/>
            </w:tcBorders>
            <w:shd w:val="clear" w:color="auto" w:fill="CBD3D8"/>
          </w:tcPr>
          <w:p>
            <w:pPr>
              <w:jc w:val="right"/>
              <w:ind w:right="89"/>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CBD3D8"/>
            </w:tcBorders>
            <w:shd w:val="clear" w:color="auto" w:fill="CBD3D8"/>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CBD3D8"/>
            </w:tcBorders>
            <w:shd w:val="clear" w:color="auto" w:fill="CBD3D8"/>
          </w:tcPr>
          <w:p>
            <w:pPr>
              <w:jc w:val="right"/>
              <w:ind w:right="110"/>
              <w:spacing w:after="0"/>
              <w:rPr>
                <w:sz w:val="20"/>
                <w:szCs w:val="20"/>
                <w:color w:val="auto"/>
              </w:rPr>
            </w:pPr>
            <w:r>
              <w:rPr>
                <w:rFonts w:ascii="Arial" w:cs="Arial" w:eastAsia="Arial" w:hAnsi="Arial"/>
                <w:sz w:val="14"/>
                <w:szCs w:val="14"/>
                <w:color w:val="14202A"/>
              </w:rPr>
              <w:t>​</w:t>
            </w:r>
          </w:p>
        </w:tc>
        <w:tc>
          <w:tcPr>
            <w:tcW w:w="1220" w:type="dxa"/>
            <w:vAlign w:val="bottom"/>
            <w:tcBorders>
              <w:bottom w:val="single" w:sz="8" w:color="CBD3D8"/>
            </w:tcBorders>
            <w:shd w:val="clear" w:color="auto" w:fill="CBD3D8"/>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Borders>
              <w:bottom w:val="single" w:sz="8" w:color="CBD3D8"/>
            </w:tcBorders>
            <w:shd w:val="clear" w:color="auto" w:fill="CBD3D8"/>
          </w:tcPr>
          <w:p>
            <w:pPr>
              <w:ind w:left="68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90"/>
        </w:trPr>
        <w:tc>
          <w:tcPr>
            <w:tcW w:w="100" w:type="dxa"/>
            <w:vAlign w:val="bottom"/>
            <w:tcBorders>
              <w:top w:val="single" w:sz="8" w:color="14202A"/>
              <w:bottom w:val="single" w:sz="8" w:color="14202A"/>
            </w:tcBorders>
          </w:tcPr>
          <w:p>
            <w:pPr>
              <w:spacing w:after="0"/>
              <w:rPr>
                <w:sz w:val="24"/>
                <w:szCs w:val="24"/>
                <w:color w:val="auto"/>
              </w:rPr>
            </w:pPr>
          </w:p>
        </w:tc>
        <w:tc>
          <w:tcPr>
            <w:tcW w:w="3400" w:type="dxa"/>
            <w:vAlign w:val="bottom"/>
            <w:tcBorders>
              <w:top w:val="single" w:sz="8" w:color="14202A"/>
              <w:bottom w:val="single" w:sz="8" w:color="14202A"/>
            </w:tcBorders>
          </w:tcPr>
          <w:p>
            <w:pPr>
              <w:ind w:left="240"/>
              <w:spacing w:after="0"/>
              <w:rPr>
                <w:sz w:val="20"/>
                <w:szCs w:val="20"/>
                <w:color w:val="auto"/>
              </w:rPr>
            </w:pPr>
            <w:r>
              <w:rPr>
                <w:rFonts w:ascii="Arial" w:cs="Arial" w:eastAsia="Arial" w:hAnsi="Arial"/>
                <w:sz w:val="14"/>
                <w:szCs w:val="14"/>
                <w:color w:val="14202A"/>
              </w:rPr>
              <w:t>Retirement</w:t>
            </w:r>
            <w:r>
              <w:rPr>
                <w:rFonts w:ascii="Arial" w:cs="Arial" w:eastAsia="Arial" w:hAnsi="Arial"/>
                <w:sz w:val="23"/>
                <w:szCs w:val="23"/>
                <w:color w:val="14202A"/>
                <w:vertAlign w:val="superscript"/>
              </w:rPr>
              <w:t>(6)</w:t>
            </w:r>
            <w:r>
              <w:rPr>
                <w:rFonts w:ascii="Arial" w:cs="Arial" w:eastAsia="Arial" w:hAnsi="Arial"/>
                <w:sz w:val="14"/>
                <w:szCs w:val="14"/>
                <w:color w:val="14202A"/>
              </w:rPr>
              <w:t xml:space="preserve"> or Voluntary Separation</w:t>
            </w:r>
          </w:p>
        </w:tc>
        <w:tc>
          <w:tcPr>
            <w:tcW w:w="1100" w:type="dxa"/>
            <w:vAlign w:val="bottom"/>
            <w:tcBorders>
              <w:top w:val="single" w:sz="8" w:color="14202A"/>
              <w:bottom w:val="single" w:sz="8" w:color="14202A"/>
            </w:tcBorders>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Borders>
              <w:top w:val="single" w:sz="8" w:color="14202A"/>
              <w:bottom w:val="single" w:sz="8" w:color="14202A"/>
            </w:tcBorders>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Borders>
              <w:top w:val="single" w:sz="8" w:color="14202A"/>
              <w:bottom w:val="single" w:sz="8" w:color="14202A"/>
            </w:tcBorders>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Borders>
              <w:top w:val="single" w:sz="8" w:color="14202A"/>
              <w:bottom w:val="single" w:sz="8" w:color="14202A"/>
            </w:tcBorders>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Borders>
              <w:top w:val="single" w:sz="8" w:color="14202A"/>
              <w:bottom w:val="single" w:sz="8" w:color="14202A"/>
            </w:tcBorders>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14202A"/>
              </w:rPr>
              <w:t>Involuntary Termination without Cause/Good</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00" w:type="dxa"/>
            <w:vAlign w:val="bottom"/>
          </w:tcPr>
          <w:p>
            <w:pPr>
              <w:ind w:left="420"/>
              <w:spacing w:after="0"/>
              <w:rPr>
                <w:sz w:val="20"/>
                <w:szCs w:val="20"/>
                <w:color w:val="auto"/>
              </w:rPr>
            </w:pPr>
            <w:r>
              <w:rPr>
                <w:rFonts w:ascii="Arial" w:cs="Arial" w:eastAsia="Arial" w:hAnsi="Arial"/>
                <w:sz w:val="14"/>
                <w:szCs w:val="14"/>
                <w:color w:val="14202A"/>
              </w:rPr>
              <w:t>Reason</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1,315,912</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00" w:type="dxa"/>
            <w:vAlign w:val="bottom"/>
            <w:tcBorders>
              <w:bottom w:val="single" w:sz="8" w:color="14202A"/>
            </w:tcBorders>
          </w:tcPr>
          <w:p>
            <w:pPr>
              <w:spacing w:after="0"/>
              <w:rPr>
                <w:sz w:val="24"/>
                <w:szCs w:val="24"/>
                <w:color w:val="auto"/>
              </w:rPr>
            </w:pPr>
          </w:p>
        </w:tc>
        <w:tc>
          <w:tcPr>
            <w:tcW w:w="340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Change in Control</w:t>
            </w:r>
            <w:r>
              <w:rPr>
                <w:rFonts w:ascii="Arial" w:cs="Arial" w:eastAsia="Arial" w:hAnsi="Arial"/>
                <w:sz w:val="23"/>
                <w:szCs w:val="23"/>
                <w:color w:val="14202A"/>
                <w:vertAlign w:val="superscript"/>
              </w:rPr>
              <w:t>(7)</w:t>
            </w:r>
            <w:r>
              <w:rPr>
                <w:rFonts w:ascii="Arial" w:cs="Arial" w:eastAsia="Arial" w:hAnsi="Arial"/>
                <w:sz w:val="14"/>
                <w:szCs w:val="14"/>
                <w:color w:val="14202A"/>
              </w:rPr>
              <w:t>:</w:t>
            </w:r>
          </w:p>
        </w:tc>
        <w:tc>
          <w:tcPr>
            <w:tcW w:w="1100" w:type="dxa"/>
            <w:vAlign w:val="bottom"/>
            <w:tcBorders>
              <w:bottom w:val="single" w:sz="8" w:color="14202A"/>
            </w:tcBorders>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14202A"/>
            </w:tcBorders>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14202A"/>
            </w:tcBorders>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Borders>
              <w:bottom w:val="single" w:sz="8" w:color="14202A"/>
            </w:tcBorders>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Pr>
          <w:p>
            <w:pPr>
              <w:ind w:left="420"/>
              <w:spacing w:after="0"/>
              <w:rPr>
                <w:sz w:val="20"/>
                <w:szCs w:val="20"/>
                <w:color w:val="auto"/>
              </w:rPr>
            </w:pPr>
            <w:r>
              <w:rPr>
                <w:rFonts w:ascii="Arial" w:cs="Arial" w:eastAsia="Arial" w:hAnsi="Arial"/>
                <w:sz w:val="14"/>
                <w:szCs w:val="14"/>
                <w:color w:val="14202A"/>
              </w:rPr>
              <w:t>Involuntary Termination without Cause/Good</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00" w:type="dxa"/>
            <w:vAlign w:val="bottom"/>
          </w:tcPr>
          <w:p>
            <w:pPr>
              <w:ind w:left="600"/>
              <w:spacing w:after="0"/>
              <w:rPr>
                <w:sz w:val="20"/>
                <w:szCs w:val="20"/>
                <w:color w:val="auto"/>
              </w:rPr>
            </w:pPr>
            <w:r>
              <w:rPr>
                <w:rFonts w:ascii="Arial" w:cs="Arial" w:eastAsia="Arial" w:hAnsi="Arial"/>
                <w:sz w:val="14"/>
                <w:szCs w:val="14"/>
                <w:color w:val="14202A"/>
              </w:rPr>
              <w:t>Reason</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2,631,823</w:t>
            </w:r>
          </w:p>
        </w:tc>
        <w:tc>
          <w:tcPr>
            <w:tcW w:w="1120" w:type="dxa"/>
            <w:vAlign w:val="bottom"/>
          </w:tcPr>
          <w:p>
            <w:pPr>
              <w:jc w:val="right"/>
              <w:ind w:right="170"/>
              <w:spacing w:after="0"/>
              <w:rPr>
                <w:sz w:val="20"/>
                <w:szCs w:val="20"/>
                <w:color w:val="auto"/>
              </w:rPr>
            </w:pPr>
            <w:r>
              <w:rPr>
                <w:rFonts w:ascii="Arial" w:cs="Arial" w:eastAsia="Arial" w:hAnsi="Arial"/>
                <w:sz w:val="14"/>
                <w:szCs w:val="14"/>
                <w:color w:val="14202A"/>
              </w:rPr>
              <w:t>687,911</w:t>
            </w:r>
          </w:p>
        </w:tc>
        <w:tc>
          <w:tcPr>
            <w:tcW w:w="1140" w:type="dxa"/>
            <w:vAlign w:val="bottom"/>
          </w:tcPr>
          <w:p>
            <w:pPr>
              <w:jc w:val="right"/>
              <w:ind w:right="170"/>
              <w:spacing w:after="0"/>
              <w:rPr>
                <w:sz w:val="20"/>
                <w:szCs w:val="20"/>
                <w:color w:val="auto"/>
              </w:rPr>
            </w:pPr>
            <w:r>
              <w:rPr>
                <w:rFonts w:ascii="Arial" w:cs="Arial" w:eastAsia="Arial" w:hAnsi="Arial"/>
                <w:sz w:val="14"/>
                <w:szCs w:val="14"/>
                <w:color w:val="14202A"/>
              </w:rPr>
              <w:t>965,491</w:t>
            </w:r>
          </w:p>
        </w:tc>
        <w:tc>
          <w:tcPr>
            <w:tcW w:w="1220" w:type="dxa"/>
            <w:vAlign w:val="bottom"/>
          </w:tcPr>
          <w:p>
            <w:pPr>
              <w:jc w:val="right"/>
              <w:ind w:right="210"/>
              <w:spacing w:after="0"/>
              <w:rPr>
                <w:sz w:val="20"/>
                <w:szCs w:val="20"/>
                <w:color w:val="auto"/>
              </w:rPr>
            </w:pPr>
            <w:r>
              <w:rPr>
                <w:rFonts w:ascii="Arial" w:cs="Arial" w:eastAsia="Arial" w:hAnsi="Arial"/>
                <w:sz w:val="14"/>
                <w:szCs w:val="14"/>
                <w:color w:val="14202A"/>
              </w:rPr>
              <w:t>665,764</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14202A"/>
              </w:rPr>
              <w:t>Death or Disability</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70"/>
              <w:spacing w:after="0"/>
              <w:rPr>
                <w:sz w:val="20"/>
                <w:szCs w:val="20"/>
                <w:color w:val="auto"/>
              </w:rPr>
            </w:pPr>
            <w:r>
              <w:rPr>
                <w:rFonts w:ascii="Arial" w:cs="Arial" w:eastAsia="Arial" w:hAnsi="Arial"/>
                <w:sz w:val="14"/>
                <w:szCs w:val="14"/>
                <w:color w:val="14202A"/>
              </w:rPr>
              <w:t>965,491</w:t>
            </w:r>
          </w:p>
        </w:tc>
        <w:tc>
          <w:tcPr>
            <w:tcW w:w="1220" w:type="dxa"/>
            <w:vAlign w:val="bottom"/>
          </w:tcPr>
          <w:p>
            <w:pPr>
              <w:jc w:val="right"/>
              <w:ind w:right="210"/>
              <w:spacing w:after="0"/>
              <w:rPr>
                <w:sz w:val="20"/>
                <w:szCs w:val="20"/>
                <w:color w:val="auto"/>
              </w:rPr>
            </w:pPr>
            <w:r>
              <w:rPr>
                <w:rFonts w:ascii="Arial" w:cs="Arial" w:eastAsia="Arial" w:hAnsi="Arial"/>
                <w:sz w:val="14"/>
                <w:szCs w:val="14"/>
                <w:color w:val="14202A"/>
              </w:rPr>
              <w:t>665,764</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100" w:type="dxa"/>
            <w:vAlign w:val="bottom"/>
            <w:tcBorders>
              <w:bottom w:val="single" w:sz="8" w:color="CBD3D8"/>
            </w:tcBorders>
            <w:shd w:val="clear" w:color="auto" w:fill="CBD3D8"/>
          </w:tcPr>
          <w:p>
            <w:pPr>
              <w:spacing w:after="0"/>
              <w:rPr>
                <w:sz w:val="22"/>
                <w:szCs w:val="22"/>
                <w:color w:val="auto"/>
              </w:rPr>
            </w:pPr>
          </w:p>
        </w:tc>
        <w:tc>
          <w:tcPr>
            <w:tcW w:w="3400" w:type="dxa"/>
            <w:vAlign w:val="bottom"/>
            <w:tcBorders>
              <w:bottom w:val="single" w:sz="8" w:color="CBD3D8"/>
            </w:tcBorders>
            <w:shd w:val="clear" w:color="auto" w:fill="CBD3D8"/>
          </w:tcPr>
          <w:p>
            <w:pPr>
              <w:ind w:left="60"/>
              <w:spacing w:after="0"/>
              <w:rPr>
                <w:sz w:val="20"/>
                <w:szCs w:val="20"/>
                <w:color w:val="auto"/>
              </w:rPr>
            </w:pPr>
            <w:r>
              <w:rPr>
                <w:rFonts w:ascii="Arial" w:cs="Arial" w:eastAsia="Arial" w:hAnsi="Arial"/>
                <w:sz w:val="14"/>
                <w:szCs w:val="14"/>
                <w:b w:val="1"/>
                <w:bCs w:val="1"/>
                <w:color w:val="14202A"/>
              </w:rPr>
              <w:t>Donald J. Clark</w:t>
            </w:r>
          </w:p>
        </w:tc>
        <w:tc>
          <w:tcPr>
            <w:tcW w:w="1100" w:type="dxa"/>
            <w:vAlign w:val="bottom"/>
            <w:tcBorders>
              <w:bottom w:val="single" w:sz="8" w:color="CBD3D8"/>
            </w:tcBorders>
            <w:shd w:val="clear" w:color="auto" w:fill="CBD3D8"/>
          </w:tcPr>
          <w:p>
            <w:pPr>
              <w:jc w:val="right"/>
              <w:ind w:right="89"/>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CBD3D8"/>
            </w:tcBorders>
            <w:shd w:val="clear" w:color="auto" w:fill="CBD3D8"/>
          </w:tcPr>
          <w:p>
            <w:pPr>
              <w:spacing w:after="0"/>
              <w:rPr>
                <w:sz w:val="22"/>
                <w:szCs w:val="22"/>
                <w:color w:val="auto"/>
              </w:rPr>
            </w:pPr>
          </w:p>
        </w:tc>
        <w:tc>
          <w:tcPr>
            <w:tcW w:w="1140" w:type="dxa"/>
            <w:vAlign w:val="bottom"/>
            <w:tcBorders>
              <w:bottom w:val="single" w:sz="8" w:color="CBD3D8"/>
            </w:tcBorders>
            <w:shd w:val="clear" w:color="auto" w:fill="CBD3D8"/>
          </w:tcPr>
          <w:p>
            <w:pPr>
              <w:spacing w:after="0"/>
              <w:rPr>
                <w:sz w:val="22"/>
                <w:szCs w:val="22"/>
                <w:color w:val="auto"/>
              </w:rPr>
            </w:pPr>
          </w:p>
        </w:tc>
        <w:tc>
          <w:tcPr>
            <w:tcW w:w="1220" w:type="dxa"/>
            <w:vAlign w:val="bottom"/>
            <w:tcBorders>
              <w:bottom w:val="single" w:sz="8" w:color="CBD3D8"/>
            </w:tcBorders>
            <w:shd w:val="clear" w:color="auto" w:fill="CBD3D8"/>
          </w:tcPr>
          <w:p>
            <w:pPr>
              <w:spacing w:after="0"/>
              <w:rPr>
                <w:sz w:val="22"/>
                <w:szCs w:val="22"/>
                <w:color w:val="auto"/>
              </w:rPr>
            </w:pPr>
          </w:p>
        </w:tc>
        <w:tc>
          <w:tcPr>
            <w:tcW w:w="1200" w:type="dxa"/>
            <w:vAlign w:val="bottom"/>
            <w:tcBorders>
              <w:bottom w:val="single" w:sz="8" w:color="CBD3D8"/>
            </w:tcBorders>
            <w:shd w:val="clear" w:color="auto" w:fill="CBD3D8"/>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00" w:type="dxa"/>
            <w:vAlign w:val="bottom"/>
            <w:tcBorders>
              <w:top w:val="single" w:sz="8" w:color="14202A"/>
              <w:bottom w:val="single" w:sz="8" w:color="14202A"/>
            </w:tcBorders>
          </w:tcPr>
          <w:p>
            <w:pPr>
              <w:spacing w:after="0"/>
              <w:rPr>
                <w:sz w:val="24"/>
                <w:szCs w:val="24"/>
                <w:color w:val="auto"/>
              </w:rPr>
            </w:pPr>
          </w:p>
        </w:tc>
        <w:tc>
          <w:tcPr>
            <w:tcW w:w="3400" w:type="dxa"/>
            <w:vAlign w:val="bottom"/>
            <w:tcBorders>
              <w:top w:val="single" w:sz="8" w:color="14202A"/>
              <w:bottom w:val="single" w:sz="8" w:color="14202A"/>
            </w:tcBorders>
          </w:tcPr>
          <w:p>
            <w:pPr>
              <w:ind w:left="240"/>
              <w:spacing w:after="0"/>
              <w:rPr>
                <w:sz w:val="20"/>
                <w:szCs w:val="20"/>
                <w:color w:val="auto"/>
              </w:rPr>
            </w:pPr>
            <w:r>
              <w:rPr>
                <w:rFonts w:ascii="Arial" w:cs="Arial" w:eastAsia="Arial" w:hAnsi="Arial"/>
                <w:sz w:val="14"/>
                <w:szCs w:val="14"/>
                <w:color w:val="14202A"/>
              </w:rPr>
              <w:t>Retirement</w:t>
            </w:r>
            <w:r>
              <w:rPr>
                <w:rFonts w:ascii="Arial" w:cs="Arial" w:eastAsia="Arial" w:hAnsi="Arial"/>
                <w:sz w:val="23"/>
                <w:szCs w:val="23"/>
                <w:color w:val="14202A"/>
                <w:vertAlign w:val="superscript"/>
              </w:rPr>
              <w:t>(6)</w:t>
            </w:r>
            <w:r>
              <w:rPr>
                <w:rFonts w:ascii="Arial" w:cs="Arial" w:eastAsia="Arial" w:hAnsi="Arial"/>
                <w:sz w:val="14"/>
                <w:szCs w:val="14"/>
                <w:color w:val="14202A"/>
              </w:rPr>
              <w:t xml:space="preserve"> or Voluntary Separation</w:t>
            </w:r>
          </w:p>
        </w:tc>
        <w:tc>
          <w:tcPr>
            <w:tcW w:w="1100" w:type="dxa"/>
            <w:vAlign w:val="bottom"/>
            <w:tcBorders>
              <w:top w:val="single" w:sz="8" w:color="14202A"/>
              <w:bottom w:val="single" w:sz="8" w:color="14202A"/>
            </w:tcBorders>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Borders>
              <w:top w:val="single" w:sz="8" w:color="14202A"/>
              <w:bottom w:val="single" w:sz="8" w:color="14202A"/>
            </w:tcBorders>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Borders>
              <w:top w:val="single" w:sz="8" w:color="14202A"/>
              <w:bottom w:val="single" w:sz="8" w:color="14202A"/>
            </w:tcBorders>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Borders>
              <w:top w:val="single" w:sz="8" w:color="14202A"/>
              <w:bottom w:val="single" w:sz="8" w:color="14202A"/>
            </w:tcBorders>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Borders>
              <w:top w:val="single" w:sz="8" w:color="14202A"/>
              <w:bottom w:val="single" w:sz="8" w:color="14202A"/>
            </w:tcBorders>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14202A"/>
              </w:rPr>
              <w:t>Involuntary Termination without Cause/Good</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00" w:type="dxa"/>
            <w:vAlign w:val="bottom"/>
          </w:tcPr>
          <w:p>
            <w:pPr>
              <w:ind w:left="420"/>
              <w:spacing w:after="0"/>
              <w:rPr>
                <w:sz w:val="20"/>
                <w:szCs w:val="20"/>
                <w:color w:val="auto"/>
              </w:rPr>
            </w:pPr>
            <w:r>
              <w:rPr>
                <w:rFonts w:ascii="Arial" w:cs="Arial" w:eastAsia="Arial" w:hAnsi="Arial"/>
                <w:sz w:val="14"/>
                <w:szCs w:val="14"/>
                <w:color w:val="14202A"/>
              </w:rPr>
              <w:t>Reason</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1,161,272</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00" w:type="dxa"/>
            <w:vAlign w:val="bottom"/>
            <w:tcBorders>
              <w:bottom w:val="single" w:sz="8" w:color="14202A"/>
            </w:tcBorders>
          </w:tcPr>
          <w:p>
            <w:pPr>
              <w:spacing w:after="0"/>
              <w:rPr>
                <w:sz w:val="24"/>
                <w:szCs w:val="24"/>
                <w:color w:val="auto"/>
              </w:rPr>
            </w:pPr>
          </w:p>
        </w:tc>
        <w:tc>
          <w:tcPr>
            <w:tcW w:w="340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Change in Control</w:t>
            </w:r>
            <w:r>
              <w:rPr>
                <w:rFonts w:ascii="Arial" w:cs="Arial" w:eastAsia="Arial" w:hAnsi="Arial"/>
                <w:sz w:val="23"/>
                <w:szCs w:val="23"/>
                <w:color w:val="14202A"/>
                <w:vertAlign w:val="superscript"/>
              </w:rPr>
              <w:t>(7)</w:t>
            </w:r>
            <w:r>
              <w:rPr>
                <w:rFonts w:ascii="Arial" w:cs="Arial" w:eastAsia="Arial" w:hAnsi="Arial"/>
                <w:sz w:val="14"/>
                <w:szCs w:val="14"/>
                <w:color w:val="14202A"/>
              </w:rPr>
              <w:t>:</w:t>
            </w:r>
          </w:p>
        </w:tc>
        <w:tc>
          <w:tcPr>
            <w:tcW w:w="1100" w:type="dxa"/>
            <w:vAlign w:val="bottom"/>
            <w:tcBorders>
              <w:bottom w:val="single" w:sz="8" w:color="14202A"/>
            </w:tcBorders>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14202A"/>
            </w:tcBorders>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14202A"/>
            </w:tcBorders>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Borders>
              <w:bottom w:val="single" w:sz="8" w:color="14202A"/>
            </w:tcBorders>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Pr>
          <w:p>
            <w:pPr>
              <w:ind w:left="420"/>
              <w:spacing w:after="0"/>
              <w:rPr>
                <w:sz w:val="20"/>
                <w:szCs w:val="20"/>
                <w:color w:val="auto"/>
              </w:rPr>
            </w:pPr>
            <w:r>
              <w:rPr>
                <w:rFonts w:ascii="Arial" w:cs="Arial" w:eastAsia="Arial" w:hAnsi="Arial"/>
                <w:sz w:val="14"/>
                <w:szCs w:val="14"/>
                <w:color w:val="14202A"/>
              </w:rPr>
              <w:t>Involuntary Termination without Cause/Good</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00" w:type="dxa"/>
            <w:vAlign w:val="bottom"/>
          </w:tcPr>
          <w:p>
            <w:pPr>
              <w:ind w:left="600"/>
              <w:spacing w:after="0"/>
              <w:rPr>
                <w:sz w:val="20"/>
                <w:szCs w:val="20"/>
                <w:color w:val="auto"/>
              </w:rPr>
            </w:pPr>
            <w:r>
              <w:rPr>
                <w:rFonts w:ascii="Arial" w:cs="Arial" w:eastAsia="Arial" w:hAnsi="Arial"/>
                <w:sz w:val="14"/>
                <w:szCs w:val="14"/>
                <w:color w:val="14202A"/>
              </w:rPr>
              <w:t>Reason</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3,000,000</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Pr>
          <w:p>
            <w:pPr>
              <w:jc w:val="right"/>
              <w:ind w:right="210"/>
              <w:spacing w:after="0"/>
              <w:rPr>
                <w:sz w:val="20"/>
                <w:szCs w:val="20"/>
                <w:color w:val="auto"/>
              </w:rPr>
            </w:pPr>
            <w:r>
              <w:rPr>
                <w:rFonts w:ascii="Arial" w:cs="Arial" w:eastAsia="Arial" w:hAnsi="Arial"/>
                <w:sz w:val="14"/>
                <w:szCs w:val="14"/>
                <w:color w:val="14202A"/>
              </w:rPr>
              <w:t>159,089</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14202A"/>
              </w:rPr>
              <w:t>Death or Disability</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Pr>
          <w:p>
            <w:pPr>
              <w:jc w:val="right"/>
              <w:ind w:right="210"/>
              <w:spacing w:after="0"/>
              <w:rPr>
                <w:sz w:val="20"/>
                <w:szCs w:val="20"/>
                <w:color w:val="auto"/>
              </w:rPr>
            </w:pPr>
            <w:r>
              <w:rPr>
                <w:rFonts w:ascii="Arial" w:cs="Arial" w:eastAsia="Arial" w:hAnsi="Arial"/>
                <w:sz w:val="14"/>
                <w:szCs w:val="14"/>
                <w:color w:val="14202A"/>
              </w:rPr>
              <w:t>159,089</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100" w:type="dxa"/>
            <w:vAlign w:val="bottom"/>
            <w:tcBorders>
              <w:bottom w:val="single" w:sz="8" w:color="CBD3D8"/>
            </w:tcBorders>
            <w:shd w:val="clear" w:color="auto" w:fill="CBD3D8"/>
          </w:tcPr>
          <w:p>
            <w:pPr>
              <w:spacing w:after="0"/>
              <w:rPr>
                <w:sz w:val="22"/>
                <w:szCs w:val="22"/>
                <w:color w:val="auto"/>
              </w:rPr>
            </w:pPr>
          </w:p>
        </w:tc>
        <w:tc>
          <w:tcPr>
            <w:tcW w:w="3400" w:type="dxa"/>
            <w:vAlign w:val="bottom"/>
            <w:tcBorders>
              <w:bottom w:val="single" w:sz="8" w:color="CBD3D8"/>
            </w:tcBorders>
            <w:shd w:val="clear" w:color="auto" w:fill="CBD3D8"/>
          </w:tcPr>
          <w:p>
            <w:pPr>
              <w:ind w:left="60"/>
              <w:spacing w:after="0"/>
              <w:rPr>
                <w:sz w:val="20"/>
                <w:szCs w:val="20"/>
                <w:color w:val="auto"/>
              </w:rPr>
            </w:pPr>
            <w:r>
              <w:rPr>
                <w:rFonts w:ascii="Arial" w:cs="Arial" w:eastAsia="Arial" w:hAnsi="Arial"/>
                <w:sz w:val="14"/>
                <w:szCs w:val="14"/>
                <w:b w:val="1"/>
                <w:bCs w:val="1"/>
                <w:color w:val="14202A"/>
              </w:rPr>
              <w:t>Casey J. Tubman</w:t>
            </w:r>
          </w:p>
        </w:tc>
        <w:tc>
          <w:tcPr>
            <w:tcW w:w="1100" w:type="dxa"/>
            <w:vAlign w:val="bottom"/>
            <w:tcBorders>
              <w:bottom w:val="single" w:sz="8" w:color="CBD3D8"/>
            </w:tcBorders>
            <w:shd w:val="clear" w:color="auto" w:fill="CBD3D8"/>
          </w:tcPr>
          <w:p>
            <w:pPr>
              <w:jc w:val="right"/>
              <w:ind w:right="89"/>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CBD3D8"/>
            </w:tcBorders>
            <w:shd w:val="clear" w:color="auto" w:fill="CBD3D8"/>
          </w:tcPr>
          <w:p>
            <w:pPr>
              <w:spacing w:after="0"/>
              <w:rPr>
                <w:sz w:val="22"/>
                <w:szCs w:val="22"/>
                <w:color w:val="auto"/>
              </w:rPr>
            </w:pPr>
          </w:p>
        </w:tc>
        <w:tc>
          <w:tcPr>
            <w:tcW w:w="1140" w:type="dxa"/>
            <w:vAlign w:val="bottom"/>
            <w:tcBorders>
              <w:bottom w:val="single" w:sz="8" w:color="CBD3D8"/>
            </w:tcBorders>
            <w:shd w:val="clear" w:color="auto" w:fill="CBD3D8"/>
          </w:tcPr>
          <w:p>
            <w:pPr>
              <w:spacing w:after="0"/>
              <w:rPr>
                <w:sz w:val="22"/>
                <w:szCs w:val="22"/>
                <w:color w:val="auto"/>
              </w:rPr>
            </w:pPr>
          </w:p>
        </w:tc>
        <w:tc>
          <w:tcPr>
            <w:tcW w:w="1220" w:type="dxa"/>
            <w:vAlign w:val="bottom"/>
            <w:tcBorders>
              <w:bottom w:val="single" w:sz="8" w:color="CBD3D8"/>
            </w:tcBorders>
            <w:shd w:val="clear" w:color="auto" w:fill="CBD3D8"/>
          </w:tcPr>
          <w:p>
            <w:pPr>
              <w:spacing w:after="0"/>
              <w:rPr>
                <w:sz w:val="22"/>
                <w:szCs w:val="22"/>
                <w:color w:val="auto"/>
              </w:rPr>
            </w:pPr>
          </w:p>
        </w:tc>
        <w:tc>
          <w:tcPr>
            <w:tcW w:w="1200" w:type="dxa"/>
            <w:vAlign w:val="bottom"/>
            <w:tcBorders>
              <w:bottom w:val="single" w:sz="8" w:color="CBD3D8"/>
            </w:tcBorders>
            <w:shd w:val="clear" w:color="auto" w:fill="CBD3D8"/>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00" w:type="dxa"/>
            <w:vAlign w:val="bottom"/>
            <w:tcBorders>
              <w:top w:val="single" w:sz="8" w:color="14202A"/>
              <w:bottom w:val="single" w:sz="8" w:color="14202A"/>
            </w:tcBorders>
          </w:tcPr>
          <w:p>
            <w:pPr>
              <w:spacing w:after="0"/>
              <w:rPr>
                <w:sz w:val="24"/>
                <w:szCs w:val="24"/>
                <w:color w:val="auto"/>
              </w:rPr>
            </w:pPr>
          </w:p>
        </w:tc>
        <w:tc>
          <w:tcPr>
            <w:tcW w:w="3400" w:type="dxa"/>
            <w:vAlign w:val="bottom"/>
            <w:tcBorders>
              <w:top w:val="single" w:sz="8" w:color="14202A"/>
              <w:bottom w:val="single" w:sz="8" w:color="14202A"/>
            </w:tcBorders>
          </w:tcPr>
          <w:p>
            <w:pPr>
              <w:ind w:left="240"/>
              <w:spacing w:after="0"/>
              <w:rPr>
                <w:sz w:val="20"/>
                <w:szCs w:val="20"/>
                <w:color w:val="auto"/>
              </w:rPr>
            </w:pPr>
            <w:r>
              <w:rPr>
                <w:rFonts w:ascii="Arial" w:cs="Arial" w:eastAsia="Arial" w:hAnsi="Arial"/>
                <w:sz w:val="14"/>
                <w:szCs w:val="14"/>
                <w:color w:val="14202A"/>
              </w:rPr>
              <w:t>Retirement</w:t>
            </w:r>
            <w:r>
              <w:rPr>
                <w:rFonts w:ascii="Arial" w:cs="Arial" w:eastAsia="Arial" w:hAnsi="Arial"/>
                <w:sz w:val="23"/>
                <w:szCs w:val="23"/>
                <w:color w:val="14202A"/>
                <w:vertAlign w:val="superscript"/>
              </w:rPr>
              <w:t>(6)</w:t>
            </w:r>
            <w:r>
              <w:rPr>
                <w:rFonts w:ascii="Arial" w:cs="Arial" w:eastAsia="Arial" w:hAnsi="Arial"/>
                <w:sz w:val="14"/>
                <w:szCs w:val="14"/>
                <w:color w:val="14202A"/>
              </w:rPr>
              <w:t xml:space="preserve"> or Voluntary Separation</w:t>
            </w:r>
          </w:p>
        </w:tc>
        <w:tc>
          <w:tcPr>
            <w:tcW w:w="1100" w:type="dxa"/>
            <w:vAlign w:val="bottom"/>
            <w:tcBorders>
              <w:top w:val="single" w:sz="8" w:color="14202A"/>
              <w:bottom w:val="single" w:sz="8" w:color="14202A"/>
            </w:tcBorders>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Borders>
              <w:top w:val="single" w:sz="8" w:color="14202A"/>
              <w:bottom w:val="single" w:sz="8" w:color="14202A"/>
            </w:tcBorders>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Borders>
              <w:top w:val="single" w:sz="8" w:color="14202A"/>
              <w:bottom w:val="single" w:sz="8" w:color="14202A"/>
            </w:tcBorders>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Borders>
              <w:top w:val="single" w:sz="8" w:color="14202A"/>
              <w:bottom w:val="single" w:sz="8" w:color="14202A"/>
            </w:tcBorders>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Borders>
              <w:top w:val="single" w:sz="8" w:color="14202A"/>
              <w:bottom w:val="single" w:sz="8" w:color="14202A"/>
            </w:tcBorders>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14202A"/>
              </w:rPr>
              <w:t>Involuntary Termination without Cause/Good</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00" w:type="dxa"/>
            <w:vAlign w:val="bottom"/>
          </w:tcPr>
          <w:p>
            <w:pPr>
              <w:ind w:left="420"/>
              <w:spacing w:after="0"/>
              <w:rPr>
                <w:sz w:val="20"/>
                <w:szCs w:val="20"/>
                <w:color w:val="auto"/>
              </w:rPr>
            </w:pPr>
            <w:r>
              <w:rPr>
                <w:rFonts w:ascii="Arial" w:cs="Arial" w:eastAsia="Arial" w:hAnsi="Arial"/>
                <w:sz w:val="14"/>
                <w:szCs w:val="14"/>
                <w:color w:val="14202A"/>
              </w:rPr>
              <w:t>Reason</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1,200,556</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00" w:type="dxa"/>
            <w:vAlign w:val="bottom"/>
            <w:tcBorders>
              <w:bottom w:val="single" w:sz="8" w:color="14202A"/>
            </w:tcBorders>
          </w:tcPr>
          <w:p>
            <w:pPr>
              <w:spacing w:after="0"/>
              <w:rPr>
                <w:sz w:val="24"/>
                <w:szCs w:val="24"/>
                <w:color w:val="auto"/>
              </w:rPr>
            </w:pPr>
          </w:p>
        </w:tc>
        <w:tc>
          <w:tcPr>
            <w:tcW w:w="340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Change in Control</w:t>
            </w:r>
            <w:r>
              <w:rPr>
                <w:rFonts w:ascii="Arial" w:cs="Arial" w:eastAsia="Arial" w:hAnsi="Arial"/>
                <w:sz w:val="23"/>
                <w:szCs w:val="23"/>
                <w:color w:val="14202A"/>
                <w:vertAlign w:val="superscript"/>
              </w:rPr>
              <w:t>(7)</w:t>
            </w:r>
            <w:r>
              <w:rPr>
                <w:rFonts w:ascii="Arial" w:cs="Arial" w:eastAsia="Arial" w:hAnsi="Arial"/>
                <w:sz w:val="14"/>
                <w:szCs w:val="14"/>
                <w:color w:val="14202A"/>
              </w:rPr>
              <w:t>:</w:t>
            </w:r>
          </w:p>
        </w:tc>
        <w:tc>
          <w:tcPr>
            <w:tcW w:w="1100" w:type="dxa"/>
            <w:vAlign w:val="bottom"/>
            <w:tcBorders>
              <w:bottom w:val="single" w:sz="8" w:color="14202A"/>
            </w:tcBorders>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14202A"/>
            </w:tcBorders>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14202A"/>
            </w:tcBorders>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Borders>
              <w:bottom w:val="single" w:sz="8" w:color="14202A"/>
            </w:tcBorders>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Pr>
          <w:p>
            <w:pPr>
              <w:ind w:left="420"/>
              <w:spacing w:after="0"/>
              <w:rPr>
                <w:sz w:val="20"/>
                <w:szCs w:val="20"/>
                <w:color w:val="auto"/>
              </w:rPr>
            </w:pPr>
            <w:r>
              <w:rPr>
                <w:rFonts w:ascii="Arial" w:cs="Arial" w:eastAsia="Arial" w:hAnsi="Arial"/>
                <w:sz w:val="14"/>
                <w:szCs w:val="14"/>
                <w:color w:val="14202A"/>
              </w:rPr>
              <w:t>Involuntary Termination without Cause/Good</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00" w:type="dxa"/>
            <w:vAlign w:val="bottom"/>
          </w:tcPr>
          <w:p>
            <w:pPr>
              <w:ind w:left="600"/>
              <w:spacing w:after="0"/>
              <w:rPr>
                <w:sz w:val="20"/>
                <w:szCs w:val="20"/>
                <w:color w:val="auto"/>
              </w:rPr>
            </w:pPr>
            <w:r>
              <w:rPr>
                <w:rFonts w:ascii="Arial" w:cs="Arial" w:eastAsia="Arial" w:hAnsi="Arial"/>
                <w:sz w:val="14"/>
                <w:szCs w:val="14"/>
                <w:color w:val="14202A"/>
              </w:rPr>
              <w:t>Reason</w:t>
            </w:r>
          </w:p>
        </w:tc>
        <w:tc>
          <w:tcPr>
            <w:tcW w:w="1100" w:type="dxa"/>
            <w:vAlign w:val="bottom"/>
          </w:tcPr>
          <w:p>
            <w:pPr>
              <w:jc w:val="right"/>
              <w:ind w:right="209"/>
              <w:spacing w:after="0"/>
              <w:rPr>
                <w:sz w:val="20"/>
                <w:szCs w:val="20"/>
                <w:color w:val="auto"/>
              </w:rPr>
            </w:pPr>
            <w:r>
              <w:rPr>
                <w:rFonts w:ascii="Arial" w:cs="Arial" w:eastAsia="Arial" w:hAnsi="Arial"/>
                <w:sz w:val="14"/>
                <w:szCs w:val="14"/>
                <w:color w:val="14202A"/>
              </w:rPr>
              <w:t>2,401,111</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1,014,862</w:t>
            </w:r>
          </w:p>
        </w:tc>
        <w:tc>
          <w:tcPr>
            <w:tcW w:w="1140" w:type="dxa"/>
            <w:vAlign w:val="bottom"/>
          </w:tcPr>
          <w:p>
            <w:pPr>
              <w:jc w:val="right"/>
              <w:ind w:right="170"/>
              <w:spacing w:after="0"/>
              <w:rPr>
                <w:sz w:val="20"/>
                <w:szCs w:val="20"/>
                <w:color w:val="auto"/>
              </w:rPr>
            </w:pPr>
            <w:r>
              <w:rPr>
                <w:rFonts w:ascii="Arial" w:cs="Arial" w:eastAsia="Arial" w:hAnsi="Arial"/>
                <w:sz w:val="14"/>
                <w:szCs w:val="14"/>
                <w:color w:val="14202A"/>
              </w:rPr>
              <w:t>644,344</w:t>
            </w:r>
          </w:p>
        </w:tc>
        <w:tc>
          <w:tcPr>
            <w:tcW w:w="1220" w:type="dxa"/>
            <w:vAlign w:val="bottom"/>
          </w:tcPr>
          <w:p>
            <w:pPr>
              <w:jc w:val="right"/>
              <w:ind w:right="210"/>
              <w:spacing w:after="0"/>
              <w:rPr>
                <w:sz w:val="20"/>
                <w:szCs w:val="20"/>
                <w:color w:val="auto"/>
              </w:rPr>
            </w:pPr>
            <w:r>
              <w:rPr>
                <w:rFonts w:ascii="Arial" w:cs="Arial" w:eastAsia="Arial" w:hAnsi="Arial"/>
                <w:sz w:val="14"/>
                <w:szCs w:val="14"/>
                <w:color w:val="14202A"/>
              </w:rPr>
              <w:t>446,148</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14202A"/>
              </w:rPr>
              <w:t>Death or Disability</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70"/>
              <w:spacing w:after="0"/>
              <w:rPr>
                <w:sz w:val="20"/>
                <w:szCs w:val="20"/>
                <w:color w:val="auto"/>
              </w:rPr>
            </w:pPr>
            <w:r>
              <w:rPr>
                <w:rFonts w:ascii="Arial" w:cs="Arial" w:eastAsia="Arial" w:hAnsi="Arial"/>
                <w:sz w:val="14"/>
                <w:szCs w:val="14"/>
                <w:color w:val="14202A"/>
              </w:rPr>
              <w:t>644,344</w:t>
            </w:r>
          </w:p>
        </w:tc>
        <w:tc>
          <w:tcPr>
            <w:tcW w:w="1220" w:type="dxa"/>
            <w:vAlign w:val="bottom"/>
          </w:tcPr>
          <w:p>
            <w:pPr>
              <w:jc w:val="right"/>
              <w:ind w:right="210"/>
              <w:spacing w:after="0"/>
              <w:rPr>
                <w:sz w:val="20"/>
                <w:szCs w:val="20"/>
                <w:color w:val="auto"/>
              </w:rPr>
            </w:pPr>
            <w:r>
              <w:rPr>
                <w:rFonts w:ascii="Arial" w:cs="Arial" w:eastAsia="Arial" w:hAnsi="Arial"/>
                <w:sz w:val="14"/>
                <w:szCs w:val="14"/>
                <w:color w:val="14202A"/>
              </w:rPr>
              <w:t>446,148</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1"/>
        </w:trPr>
        <w:tc>
          <w:tcPr>
            <w:tcW w:w="100" w:type="dxa"/>
            <w:vAlign w:val="bottom"/>
            <w:tcBorders>
              <w:bottom w:val="single" w:sz="8" w:color="14202A"/>
            </w:tcBorders>
          </w:tcPr>
          <w:p>
            <w:pPr>
              <w:spacing w:after="0" w:line="20" w:lineRule="exact"/>
              <w:rPr>
                <w:sz w:val="1"/>
                <w:szCs w:val="1"/>
                <w:color w:val="auto"/>
              </w:rPr>
            </w:pPr>
          </w:p>
        </w:tc>
        <w:tc>
          <w:tcPr>
            <w:tcW w:w="3400" w:type="dxa"/>
            <w:vAlign w:val="bottom"/>
            <w:tcBorders>
              <w:bottom w:val="single" w:sz="8" w:color="14202A"/>
            </w:tcBorders>
          </w:tcPr>
          <w:p>
            <w:pPr>
              <w:spacing w:after="0" w:line="20" w:lineRule="exact"/>
              <w:rPr>
                <w:sz w:val="1"/>
                <w:szCs w:val="1"/>
                <w:color w:val="auto"/>
              </w:rPr>
            </w:pPr>
          </w:p>
        </w:tc>
        <w:tc>
          <w:tcPr>
            <w:tcW w:w="1100" w:type="dxa"/>
            <w:vAlign w:val="bottom"/>
            <w:tcBorders>
              <w:bottom w:val="single" w:sz="8" w:color="14202A"/>
            </w:tcBorders>
          </w:tcPr>
          <w:p>
            <w:pPr>
              <w:spacing w:after="0" w:line="20" w:lineRule="exact"/>
              <w:rPr>
                <w:sz w:val="1"/>
                <w:szCs w:val="1"/>
                <w:color w:val="auto"/>
              </w:rPr>
            </w:pPr>
          </w:p>
        </w:tc>
        <w:tc>
          <w:tcPr>
            <w:tcW w:w="112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1220" w:type="dxa"/>
            <w:vAlign w:val="bottom"/>
            <w:tcBorders>
              <w:bottom w:val="single" w:sz="8" w:color="14202A"/>
            </w:tcBorders>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3400" w:type="dxa"/>
            <w:vAlign w:val="bottom"/>
            <w:shd w:val="clear" w:color="auto" w:fill="14202A"/>
          </w:tcPr>
          <w:p>
            <w:pPr>
              <w:spacing w:after="0"/>
              <w:rPr>
                <w:sz w:val="19"/>
                <w:szCs w:val="19"/>
                <w:color w:val="auto"/>
              </w:rPr>
            </w:pPr>
          </w:p>
        </w:tc>
        <w:tc>
          <w:tcPr>
            <w:tcW w:w="1080" w:type="dxa"/>
            <w:vAlign w:val="bottom"/>
            <w:shd w:val="clear" w:color="auto" w:fill="14202A"/>
          </w:tcPr>
          <w:p>
            <w:pPr>
              <w:spacing w:after="0"/>
              <w:rPr>
                <w:sz w:val="19"/>
                <w:szCs w:val="19"/>
                <w:color w:val="auto"/>
              </w:rPr>
            </w:pPr>
          </w:p>
        </w:tc>
        <w:tc>
          <w:tcPr>
            <w:tcW w:w="11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Annual or</w:t>
            </w:r>
          </w:p>
        </w:tc>
        <w:tc>
          <w:tcPr>
            <w:tcW w:w="114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LTIP /</w:t>
            </w:r>
          </w:p>
        </w:tc>
        <w:tc>
          <w:tcPr>
            <w:tcW w:w="12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Restricted</w:t>
            </w:r>
          </w:p>
        </w:tc>
        <w:tc>
          <w:tcPr>
            <w:tcW w:w="12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400" w:type="dxa"/>
            <w:vAlign w:val="bottom"/>
            <w:shd w:val="clear" w:color="auto" w:fill="14202A"/>
          </w:tcPr>
          <w:p>
            <w:pPr>
              <w:spacing w:after="0"/>
              <w:rPr>
                <w:sz w:val="11"/>
                <w:szCs w:val="11"/>
                <w:color w:val="auto"/>
              </w:rPr>
            </w:pPr>
          </w:p>
        </w:tc>
        <w:tc>
          <w:tcPr>
            <w:tcW w:w="1080" w:type="dxa"/>
            <w:vAlign w:val="bottom"/>
            <w:shd w:val="clear" w:color="auto" w:fill="14202A"/>
          </w:tcPr>
          <w:p>
            <w:pPr>
              <w:spacing w:after="0"/>
              <w:rPr>
                <w:sz w:val="11"/>
                <w:szCs w:val="11"/>
                <w:color w:val="auto"/>
              </w:rPr>
            </w:pPr>
          </w:p>
        </w:tc>
        <w:tc>
          <w:tcPr>
            <w:tcW w:w="11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Management</w:t>
            </w:r>
          </w:p>
        </w:tc>
        <w:tc>
          <w:tcPr>
            <w:tcW w:w="1140" w:type="dxa"/>
            <w:vAlign w:val="bottom"/>
            <w:vMerge w:val="continue"/>
            <w:shd w:val="clear" w:color="auto" w:fill="14202A"/>
          </w:tcPr>
          <w:p>
            <w:pPr>
              <w:spacing w:after="0"/>
              <w:rPr>
                <w:sz w:val="11"/>
                <w:szCs w:val="11"/>
                <w:color w:val="auto"/>
              </w:rPr>
            </w:pPr>
          </w:p>
        </w:tc>
        <w:tc>
          <w:tcPr>
            <w:tcW w:w="12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rPr>
              <w:t>Stock-</w:t>
            </w:r>
          </w:p>
        </w:tc>
        <w:tc>
          <w:tcPr>
            <w:tcW w:w="12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1"/>
              </w:rPr>
              <w:t>Options -</w:t>
            </w:r>
          </w:p>
        </w:tc>
        <w:tc>
          <w:tcPr>
            <w:tcW w:w="0" w:type="dxa"/>
            <w:vAlign w:val="bottom"/>
          </w:tcPr>
          <w:p>
            <w:pPr>
              <w:spacing w:after="0"/>
              <w:rPr>
                <w:sz w:val="1"/>
                <w:szCs w:val="1"/>
                <w:color w:val="auto"/>
              </w:rPr>
            </w:pPr>
          </w:p>
        </w:tc>
      </w:tr>
      <w:tr>
        <w:trPr>
          <w:trHeight w:val="143"/>
        </w:trPr>
        <w:tc>
          <w:tcPr>
            <w:tcW w:w="100" w:type="dxa"/>
            <w:vAlign w:val="bottom"/>
            <w:shd w:val="clear" w:color="auto" w:fill="14202A"/>
          </w:tcPr>
          <w:p>
            <w:pPr>
              <w:spacing w:after="0"/>
              <w:rPr>
                <w:sz w:val="12"/>
                <w:szCs w:val="12"/>
                <w:color w:val="auto"/>
              </w:rPr>
            </w:pPr>
          </w:p>
        </w:tc>
        <w:tc>
          <w:tcPr>
            <w:tcW w:w="3400" w:type="dxa"/>
            <w:vAlign w:val="bottom"/>
            <w:shd w:val="clear" w:color="auto" w:fill="14202A"/>
          </w:tcPr>
          <w:p>
            <w:pPr>
              <w:spacing w:after="0"/>
              <w:rPr>
                <w:sz w:val="12"/>
                <w:szCs w:val="12"/>
                <w:color w:val="auto"/>
              </w:rPr>
            </w:pPr>
          </w:p>
        </w:tc>
        <w:tc>
          <w:tcPr>
            <w:tcW w:w="1080" w:type="dxa"/>
            <w:vAlign w:val="bottom"/>
            <w:shd w:val="clear" w:color="auto" w:fill="14202A"/>
          </w:tcPr>
          <w:p>
            <w:pPr>
              <w:spacing w:after="0"/>
              <w:rPr>
                <w:sz w:val="12"/>
                <w:szCs w:val="12"/>
                <w:color w:val="auto"/>
              </w:rPr>
            </w:pPr>
          </w:p>
        </w:tc>
        <w:tc>
          <w:tcPr>
            <w:tcW w:w="114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9"/>
              </w:rPr>
              <w:t>Incentive</w:t>
            </w:r>
          </w:p>
        </w:tc>
        <w:tc>
          <w:tcPr>
            <w:tcW w:w="114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8"/>
              </w:rPr>
              <w:t>Performance</w:t>
            </w:r>
          </w:p>
        </w:tc>
        <w:tc>
          <w:tcPr>
            <w:tcW w:w="122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8"/>
              </w:rPr>
              <w:t>Unvested and</w:t>
            </w:r>
          </w:p>
        </w:tc>
        <w:tc>
          <w:tcPr>
            <w:tcW w:w="120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6"/>
              </w:rPr>
              <w:t>Unvested and</w:t>
            </w:r>
          </w:p>
        </w:tc>
        <w:tc>
          <w:tcPr>
            <w:tcW w:w="0" w:type="dxa"/>
            <w:vAlign w:val="bottom"/>
          </w:tcPr>
          <w:p>
            <w:pPr>
              <w:spacing w:after="0"/>
              <w:rPr>
                <w:sz w:val="1"/>
                <w:szCs w:val="1"/>
                <w:color w:val="auto"/>
              </w:rPr>
            </w:pPr>
          </w:p>
        </w:tc>
      </w:tr>
      <w:tr>
        <w:trPr>
          <w:trHeight w:val="168"/>
        </w:trPr>
        <w:tc>
          <w:tcPr>
            <w:tcW w:w="100" w:type="dxa"/>
            <w:vAlign w:val="bottom"/>
            <w:shd w:val="clear" w:color="auto" w:fill="14202A"/>
          </w:tcPr>
          <w:p>
            <w:pPr>
              <w:spacing w:after="0"/>
              <w:rPr>
                <w:sz w:val="14"/>
                <w:szCs w:val="14"/>
                <w:color w:val="auto"/>
              </w:rPr>
            </w:pPr>
          </w:p>
        </w:tc>
        <w:tc>
          <w:tcPr>
            <w:tcW w:w="340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1080" w:type="dxa"/>
            <w:vAlign w:val="bottom"/>
            <w:shd w:val="clear" w:color="auto" w:fill="14202A"/>
          </w:tcPr>
          <w:p>
            <w:pPr>
              <w:jc w:val="right"/>
              <w:ind w:right="91"/>
              <w:spacing w:after="0" w:line="168" w:lineRule="exact"/>
              <w:rPr>
                <w:sz w:val="20"/>
                <w:szCs w:val="20"/>
                <w:color w:val="auto"/>
              </w:rPr>
            </w:pPr>
            <w:r>
              <w:rPr>
                <w:rFonts w:ascii="Arial" w:cs="Arial" w:eastAsia="Arial" w:hAnsi="Arial"/>
                <w:sz w:val="12"/>
                <w:szCs w:val="12"/>
                <w:b w:val="1"/>
                <w:bCs w:val="1"/>
                <w:color w:val="FFFFFF"/>
              </w:rPr>
              <w:t>Severance</w:t>
            </w:r>
            <w:r>
              <w:rPr>
                <w:rFonts w:ascii="Arial" w:cs="Arial" w:eastAsia="Arial" w:hAnsi="Arial"/>
                <w:sz w:val="19"/>
                <w:szCs w:val="19"/>
                <w:b w:val="1"/>
                <w:bCs w:val="1"/>
                <w:color w:val="FFFFFF"/>
                <w:vertAlign w:val="superscript"/>
              </w:rPr>
              <w:t>(1)</w:t>
            </w:r>
          </w:p>
        </w:tc>
        <w:tc>
          <w:tcPr>
            <w:tcW w:w="114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w w:val="97"/>
              </w:rPr>
              <w:t>Plan</w:t>
            </w:r>
            <w:r>
              <w:rPr>
                <w:rFonts w:ascii="Arial" w:cs="Arial" w:eastAsia="Arial" w:hAnsi="Arial"/>
                <w:sz w:val="19"/>
                <w:szCs w:val="19"/>
                <w:b w:val="1"/>
                <w:bCs w:val="1"/>
                <w:color w:val="FFFFFF"/>
                <w:w w:val="97"/>
                <w:vertAlign w:val="superscript"/>
              </w:rPr>
              <w:t>(2)</w:t>
            </w:r>
          </w:p>
        </w:tc>
        <w:tc>
          <w:tcPr>
            <w:tcW w:w="114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w w:val="97"/>
              </w:rPr>
              <w:t>Shares</w:t>
            </w:r>
            <w:r>
              <w:rPr>
                <w:rFonts w:ascii="Arial" w:cs="Arial" w:eastAsia="Arial" w:hAnsi="Arial"/>
                <w:sz w:val="19"/>
                <w:szCs w:val="19"/>
                <w:b w:val="1"/>
                <w:bCs w:val="1"/>
                <w:color w:val="FFFFFF"/>
                <w:w w:val="97"/>
                <w:vertAlign w:val="superscript"/>
              </w:rPr>
              <w:t>(3)</w:t>
            </w:r>
          </w:p>
        </w:tc>
        <w:tc>
          <w:tcPr>
            <w:tcW w:w="122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rPr>
              <w:t>Accelerated</w:t>
            </w:r>
            <w:r>
              <w:rPr>
                <w:rFonts w:ascii="Arial" w:cs="Arial" w:eastAsia="Arial" w:hAnsi="Arial"/>
                <w:sz w:val="19"/>
                <w:szCs w:val="19"/>
                <w:b w:val="1"/>
                <w:bCs w:val="1"/>
                <w:color w:val="FFFFFF"/>
                <w:vertAlign w:val="superscript"/>
              </w:rPr>
              <w:t>(4)</w:t>
            </w:r>
          </w:p>
        </w:tc>
        <w:tc>
          <w:tcPr>
            <w:tcW w:w="120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rPr>
              <w:t>Accelerated</w:t>
            </w:r>
            <w:r>
              <w:rPr>
                <w:rFonts w:ascii="Arial" w:cs="Arial" w:eastAsia="Arial" w:hAnsi="Arial"/>
                <w:sz w:val="19"/>
                <w:szCs w:val="19"/>
                <w:b w:val="1"/>
                <w:bCs w:val="1"/>
                <w:color w:val="FFFFFF"/>
                <w:vertAlign w:val="superscript"/>
              </w:rPr>
              <w:t>(5)</w:t>
            </w:r>
          </w:p>
        </w:tc>
        <w:tc>
          <w:tcPr>
            <w:tcW w:w="0" w:type="dxa"/>
            <w:vAlign w:val="bottom"/>
          </w:tcPr>
          <w:p>
            <w:pPr>
              <w:spacing w:after="0"/>
              <w:rPr>
                <w:sz w:val="1"/>
                <w:szCs w:val="1"/>
                <w:color w:val="auto"/>
              </w:rPr>
            </w:pPr>
          </w:p>
        </w:tc>
      </w:tr>
      <w:tr>
        <w:trPr>
          <w:trHeight w:val="200"/>
        </w:trPr>
        <w:tc>
          <w:tcPr>
            <w:tcW w:w="100" w:type="dxa"/>
            <w:vAlign w:val="bottom"/>
            <w:tcBorders>
              <w:bottom w:val="single" w:sz="8" w:color="14202A"/>
            </w:tcBorders>
            <w:shd w:val="clear" w:color="auto" w:fill="14202A"/>
          </w:tcPr>
          <w:p>
            <w:pPr>
              <w:spacing w:after="0"/>
              <w:rPr>
                <w:sz w:val="17"/>
                <w:szCs w:val="17"/>
                <w:color w:val="auto"/>
              </w:rPr>
            </w:pPr>
          </w:p>
        </w:tc>
        <w:tc>
          <w:tcPr>
            <w:tcW w:w="3400" w:type="dxa"/>
            <w:vAlign w:val="bottom"/>
            <w:tcBorders>
              <w:bottom w:val="single" w:sz="8" w:color="14202A"/>
            </w:tcBorders>
            <w:vMerge w:val="continue"/>
            <w:shd w:val="clear" w:color="auto" w:fill="14202A"/>
          </w:tcPr>
          <w:p>
            <w:pPr>
              <w:spacing w:after="0"/>
              <w:rPr>
                <w:sz w:val="17"/>
                <w:szCs w:val="17"/>
                <w:color w:val="auto"/>
              </w:rPr>
            </w:pPr>
          </w:p>
        </w:tc>
        <w:tc>
          <w:tcPr>
            <w:tcW w:w="1080" w:type="dxa"/>
            <w:vAlign w:val="bottom"/>
            <w:tcBorders>
              <w:bottom w:val="single" w:sz="8" w:color="14202A"/>
            </w:tcBorders>
            <w:shd w:val="clear" w:color="auto" w:fill="14202A"/>
          </w:tcPr>
          <w:p>
            <w:pPr>
              <w:jc w:val="right"/>
              <w:ind w:right="391"/>
              <w:spacing w:after="0"/>
              <w:rPr>
                <w:sz w:val="20"/>
                <w:szCs w:val="20"/>
                <w:color w:val="auto"/>
              </w:rPr>
            </w:pPr>
            <w:r>
              <w:rPr>
                <w:rFonts w:ascii="Arial" w:cs="Arial" w:eastAsia="Arial" w:hAnsi="Arial"/>
                <w:sz w:val="13"/>
                <w:szCs w:val="13"/>
                <w:b w:val="1"/>
                <w:bCs w:val="1"/>
                <w:color w:val="FFFFFF"/>
              </w:rPr>
              <w:t>($)</w:t>
            </w:r>
          </w:p>
        </w:tc>
        <w:tc>
          <w:tcPr>
            <w:tcW w:w="114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14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22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20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75"/>
        </w:trPr>
        <w:tc>
          <w:tcPr>
            <w:tcW w:w="100" w:type="dxa"/>
            <w:vAlign w:val="bottom"/>
            <w:tcBorders>
              <w:bottom w:val="single" w:sz="8" w:color="CBD3D8"/>
            </w:tcBorders>
            <w:shd w:val="clear" w:color="auto" w:fill="CBD3D8"/>
          </w:tcPr>
          <w:p>
            <w:pPr>
              <w:spacing w:after="0"/>
              <w:rPr>
                <w:sz w:val="23"/>
                <w:szCs w:val="23"/>
                <w:color w:val="auto"/>
              </w:rPr>
            </w:pPr>
          </w:p>
        </w:tc>
        <w:tc>
          <w:tcPr>
            <w:tcW w:w="3400" w:type="dxa"/>
            <w:vAlign w:val="bottom"/>
            <w:tcBorders>
              <w:bottom w:val="single" w:sz="8" w:color="CBD3D8"/>
            </w:tcBorders>
            <w:shd w:val="clear" w:color="auto" w:fill="CBD3D8"/>
          </w:tcPr>
          <w:p>
            <w:pPr>
              <w:ind w:left="60"/>
              <w:spacing w:after="0"/>
              <w:rPr>
                <w:sz w:val="20"/>
                <w:szCs w:val="20"/>
                <w:color w:val="auto"/>
              </w:rPr>
            </w:pPr>
            <w:r>
              <w:rPr>
                <w:rFonts w:ascii="Arial" w:cs="Arial" w:eastAsia="Arial" w:hAnsi="Arial"/>
                <w:sz w:val="14"/>
                <w:szCs w:val="14"/>
                <w:b w:val="1"/>
                <w:bCs w:val="1"/>
                <w:color w:val="14202A"/>
              </w:rPr>
              <w:t>Stacy L. Bogart</w:t>
            </w:r>
          </w:p>
        </w:tc>
        <w:tc>
          <w:tcPr>
            <w:tcW w:w="1080" w:type="dxa"/>
            <w:vAlign w:val="bottom"/>
            <w:tcBorders>
              <w:bottom w:val="single" w:sz="8" w:color="CBD3D8"/>
            </w:tcBorders>
            <w:shd w:val="clear" w:color="auto" w:fill="CBD3D8"/>
          </w:tcPr>
          <w:p>
            <w:pPr>
              <w:spacing w:after="0"/>
              <w:rPr>
                <w:sz w:val="23"/>
                <w:szCs w:val="23"/>
                <w:color w:val="auto"/>
              </w:rPr>
            </w:pPr>
          </w:p>
        </w:tc>
        <w:tc>
          <w:tcPr>
            <w:tcW w:w="1140" w:type="dxa"/>
            <w:vAlign w:val="bottom"/>
            <w:tcBorders>
              <w:bottom w:val="single" w:sz="8" w:color="CBD3D8"/>
            </w:tcBorders>
            <w:shd w:val="clear" w:color="auto" w:fill="CBD3D8"/>
          </w:tcPr>
          <w:p>
            <w:pPr>
              <w:spacing w:after="0"/>
              <w:rPr>
                <w:sz w:val="23"/>
                <w:szCs w:val="23"/>
                <w:color w:val="auto"/>
              </w:rPr>
            </w:pPr>
          </w:p>
        </w:tc>
        <w:tc>
          <w:tcPr>
            <w:tcW w:w="1140" w:type="dxa"/>
            <w:vAlign w:val="bottom"/>
            <w:tcBorders>
              <w:bottom w:val="single" w:sz="8" w:color="CBD3D8"/>
            </w:tcBorders>
            <w:shd w:val="clear" w:color="auto" w:fill="CBD3D8"/>
          </w:tcPr>
          <w:p>
            <w:pPr>
              <w:spacing w:after="0"/>
              <w:rPr>
                <w:sz w:val="23"/>
                <w:szCs w:val="23"/>
                <w:color w:val="auto"/>
              </w:rPr>
            </w:pPr>
          </w:p>
        </w:tc>
        <w:tc>
          <w:tcPr>
            <w:tcW w:w="1220" w:type="dxa"/>
            <w:vAlign w:val="bottom"/>
            <w:tcBorders>
              <w:bottom w:val="single" w:sz="8" w:color="CBD3D8"/>
            </w:tcBorders>
            <w:shd w:val="clear" w:color="auto" w:fill="CBD3D8"/>
          </w:tcPr>
          <w:p>
            <w:pPr>
              <w:spacing w:after="0"/>
              <w:rPr>
                <w:sz w:val="23"/>
                <w:szCs w:val="23"/>
                <w:color w:val="auto"/>
              </w:rPr>
            </w:pPr>
          </w:p>
        </w:tc>
        <w:tc>
          <w:tcPr>
            <w:tcW w:w="1200" w:type="dxa"/>
            <w:vAlign w:val="bottom"/>
            <w:tcBorders>
              <w:bottom w:val="single" w:sz="8" w:color="CBD3D8"/>
            </w:tcBorders>
            <w:shd w:val="clear" w:color="auto" w:fill="CBD3D8"/>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100" w:type="dxa"/>
            <w:vAlign w:val="bottom"/>
            <w:tcBorders>
              <w:top w:val="single" w:sz="8" w:color="14202A"/>
              <w:bottom w:val="single" w:sz="8" w:color="14202A"/>
            </w:tcBorders>
          </w:tcPr>
          <w:p>
            <w:pPr>
              <w:spacing w:after="0"/>
              <w:rPr>
                <w:sz w:val="24"/>
                <w:szCs w:val="24"/>
                <w:color w:val="auto"/>
              </w:rPr>
            </w:pPr>
          </w:p>
        </w:tc>
        <w:tc>
          <w:tcPr>
            <w:tcW w:w="3400" w:type="dxa"/>
            <w:vAlign w:val="bottom"/>
            <w:tcBorders>
              <w:top w:val="single" w:sz="8" w:color="14202A"/>
              <w:bottom w:val="single" w:sz="8" w:color="14202A"/>
            </w:tcBorders>
          </w:tcPr>
          <w:p>
            <w:pPr>
              <w:ind w:left="240"/>
              <w:spacing w:after="0"/>
              <w:rPr>
                <w:sz w:val="20"/>
                <w:szCs w:val="20"/>
                <w:color w:val="auto"/>
              </w:rPr>
            </w:pPr>
            <w:r>
              <w:rPr>
                <w:rFonts w:ascii="Arial" w:cs="Arial" w:eastAsia="Arial" w:hAnsi="Arial"/>
                <w:sz w:val="14"/>
                <w:szCs w:val="14"/>
                <w:color w:val="14202A"/>
              </w:rPr>
              <w:t>Retirement</w:t>
            </w:r>
            <w:r>
              <w:rPr>
                <w:rFonts w:ascii="Arial" w:cs="Arial" w:eastAsia="Arial" w:hAnsi="Arial"/>
                <w:sz w:val="23"/>
                <w:szCs w:val="23"/>
                <w:color w:val="14202A"/>
                <w:vertAlign w:val="superscript"/>
              </w:rPr>
              <w:t>(6)</w:t>
            </w:r>
            <w:r>
              <w:rPr>
                <w:rFonts w:ascii="Arial" w:cs="Arial" w:eastAsia="Arial" w:hAnsi="Arial"/>
                <w:sz w:val="14"/>
                <w:szCs w:val="14"/>
                <w:color w:val="14202A"/>
              </w:rPr>
              <w:t xml:space="preserve"> or Voluntary Separation</w:t>
            </w:r>
          </w:p>
        </w:tc>
        <w:tc>
          <w:tcPr>
            <w:tcW w:w="1080" w:type="dxa"/>
            <w:vAlign w:val="bottom"/>
            <w:tcBorders>
              <w:top w:val="single" w:sz="8" w:color="14202A"/>
              <w:bottom w:val="single" w:sz="8" w:color="14202A"/>
            </w:tcBorders>
          </w:tcPr>
          <w:p>
            <w:pPr>
              <w:jc w:val="right"/>
              <w:ind w:right="111"/>
              <w:spacing w:after="0"/>
              <w:rPr>
                <w:sz w:val="20"/>
                <w:szCs w:val="20"/>
                <w:color w:val="auto"/>
              </w:rPr>
            </w:pPr>
            <w:r>
              <w:rPr>
                <w:rFonts w:ascii="Arial" w:cs="Arial" w:eastAsia="Arial" w:hAnsi="Arial"/>
                <w:sz w:val="14"/>
                <w:szCs w:val="14"/>
                <w:color w:val="14202A"/>
              </w:rPr>
              <w:t>—</w:t>
            </w:r>
          </w:p>
        </w:tc>
        <w:tc>
          <w:tcPr>
            <w:tcW w:w="1140" w:type="dxa"/>
            <w:vAlign w:val="bottom"/>
            <w:tcBorders>
              <w:top w:val="single" w:sz="8" w:color="14202A"/>
              <w:bottom w:val="single" w:sz="8" w:color="14202A"/>
            </w:tcBorders>
          </w:tcPr>
          <w:p>
            <w:pPr>
              <w:jc w:val="right"/>
              <w:ind w:right="213"/>
              <w:spacing w:after="0"/>
              <w:rPr>
                <w:sz w:val="20"/>
                <w:szCs w:val="20"/>
                <w:color w:val="auto"/>
              </w:rPr>
            </w:pPr>
            <w:r>
              <w:rPr>
                <w:rFonts w:ascii="Arial" w:cs="Arial" w:eastAsia="Arial" w:hAnsi="Arial"/>
                <w:sz w:val="14"/>
                <w:szCs w:val="14"/>
                <w:color w:val="14202A"/>
              </w:rPr>
              <w:t>—</w:t>
            </w:r>
          </w:p>
        </w:tc>
        <w:tc>
          <w:tcPr>
            <w:tcW w:w="1140" w:type="dxa"/>
            <w:vAlign w:val="bottom"/>
            <w:tcBorders>
              <w:top w:val="single" w:sz="8" w:color="14202A"/>
              <w:bottom w:val="single" w:sz="8" w:color="14202A"/>
            </w:tcBorders>
          </w:tcPr>
          <w:p>
            <w:pPr>
              <w:jc w:val="right"/>
              <w:ind w:right="232"/>
              <w:spacing w:after="0"/>
              <w:rPr>
                <w:sz w:val="20"/>
                <w:szCs w:val="20"/>
                <w:color w:val="auto"/>
              </w:rPr>
            </w:pPr>
            <w:r>
              <w:rPr>
                <w:rFonts w:ascii="Arial" w:cs="Arial" w:eastAsia="Arial" w:hAnsi="Arial"/>
                <w:sz w:val="14"/>
                <w:szCs w:val="14"/>
                <w:color w:val="14202A"/>
              </w:rPr>
              <w:t>—</w:t>
            </w:r>
          </w:p>
        </w:tc>
        <w:tc>
          <w:tcPr>
            <w:tcW w:w="1220" w:type="dxa"/>
            <w:vAlign w:val="bottom"/>
            <w:tcBorders>
              <w:top w:val="single" w:sz="8" w:color="14202A"/>
              <w:bottom w:val="single" w:sz="8" w:color="14202A"/>
            </w:tcBorders>
          </w:tcPr>
          <w:p>
            <w:pPr>
              <w:jc w:val="right"/>
              <w:ind w:right="293"/>
              <w:spacing w:after="0"/>
              <w:rPr>
                <w:sz w:val="20"/>
                <w:szCs w:val="20"/>
                <w:color w:val="auto"/>
              </w:rPr>
            </w:pPr>
            <w:r>
              <w:rPr>
                <w:rFonts w:ascii="Arial" w:cs="Arial" w:eastAsia="Arial" w:hAnsi="Arial"/>
                <w:sz w:val="14"/>
                <w:szCs w:val="14"/>
                <w:color w:val="14202A"/>
              </w:rPr>
              <w:t>—</w:t>
            </w:r>
          </w:p>
        </w:tc>
        <w:tc>
          <w:tcPr>
            <w:tcW w:w="1200" w:type="dxa"/>
            <w:vAlign w:val="bottom"/>
            <w:tcBorders>
              <w:top w:val="single" w:sz="8" w:color="14202A"/>
              <w:bottom w:val="single" w:sz="8" w:color="14202A"/>
            </w:tcBorders>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14202A"/>
              </w:rPr>
              <w:t>Involuntary Termination without Cause/Good</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00" w:type="dxa"/>
            <w:vAlign w:val="bottom"/>
          </w:tcPr>
          <w:p>
            <w:pPr>
              <w:ind w:left="420"/>
              <w:spacing w:after="0"/>
              <w:rPr>
                <w:sz w:val="20"/>
                <w:szCs w:val="20"/>
                <w:color w:val="auto"/>
              </w:rPr>
            </w:pPr>
            <w:r>
              <w:rPr>
                <w:rFonts w:ascii="Arial" w:cs="Arial" w:eastAsia="Arial" w:hAnsi="Arial"/>
                <w:sz w:val="14"/>
                <w:szCs w:val="14"/>
                <w:color w:val="14202A"/>
              </w:rPr>
              <w:t>Reason</w:t>
            </w:r>
          </w:p>
        </w:tc>
        <w:tc>
          <w:tcPr>
            <w:tcW w:w="1080" w:type="dxa"/>
            <w:vAlign w:val="bottom"/>
          </w:tcPr>
          <w:p>
            <w:pPr>
              <w:jc w:val="right"/>
              <w:ind w:right="111"/>
              <w:spacing w:after="0"/>
              <w:rPr>
                <w:sz w:val="20"/>
                <w:szCs w:val="20"/>
                <w:color w:val="auto"/>
              </w:rPr>
            </w:pPr>
            <w:r>
              <w:rPr>
                <w:rFonts w:ascii="Arial" w:cs="Arial" w:eastAsia="Arial" w:hAnsi="Arial"/>
                <w:sz w:val="14"/>
                <w:szCs w:val="14"/>
                <w:color w:val="14202A"/>
              </w:rPr>
              <w:t>1,056,411</w:t>
            </w:r>
          </w:p>
        </w:tc>
        <w:tc>
          <w:tcPr>
            <w:tcW w:w="1140" w:type="dxa"/>
            <w:vAlign w:val="bottom"/>
          </w:tcPr>
          <w:p>
            <w:pPr>
              <w:jc w:val="right"/>
              <w:ind w:right="213"/>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232"/>
              <w:spacing w:after="0"/>
              <w:rPr>
                <w:sz w:val="20"/>
                <w:szCs w:val="20"/>
                <w:color w:val="auto"/>
              </w:rPr>
            </w:pPr>
            <w:r>
              <w:rPr>
                <w:rFonts w:ascii="Arial" w:cs="Arial" w:eastAsia="Arial" w:hAnsi="Arial"/>
                <w:sz w:val="14"/>
                <w:szCs w:val="14"/>
                <w:color w:val="14202A"/>
              </w:rPr>
              <w:t>—</w:t>
            </w:r>
          </w:p>
        </w:tc>
        <w:tc>
          <w:tcPr>
            <w:tcW w:w="1220" w:type="dxa"/>
            <w:vAlign w:val="bottom"/>
          </w:tcPr>
          <w:p>
            <w:pPr>
              <w:jc w:val="right"/>
              <w:ind w:right="293"/>
              <w:spacing w:after="0"/>
              <w:rPr>
                <w:sz w:val="20"/>
                <w:szCs w:val="20"/>
                <w:color w:val="auto"/>
              </w:rPr>
            </w:pPr>
            <w:r>
              <w:rPr>
                <w:rFonts w:ascii="Arial" w:cs="Arial" w:eastAsia="Arial" w:hAnsi="Arial"/>
                <w:sz w:val="14"/>
                <w:szCs w:val="14"/>
                <w:color w:val="14202A"/>
              </w:rPr>
              <w:t>—</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08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00" w:type="dxa"/>
            <w:vAlign w:val="bottom"/>
            <w:tcBorders>
              <w:bottom w:val="single" w:sz="8" w:color="14202A"/>
            </w:tcBorders>
          </w:tcPr>
          <w:p>
            <w:pPr>
              <w:spacing w:after="0"/>
              <w:rPr>
                <w:sz w:val="24"/>
                <w:szCs w:val="24"/>
                <w:color w:val="auto"/>
              </w:rPr>
            </w:pPr>
          </w:p>
        </w:tc>
        <w:tc>
          <w:tcPr>
            <w:tcW w:w="340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Change in Control</w:t>
            </w:r>
            <w:r>
              <w:rPr>
                <w:rFonts w:ascii="Arial" w:cs="Arial" w:eastAsia="Arial" w:hAnsi="Arial"/>
                <w:sz w:val="23"/>
                <w:szCs w:val="23"/>
                <w:color w:val="14202A"/>
                <w:vertAlign w:val="superscript"/>
              </w:rPr>
              <w:t>(7)</w:t>
            </w:r>
            <w:r>
              <w:rPr>
                <w:rFonts w:ascii="Arial" w:cs="Arial" w:eastAsia="Arial" w:hAnsi="Arial"/>
                <w:sz w:val="14"/>
                <w:szCs w:val="14"/>
                <w:color w:val="14202A"/>
              </w:rPr>
              <w:t>:</w:t>
            </w:r>
          </w:p>
        </w:tc>
        <w:tc>
          <w:tcPr>
            <w:tcW w:w="1080" w:type="dxa"/>
            <w:vAlign w:val="bottom"/>
            <w:tcBorders>
              <w:bottom w:val="single" w:sz="8" w:color="14202A"/>
            </w:tcBorders>
          </w:tcPr>
          <w:p>
            <w:pPr>
              <w:jc w:val="right"/>
              <w:ind w:right="111"/>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14202A"/>
            </w:tcBorders>
          </w:tcPr>
          <w:p>
            <w:pPr>
              <w:jc w:val="right"/>
              <w:ind w:right="213"/>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14202A"/>
            </w:tcBorders>
          </w:tcPr>
          <w:p>
            <w:pPr>
              <w:jc w:val="right"/>
              <w:ind w:right="232"/>
              <w:spacing w:after="0"/>
              <w:rPr>
                <w:sz w:val="20"/>
                <w:szCs w:val="20"/>
                <w:color w:val="auto"/>
              </w:rPr>
            </w:pPr>
            <w:r>
              <w:rPr>
                <w:rFonts w:ascii="Arial" w:cs="Arial" w:eastAsia="Arial" w:hAnsi="Arial"/>
                <w:sz w:val="14"/>
                <w:szCs w:val="14"/>
                <w:color w:val="14202A"/>
              </w:rPr>
              <w:t>—</w:t>
            </w:r>
          </w:p>
        </w:tc>
        <w:tc>
          <w:tcPr>
            <w:tcW w:w="1220" w:type="dxa"/>
            <w:vAlign w:val="bottom"/>
            <w:tcBorders>
              <w:bottom w:val="single" w:sz="8" w:color="14202A"/>
            </w:tcBorders>
          </w:tcPr>
          <w:p>
            <w:pPr>
              <w:jc w:val="right"/>
              <w:ind w:right="293"/>
              <w:spacing w:after="0"/>
              <w:rPr>
                <w:sz w:val="20"/>
                <w:szCs w:val="20"/>
                <w:color w:val="auto"/>
              </w:rPr>
            </w:pPr>
            <w:r>
              <w:rPr>
                <w:rFonts w:ascii="Arial" w:cs="Arial" w:eastAsia="Arial" w:hAnsi="Arial"/>
                <w:sz w:val="14"/>
                <w:szCs w:val="14"/>
                <w:color w:val="14202A"/>
              </w:rPr>
              <w:t>—</w:t>
            </w:r>
          </w:p>
        </w:tc>
        <w:tc>
          <w:tcPr>
            <w:tcW w:w="120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Pr>
          <w:p>
            <w:pPr>
              <w:ind w:left="420"/>
              <w:spacing w:after="0"/>
              <w:rPr>
                <w:sz w:val="20"/>
                <w:szCs w:val="20"/>
                <w:color w:val="auto"/>
              </w:rPr>
            </w:pPr>
            <w:r>
              <w:rPr>
                <w:rFonts w:ascii="Arial" w:cs="Arial" w:eastAsia="Arial" w:hAnsi="Arial"/>
                <w:sz w:val="14"/>
                <w:szCs w:val="14"/>
                <w:color w:val="14202A"/>
              </w:rPr>
              <w:t>Involuntary Termination without Cause/Good</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00" w:type="dxa"/>
            <w:vAlign w:val="bottom"/>
          </w:tcPr>
          <w:p>
            <w:pPr>
              <w:ind w:left="600"/>
              <w:spacing w:after="0"/>
              <w:rPr>
                <w:sz w:val="20"/>
                <w:szCs w:val="20"/>
                <w:color w:val="auto"/>
              </w:rPr>
            </w:pPr>
            <w:r>
              <w:rPr>
                <w:rFonts w:ascii="Arial" w:cs="Arial" w:eastAsia="Arial" w:hAnsi="Arial"/>
                <w:sz w:val="14"/>
                <w:szCs w:val="14"/>
                <w:color w:val="14202A"/>
              </w:rPr>
              <w:t>Reason</w:t>
            </w:r>
          </w:p>
        </w:tc>
        <w:tc>
          <w:tcPr>
            <w:tcW w:w="1080" w:type="dxa"/>
            <w:vAlign w:val="bottom"/>
          </w:tcPr>
          <w:p>
            <w:pPr>
              <w:jc w:val="right"/>
              <w:ind w:right="111"/>
              <w:spacing w:after="0"/>
              <w:rPr>
                <w:sz w:val="20"/>
                <w:szCs w:val="20"/>
                <w:color w:val="auto"/>
              </w:rPr>
            </w:pPr>
            <w:r>
              <w:rPr>
                <w:rFonts w:ascii="Arial" w:cs="Arial" w:eastAsia="Arial" w:hAnsi="Arial"/>
                <w:sz w:val="14"/>
                <w:szCs w:val="14"/>
                <w:color w:val="14202A"/>
              </w:rPr>
              <w:t>2,112,822</w:t>
            </w:r>
          </w:p>
        </w:tc>
        <w:tc>
          <w:tcPr>
            <w:tcW w:w="1140" w:type="dxa"/>
            <w:vAlign w:val="bottom"/>
          </w:tcPr>
          <w:p>
            <w:pPr>
              <w:jc w:val="right"/>
              <w:ind w:right="213"/>
              <w:spacing w:after="0"/>
              <w:rPr>
                <w:sz w:val="20"/>
                <w:szCs w:val="20"/>
                <w:color w:val="auto"/>
              </w:rPr>
            </w:pPr>
            <w:r>
              <w:rPr>
                <w:rFonts w:ascii="Arial" w:cs="Arial" w:eastAsia="Arial" w:hAnsi="Arial"/>
                <w:sz w:val="14"/>
                <w:szCs w:val="14"/>
                <w:color w:val="14202A"/>
              </w:rPr>
              <w:t>529,512</w:t>
            </w:r>
          </w:p>
        </w:tc>
        <w:tc>
          <w:tcPr>
            <w:tcW w:w="1140" w:type="dxa"/>
            <w:vAlign w:val="bottom"/>
          </w:tcPr>
          <w:p>
            <w:pPr>
              <w:jc w:val="right"/>
              <w:ind w:right="232"/>
              <w:spacing w:after="0"/>
              <w:rPr>
                <w:sz w:val="20"/>
                <w:szCs w:val="20"/>
                <w:color w:val="auto"/>
              </w:rPr>
            </w:pPr>
            <w:r>
              <w:rPr>
                <w:rFonts w:ascii="Arial" w:cs="Arial" w:eastAsia="Arial" w:hAnsi="Arial"/>
                <w:sz w:val="14"/>
                <w:szCs w:val="14"/>
                <w:color w:val="14202A"/>
              </w:rPr>
              <w:t>663,347</w:t>
            </w:r>
          </w:p>
        </w:tc>
        <w:tc>
          <w:tcPr>
            <w:tcW w:w="1220" w:type="dxa"/>
            <w:vAlign w:val="bottom"/>
          </w:tcPr>
          <w:p>
            <w:pPr>
              <w:jc w:val="right"/>
              <w:ind w:right="293"/>
              <w:spacing w:after="0"/>
              <w:rPr>
                <w:sz w:val="20"/>
                <w:szCs w:val="20"/>
                <w:color w:val="auto"/>
              </w:rPr>
            </w:pPr>
            <w:r>
              <w:rPr>
                <w:rFonts w:ascii="Arial" w:cs="Arial" w:eastAsia="Arial" w:hAnsi="Arial"/>
                <w:sz w:val="14"/>
                <w:szCs w:val="14"/>
                <w:color w:val="14202A"/>
              </w:rPr>
              <w:t>460,867</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08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14202A"/>
              </w:rPr>
              <w:t>Death or Disability</w:t>
            </w:r>
          </w:p>
        </w:tc>
        <w:tc>
          <w:tcPr>
            <w:tcW w:w="1080" w:type="dxa"/>
            <w:vAlign w:val="bottom"/>
          </w:tcPr>
          <w:p>
            <w:pPr>
              <w:jc w:val="right"/>
              <w:ind w:right="111"/>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213"/>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232"/>
              <w:spacing w:after="0"/>
              <w:rPr>
                <w:sz w:val="20"/>
                <w:szCs w:val="20"/>
                <w:color w:val="auto"/>
              </w:rPr>
            </w:pPr>
            <w:r>
              <w:rPr>
                <w:rFonts w:ascii="Arial" w:cs="Arial" w:eastAsia="Arial" w:hAnsi="Arial"/>
                <w:sz w:val="14"/>
                <w:szCs w:val="14"/>
                <w:color w:val="14202A"/>
              </w:rPr>
              <w:t>663,347</w:t>
            </w:r>
          </w:p>
        </w:tc>
        <w:tc>
          <w:tcPr>
            <w:tcW w:w="1220" w:type="dxa"/>
            <w:vAlign w:val="bottom"/>
          </w:tcPr>
          <w:p>
            <w:pPr>
              <w:jc w:val="right"/>
              <w:ind w:right="293"/>
              <w:spacing w:after="0"/>
              <w:rPr>
                <w:sz w:val="20"/>
                <w:szCs w:val="20"/>
                <w:color w:val="auto"/>
              </w:rPr>
            </w:pPr>
            <w:r>
              <w:rPr>
                <w:rFonts w:ascii="Arial" w:cs="Arial" w:eastAsia="Arial" w:hAnsi="Arial"/>
                <w:sz w:val="14"/>
                <w:szCs w:val="14"/>
                <w:color w:val="14202A"/>
              </w:rPr>
              <w:t>460,867</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400" w:type="dxa"/>
            <w:vAlign w:val="bottom"/>
            <w:tcBorders>
              <w:bottom w:val="single" w:sz="8" w:color="14202A"/>
            </w:tcBorders>
          </w:tcPr>
          <w:p>
            <w:pPr>
              <w:spacing w:after="0" w:line="20" w:lineRule="exact"/>
              <w:rPr>
                <w:sz w:val="1"/>
                <w:szCs w:val="1"/>
                <w:color w:val="auto"/>
              </w:rPr>
            </w:pPr>
          </w:p>
        </w:tc>
        <w:tc>
          <w:tcPr>
            <w:tcW w:w="108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1220" w:type="dxa"/>
            <w:vAlign w:val="bottom"/>
            <w:tcBorders>
              <w:bottom w:val="single" w:sz="8" w:color="14202A"/>
            </w:tcBorders>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40" w:hanging="360"/>
        <w:spacing w:after="0" w:line="223" w:lineRule="auto"/>
        <w:tabs>
          <w:tab w:leader="none" w:pos="360" w:val="left"/>
        </w:tabs>
        <w:numPr>
          <w:ilvl w:val="0"/>
          <w:numId w:val="44"/>
        </w:numPr>
        <w:rPr>
          <w:rFonts w:ascii="Arial" w:cs="Arial" w:eastAsia="Arial" w:hAnsi="Arial"/>
          <w:sz w:val="13"/>
          <w:szCs w:val="13"/>
          <w:color w:val="14202A"/>
        </w:rPr>
      </w:pPr>
      <w:r>
        <w:rPr>
          <w:rFonts w:ascii="Arial" w:cs="Arial" w:eastAsia="Arial" w:hAnsi="Arial"/>
          <w:sz w:val="13"/>
          <w:szCs w:val="13"/>
          <w:color w:val="14202A"/>
        </w:rPr>
        <w:t>For Mr. Happe, the Involuntary Termination without Cause and Termination for Good Reason before a Change in Control amount reflects two years of base salary, annual target incentive, and annual premium cost of COBRA. For Mr. Clark, the Involuntary Termination without Cause or Termination for Good Reason before a Change in Control amounts reflect one year of base salary. For Messrs. Hughes and Tubman, and Ms. Bogart, the Involuntary Termination without Cause and Termination for Good Reason before a Change in Control amount reflects one year of base salary, annual target incentive, and annual premium cost of COBRA. For all NEOs (except Mr. Clark), the Change in Control severance amount equals two times (or three times in the case of our CEO) base salary and annual target incentive, and annual premium cost of COBRA. In the case of Mr. Clark, the total severance benefit for a Change in Control termination is capped at $3,000,000.</w:t>
      </w:r>
    </w:p>
    <w:p>
      <w:pPr>
        <w:spacing w:after="0" w:line="26" w:lineRule="exact"/>
        <w:rPr>
          <w:rFonts w:ascii="Arial" w:cs="Arial" w:eastAsia="Arial" w:hAnsi="Arial"/>
          <w:sz w:val="13"/>
          <w:szCs w:val="13"/>
          <w:color w:val="14202A"/>
        </w:rPr>
      </w:pPr>
    </w:p>
    <w:p>
      <w:pPr>
        <w:ind w:left="360" w:right="60" w:hanging="360"/>
        <w:spacing w:after="0" w:line="243" w:lineRule="auto"/>
        <w:tabs>
          <w:tab w:leader="none" w:pos="360" w:val="left"/>
        </w:tabs>
        <w:numPr>
          <w:ilvl w:val="0"/>
          <w:numId w:val="44"/>
        </w:numPr>
        <w:rPr>
          <w:rFonts w:ascii="Arial" w:cs="Arial" w:eastAsia="Arial" w:hAnsi="Arial"/>
          <w:sz w:val="13"/>
          <w:szCs w:val="13"/>
          <w:color w:val="14202A"/>
        </w:rPr>
      </w:pPr>
      <w:r>
        <w:rPr>
          <w:rFonts w:ascii="Arial" w:cs="Arial" w:eastAsia="Arial" w:hAnsi="Arial"/>
          <w:sz w:val="13"/>
          <w:szCs w:val="13"/>
          <w:color w:val="14202A"/>
        </w:rPr>
        <w:t>Represents the NEOs’ actual annual incentive payout pursuant to the 2026 OICP (other than Mr. Clark) and payment of one-third of the Motorhome Bonus Plan award for Mr. Tubman.</w:t>
      </w:r>
    </w:p>
    <w:p>
      <w:pPr>
        <w:spacing w:after="0" w:line="21" w:lineRule="exact"/>
        <w:rPr>
          <w:rFonts w:ascii="Arial" w:cs="Arial" w:eastAsia="Arial" w:hAnsi="Arial"/>
          <w:sz w:val="13"/>
          <w:szCs w:val="13"/>
          <w:color w:val="14202A"/>
        </w:rPr>
      </w:pPr>
    </w:p>
    <w:p>
      <w:pPr>
        <w:ind w:left="360" w:right="120" w:hanging="360"/>
        <w:spacing w:after="0" w:line="229" w:lineRule="auto"/>
        <w:tabs>
          <w:tab w:leader="none" w:pos="360" w:val="left"/>
        </w:tabs>
        <w:numPr>
          <w:ilvl w:val="0"/>
          <w:numId w:val="44"/>
        </w:numPr>
        <w:rPr>
          <w:rFonts w:ascii="Arial" w:cs="Arial" w:eastAsia="Arial" w:hAnsi="Arial"/>
          <w:sz w:val="13"/>
          <w:szCs w:val="13"/>
          <w:color w:val="14202A"/>
        </w:rPr>
      </w:pPr>
      <w:r>
        <w:rPr>
          <w:rFonts w:ascii="Arial" w:cs="Arial" w:eastAsia="Arial" w:hAnsi="Arial"/>
          <w:sz w:val="13"/>
          <w:szCs w:val="13"/>
          <w:color w:val="14202A"/>
        </w:rPr>
        <w:t>Represents the LTIP incentive achieved pursuant to the Fiscal 2024-2026 LTIP and the target amount payable under the Fiscal 2025-2027 LTIP and the Fiscal 2026-2028 LTIP. Valuation is based on our closing stock price of $30.60 per share, on August 28, 2026. Actual payouts will depend on, among other things, whether or not awards are assumed or replaced, the type of change in control transaction and, in some cases, whether the payout will occur at target or actual based on the situation at the time, all as explained in the narrative preceding the table.</w:t>
      </w:r>
    </w:p>
    <w:p>
      <w:pPr>
        <w:spacing w:after="0" w:line="23" w:lineRule="exact"/>
        <w:rPr>
          <w:rFonts w:ascii="Arial" w:cs="Arial" w:eastAsia="Arial" w:hAnsi="Arial"/>
          <w:sz w:val="13"/>
          <w:szCs w:val="13"/>
          <w:color w:val="14202A"/>
        </w:rPr>
      </w:pPr>
    </w:p>
    <w:p>
      <w:pPr>
        <w:ind w:left="360" w:right="280" w:hanging="360"/>
        <w:spacing w:after="0" w:line="243" w:lineRule="auto"/>
        <w:tabs>
          <w:tab w:leader="none" w:pos="360" w:val="left"/>
        </w:tabs>
        <w:numPr>
          <w:ilvl w:val="0"/>
          <w:numId w:val="44"/>
        </w:numPr>
        <w:rPr>
          <w:rFonts w:ascii="Arial" w:cs="Arial" w:eastAsia="Arial" w:hAnsi="Arial"/>
          <w:sz w:val="13"/>
          <w:szCs w:val="13"/>
          <w:color w:val="14202A"/>
        </w:rPr>
      </w:pPr>
      <w:r>
        <w:rPr>
          <w:rFonts w:ascii="Arial" w:cs="Arial" w:eastAsia="Arial" w:hAnsi="Arial"/>
          <w:sz w:val="13"/>
          <w:szCs w:val="13"/>
          <w:color w:val="14202A"/>
        </w:rPr>
        <w:t>Represents the intrinsic value of unvested stock unit grants based on our closing stock price of $30.60 per share on August 28, 2026, the last trading day of Fiscal 2026.</w:t>
      </w:r>
    </w:p>
    <w:p>
      <w:pPr>
        <w:spacing w:after="0" w:line="21" w:lineRule="exact"/>
        <w:rPr>
          <w:rFonts w:ascii="Arial" w:cs="Arial" w:eastAsia="Arial" w:hAnsi="Arial"/>
          <w:sz w:val="13"/>
          <w:szCs w:val="13"/>
          <w:color w:val="14202A"/>
        </w:rPr>
      </w:pPr>
    </w:p>
    <w:p>
      <w:pPr>
        <w:ind w:left="360" w:right="320" w:hanging="360"/>
        <w:spacing w:after="0" w:line="243" w:lineRule="auto"/>
        <w:tabs>
          <w:tab w:leader="none" w:pos="360" w:val="left"/>
        </w:tabs>
        <w:numPr>
          <w:ilvl w:val="0"/>
          <w:numId w:val="44"/>
        </w:numPr>
        <w:rPr>
          <w:rFonts w:ascii="Arial" w:cs="Arial" w:eastAsia="Arial" w:hAnsi="Arial"/>
          <w:sz w:val="13"/>
          <w:szCs w:val="13"/>
          <w:color w:val="14202A"/>
        </w:rPr>
      </w:pPr>
      <w:r>
        <w:rPr>
          <w:rFonts w:ascii="Arial" w:cs="Arial" w:eastAsia="Arial" w:hAnsi="Arial"/>
          <w:sz w:val="13"/>
          <w:szCs w:val="13"/>
          <w:color w:val="14202A"/>
        </w:rPr>
        <w:t>Represents the intrinsic value of unvested and accelerated stock options based on our closing stock price of $30.60 per share on August 28, 2026, the last trading day of Fiscal 2026.</w:t>
      </w:r>
    </w:p>
    <w:p>
      <w:pPr>
        <w:spacing w:after="0" w:line="21" w:lineRule="exact"/>
        <w:rPr>
          <w:rFonts w:ascii="Arial" w:cs="Arial" w:eastAsia="Arial" w:hAnsi="Arial"/>
          <w:sz w:val="13"/>
          <w:szCs w:val="13"/>
          <w:color w:val="14202A"/>
        </w:rPr>
      </w:pPr>
    </w:p>
    <w:p>
      <w:pPr>
        <w:jc w:val="both"/>
        <w:ind w:left="360" w:right="120" w:hanging="360"/>
        <w:spacing w:after="0" w:line="233" w:lineRule="auto"/>
        <w:tabs>
          <w:tab w:leader="none" w:pos="360" w:val="left"/>
        </w:tabs>
        <w:numPr>
          <w:ilvl w:val="0"/>
          <w:numId w:val="44"/>
        </w:numPr>
        <w:rPr>
          <w:rFonts w:ascii="Arial" w:cs="Arial" w:eastAsia="Arial" w:hAnsi="Arial"/>
          <w:sz w:val="13"/>
          <w:szCs w:val="13"/>
          <w:color w:val="14202A"/>
        </w:rPr>
      </w:pPr>
      <w:r>
        <w:rPr>
          <w:rFonts w:ascii="Arial" w:cs="Arial" w:eastAsia="Arial" w:hAnsi="Arial"/>
          <w:sz w:val="13"/>
          <w:szCs w:val="13"/>
          <w:color w:val="14202A"/>
        </w:rPr>
        <w:t>For grants beginning in October 2021, retirement is defined as attaining age 55 and 10 or more years of service with the Company, or age 65. In the event of a voluntary termination upon meeting this definition of retirement, vesting of awards granted at least one year prior to the date of retirement will accelerate. As of the end of Fiscal 2026, Mr. Happe met the retirement criteria for awards that were granted under the 2019 Plan after October 2021.</w:t>
      </w:r>
    </w:p>
    <w:p>
      <w:pPr>
        <w:spacing w:after="0" w:line="23" w:lineRule="exact"/>
        <w:rPr>
          <w:rFonts w:ascii="Arial" w:cs="Arial" w:eastAsia="Arial" w:hAnsi="Arial"/>
          <w:sz w:val="13"/>
          <w:szCs w:val="13"/>
          <w:color w:val="14202A"/>
        </w:rPr>
      </w:pPr>
    </w:p>
    <w:p>
      <w:pPr>
        <w:ind w:left="360" w:right="120" w:hanging="360"/>
        <w:spacing w:after="0" w:line="233" w:lineRule="auto"/>
        <w:tabs>
          <w:tab w:leader="none" w:pos="360" w:val="left"/>
        </w:tabs>
        <w:numPr>
          <w:ilvl w:val="0"/>
          <w:numId w:val="44"/>
        </w:numPr>
        <w:rPr>
          <w:rFonts w:ascii="Arial" w:cs="Arial" w:eastAsia="Arial" w:hAnsi="Arial"/>
          <w:sz w:val="13"/>
          <w:szCs w:val="13"/>
          <w:color w:val="14202A"/>
        </w:rPr>
      </w:pPr>
      <w:r>
        <w:rPr>
          <w:rFonts w:ascii="Arial" w:cs="Arial" w:eastAsia="Arial" w:hAnsi="Arial"/>
          <w:sz w:val="13"/>
          <w:szCs w:val="13"/>
          <w:color w:val="14202A"/>
        </w:rPr>
        <w:t>The term “Change in Control” as used here is the term as defined in the 2014 Plan applicable to all awards granted prior to the Fiscal 2019 equity awards. Beginning with our Fiscal 2020 equity awards, under the 2019 Plan, the definition of “Change in Control” was updated to include, among other things, a double trigger mechanism.</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CEO Pay Ratio Disclosure</w:t>
      </w:r>
    </w:p>
    <w:p>
      <w:pPr>
        <w:spacing w:after="0" w:line="204"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14202A"/>
        </w:rPr>
        <w:t>For Fiscal 2026, we calculated the ratio of the annual total compensation of our principal executive officer (“PEO”), who is Mr. Happe, our President and CEO, to the annual total compensation of our median employee, as described below.</w:t>
      </w:r>
    </w:p>
    <w:p>
      <w:pPr>
        <w:spacing w:after="0" w:line="115"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14202A"/>
        </w:rPr>
        <w:t>As of our measurement date of August 29, 2026, that we used to identify our median employee, our employee population including all full-time, part-time and temporary workers, consisted of approximately 4,980 individuals, all of whom worked in the United States.</w:t>
      </w:r>
    </w:p>
    <w:p>
      <w:pPr>
        <w:spacing w:after="0" w:line="131"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14202A"/>
        </w:rPr>
        <w:t>To identify the median employee, as well as determine the annual total compensation of the median employee, we used the following methodology and consistently applied material assumptions, adjustments and estimates.</w:t>
      </w:r>
    </w:p>
    <w:p>
      <w:pPr>
        <w:spacing w:after="0" w:line="118" w:lineRule="exact"/>
        <w:rPr>
          <w:sz w:val="20"/>
          <w:szCs w:val="20"/>
          <w:color w:val="auto"/>
        </w:rPr>
      </w:pPr>
    </w:p>
    <w:p>
      <w:pPr>
        <w:ind w:left="720"/>
        <w:spacing w:after="0" w:line="254" w:lineRule="auto"/>
        <w:rPr>
          <w:sz w:val="20"/>
          <w:szCs w:val="20"/>
          <w:color w:val="auto"/>
        </w:rPr>
      </w:pPr>
      <w:r>
        <w:rPr>
          <w:rFonts w:ascii="Arial" w:cs="Arial" w:eastAsia="Arial" w:hAnsi="Arial"/>
          <w:sz w:val="16"/>
          <w:szCs w:val="16"/>
          <w:color w:val="14202A"/>
        </w:rPr>
        <w:t>We compared the payroll data for our employee population described above (minus our PEO) using a compensation measure consisting of base pay related wages and cash incentive pay paid during Fiscal 2026. Base pay related wages includes the amount of base salary the employee received during the year and all other pay elements related to base pay including, but not limited to, holiday pay, paid time off, overtime and shift differentials. We also included cash bonuses and commissions paid during the fiscal year, but we excluded equity grants and any adjustments for the value of benefits provided.</w:t>
      </w:r>
    </w:p>
    <w:p>
      <w:pPr>
        <w:spacing w:after="0" w:line="151" w:lineRule="exact"/>
        <w:rPr>
          <w:sz w:val="20"/>
          <w:szCs w:val="20"/>
          <w:color w:val="auto"/>
        </w:rPr>
      </w:pPr>
    </w:p>
    <w:p>
      <w:pPr>
        <w:ind w:left="720" w:right="600"/>
        <w:spacing w:after="0" w:line="286" w:lineRule="auto"/>
        <w:rPr>
          <w:sz w:val="20"/>
          <w:szCs w:val="20"/>
          <w:color w:val="auto"/>
        </w:rPr>
      </w:pPr>
      <w:r>
        <w:rPr>
          <w:rFonts w:ascii="Arial" w:cs="Arial" w:eastAsia="Arial" w:hAnsi="Arial"/>
          <w:sz w:val="16"/>
          <w:szCs w:val="16"/>
          <w:color w:val="14202A"/>
        </w:rPr>
        <w:t>We annualized the base pay related wages and incentive pay of all full-time and part-time employees who were employed on August 29, 2026.</w:t>
      </w:r>
    </w:p>
    <w:p>
      <w:pPr>
        <w:spacing w:after="0" w:line="115" w:lineRule="exact"/>
        <w:rPr>
          <w:sz w:val="20"/>
          <w:szCs w:val="20"/>
          <w:color w:val="auto"/>
        </w:rPr>
      </w:pPr>
    </w:p>
    <w:p>
      <w:pPr>
        <w:ind w:left="720" w:right="160"/>
        <w:spacing w:after="0" w:line="286" w:lineRule="auto"/>
        <w:rPr>
          <w:sz w:val="20"/>
          <w:szCs w:val="20"/>
          <w:color w:val="auto"/>
        </w:rPr>
      </w:pPr>
      <w:r>
        <w:rPr>
          <w:rFonts w:ascii="Arial" w:cs="Arial" w:eastAsia="Arial" w:hAnsi="Arial"/>
          <w:sz w:val="16"/>
          <w:szCs w:val="16"/>
          <w:color w:val="14202A"/>
        </w:rPr>
        <w:t>Based upon base pay related wages and cash incentive pay of each employee, we identified a median employee and calculated that employee’s annual total compensation.</w:t>
      </w:r>
    </w:p>
    <w:p>
      <w:pPr>
        <w:spacing w:after="0" w:line="117" w:lineRule="exact"/>
        <w:rPr>
          <w:sz w:val="20"/>
          <w:szCs w:val="20"/>
          <w:color w:val="auto"/>
        </w:rPr>
      </w:pPr>
    </w:p>
    <w:p>
      <w:pPr>
        <w:ind w:left="720" w:right="80"/>
        <w:spacing w:after="0" w:line="266" w:lineRule="auto"/>
        <w:rPr>
          <w:sz w:val="20"/>
          <w:szCs w:val="20"/>
          <w:color w:val="auto"/>
        </w:rPr>
      </w:pPr>
      <w:r>
        <w:rPr>
          <w:rFonts w:ascii="Arial" w:cs="Arial" w:eastAsia="Arial" w:hAnsi="Arial"/>
          <w:sz w:val="16"/>
          <w:szCs w:val="16"/>
          <w:color w:val="14202A"/>
        </w:rPr>
        <w:t>We determined annual total compensation of the median employee, including any perquisites and other benefits, in the same manner that we determine the annual total compensation of our PEO for purposes of the Summary Compensation Table disclosed above.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14202A"/>
        </w:rPr>
        <w:t>The median employee’s annual total compensation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58978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ind w:left="140"/>
              <w:spacing w:after="0"/>
              <w:rPr>
                <w:sz w:val="20"/>
                <w:szCs w:val="20"/>
                <w:color w:val="auto"/>
              </w:rPr>
            </w:pPr>
            <w:r>
              <w:rPr>
                <w:rFonts w:ascii="Arial" w:cs="Arial" w:eastAsia="Arial" w:hAnsi="Arial"/>
                <w:sz w:val="14"/>
                <w:szCs w:val="14"/>
                <w:color w:val="14202A"/>
              </w:rPr>
              <w:t>Annual Total Compensation of Median Employee</w:t>
            </w:r>
          </w:p>
        </w:tc>
        <w:tc>
          <w:tcPr>
            <w:tcW w:w="2780" w:type="dxa"/>
            <w:vAlign w:val="bottom"/>
          </w:tcPr>
          <w:p>
            <w:pPr>
              <w:jc w:val="right"/>
              <w:ind w:right="28"/>
              <w:spacing w:after="0"/>
              <w:rPr>
                <w:sz w:val="20"/>
                <w:szCs w:val="20"/>
                <w:color w:val="auto"/>
              </w:rPr>
            </w:pPr>
            <w:r>
              <w:rPr>
                <w:rFonts w:ascii="Arial" w:cs="Arial" w:eastAsia="Arial" w:hAnsi="Arial"/>
                <w:sz w:val="14"/>
                <w:szCs w:val="14"/>
                <w:color w:val="14202A"/>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14202A"/>
              </w:rPr>
              <w:t>75,223</w:t>
            </w:r>
          </w:p>
        </w:tc>
      </w:tr>
      <w:tr>
        <w:trPr>
          <w:trHeight w:val="49"/>
        </w:trPr>
        <w:tc>
          <w:tcPr>
            <w:tcW w:w="5860" w:type="dxa"/>
            <w:vAlign w:val="bottom"/>
            <w:tcBorders>
              <w:bottom w:val="single" w:sz="8" w:color="14202A"/>
            </w:tcBorders>
          </w:tcPr>
          <w:p>
            <w:pPr>
              <w:spacing w:after="0"/>
              <w:rPr>
                <w:sz w:val="4"/>
                <w:szCs w:val="4"/>
                <w:color w:val="auto"/>
              </w:rPr>
            </w:pPr>
          </w:p>
        </w:tc>
        <w:tc>
          <w:tcPr>
            <w:tcW w:w="3420" w:type="dxa"/>
            <w:vAlign w:val="bottom"/>
            <w:tcBorders>
              <w:bottom w:val="single" w:sz="8" w:color="14202A"/>
            </w:tcBorders>
            <w:gridSpan w:val="2"/>
          </w:tcPr>
          <w:p>
            <w:pPr>
              <w:spacing w:after="0"/>
              <w:rPr>
                <w:sz w:val="4"/>
                <w:szCs w:val="4"/>
                <w:color w:val="auto"/>
              </w:rPr>
            </w:pPr>
          </w:p>
        </w:tc>
      </w:tr>
      <w:tr>
        <w:trPr>
          <w:trHeight w:val="242"/>
        </w:trPr>
        <w:tc>
          <w:tcPr>
            <w:tcW w:w="5860" w:type="dxa"/>
            <w:vAlign w:val="bottom"/>
          </w:tcPr>
          <w:p>
            <w:pPr>
              <w:ind w:left="140"/>
              <w:spacing w:after="0"/>
              <w:rPr>
                <w:sz w:val="20"/>
                <w:szCs w:val="20"/>
                <w:color w:val="auto"/>
              </w:rPr>
            </w:pPr>
            <w:r>
              <w:rPr>
                <w:rFonts w:ascii="Arial" w:cs="Arial" w:eastAsia="Arial" w:hAnsi="Arial"/>
                <w:sz w:val="14"/>
                <w:szCs w:val="14"/>
                <w:color w:val="14202A"/>
              </w:rPr>
              <w:t>Annual Total Compensation of PEO (Mr. Happe)</w:t>
            </w:r>
          </w:p>
        </w:tc>
        <w:tc>
          <w:tcPr>
            <w:tcW w:w="3420" w:type="dxa"/>
            <w:vAlign w:val="bottom"/>
            <w:gridSpan w:val="2"/>
          </w:tcPr>
          <w:p>
            <w:pPr>
              <w:jc w:val="right"/>
              <w:ind w:right="28"/>
              <w:spacing w:after="0"/>
              <w:rPr>
                <w:sz w:val="20"/>
                <w:szCs w:val="20"/>
                <w:color w:val="auto"/>
              </w:rPr>
            </w:pPr>
            <w:r>
              <w:rPr>
                <w:rFonts w:ascii="Arial" w:cs="Arial" w:eastAsia="Arial" w:hAnsi="Arial"/>
                <w:sz w:val="14"/>
                <w:szCs w:val="14"/>
                <w:color w:val="14202A"/>
              </w:rPr>
              <w:t>$8,661,661</w:t>
            </w:r>
          </w:p>
        </w:tc>
      </w:tr>
      <w:tr>
        <w:trPr>
          <w:trHeight w:val="22"/>
        </w:trPr>
        <w:tc>
          <w:tcPr>
            <w:tcW w:w="5860" w:type="dxa"/>
            <w:vAlign w:val="bottom"/>
            <w:tcBorders>
              <w:bottom w:val="single" w:sz="8" w:color="14202A"/>
            </w:tcBorders>
          </w:tcPr>
          <w:p>
            <w:pPr>
              <w:spacing w:after="0" w:line="20" w:lineRule="exact"/>
              <w:rPr>
                <w:sz w:val="1"/>
                <w:szCs w:val="1"/>
                <w:color w:val="auto"/>
              </w:rPr>
            </w:pPr>
          </w:p>
        </w:tc>
        <w:tc>
          <w:tcPr>
            <w:tcW w:w="2780" w:type="dxa"/>
            <w:vAlign w:val="bottom"/>
            <w:tcBorders>
              <w:bottom w:val="single" w:sz="8" w:color="14202A"/>
            </w:tcBorders>
          </w:tcPr>
          <w:p>
            <w:pPr>
              <w:spacing w:after="0" w:line="20" w:lineRule="exact"/>
              <w:rPr>
                <w:sz w:val="1"/>
                <w:szCs w:val="1"/>
                <w:color w:val="auto"/>
              </w:rPr>
            </w:pPr>
          </w:p>
        </w:tc>
        <w:tc>
          <w:tcPr>
            <w:tcW w:w="640" w:type="dxa"/>
            <w:vAlign w:val="bottom"/>
            <w:tcBorders>
              <w:bottom w:val="single" w:sz="8" w:color="14202A"/>
            </w:tcBorders>
          </w:tcPr>
          <w:p>
            <w:pPr>
              <w:spacing w:after="0" w:line="20" w:lineRule="exact"/>
              <w:rPr>
                <w:sz w:val="1"/>
                <w:szCs w:val="1"/>
                <w:color w:val="auto"/>
              </w:rPr>
            </w:pPr>
          </w:p>
        </w:tc>
      </w:tr>
    </w:tbl>
    <w:p>
      <w:pPr>
        <w:spacing w:after="0" w:line="269" w:lineRule="exact"/>
        <w:rPr>
          <w:sz w:val="20"/>
          <w:szCs w:val="20"/>
          <w:color w:val="auto"/>
        </w:rPr>
      </w:pPr>
    </w:p>
    <w:p>
      <w:pPr>
        <w:spacing w:after="0" w:line="254" w:lineRule="auto"/>
        <w:rPr>
          <w:sz w:val="20"/>
          <w:szCs w:val="20"/>
          <w:color w:val="auto"/>
        </w:rPr>
      </w:pPr>
      <w:r>
        <w:rPr>
          <w:rFonts w:ascii="Arial" w:cs="Arial" w:eastAsia="Arial" w:hAnsi="Arial"/>
          <w:sz w:val="16"/>
          <w:szCs w:val="16"/>
          <w:color w:val="14202A"/>
        </w:rPr>
        <w:t>Based on this information for Fiscal 2026, we reasonably estimate that the ratio of our CEO’s annual total compensation to the annual total compensation of our median employee was 115 to 1. Our pay ratio estimate has been calculated in a manner consistent with Item 402(u) of Regulation S-K.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our pay ratio reported above.</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Pay Versus Performance Disclosure</w:t>
      </w:r>
    </w:p>
    <w:p>
      <w:pPr>
        <w:spacing w:after="0" w:line="204"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14202A"/>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illustrating pay versus performance (“PVP”).</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540" w:type="dxa"/>
            <w:vAlign w:val="bottom"/>
            <w:shd w:val="clear" w:color="auto" w:fill="14202A"/>
          </w:tcPr>
          <w:p>
            <w:pPr>
              <w:spacing w:after="0"/>
              <w:rPr>
                <w:sz w:val="19"/>
                <w:szCs w:val="19"/>
                <w:color w:val="auto"/>
              </w:rPr>
            </w:pPr>
          </w:p>
        </w:tc>
        <w:tc>
          <w:tcPr>
            <w:tcW w:w="1160" w:type="dxa"/>
            <w:vAlign w:val="bottom"/>
            <w:shd w:val="clear" w:color="auto" w:fill="14202A"/>
          </w:tcPr>
          <w:p>
            <w:pPr>
              <w:spacing w:after="0"/>
              <w:rPr>
                <w:sz w:val="19"/>
                <w:szCs w:val="19"/>
                <w:color w:val="auto"/>
              </w:rPr>
            </w:pPr>
          </w:p>
        </w:tc>
        <w:tc>
          <w:tcPr>
            <w:tcW w:w="1100" w:type="dxa"/>
            <w:vAlign w:val="bottom"/>
            <w:shd w:val="clear" w:color="auto" w:fill="14202A"/>
          </w:tcPr>
          <w:p>
            <w:pPr>
              <w:spacing w:after="0"/>
              <w:rPr>
                <w:sz w:val="19"/>
                <w:szCs w:val="19"/>
                <w:color w:val="auto"/>
              </w:rPr>
            </w:pPr>
          </w:p>
        </w:tc>
        <w:tc>
          <w:tcPr>
            <w:tcW w:w="1280" w:type="dxa"/>
            <w:vAlign w:val="bottom"/>
            <w:shd w:val="clear" w:color="auto" w:fill="14202A"/>
          </w:tcPr>
          <w:p>
            <w:pPr>
              <w:spacing w:after="0"/>
              <w:rPr>
                <w:sz w:val="19"/>
                <w:szCs w:val="19"/>
                <w:color w:val="auto"/>
              </w:rPr>
            </w:pPr>
          </w:p>
        </w:tc>
        <w:tc>
          <w:tcPr>
            <w:tcW w:w="1320" w:type="dxa"/>
            <w:vAlign w:val="bottom"/>
            <w:shd w:val="clear" w:color="auto" w:fill="14202A"/>
          </w:tcPr>
          <w:p>
            <w:pPr>
              <w:spacing w:after="0"/>
              <w:rPr>
                <w:sz w:val="19"/>
                <w:szCs w:val="19"/>
                <w:color w:val="auto"/>
              </w:rPr>
            </w:pPr>
          </w:p>
        </w:tc>
        <w:tc>
          <w:tcPr>
            <w:tcW w:w="60" w:type="dxa"/>
            <w:vAlign w:val="bottom"/>
            <w:shd w:val="clear" w:color="auto" w:fill="14202A"/>
          </w:tcPr>
          <w:p>
            <w:pPr>
              <w:spacing w:after="0"/>
              <w:rPr>
                <w:sz w:val="19"/>
                <w:szCs w:val="19"/>
                <w:color w:val="auto"/>
              </w:rPr>
            </w:pPr>
          </w:p>
        </w:tc>
        <w:tc>
          <w:tcPr>
            <w:tcW w:w="1880" w:type="dxa"/>
            <w:vAlign w:val="bottom"/>
            <w:gridSpan w:val="2"/>
            <w:shd w:val="clear" w:color="auto" w:fill="14202A"/>
          </w:tcPr>
          <w:p>
            <w:pPr>
              <w:jc w:val="right"/>
              <w:ind w:right="295"/>
              <w:spacing w:after="0"/>
              <w:rPr>
                <w:sz w:val="20"/>
                <w:szCs w:val="20"/>
                <w:color w:val="auto"/>
              </w:rPr>
            </w:pPr>
            <w:r>
              <w:rPr>
                <w:rFonts w:ascii="Arial" w:cs="Arial" w:eastAsia="Arial" w:hAnsi="Arial"/>
                <w:sz w:val="13"/>
                <w:szCs w:val="13"/>
                <w:b w:val="1"/>
                <w:bCs w:val="1"/>
                <w:color w:val="FFFFFF"/>
              </w:rPr>
              <w:t>Value of Initial Fixed</w:t>
            </w:r>
          </w:p>
        </w:tc>
        <w:tc>
          <w:tcPr>
            <w:tcW w:w="1020" w:type="dxa"/>
            <w:vAlign w:val="bottom"/>
            <w:shd w:val="clear" w:color="auto" w:fill="14202A"/>
          </w:tcPr>
          <w:p>
            <w:pPr>
              <w:spacing w:after="0"/>
              <w:rPr>
                <w:sz w:val="19"/>
                <w:szCs w:val="19"/>
                <w:color w:val="auto"/>
              </w:rPr>
            </w:pPr>
          </w:p>
        </w:tc>
        <w:tc>
          <w:tcPr>
            <w:tcW w:w="820" w:type="dxa"/>
            <w:vAlign w:val="bottom"/>
            <w:shd w:val="clear" w:color="auto" w:fill="14202A"/>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540" w:type="dxa"/>
            <w:vAlign w:val="bottom"/>
            <w:shd w:val="clear" w:color="auto" w:fill="14202A"/>
          </w:tcPr>
          <w:p>
            <w:pPr>
              <w:spacing w:after="0"/>
              <w:rPr>
                <w:sz w:val="14"/>
                <w:szCs w:val="14"/>
                <w:color w:val="auto"/>
              </w:rPr>
            </w:pPr>
          </w:p>
        </w:tc>
        <w:tc>
          <w:tcPr>
            <w:tcW w:w="1160" w:type="dxa"/>
            <w:vAlign w:val="bottom"/>
            <w:shd w:val="clear" w:color="auto" w:fill="14202A"/>
          </w:tcPr>
          <w:p>
            <w:pPr>
              <w:spacing w:after="0"/>
              <w:rPr>
                <w:sz w:val="14"/>
                <w:szCs w:val="14"/>
                <w:color w:val="auto"/>
              </w:rPr>
            </w:pPr>
          </w:p>
        </w:tc>
        <w:tc>
          <w:tcPr>
            <w:tcW w:w="1100" w:type="dxa"/>
            <w:vAlign w:val="bottom"/>
            <w:shd w:val="clear" w:color="auto" w:fill="14202A"/>
          </w:tcPr>
          <w:p>
            <w:pPr>
              <w:spacing w:after="0"/>
              <w:rPr>
                <w:sz w:val="14"/>
                <w:szCs w:val="14"/>
                <w:color w:val="auto"/>
              </w:rPr>
            </w:pPr>
          </w:p>
        </w:tc>
        <w:tc>
          <w:tcPr>
            <w:tcW w:w="1280" w:type="dxa"/>
            <w:vAlign w:val="bottom"/>
            <w:shd w:val="clear" w:color="auto" w:fill="14202A"/>
          </w:tcPr>
          <w:p>
            <w:pPr>
              <w:spacing w:after="0"/>
              <w:rPr>
                <w:sz w:val="14"/>
                <w:szCs w:val="14"/>
                <w:color w:val="auto"/>
              </w:rPr>
            </w:pPr>
          </w:p>
        </w:tc>
        <w:tc>
          <w:tcPr>
            <w:tcW w:w="1320" w:type="dxa"/>
            <w:vAlign w:val="bottom"/>
            <w:shd w:val="clear" w:color="auto" w:fill="14202A"/>
          </w:tcPr>
          <w:p>
            <w:pPr>
              <w:spacing w:after="0"/>
              <w:rPr>
                <w:sz w:val="14"/>
                <w:szCs w:val="14"/>
                <w:color w:val="auto"/>
              </w:rPr>
            </w:pPr>
          </w:p>
        </w:tc>
        <w:tc>
          <w:tcPr>
            <w:tcW w:w="60" w:type="dxa"/>
            <w:vAlign w:val="bottom"/>
            <w:shd w:val="clear" w:color="auto" w:fill="14202A"/>
          </w:tcPr>
          <w:p>
            <w:pPr>
              <w:spacing w:after="0"/>
              <w:rPr>
                <w:sz w:val="14"/>
                <w:szCs w:val="14"/>
                <w:color w:val="auto"/>
              </w:rPr>
            </w:pPr>
          </w:p>
        </w:tc>
        <w:tc>
          <w:tcPr>
            <w:tcW w:w="1880" w:type="dxa"/>
            <w:vAlign w:val="bottom"/>
            <w:gridSpan w:val="2"/>
            <w:shd w:val="clear" w:color="auto" w:fill="14202A"/>
          </w:tcPr>
          <w:p>
            <w:pPr>
              <w:jc w:val="right"/>
              <w:ind w:right="95"/>
              <w:spacing w:after="0"/>
              <w:rPr>
                <w:sz w:val="20"/>
                <w:szCs w:val="20"/>
                <w:color w:val="auto"/>
              </w:rPr>
            </w:pPr>
            <w:r>
              <w:rPr>
                <w:rFonts w:ascii="Arial" w:cs="Arial" w:eastAsia="Arial" w:hAnsi="Arial"/>
                <w:sz w:val="13"/>
                <w:szCs w:val="13"/>
                <w:b w:val="1"/>
                <w:bCs w:val="1"/>
                <w:color w:val="FFFFFF"/>
              </w:rPr>
              <w:t>$100 Investment Based on:</w:t>
            </w:r>
          </w:p>
        </w:tc>
        <w:tc>
          <w:tcPr>
            <w:tcW w:w="1020" w:type="dxa"/>
            <w:vAlign w:val="bottom"/>
            <w:shd w:val="clear" w:color="auto" w:fill="14202A"/>
          </w:tcPr>
          <w:p>
            <w:pPr>
              <w:spacing w:after="0"/>
              <w:rPr>
                <w:sz w:val="14"/>
                <w:szCs w:val="14"/>
                <w:color w:val="auto"/>
              </w:rPr>
            </w:pPr>
          </w:p>
        </w:tc>
        <w:tc>
          <w:tcPr>
            <w:tcW w:w="820" w:type="dxa"/>
            <w:vAlign w:val="bottom"/>
            <w:shd w:val="clear" w:color="auto" w:fill="14202A"/>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100" w:type="dxa"/>
            <w:vAlign w:val="bottom"/>
            <w:shd w:val="clear" w:color="auto" w:fill="14202A"/>
          </w:tcPr>
          <w:p>
            <w:pPr>
              <w:spacing w:after="0"/>
              <w:rPr>
                <w:sz w:val="22"/>
                <w:szCs w:val="22"/>
                <w:color w:val="auto"/>
              </w:rPr>
            </w:pPr>
          </w:p>
        </w:tc>
        <w:tc>
          <w:tcPr>
            <w:tcW w:w="540" w:type="dxa"/>
            <w:vAlign w:val="bottom"/>
            <w:shd w:val="clear" w:color="auto" w:fill="14202A"/>
          </w:tcPr>
          <w:p>
            <w:pPr>
              <w:spacing w:after="0"/>
              <w:rPr>
                <w:sz w:val="22"/>
                <w:szCs w:val="22"/>
                <w:color w:val="auto"/>
              </w:rPr>
            </w:pPr>
          </w:p>
        </w:tc>
        <w:tc>
          <w:tcPr>
            <w:tcW w:w="1160" w:type="dxa"/>
            <w:vAlign w:val="bottom"/>
            <w:shd w:val="clear" w:color="auto" w:fill="14202A"/>
          </w:tcPr>
          <w:p>
            <w:pPr>
              <w:spacing w:after="0"/>
              <w:rPr>
                <w:sz w:val="22"/>
                <w:szCs w:val="22"/>
                <w:color w:val="auto"/>
              </w:rPr>
            </w:pPr>
          </w:p>
        </w:tc>
        <w:tc>
          <w:tcPr>
            <w:tcW w:w="1100" w:type="dxa"/>
            <w:vAlign w:val="bottom"/>
            <w:shd w:val="clear" w:color="auto" w:fill="14202A"/>
          </w:tcPr>
          <w:p>
            <w:pPr>
              <w:spacing w:after="0"/>
              <w:rPr>
                <w:sz w:val="22"/>
                <w:szCs w:val="22"/>
                <w:color w:val="auto"/>
              </w:rPr>
            </w:pPr>
          </w:p>
        </w:tc>
        <w:tc>
          <w:tcPr>
            <w:tcW w:w="1280" w:type="dxa"/>
            <w:vAlign w:val="bottom"/>
            <w:shd w:val="clear" w:color="auto" w:fill="14202A"/>
          </w:tcPr>
          <w:p>
            <w:pPr>
              <w:spacing w:after="0"/>
              <w:rPr>
                <w:sz w:val="22"/>
                <w:szCs w:val="22"/>
                <w:color w:val="auto"/>
              </w:rPr>
            </w:pPr>
          </w:p>
        </w:tc>
        <w:tc>
          <w:tcPr>
            <w:tcW w:w="1320" w:type="dxa"/>
            <w:vAlign w:val="bottom"/>
            <w:shd w:val="clear" w:color="auto" w:fill="14202A"/>
          </w:tcPr>
          <w:p>
            <w:pPr>
              <w:spacing w:after="0"/>
              <w:rPr>
                <w:sz w:val="22"/>
                <w:szCs w:val="22"/>
                <w:color w:val="auto"/>
              </w:rPr>
            </w:pPr>
          </w:p>
        </w:tc>
        <w:tc>
          <w:tcPr>
            <w:tcW w:w="60" w:type="dxa"/>
            <w:vAlign w:val="bottom"/>
            <w:shd w:val="clear" w:color="auto" w:fill="14202A"/>
          </w:tcPr>
          <w:p>
            <w:pPr>
              <w:spacing w:after="0"/>
              <w:rPr>
                <w:sz w:val="22"/>
                <w:szCs w:val="22"/>
                <w:color w:val="auto"/>
              </w:rPr>
            </w:pPr>
          </w:p>
        </w:tc>
        <w:tc>
          <w:tcPr>
            <w:tcW w:w="880" w:type="dxa"/>
            <w:vAlign w:val="bottom"/>
            <w:shd w:val="clear" w:color="auto" w:fill="14202A"/>
          </w:tcPr>
          <w:p>
            <w:pPr>
              <w:spacing w:after="0"/>
              <w:rPr>
                <w:sz w:val="22"/>
                <w:szCs w:val="22"/>
                <w:color w:val="auto"/>
              </w:rPr>
            </w:pPr>
          </w:p>
        </w:tc>
        <w:tc>
          <w:tcPr>
            <w:tcW w:w="10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Russell 3000</w:t>
            </w:r>
          </w:p>
        </w:tc>
        <w:tc>
          <w:tcPr>
            <w:tcW w:w="1020" w:type="dxa"/>
            <w:vAlign w:val="bottom"/>
            <w:shd w:val="clear" w:color="auto" w:fill="14202A"/>
          </w:tcPr>
          <w:p>
            <w:pPr>
              <w:spacing w:after="0"/>
              <w:rPr>
                <w:sz w:val="22"/>
                <w:szCs w:val="22"/>
                <w:color w:val="auto"/>
              </w:rPr>
            </w:pPr>
          </w:p>
        </w:tc>
        <w:tc>
          <w:tcPr>
            <w:tcW w:w="82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540" w:type="dxa"/>
            <w:vAlign w:val="bottom"/>
            <w:shd w:val="clear" w:color="auto" w:fill="14202A"/>
          </w:tcPr>
          <w:p>
            <w:pPr>
              <w:spacing w:after="0"/>
              <w:rPr>
                <w:sz w:val="11"/>
                <w:szCs w:val="11"/>
                <w:color w:val="auto"/>
              </w:rPr>
            </w:pPr>
          </w:p>
        </w:tc>
        <w:tc>
          <w:tcPr>
            <w:tcW w:w="1160" w:type="dxa"/>
            <w:vAlign w:val="bottom"/>
            <w:shd w:val="clear" w:color="auto" w:fill="14202A"/>
          </w:tcPr>
          <w:p>
            <w:pPr>
              <w:spacing w:after="0"/>
              <w:rPr>
                <w:sz w:val="11"/>
                <w:szCs w:val="11"/>
                <w:color w:val="auto"/>
              </w:rPr>
            </w:pPr>
          </w:p>
        </w:tc>
        <w:tc>
          <w:tcPr>
            <w:tcW w:w="1100" w:type="dxa"/>
            <w:vAlign w:val="bottom"/>
            <w:shd w:val="clear" w:color="auto" w:fill="14202A"/>
          </w:tcPr>
          <w:p>
            <w:pPr>
              <w:spacing w:after="0"/>
              <w:rPr>
                <w:sz w:val="11"/>
                <w:szCs w:val="11"/>
                <w:color w:val="auto"/>
              </w:rPr>
            </w:pPr>
          </w:p>
        </w:tc>
        <w:tc>
          <w:tcPr>
            <w:tcW w:w="1280" w:type="dxa"/>
            <w:vAlign w:val="bottom"/>
            <w:shd w:val="clear" w:color="auto" w:fill="14202A"/>
          </w:tcPr>
          <w:p>
            <w:pPr>
              <w:spacing w:after="0"/>
              <w:rPr>
                <w:sz w:val="11"/>
                <w:szCs w:val="11"/>
                <w:color w:val="auto"/>
              </w:rPr>
            </w:pPr>
          </w:p>
        </w:tc>
        <w:tc>
          <w:tcPr>
            <w:tcW w:w="1320" w:type="dxa"/>
            <w:vAlign w:val="bottom"/>
            <w:shd w:val="clear" w:color="auto" w:fill="14202A"/>
          </w:tcPr>
          <w:p>
            <w:pPr>
              <w:spacing w:after="0"/>
              <w:rPr>
                <w:sz w:val="11"/>
                <w:szCs w:val="11"/>
                <w:color w:val="auto"/>
              </w:rPr>
            </w:pPr>
          </w:p>
        </w:tc>
        <w:tc>
          <w:tcPr>
            <w:tcW w:w="60" w:type="dxa"/>
            <w:vAlign w:val="bottom"/>
            <w:shd w:val="clear" w:color="auto" w:fill="14202A"/>
          </w:tcPr>
          <w:p>
            <w:pPr>
              <w:spacing w:after="0"/>
              <w:rPr>
                <w:sz w:val="11"/>
                <w:szCs w:val="11"/>
                <w:color w:val="auto"/>
              </w:rPr>
            </w:pPr>
          </w:p>
        </w:tc>
        <w:tc>
          <w:tcPr>
            <w:tcW w:w="880" w:type="dxa"/>
            <w:vAlign w:val="bottom"/>
            <w:shd w:val="clear" w:color="auto" w:fill="14202A"/>
          </w:tcPr>
          <w:p>
            <w:pPr>
              <w:spacing w:after="0"/>
              <w:rPr>
                <w:sz w:val="11"/>
                <w:szCs w:val="11"/>
                <w:color w:val="auto"/>
              </w:rPr>
            </w:pPr>
          </w:p>
        </w:tc>
        <w:tc>
          <w:tcPr>
            <w:tcW w:w="10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Recreational</w:t>
            </w:r>
          </w:p>
        </w:tc>
        <w:tc>
          <w:tcPr>
            <w:tcW w:w="1020" w:type="dxa"/>
            <w:vAlign w:val="bottom"/>
            <w:shd w:val="clear" w:color="auto" w:fill="14202A"/>
          </w:tcPr>
          <w:p>
            <w:pPr>
              <w:spacing w:after="0"/>
              <w:rPr>
                <w:sz w:val="11"/>
                <w:szCs w:val="11"/>
                <w:color w:val="auto"/>
              </w:rPr>
            </w:pPr>
          </w:p>
        </w:tc>
        <w:tc>
          <w:tcPr>
            <w:tcW w:w="8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540" w:type="dxa"/>
            <w:vAlign w:val="bottom"/>
            <w:shd w:val="clear" w:color="auto" w:fill="14202A"/>
          </w:tcPr>
          <w:p>
            <w:pPr>
              <w:spacing w:after="0"/>
              <w:rPr>
                <w:sz w:val="11"/>
                <w:szCs w:val="11"/>
                <w:color w:val="auto"/>
              </w:rPr>
            </w:pPr>
          </w:p>
        </w:tc>
        <w:tc>
          <w:tcPr>
            <w:tcW w:w="1160" w:type="dxa"/>
            <w:vAlign w:val="bottom"/>
            <w:shd w:val="clear" w:color="auto" w:fill="14202A"/>
          </w:tcPr>
          <w:p>
            <w:pPr>
              <w:spacing w:after="0"/>
              <w:rPr>
                <w:sz w:val="11"/>
                <w:szCs w:val="11"/>
                <w:color w:val="auto"/>
              </w:rPr>
            </w:pPr>
          </w:p>
        </w:tc>
        <w:tc>
          <w:tcPr>
            <w:tcW w:w="1100" w:type="dxa"/>
            <w:vAlign w:val="bottom"/>
            <w:shd w:val="clear" w:color="auto" w:fill="14202A"/>
          </w:tcPr>
          <w:p>
            <w:pPr>
              <w:spacing w:after="0"/>
              <w:rPr>
                <w:sz w:val="11"/>
                <w:szCs w:val="11"/>
                <w:color w:val="auto"/>
              </w:rPr>
            </w:pPr>
          </w:p>
        </w:tc>
        <w:tc>
          <w:tcPr>
            <w:tcW w:w="12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Average</w:t>
            </w:r>
          </w:p>
        </w:tc>
        <w:tc>
          <w:tcPr>
            <w:tcW w:w="1320" w:type="dxa"/>
            <w:vAlign w:val="bottom"/>
            <w:shd w:val="clear" w:color="auto" w:fill="14202A"/>
          </w:tcPr>
          <w:p>
            <w:pPr>
              <w:spacing w:after="0"/>
              <w:rPr>
                <w:sz w:val="11"/>
                <w:szCs w:val="11"/>
                <w:color w:val="auto"/>
              </w:rPr>
            </w:pPr>
          </w:p>
        </w:tc>
        <w:tc>
          <w:tcPr>
            <w:tcW w:w="60" w:type="dxa"/>
            <w:vAlign w:val="bottom"/>
            <w:shd w:val="clear" w:color="auto" w:fill="14202A"/>
          </w:tcPr>
          <w:p>
            <w:pPr>
              <w:spacing w:after="0"/>
              <w:rPr>
                <w:sz w:val="11"/>
                <w:szCs w:val="11"/>
                <w:color w:val="auto"/>
              </w:rPr>
            </w:pPr>
          </w:p>
        </w:tc>
        <w:tc>
          <w:tcPr>
            <w:tcW w:w="880" w:type="dxa"/>
            <w:vAlign w:val="bottom"/>
            <w:shd w:val="clear" w:color="auto" w:fill="14202A"/>
          </w:tcPr>
          <w:p>
            <w:pPr>
              <w:spacing w:after="0"/>
              <w:rPr>
                <w:sz w:val="11"/>
                <w:szCs w:val="11"/>
                <w:color w:val="auto"/>
              </w:rPr>
            </w:pPr>
          </w:p>
        </w:tc>
        <w:tc>
          <w:tcPr>
            <w:tcW w:w="10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Vehicle and</w:t>
            </w:r>
          </w:p>
        </w:tc>
        <w:tc>
          <w:tcPr>
            <w:tcW w:w="1020" w:type="dxa"/>
            <w:vAlign w:val="bottom"/>
            <w:shd w:val="clear" w:color="auto" w:fill="14202A"/>
          </w:tcPr>
          <w:p>
            <w:pPr>
              <w:spacing w:after="0"/>
              <w:rPr>
                <w:sz w:val="11"/>
                <w:szCs w:val="11"/>
                <w:color w:val="auto"/>
              </w:rPr>
            </w:pPr>
          </w:p>
        </w:tc>
        <w:tc>
          <w:tcPr>
            <w:tcW w:w="8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540" w:type="dxa"/>
            <w:vAlign w:val="bottom"/>
            <w:shd w:val="clear" w:color="auto" w:fill="14202A"/>
          </w:tcPr>
          <w:p>
            <w:pPr>
              <w:spacing w:after="0"/>
              <w:rPr>
                <w:sz w:val="11"/>
                <w:szCs w:val="11"/>
                <w:color w:val="auto"/>
              </w:rPr>
            </w:pPr>
          </w:p>
        </w:tc>
        <w:tc>
          <w:tcPr>
            <w:tcW w:w="1160" w:type="dxa"/>
            <w:vAlign w:val="bottom"/>
            <w:shd w:val="clear" w:color="auto" w:fill="14202A"/>
          </w:tcPr>
          <w:p>
            <w:pPr>
              <w:spacing w:after="0"/>
              <w:rPr>
                <w:sz w:val="11"/>
                <w:szCs w:val="11"/>
                <w:color w:val="auto"/>
              </w:rPr>
            </w:pPr>
          </w:p>
        </w:tc>
        <w:tc>
          <w:tcPr>
            <w:tcW w:w="1100" w:type="dxa"/>
            <w:vAlign w:val="bottom"/>
            <w:shd w:val="clear" w:color="auto" w:fill="14202A"/>
          </w:tcPr>
          <w:p>
            <w:pPr>
              <w:spacing w:after="0"/>
              <w:rPr>
                <w:sz w:val="11"/>
                <w:szCs w:val="11"/>
                <w:color w:val="auto"/>
              </w:rPr>
            </w:pPr>
          </w:p>
        </w:tc>
        <w:tc>
          <w:tcPr>
            <w:tcW w:w="1280" w:type="dxa"/>
            <w:vAlign w:val="bottom"/>
            <w:vMerge w:val="continue"/>
            <w:shd w:val="clear" w:color="auto" w:fill="14202A"/>
          </w:tcPr>
          <w:p>
            <w:pPr>
              <w:spacing w:after="0"/>
              <w:rPr>
                <w:sz w:val="11"/>
                <w:szCs w:val="11"/>
                <w:color w:val="auto"/>
              </w:rPr>
            </w:pPr>
          </w:p>
        </w:tc>
        <w:tc>
          <w:tcPr>
            <w:tcW w:w="1320" w:type="dxa"/>
            <w:vAlign w:val="bottom"/>
            <w:shd w:val="clear" w:color="auto" w:fill="14202A"/>
          </w:tcPr>
          <w:p>
            <w:pPr>
              <w:spacing w:after="0"/>
              <w:rPr>
                <w:sz w:val="11"/>
                <w:szCs w:val="11"/>
                <w:color w:val="auto"/>
              </w:rPr>
            </w:pPr>
          </w:p>
        </w:tc>
        <w:tc>
          <w:tcPr>
            <w:tcW w:w="60" w:type="dxa"/>
            <w:vAlign w:val="bottom"/>
            <w:shd w:val="clear" w:color="auto" w:fill="14202A"/>
          </w:tcPr>
          <w:p>
            <w:pPr>
              <w:spacing w:after="0"/>
              <w:rPr>
                <w:sz w:val="11"/>
                <w:szCs w:val="11"/>
                <w:color w:val="auto"/>
              </w:rPr>
            </w:pPr>
          </w:p>
        </w:tc>
        <w:tc>
          <w:tcPr>
            <w:tcW w:w="880" w:type="dxa"/>
            <w:vAlign w:val="bottom"/>
            <w:shd w:val="clear" w:color="auto" w:fill="14202A"/>
          </w:tcPr>
          <w:p>
            <w:pPr>
              <w:spacing w:after="0"/>
              <w:rPr>
                <w:sz w:val="11"/>
                <w:szCs w:val="11"/>
                <w:color w:val="auto"/>
              </w:rPr>
            </w:pPr>
          </w:p>
        </w:tc>
        <w:tc>
          <w:tcPr>
            <w:tcW w:w="10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Boats</w:t>
            </w:r>
          </w:p>
        </w:tc>
        <w:tc>
          <w:tcPr>
            <w:tcW w:w="1020" w:type="dxa"/>
            <w:vAlign w:val="bottom"/>
            <w:shd w:val="clear" w:color="auto" w:fill="14202A"/>
          </w:tcPr>
          <w:p>
            <w:pPr>
              <w:spacing w:after="0"/>
              <w:rPr>
                <w:sz w:val="11"/>
                <w:szCs w:val="11"/>
                <w:color w:val="auto"/>
              </w:rPr>
            </w:pPr>
          </w:p>
        </w:tc>
        <w:tc>
          <w:tcPr>
            <w:tcW w:w="8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 w:type="dxa"/>
            <w:vAlign w:val="bottom"/>
            <w:shd w:val="clear" w:color="auto" w:fill="14202A"/>
          </w:tcPr>
          <w:p>
            <w:pPr>
              <w:spacing w:after="0"/>
              <w:rPr>
                <w:sz w:val="14"/>
                <w:szCs w:val="14"/>
                <w:color w:val="auto"/>
              </w:rPr>
            </w:pPr>
          </w:p>
        </w:tc>
        <w:tc>
          <w:tcPr>
            <w:tcW w:w="540" w:type="dxa"/>
            <w:vAlign w:val="bottom"/>
            <w:shd w:val="clear" w:color="auto" w:fill="14202A"/>
          </w:tcPr>
          <w:p>
            <w:pPr>
              <w:spacing w:after="0"/>
              <w:rPr>
                <w:sz w:val="14"/>
                <w:szCs w:val="14"/>
                <w:color w:val="auto"/>
              </w:rPr>
            </w:pPr>
          </w:p>
        </w:tc>
        <w:tc>
          <w:tcPr>
            <w:tcW w:w="11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Summary</w:t>
            </w:r>
          </w:p>
        </w:tc>
        <w:tc>
          <w:tcPr>
            <w:tcW w:w="110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Compensation</w:t>
            </w:r>
          </w:p>
        </w:tc>
        <w:tc>
          <w:tcPr>
            <w:tcW w:w="12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Summary</w:t>
            </w:r>
          </w:p>
        </w:tc>
        <w:tc>
          <w:tcPr>
            <w:tcW w:w="13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Average</w:t>
            </w:r>
          </w:p>
        </w:tc>
        <w:tc>
          <w:tcPr>
            <w:tcW w:w="60" w:type="dxa"/>
            <w:vAlign w:val="bottom"/>
            <w:shd w:val="clear" w:color="auto" w:fill="14202A"/>
          </w:tcPr>
          <w:p>
            <w:pPr>
              <w:spacing w:after="0"/>
              <w:rPr>
                <w:sz w:val="14"/>
                <w:szCs w:val="14"/>
                <w:color w:val="auto"/>
              </w:rPr>
            </w:pPr>
          </w:p>
        </w:tc>
        <w:tc>
          <w:tcPr>
            <w:tcW w:w="880" w:type="dxa"/>
            <w:vAlign w:val="bottom"/>
            <w:vMerge w:val="restart"/>
            <w:shd w:val="clear" w:color="auto" w:fill="14202A"/>
          </w:tcPr>
          <w:p>
            <w:pPr>
              <w:jc w:val="center"/>
              <w:ind w:right="19"/>
              <w:spacing w:after="0"/>
              <w:rPr>
                <w:sz w:val="20"/>
                <w:szCs w:val="20"/>
                <w:color w:val="auto"/>
              </w:rPr>
            </w:pPr>
            <w:r>
              <w:rPr>
                <w:rFonts w:ascii="Arial" w:cs="Arial" w:eastAsia="Arial" w:hAnsi="Arial"/>
                <w:sz w:val="13"/>
                <w:szCs w:val="13"/>
                <w:b w:val="1"/>
                <w:bCs w:val="1"/>
                <w:color w:val="FFFFFF"/>
                <w:w w:val="89"/>
              </w:rPr>
              <w:t>Total</w:t>
            </w:r>
          </w:p>
        </w:tc>
        <w:tc>
          <w:tcPr>
            <w:tcW w:w="10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Subsector</w:t>
            </w:r>
          </w:p>
        </w:tc>
        <w:tc>
          <w:tcPr>
            <w:tcW w:w="1020" w:type="dxa"/>
            <w:vAlign w:val="bottom"/>
            <w:shd w:val="clear" w:color="auto" w:fill="14202A"/>
          </w:tcPr>
          <w:p>
            <w:pPr>
              <w:spacing w:after="0"/>
              <w:rPr>
                <w:sz w:val="14"/>
                <w:szCs w:val="14"/>
                <w:color w:val="auto"/>
              </w:rPr>
            </w:pPr>
          </w:p>
        </w:tc>
        <w:tc>
          <w:tcPr>
            <w:tcW w:w="820" w:type="dxa"/>
            <w:vAlign w:val="bottom"/>
            <w:shd w:val="clear" w:color="auto" w:fill="14202A"/>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540" w:type="dxa"/>
            <w:vAlign w:val="bottom"/>
            <w:shd w:val="clear" w:color="auto" w:fill="14202A"/>
          </w:tcPr>
          <w:p>
            <w:pPr>
              <w:spacing w:after="0"/>
              <w:rPr>
                <w:sz w:val="11"/>
                <w:szCs w:val="11"/>
                <w:color w:val="auto"/>
              </w:rPr>
            </w:pPr>
          </w:p>
        </w:tc>
        <w:tc>
          <w:tcPr>
            <w:tcW w:w="1160" w:type="dxa"/>
            <w:vAlign w:val="bottom"/>
            <w:shd w:val="clear" w:color="auto" w:fill="14202A"/>
          </w:tcPr>
          <w:p>
            <w:pPr>
              <w:jc w:val="center"/>
              <w:ind w:left="14"/>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100" w:type="dxa"/>
            <w:vAlign w:val="bottom"/>
            <w:vMerge w:val="continue"/>
            <w:shd w:val="clear" w:color="auto" w:fill="14202A"/>
          </w:tcPr>
          <w:p>
            <w:pPr>
              <w:spacing w:after="0"/>
              <w:rPr>
                <w:sz w:val="11"/>
                <w:szCs w:val="11"/>
                <w:color w:val="auto"/>
              </w:rPr>
            </w:pPr>
          </w:p>
        </w:tc>
        <w:tc>
          <w:tcPr>
            <w:tcW w:w="12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3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60" w:type="dxa"/>
            <w:vAlign w:val="bottom"/>
            <w:shd w:val="clear" w:color="auto" w:fill="14202A"/>
          </w:tcPr>
          <w:p>
            <w:pPr>
              <w:spacing w:after="0"/>
              <w:rPr>
                <w:sz w:val="11"/>
                <w:szCs w:val="11"/>
                <w:color w:val="auto"/>
              </w:rPr>
            </w:pPr>
          </w:p>
        </w:tc>
        <w:tc>
          <w:tcPr>
            <w:tcW w:w="880" w:type="dxa"/>
            <w:vAlign w:val="bottom"/>
            <w:vMerge w:val="continue"/>
            <w:shd w:val="clear" w:color="auto" w:fill="14202A"/>
          </w:tcPr>
          <w:p>
            <w:pPr>
              <w:spacing w:after="0"/>
              <w:rPr>
                <w:sz w:val="11"/>
                <w:szCs w:val="11"/>
                <w:color w:val="auto"/>
              </w:rPr>
            </w:pPr>
          </w:p>
        </w:tc>
        <w:tc>
          <w:tcPr>
            <w:tcW w:w="10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Index Total</w:t>
            </w:r>
          </w:p>
        </w:tc>
        <w:tc>
          <w:tcPr>
            <w:tcW w:w="1020" w:type="dxa"/>
            <w:vAlign w:val="bottom"/>
            <w:shd w:val="clear" w:color="auto" w:fill="14202A"/>
          </w:tcPr>
          <w:p>
            <w:pPr>
              <w:spacing w:after="0"/>
              <w:rPr>
                <w:sz w:val="11"/>
                <w:szCs w:val="11"/>
                <w:color w:val="auto"/>
              </w:rPr>
            </w:pPr>
          </w:p>
        </w:tc>
        <w:tc>
          <w:tcPr>
            <w:tcW w:w="8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540" w:type="dxa"/>
            <w:vAlign w:val="bottom"/>
            <w:shd w:val="clear" w:color="auto" w:fill="14202A"/>
          </w:tcPr>
          <w:p>
            <w:pPr>
              <w:spacing w:after="0"/>
              <w:rPr>
                <w:sz w:val="11"/>
                <w:szCs w:val="11"/>
                <w:color w:val="auto"/>
              </w:rPr>
            </w:pPr>
          </w:p>
        </w:tc>
        <w:tc>
          <w:tcPr>
            <w:tcW w:w="11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Table</w:t>
            </w:r>
          </w:p>
        </w:tc>
        <w:tc>
          <w:tcPr>
            <w:tcW w:w="11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Actually Paid</w:t>
            </w:r>
          </w:p>
        </w:tc>
        <w:tc>
          <w:tcPr>
            <w:tcW w:w="12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Total for</w:t>
            </w:r>
          </w:p>
        </w:tc>
        <w:tc>
          <w:tcPr>
            <w:tcW w:w="13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Actually Paid</w:t>
            </w:r>
          </w:p>
        </w:tc>
        <w:tc>
          <w:tcPr>
            <w:tcW w:w="6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9"/>
              <w:spacing w:after="0" w:line="135" w:lineRule="exact"/>
              <w:rPr>
                <w:sz w:val="20"/>
                <w:szCs w:val="20"/>
                <w:color w:val="auto"/>
              </w:rPr>
            </w:pPr>
            <w:r>
              <w:rPr>
                <w:rFonts w:ascii="Arial" w:cs="Arial" w:eastAsia="Arial" w:hAnsi="Arial"/>
                <w:sz w:val="13"/>
                <w:szCs w:val="13"/>
                <w:b w:val="1"/>
                <w:bCs w:val="1"/>
                <w:color w:val="FFFFFF"/>
                <w:w w:val="97"/>
              </w:rPr>
              <w:t>Shareholder</w:t>
            </w:r>
          </w:p>
        </w:tc>
        <w:tc>
          <w:tcPr>
            <w:tcW w:w="10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Shareholder</w:t>
            </w:r>
          </w:p>
        </w:tc>
        <w:tc>
          <w:tcPr>
            <w:tcW w:w="1020" w:type="dxa"/>
            <w:vAlign w:val="bottom"/>
            <w:vMerge w:val="restart"/>
            <w:shd w:val="clear" w:color="auto" w:fill="14202A"/>
          </w:tcPr>
          <w:p>
            <w:pPr>
              <w:jc w:val="right"/>
              <w:ind w:right="111"/>
              <w:spacing w:after="0"/>
              <w:rPr>
                <w:sz w:val="20"/>
                <w:szCs w:val="20"/>
                <w:color w:val="auto"/>
              </w:rPr>
            </w:pPr>
            <w:r>
              <w:rPr>
                <w:rFonts w:ascii="Arial" w:cs="Arial" w:eastAsia="Arial" w:hAnsi="Arial"/>
                <w:sz w:val="13"/>
                <w:szCs w:val="13"/>
                <w:b w:val="1"/>
                <w:bCs w:val="1"/>
                <w:color w:val="FFFFFF"/>
              </w:rPr>
              <w:t>Net Income</w:t>
            </w:r>
          </w:p>
        </w:tc>
        <w:tc>
          <w:tcPr>
            <w:tcW w:w="820" w:type="dxa"/>
            <w:vAlign w:val="bottom"/>
            <w:vMerge w:val="restart"/>
            <w:shd w:val="clear" w:color="auto" w:fill="14202A"/>
          </w:tcPr>
          <w:p>
            <w:pPr>
              <w:ind w:left="100"/>
              <w:spacing w:after="0"/>
              <w:rPr>
                <w:sz w:val="20"/>
                <w:szCs w:val="20"/>
                <w:color w:val="auto"/>
              </w:rPr>
            </w:pPr>
            <w:r>
              <w:rPr>
                <w:rFonts w:ascii="Arial" w:cs="Arial" w:eastAsia="Arial" w:hAnsi="Arial"/>
                <w:sz w:val="13"/>
                <w:szCs w:val="13"/>
                <w:b w:val="1"/>
                <w:bCs w:val="1"/>
                <w:color w:val="FFFFFF"/>
              </w:rPr>
              <w:t>Incentive</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540" w:type="dxa"/>
            <w:vAlign w:val="bottom"/>
            <w:vMerge w:val="restart"/>
            <w:shd w:val="clear" w:color="auto" w:fill="14202A"/>
          </w:tcPr>
          <w:p>
            <w:pPr>
              <w:jc w:val="right"/>
              <w:ind w:right="77"/>
              <w:spacing w:after="0"/>
              <w:rPr>
                <w:sz w:val="20"/>
                <w:szCs w:val="20"/>
                <w:color w:val="auto"/>
              </w:rPr>
            </w:pPr>
            <w:r>
              <w:rPr>
                <w:rFonts w:ascii="Arial" w:cs="Arial" w:eastAsia="Arial" w:hAnsi="Arial"/>
                <w:sz w:val="13"/>
                <w:szCs w:val="13"/>
                <w:b w:val="1"/>
                <w:bCs w:val="1"/>
                <w:color w:val="FFFFFF"/>
              </w:rPr>
              <w:t>Year</w:t>
            </w:r>
          </w:p>
        </w:tc>
        <w:tc>
          <w:tcPr>
            <w:tcW w:w="1160" w:type="dxa"/>
            <w:vAlign w:val="bottom"/>
            <w:shd w:val="clear" w:color="auto" w:fill="14202A"/>
          </w:tcPr>
          <w:p>
            <w:pPr>
              <w:jc w:val="center"/>
              <w:spacing w:after="0" w:line="135" w:lineRule="exact"/>
              <w:rPr>
                <w:sz w:val="20"/>
                <w:szCs w:val="20"/>
                <w:color w:val="auto"/>
              </w:rPr>
            </w:pPr>
            <w:r>
              <w:rPr>
                <w:rFonts w:ascii="Arial" w:cs="Arial" w:eastAsia="Arial" w:hAnsi="Arial"/>
                <w:sz w:val="10"/>
                <w:szCs w:val="10"/>
                <w:b w:val="1"/>
                <w:bCs w:val="1"/>
                <w:color w:val="FFFFFF"/>
              </w:rPr>
              <w:t>Total for CEO</w:t>
            </w:r>
            <w:r>
              <w:rPr>
                <w:rFonts w:ascii="Arial" w:cs="Arial" w:eastAsia="Arial" w:hAnsi="Arial"/>
                <w:sz w:val="15"/>
                <w:szCs w:val="15"/>
                <w:b w:val="1"/>
                <w:bCs w:val="1"/>
                <w:color w:val="FFFFFF"/>
                <w:vertAlign w:val="superscript"/>
              </w:rPr>
              <w:t>(1)</w:t>
            </w:r>
          </w:p>
        </w:tc>
        <w:tc>
          <w:tcPr>
            <w:tcW w:w="11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9"/>
              </w:rPr>
              <w:t>to CEO</w:t>
            </w:r>
          </w:p>
        </w:tc>
        <w:tc>
          <w:tcPr>
            <w:tcW w:w="1280" w:type="dxa"/>
            <w:vAlign w:val="bottom"/>
            <w:shd w:val="clear" w:color="auto" w:fill="14202A"/>
          </w:tcPr>
          <w:p>
            <w:pPr>
              <w:jc w:val="center"/>
              <w:spacing w:after="0" w:line="135" w:lineRule="exact"/>
              <w:rPr>
                <w:sz w:val="20"/>
                <w:szCs w:val="20"/>
                <w:color w:val="auto"/>
              </w:rPr>
            </w:pPr>
            <w:r>
              <w:rPr>
                <w:rFonts w:ascii="Arial" w:cs="Arial" w:eastAsia="Arial" w:hAnsi="Arial"/>
                <w:sz w:val="10"/>
                <w:szCs w:val="10"/>
                <w:b w:val="1"/>
                <w:bCs w:val="1"/>
                <w:color w:val="FFFFFF"/>
              </w:rPr>
              <w:t>Non-CEO NEOs</w:t>
            </w:r>
            <w:r>
              <w:rPr>
                <w:rFonts w:ascii="Arial" w:cs="Arial" w:eastAsia="Arial" w:hAnsi="Arial"/>
                <w:sz w:val="15"/>
                <w:szCs w:val="15"/>
                <w:b w:val="1"/>
                <w:bCs w:val="1"/>
                <w:color w:val="FFFFFF"/>
                <w:vertAlign w:val="superscript"/>
              </w:rPr>
              <w:t>(1)</w:t>
            </w:r>
          </w:p>
        </w:tc>
        <w:tc>
          <w:tcPr>
            <w:tcW w:w="13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to Non-CEO NEOs</w:t>
            </w:r>
          </w:p>
        </w:tc>
        <w:tc>
          <w:tcPr>
            <w:tcW w:w="6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9"/>
              <w:spacing w:after="0" w:line="135" w:lineRule="exact"/>
              <w:rPr>
                <w:sz w:val="20"/>
                <w:szCs w:val="20"/>
                <w:color w:val="auto"/>
              </w:rPr>
            </w:pPr>
            <w:r>
              <w:rPr>
                <w:rFonts w:ascii="Arial" w:cs="Arial" w:eastAsia="Arial" w:hAnsi="Arial"/>
                <w:sz w:val="10"/>
                <w:szCs w:val="10"/>
                <w:b w:val="1"/>
                <w:bCs w:val="1"/>
                <w:color w:val="FFFFFF"/>
              </w:rPr>
              <w:t>Return</w:t>
            </w:r>
            <w:r>
              <w:rPr>
                <w:rFonts w:ascii="Arial" w:cs="Arial" w:eastAsia="Arial" w:hAnsi="Arial"/>
                <w:sz w:val="15"/>
                <w:szCs w:val="15"/>
                <w:b w:val="1"/>
                <w:bCs w:val="1"/>
                <w:color w:val="FFFFFF"/>
                <w:vertAlign w:val="superscript"/>
              </w:rPr>
              <w:t>(2)</w:t>
            </w:r>
          </w:p>
        </w:tc>
        <w:tc>
          <w:tcPr>
            <w:tcW w:w="1000" w:type="dxa"/>
            <w:vAlign w:val="bottom"/>
            <w:shd w:val="clear" w:color="auto" w:fill="14202A"/>
          </w:tcPr>
          <w:p>
            <w:pPr>
              <w:jc w:val="center"/>
              <w:spacing w:after="0" w:line="135" w:lineRule="exact"/>
              <w:rPr>
                <w:sz w:val="20"/>
                <w:szCs w:val="20"/>
                <w:color w:val="auto"/>
              </w:rPr>
            </w:pPr>
            <w:r>
              <w:rPr>
                <w:rFonts w:ascii="Arial" w:cs="Arial" w:eastAsia="Arial" w:hAnsi="Arial"/>
                <w:sz w:val="10"/>
                <w:szCs w:val="10"/>
                <w:b w:val="1"/>
                <w:bCs w:val="1"/>
                <w:color w:val="FFFFFF"/>
              </w:rPr>
              <w:t>Return</w:t>
            </w:r>
            <w:r>
              <w:rPr>
                <w:rFonts w:ascii="Arial" w:cs="Arial" w:eastAsia="Arial" w:hAnsi="Arial"/>
                <w:sz w:val="15"/>
                <w:szCs w:val="15"/>
                <w:b w:val="1"/>
                <w:bCs w:val="1"/>
                <w:color w:val="FFFFFF"/>
                <w:vertAlign w:val="superscript"/>
              </w:rPr>
              <w:t>(2)(3)</w:t>
            </w:r>
          </w:p>
        </w:tc>
        <w:tc>
          <w:tcPr>
            <w:tcW w:w="1020" w:type="dxa"/>
            <w:vAlign w:val="bottom"/>
            <w:vMerge w:val="continue"/>
            <w:shd w:val="clear" w:color="auto" w:fill="14202A"/>
          </w:tcPr>
          <w:p>
            <w:pPr>
              <w:spacing w:after="0"/>
              <w:rPr>
                <w:sz w:val="11"/>
                <w:szCs w:val="11"/>
                <w:color w:val="auto"/>
              </w:rPr>
            </w:pPr>
          </w:p>
        </w:tc>
        <w:tc>
          <w:tcPr>
            <w:tcW w:w="820" w:type="dxa"/>
            <w:vAlign w:val="bottom"/>
            <w:vMerge w:val="continue"/>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00" w:type="dxa"/>
            <w:vAlign w:val="bottom"/>
            <w:shd w:val="clear" w:color="auto" w:fill="14202A"/>
          </w:tcPr>
          <w:p>
            <w:pPr>
              <w:spacing w:after="0"/>
              <w:rPr>
                <w:sz w:val="21"/>
                <w:szCs w:val="21"/>
                <w:color w:val="auto"/>
              </w:rPr>
            </w:pPr>
          </w:p>
        </w:tc>
        <w:tc>
          <w:tcPr>
            <w:tcW w:w="540" w:type="dxa"/>
            <w:vAlign w:val="bottom"/>
            <w:vMerge w:val="continue"/>
            <w:shd w:val="clear" w:color="auto" w:fill="14202A"/>
          </w:tcPr>
          <w:p>
            <w:pPr>
              <w:spacing w:after="0"/>
              <w:rPr>
                <w:sz w:val="21"/>
                <w:szCs w:val="21"/>
                <w:color w:val="auto"/>
              </w:rPr>
            </w:pPr>
          </w:p>
        </w:tc>
        <w:tc>
          <w:tcPr>
            <w:tcW w:w="1160" w:type="dxa"/>
            <w:vAlign w:val="bottom"/>
            <w:shd w:val="clear" w:color="auto" w:fill="14202A"/>
          </w:tcPr>
          <w:p>
            <w:pPr>
              <w:jc w:val="center"/>
              <w:ind w:left="14"/>
              <w:spacing w:after="0"/>
              <w:rPr>
                <w:sz w:val="20"/>
                <w:szCs w:val="20"/>
                <w:color w:val="auto"/>
              </w:rPr>
            </w:pPr>
            <w:r>
              <w:rPr>
                <w:rFonts w:ascii="Arial" w:cs="Arial" w:eastAsia="Arial" w:hAnsi="Arial"/>
                <w:sz w:val="13"/>
                <w:szCs w:val="13"/>
                <w:b w:val="1"/>
                <w:bCs w:val="1"/>
                <w:color w:val="FFFFFF"/>
              </w:rPr>
              <w:t>($)</w:t>
            </w:r>
          </w:p>
        </w:tc>
        <w:tc>
          <w:tcPr>
            <w:tcW w:w="11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2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3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60" w:type="dxa"/>
            <w:vAlign w:val="bottom"/>
            <w:shd w:val="clear" w:color="auto" w:fill="14202A"/>
          </w:tcPr>
          <w:p>
            <w:pPr>
              <w:spacing w:after="0"/>
              <w:rPr>
                <w:sz w:val="21"/>
                <w:szCs w:val="21"/>
                <w:color w:val="auto"/>
              </w:rPr>
            </w:pPr>
          </w:p>
        </w:tc>
        <w:tc>
          <w:tcPr>
            <w:tcW w:w="8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020" w:type="dxa"/>
            <w:vAlign w:val="bottom"/>
            <w:shd w:val="clear" w:color="auto" w:fill="14202A"/>
          </w:tcPr>
          <w:p>
            <w:pPr>
              <w:jc w:val="right"/>
              <w:ind w:right="31"/>
              <w:spacing w:after="0"/>
              <w:rPr>
                <w:sz w:val="20"/>
                <w:szCs w:val="20"/>
                <w:color w:val="auto"/>
              </w:rPr>
            </w:pPr>
            <w:r>
              <w:rPr>
                <w:rFonts w:ascii="Arial" w:cs="Arial" w:eastAsia="Arial" w:hAnsi="Arial"/>
                <w:sz w:val="13"/>
                <w:szCs w:val="13"/>
                <w:b w:val="1"/>
                <w:bCs w:val="1"/>
                <w:color w:val="FFFFFF"/>
              </w:rPr>
              <w:t>($ in millions)</w:t>
            </w:r>
          </w:p>
        </w:tc>
        <w:tc>
          <w:tcPr>
            <w:tcW w:w="820" w:type="dxa"/>
            <w:vAlign w:val="bottom"/>
            <w:shd w:val="clear" w:color="auto" w:fill="14202A"/>
          </w:tcPr>
          <w:p>
            <w:pPr>
              <w:ind w:left="120"/>
              <w:spacing w:after="0"/>
              <w:rPr>
                <w:sz w:val="20"/>
                <w:szCs w:val="20"/>
                <w:color w:val="auto"/>
              </w:rPr>
            </w:pPr>
            <w:r>
              <w:rPr>
                <w:rFonts w:ascii="Arial" w:cs="Arial" w:eastAsia="Arial" w:hAnsi="Arial"/>
                <w:sz w:val="13"/>
                <w:szCs w:val="13"/>
                <w:b w:val="1"/>
                <w:bCs w:val="1"/>
                <w:color w:val="FFFFFF"/>
              </w:rPr>
              <w:t>EPS ($)</w:t>
            </w:r>
            <w:r>
              <w:rPr>
                <w:rFonts w:ascii="Arial" w:cs="Arial" w:eastAsia="Arial" w:hAnsi="Arial"/>
                <w:sz w:val="20"/>
                <w:szCs w:val="20"/>
                <w:b w:val="1"/>
                <w:bCs w:val="1"/>
                <w:color w:val="FFFFFF"/>
                <w:vertAlign w:val="superscript"/>
              </w:rPr>
              <w:t>(4)</w:t>
            </w:r>
          </w:p>
        </w:tc>
        <w:tc>
          <w:tcPr>
            <w:tcW w:w="0" w:type="dxa"/>
            <w:vAlign w:val="bottom"/>
          </w:tcPr>
          <w:p>
            <w:pPr>
              <w:spacing w:after="0"/>
              <w:rPr>
                <w:sz w:val="1"/>
                <w:szCs w:val="1"/>
                <w:color w:val="auto"/>
              </w:rPr>
            </w:pPr>
          </w:p>
        </w:tc>
      </w:tr>
      <w:tr>
        <w:trPr>
          <w:trHeight w:val="262"/>
        </w:trPr>
        <w:tc>
          <w:tcPr>
            <w:tcW w:w="640" w:type="dxa"/>
            <w:vAlign w:val="bottom"/>
            <w:gridSpan w:val="2"/>
          </w:tcPr>
          <w:p>
            <w:pPr>
              <w:jc w:val="right"/>
              <w:ind w:right="97"/>
              <w:spacing w:after="0"/>
              <w:rPr>
                <w:sz w:val="20"/>
                <w:szCs w:val="20"/>
                <w:color w:val="auto"/>
              </w:rPr>
            </w:pPr>
            <w:r>
              <w:rPr>
                <w:rFonts w:ascii="Arial" w:cs="Arial" w:eastAsia="Arial" w:hAnsi="Arial"/>
                <w:sz w:val="14"/>
                <w:szCs w:val="14"/>
                <w:color w:val="14202A"/>
              </w:rPr>
              <w:t>2026</w:t>
            </w:r>
          </w:p>
        </w:tc>
        <w:tc>
          <w:tcPr>
            <w:tcW w:w="1160" w:type="dxa"/>
            <w:vAlign w:val="bottom"/>
          </w:tcPr>
          <w:p>
            <w:pPr>
              <w:jc w:val="center"/>
              <w:spacing w:after="0"/>
              <w:rPr>
                <w:sz w:val="20"/>
                <w:szCs w:val="20"/>
                <w:color w:val="auto"/>
              </w:rPr>
            </w:pPr>
            <w:r>
              <w:rPr>
                <w:rFonts w:ascii="Arial" w:cs="Arial" w:eastAsia="Arial" w:hAnsi="Arial"/>
                <w:sz w:val="14"/>
                <w:szCs w:val="14"/>
                <w:color w:val="14202A"/>
              </w:rPr>
              <w:t>8,661,661</w:t>
            </w:r>
          </w:p>
        </w:tc>
        <w:tc>
          <w:tcPr>
            <w:tcW w:w="1100" w:type="dxa"/>
            <w:vAlign w:val="bottom"/>
          </w:tcPr>
          <w:p>
            <w:pPr>
              <w:jc w:val="right"/>
              <w:ind w:right="192"/>
              <w:spacing w:after="0"/>
              <w:rPr>
                <w:sz w:val="20"/>
                <w:szCs w:val="20"/>
                <w:color w:val="auto"/>
              </w:rPr>
            </w:pPr>
            <w:r>
              <w:rPr>
                <w:rFonts w:ascii="Arial" w:cs="Arial" w:eastAsia="Arial" w:hAnsi="Arial"/>
                <w:sz w:val="14"/>
                <w:szCs w:val="14"/>
                <w:color w:val="14202A"/>
              </w:rPr>
              <w:t>5,598,320</w:t>
            </w:r>
          </w:p>
        </w:tc>
        <w:tc>
          <w:tcPr>
            <w:tcW w:w="1280" w:type="dxa"/>
            <w:vAlign w:val="bottom"/>
          </w:tcPr>
          <w:p>
            <w:pPr>
              <w:jc w:val="center"/>
              <w:ind w:right="14"/>
              <w:spacing w:after="0"/>
              <w:rPr>
                <w:sz w:val="20"/>
                <w:szCs w:val="20"/>
                <w:color w:val="auto"/>
              </w:rPr>
            </w:pPr>
            <w:r>
              <w:rPr>
                <w:rFonts w:ascii="Arial" w:cs="Arial" w:eastAsia="Arial" w:hAnsi="Arial"/>
                <w:sz w:val="14"/>
                <w:szCs w:val="14"/>
                <w:color w:val="14202A"/>
              </w:rPr>
              <w:t>2,641,387</w:t>
            </w:r>
          </w:p>
        </w:tc>
        <w:tc>
          <w:tcPr>
            <w:tcW w:w="1320" w:type="dxa"/>
            <w:vAlign w:val="bottom"/>
          </w:tcPr>
          <w:p>
            <w:pPr>
              <w:jc w:val="center"/>
              <w:spacing w:after="0"/>
              <w:rPr>
                <w:sz w:val="20"/>
                <w:szCs w:val="20"/>
                <w:color w:val="auto"/>
              </w:rPr>
            </w:pPr>
            <w:r>
              <w:rPr>
                <w:rFonts w:ascii="Arial" w:cs="Arial" w:eastAsia="Arial" w:hAnsi="Arial"/>
                <w:sz w:val="14"/>
                <w:szCs w:val="14"/>
                <w:color w:val="14202A"/>
              </w:rPr>
              <w:t>2,417,810</w:t>
            </w:r>
          </w:p>
        </w:tc>
        <w:tc>
          <w:tcPr>
            <w:tcW w:w="940" w:type="dxa"/>
            <w:vAlign w:val="bottom"/>
            <w:gridSpan w:val="2"/>
          </w:tcPr>
          <w:p>
            <w:pPr>
              <w:jc w:val="right"/>
              <w:ind w:right="239"/>
              <w:spacing w:after="0"/>
              <w:rPr>
                <w:sz w:val="20"/>
                <w:szCs w:val="20"/>
                <w:color w:val="auto"/>
              </w:rPr>
            </w:pPr>
            <w:r>
              <w:rPr>
                <w:rFonts w:ascii="Arial" w:cs="Arial" w:eastAsia="Arial" w:hAnsi="Arial"/>
                <w:sz w:val="14"/>
                <w:szCs w:val="14"/>
                <w:color w:val="14202A"/>
              </w:rPr>
              <w:t>47.4</w:t>
            </w:r>
          </w:p>
        </w:tc>
        <w:tc>
          <w:tcPr>
            <w:tcW w:w="1000" w:type="dxa"/>
            <w:vAlign w:val="bottom"/>
          </w:tcPr>
          <w:p>
            <w:pPr>
              <w:jc w:val="right"/>
              <w:ind w:right="275"/>
              <w:spacing w:after="0"/>
              <w:rPr>
                <w:sz w:val="20"/>
                <w:szCs w:val="20"/>
                <w:color w:val="auto"/>
              </w:rPr>
            </w:pPr>
            <w:r>
              <w:rPr>
                <w:rFonts w:ascii="Arial" w:cs="Arial" w:eastAsia="Arial" w:hAnsi="Arial"/>
                <w:sz w:val="14"/>
                <w:szCs w:val="14"/>
                <w:color w:val="14202A"/>
              </w:rPr>
              <w:t>64.8</w:t>
            </w:r>
          </w:p>
        </w:tc>
        <w:tc>
          <w:tcPr>
            <w:tcW w:w="1020" w:type="dxa"/>
            <w:vAlign w:val="bottom"/>
          </w:tcPr>
          <w:p>
            <w:pPr>
              <w:jc w:val="right"/>
              <w:ind w:right="251"/>
              <w:spacing w:after="0"/>
              <w:rPr>
                <w:sz w:val="20"/>
                <w:szCs w:val="20"/>
                <w:color w:val="auto"/>
              </w:rPr>
            </w:pPr>
            <w:r>
              <w:rPr>
                <w:rFonts w:ascii="Arial" w:cs="Arial" w:eastAsia="Arial" w:hAnsi="Arial"/>
                <w:sz w:val="14"/>
                <w:szCs w:val="14"/>
                <w:color w:val="14202A"/>
              </w:rPr>
              <w:t>34.5</w:t>
            </w:r>
          </w:p>
        </w:tc>
        <w:tc>
          <w:tcPr>
            <w:tcW w:w="820" w:type="dxa"/>
            <w:vAlign w:val="bottom"/>
          </w:tcPr>
          <w:p>
            <w:pPr>
              <w:jc w:val="right"/>
              <w:ind w:right="211"/>
              <w:spacing w:after="0"/>
              <w:rPr>
                <w:sz w:val="20"/>
                <w:szCs w:val="20"/>
                <w:color w:val="auto"/>
              </w:rPr>
            </w:pPr>
            <w:r>
              <w:rPr>
                <w:rFonts w:ascii="Arial" w:cs="Arial" w:eastAsia="Arial" w:hAnsi="Arial"/>
                <w:sz w:val="14"/>
                <w:szCs w:val="14"/>
                <w:color w:val="14202A"/>
              </w:rPr>
              <w:t>1.79</w:t>
            </w:r>
          </w:p>
        </w:tc>
        <w:tc>
          <w:tcPr>
            <w:tcW w:w="0" w:type="dxa"/>
            <w:vAlign w:val="bottom"/>
          </w:tcPr>
          <w:p>
            <w:pPr>
              <w:spacing w:after="0"/>
              <w:rPr>
                <w:sz w:val="1"/>
                <w:szCs w:val="1"/>
                <w:color w:val="auto"/>
              </w:rPr>
            </w:pPr>
          </w:p>
        </w:tc>
      </w:tr>
      <w:tr>
        <w:trPr>
          <w:trHeight w:val="48"/>
        </w:trPr>
        <w:tc>
          <w:tcPr>
            <w:tcW w:w="640" w:type="dxa"/>
            <w:vAlign w:val="bottom"/>
            <w:tcBorders>
              <w:bottom w:val="single" w:sz="8" w:color="14202A"/>
            </w:tcBorders>
            <w:gridSpan w:val="2"/>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gridSpan w:val="2"/>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1020" w:type="dxa"/>
            <w:vAlign w:val="bottom"/>
            <w:tcBorders>
              <w:bottom w:val="single" w:sz="8" w:color="14202A"/>
            </w:tcBorders>
          </w:tcPr>
          <w:p>
            <w:pPr>
              <w:spacing w:after="0"/>
              <w:rPr>
                <w:sz w:val="4"/>
                <w:szCs w:val="4"/>
                <w:color w:val="auto"/>
              </w:rPr>
            </w:pPr>
          </w:p>
        </w:tc>
        <w:tc>
          <w:tcPr>
            <w:tcW w:w="8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40" w:type="dxa"/>
            <w:vAlign w:val="bottom"/>
            <w:gridSpan w:val="2"/>
          </w:tcPr>
          <w:p>
            <w:pPr>
              <w:jc w:val="right"/>
              <w:ind w:right="97"/>
              <w:spacing w:after="0"/>
              <w:rPr>
                <w:sz w:val="20"/>
                <w:szCs w:val="20"/>
                <w:color w:val="auto"/>
              </w:rPr>
            </w:pPr>
            <w:r>
              <w:rPr>
                <w:rFonts w:ascii="Arial" w:cs="Arial" w:eastAsia="Arial" w:hAnsi="Arial"/>
                <w:sz w:val="14"/>
                <w:szCs w:val="14"/>
                <w:color w:val="14202A"/>
              </w:rPr>
              <w:t>2025</w:t>
            </w:r>
          </w:p>
        </w:tc>
        <w:tc>
          <w:tcPr>
            <w:tcW w:w="1160" w:type="dxa"/>
            <w:vAlign w:val="bottom"/>
          </w:tcPr>
          <w:p>
            <w:pPr>
              <w:jc w:val="center"/>
              <w:spacing w:after="0"/>
              <w:rPr>
                <w:sz w:val="20"/>
                <w:szCs w:val="20"/>
                <w:color w:val="auto"/>
              </w:rPr>
            </w:pPr>
            <w:r>
              <w:rPr>
                <w:rFonts w:ascii="Arial" w:cs="Arial" w:eastAsia="Arial" w:hAnsi="Arial"/>
                <w:sz w:val="14"/>
                <w:szCs w:val="14"/>
                <w:color w:val="14202A"/>
              </w:rPr>
              <w:t>8,999,898</w:t>
            </w:r>
          </w:p>
        </w:tc>
        <w:tc>
          <w:tcPr>
            <w:tcW w:w="1100" w:type="dxa"/>
            <w:vAlign w:val="bottom"/>
          </w:tcPr>
          <w:p>
            <w:pPr>
              <w:jc w:val="right"/>
              <w:ind w:right="192"/>
              <w:spacing w:after="0"/>
              <w:rPr>
                <w:sz w:val="20"/>
                <w:szCs w:val="20"/>
                <w:color w:val="auto"/>
              </w:rPr>
            </w:pPr>
            <w:r>
              <w:rPr>
                <w:rFonts w:ascii="Arial" w:cs="Arial" w:eastAsia="Arial" w:hAnsi="Arial"/>
                <w:sz w:val="14"/>
                <w:szCs w:val="14"/>
                <w:color w:val="14202A"/>
              </w:rPr>
              <w:t>1,035,199</w:t>
            </w:r>
          </w:p>
        </w:tc>
        <w:tc>
          <w:tcPr>
            <w:tcW w:w="1280" w:type="dxa"/>
            <w:vAlign w:val="bottom"/>
          </w:tcPr>
          <w:p>
            <w:pPr>
              <w:jc w:val="center"/>
              <w:ind w:right="14"/>
              <w:spacing w:after="0"/>
              <w:rPr>
                <w:sz w:val="20"/>
                <w:szCs w:val="20"/>
                <w:color w:val="auto"/>
              </w:rPr>
            </w:pPr>
            <w:r>
              <w:rPr>
                <w:rFonts w:ascii="Arial" w:cs="Arial" w:eastAsia="Arial" w:hAnsi="Arial"/>
                <w:sz w:val="14"/>
                <w:szCs w:val="14"/>
                <w:color w:val="14202A"/>
              </w:rPr>
              <w:t>2,972,997</w:t>
            </w:r>
          </w:p>
        </w:tc>
        <w:tc>
          <w:tcPr>
            <w:tcW w:w="1320" w:type="dxa"/>
            <w:vAlign w:val="bottom"/>
          </w:tcPr>
          <w:p>
            <w:pPr>
              <w:jc w:val="center"/>
              <w:spacing w:after="0"/>
              <w:rPr>
                <w:sz w:val="20"/>
                <w:szCs w:val="20"/>
                <w:color w:val="auto"/>
              </w:rPr>
            </w:pPr>
            <w:r>
              <w:rPr>
                <w:rFonts w:ascii="Arial" w:cs="Arial" w:eastAsia="Arial" w:hAnsi="Arial"/>
                <w:sz w:val="14"/>
                <w:szCs w:val="14"/>
                <w:color w:val="14202A"/>
              </w:rPr>
              <w:t>1,975,298</w:t>
            </w:r>
          </w:p>
        </w:tc>
        <w:tc>
          <w:tcPr>
            <w:tcW w:w="940" w:type="dxa"/>
            <w:vAlign w:val="bottom"/>
            <w:gridSpan w:val="2"/>
          </w:tcPr>
          <w:p>
            <w:pPr>
              <w:jc w:val="right"/>
              <w:ind w:right="239"/>
              <w:spacing w:after="0"/>
              <w:rPr>
                <w:sz w:val="20"/>
                <w:szCs w:val="20"/>
                <w:color w:val="auto"/>
              </w:rPr>
            </w:pPr>
            <w:r>
              <w:rPr>
                <w:rFonts w:ascii="Arial" w:cs="Arial" w:eastAsia="Arial" w:hAnsi="Arial"/>
                <w:sz w:val="14"/>
                <w:szCs w:val="14"/>
                <w:color w:val="14202A"/>
              </w:rPr>
              <w:t>67.5</w:t>
            </w:r>
          </w:p>
        </w:tc>
        <w:tc>
          <w:tcPr>
            <w:tcW w:w="1000" w:type="dxa"/>
            <w:vAlign w:val="bottom"/>
          </w:tcPr>
          <w:p>
            <w:pPr>
              <w:jc w:val="right"/>
              <w:ind w:right="275"/>
              <w:spacing w:after="0"/>
              <w:rPr>
                <w:sz w:val="20"/>
                <w:szCs w:val="20"/>
                <w:color w:val="auto"/>
              </w:rPr>
            </w:pPr>
            <w:r>
              <w:rPr>
                <w:rFonts w:ascii="Arial" w:cs="Arial" w:eastAsia="Arial" w:hAnsi="Arial"/>
                <w:sz w:val="14"/>
                <w:szCs w:val="14"/>
                <w:color w:val="14202A"/>
              </w:rPr>
              <w:t>93.5</w:t>
            </w:r>
          </w:p>
        </w:tc>
        <w:tc>
          <w:tcPr>
            <w:tcW w:w="1020" w:type="dxa"/>
            <w:vAlign w:val="bottom"/>
          </w:tcPr>
          <w:p>
            <w:pPr>
              <w:jc w:val="right"/>
              <w:ind w:right="251"/>
              <w:spacing w:after="0"/>
              <w:rPr>
                <w:sz w:val="20"/>
                <w:szCs w:val="20"/>
                <w:color w:val="auto"/>
              </w:rPr>
            </w:pPr>
            <w:r>
              <w:rPr>
                <w:rFonts w:ascii="Arial" w:cs="Arial" w:eastAsia="Arial" w:hAnsi="Arial"/>
                <w:sz w:val="14"/>
                <w:szCs w:val="14"/>
                <w:color w:val="14202A"/>
              </w:rPr>
              <w:t>25.7</w:t>
            </w:r>
          </w:p>
        </w:tc>
        <w:tc>
          <w:tcPr>
            <w:tcW w:w="820" w:type="dxa"/>
            <w:vAlign w:val="bottom"/>
          </w:tcPr>
          <w:p>
            <w:pPr>
              <w:jc w:val="right"/>
              <w:ind w:right="211"/>
              <w:spacing w:after="0"/>
              <w:rPr>
                <w:sz w:val="20"/>
                <w:szCs w:val="20"/>
                <w:color w:val="auto"/>
              </w:rPr>
            </w:pPr>
            <w:r>
              <w:rPr>
                <w:rFonts w:ascii="Arial" w:cs="Arial" w:eastAsia="Arial" w:hAnsi="Arial"/>
                <w:sz w:val="14"/>
                <w:szCs w:val="14"/>
                <w:color w:val="14202A"/>
              </w:rPr>
              <w:t>1.66</w:t>
            </w:r>
          </w:p>
        </w:tc>
        <w:tc>
          <w:tcPr>
            <w:tcW w:w="0" w:type="dxa"/>
            <w:vAlign w:val="bottom"/>
          </w:tcPr>
          <w:p>
            <w:pPr>
              <w:spacing w:after="0"/>
              <w:rPr>
                <w:sz w:val="1"/>
                <w:szCs w:val="1"/>
                <w:color w:val="auto"/>
              </w:rPr>
            </w:pPr>
          </w:p>
        </w:tc>
      </w:tr>
      <w:tr>
        <w:trPr>
          <w:trHeight w:val="49"/>
        </w:trPr>
        <w:tc>
          <w:tcPr>
            <w:tcW w:w="640" w:type="dxa"/>
            <w:vAlign w:val="bottom"/>
            <w:tcBorders>
              <w:bottom w:val="single" w:sz="8" w:color="14202A"/>
            </w:tcBorders>
            <w:gridSpan w:val="2"/>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gridSpan w:val="2"/>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1020" w:type="dxa"/>
            <w:vAlign w:val="bottom"/>
            <w:tcBorders>
              <w:bottom w:val="single" w:sz="8" w:color="14202A"/>
            </w:tcBorders>
          </w:tcPr>
          <w:p>
            <w:pPr>
              <w:spacing w:after="0"/>
              <w:rPr>
                <w:sz w:val="4"/>
                <w:szCs w:val="4"/>
                <w:color w:val="auto"/>
              </w:rPr>
            </w:pPr>
          </w:p>
        </w:tc>
        <w:tc>
          <w:tcPr>
            <w:tcW w:w="8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40" w:type="dxa"/>
            <w:vAlign w:val="bottom"/>
            <w:gridSpan w:val="2"/>
          </w:tcPr>
          <w:p>
            <w:pPr>
              <w:jc w:val="right"/>
              <w:ind w:right="97"/>
              <w:spacing w:after="0"/>
              <w:rPr>
                <w:sz w:val="20"/>
                <w:szCs w:val="20"/>
                <w:color w:val="auto"/>
              </w:rPr>
            </w:pPr>
            <w:r>
              <w:rPr>
                <w:rFonts w:ascii="Arial" w:cs="Arial" w:eastAsia="Arial" w:hAnsi="Arial"/>
                <w:sz w:val="14"/>
                <w:szCs w:val="14"/>
                <w:color w:val="14202A"/>
              </w:rPr>
              <w:t>2024</w:t>
            </w:r>
          </w:p>
        </w:tc>
        <w:tc>
          <w:tcPr>
            <w:tcW w:w="1160" w:type="dxa"/>
            <w:vAlign w:val="bottom"/>
          </w:tcPr>
          <w:p>
            <w:pPr>
              <w:jc w:val="center"/>
              <w:spacing w:after="0"/>
              <w:rPr>
                <w:sz w:val="20"/>
                <w:szCs w:val="20"/>
                <w:color w:val="auto"/>
              </w:rPr>
            </w:pPr>
            <w:r>
              <w:rPr>
                <w:rFonts w:ascii="Arial" w:cs="Arial" w:eastAsia="Arial" w:hAnsi="Arial"/>
                <w:sz w:val="14"/>
                <w:szCs w:val="14"/>
                <w:color w:val="14202A"/>
              </w:rPr>
              <w:t>7,217,231</w:t>
            </w:r>
          </w:p>
        </w:tc>
        <w:tc>
          <w:tcPr>
            <w:tcW w:w="1100" w:type="dxa"/>
            <w:vAlign w:val="bottom"/>
          </w:tcPr>
          <w:p>
            <w:pPr>
              <w:jc w:val="right"/>
              <w:ind w:right="192"/>
              <w:spacing w:after="0"/>
              <w:rPr>
                <w:sz w:val="20"/>
                <w:szCs w:val="20"/>
                <w:color w:val="auto"/>
              </w:rPr>
            </w:pPr>
            <w:r>
              <w:rPr>
                <w:rFonts w:ascii="Arial" w:cs="Arial" w:eastAsia="Arial" w:hAnsi="Arial"/>
                <w:sz w:val="14"/>
                <w:szCs w:val="14"/>
                <w:color w:val="14202A"/>
              </w:rPr>
              <w:t>4,265,209</w:t>
            </w:r>
          </w:p>
        </w:tc>
        <w:tc>
          <w:tcPr>
            <w:tcW w:w="1280" w:type="dxa"/>
            <w:vAlign w:val="bottom"/>
          </w:tcPr>
          <w:p>
            <w:pPr>
              <w:jc w:val="center"/>
              <w:ind w:right="14"/>
              <w:spacing w:after="0"/>
              <w:rPr>
                <w:sz w:val="20"/>
                <w:szCs w:val="20"/>
                <w:color w:val="auto"/>
              </w:rPr>
            </w:pPr>
            <w:r>
              <w:rPr>
                <w:rFonts w:ascii="Arial" w:cs="Arial" w:eastAsia="Arial" w:hAnsi="Arial"/>
                <w:sz w:val="14"/>
                <w:szCs w:val="14"/>
                <w:color w:val="14202A"/>
              </w:rPr>
              <w:t>2,846,983</w:t>
            </w:r>
          </w:p>
        </w:tc>
        <w:tc>
          <w:tcPr>
            <w:tcW w:w="1320" w:type="dxa"/>
            <w:vAlign w:val="bottom"/>
          </w:tcPr>
          <w:p>
            <w:pPr>
              <w:jc w:val="center"/>
              <w:spacing w:after="0"/>
              <w:rPr>
                <w:sz w:val="20"/>
                <w:szCs w:val="20"/>
                <w:color w:val="auto"/>
              </w:rPr>
            </w:pPr>
            <w:r>
              <w:rPr>
                <w:rFonts w:ascii="Arial" w:cs="Arial" w:eastAsia="Arial" w:hAnsi="Arial"/>
                <w:sz w:val="14"/>
                <w:szCs w:val="14"/>
                <w:color w:val="14202A"/>
              </w:rPr>
              <w:t>2,206,716</w:t>
            </w:r>
          </w:p>
        </w:tc>
        <w:tc>
          <w:tcPr>
            <w:tcW w:w="940" w:type="dxa"/>
            <w:vAlign w:val="bottom"/>
            <w:gridSpan w:val="2"/>
          </w:tcPr>
          <w:p>
            <w:pPr>
              <w:jc w:val="center"/>
              <w:spacing w:after="0"/>
              <w:rPr>
                <w:sz w:val="20"/>
                <w:szCs w:val="20"/>
                <w:color w:val="auto"/>
              </w:rPr>
            </w:pPr>
            <w:r>
              <w:rPr>
                <w:rFonts w:ascii="Arial" w:cs="Arial" w:eastAsia="Arial" w:hAnsi="Arial"/>
                <w:sz w:val="14"/>
                <w:szCs w:val="14"/>
                <w:color w:val="14202A"/>
              </w:rPr>
              <w:t>108.0</w:t>
            </w:r>
          </w:p>
        </w:tc>
        <w:tc>
          <w:tcPr>
            <w:tcW w:w="1000" w:type="dxa"/>
            <w:vAlign w:val="bottom"/>
          </w:tcPr>
          <w:p>
            <w:pPr>
              <w:jc w:val="center"/>
              <w:spacing w:after="0"/>
              <w:rPr>
                <w:sz w:val="20"/>
                <w:szCs w:val="20"/>
                <w:color w:val="auto"/>
              </w:rPr>
            </w:pPr>
            <w:r>
              <w:rPr>
                <w:rFonts w:ascii="Arial" w:cs="Arial" w:eastAsia="Arial" w:hAnsi="Arial"/>
                <w:sz w:val="14"/>
                <w:szCs w:val="14"/>
                <w:color w:val="14202A"/>
              </w:rPr>
              <w:t>109.2</w:t>
            </w:r>
          </w:p>
        </w:tc>
        <w:tc>
          <w:tcPr>
            <w:tcW w:w="1020" w:type="dxa"/>
            <w:vAlign w:val="bottom"/>
          </w:tcPr>
          <w:p>
            <w:pPr>
              <w:jc w:val="right"/>
              <w:ind w:right="251"/>
              <w:spacing w:after="0"/>
              <w:rPr>
                <w:sz w:val="20"/>
                <w:szCs w:val="20"/>
                <w:color w:val="auto"/>
              </w:rPr>
            </w:pPr>
            <w:r>
              <w:rPr>
                <w:rFonts w:ascii="Arial" w:cs="Arial" w:eastAsia="Arial" w:hAnsi="Arial"/>
                <w:sz w:val="14"/>
                <w:szCs w:val="14"/>
                <w:color w:val="14202A"/>
              </w:rPr>
              <w:t>13.0</w:t>
            </w:r>
          </w:p>
        </w:tc>
        <w:tc>
          <w:tcPr>
            <w:tcW w:w="820" w:type="dxa"/>
            <w:vAlign w:val="bottom"/>
          </w:tcPr>
          <w:p>
            <w:pPr>
              <w:jc w:val="right"/>
              <w:ind w:right="211"/>
              <w:spacing w:after="0"/>
              <w:rPr>
                <w:sz w:val="20"/>
                <w:szCs w:val="20"/>
                <w:color w:val="auto"/>
              </w:rPr>
            </w:pPr>
            <w:r>
              <w:rPr>
                <w:rFonts w:ascii="Arial" w:cs="Arial" w:eastAsia="Arial" w:hAnsi="Arial"/>
                <w:sz w:val="14"/>
                <w:szCs w:val="14"/>
                <w:color w:val="14202A"/>
              </w:rPr>
              <w:t>3.45</w:t>
            </w:r>
          </w:p>
        </w:tc>
        <w:tc>
          <w:tcPr>
            <w:tcW w:w="0" w:type="dxa"/>
            <w:vAlign w:val="bottom"/>
          </w:tcPr>
          <w:p>
            <w:pPr>
              <w:spacing w:after="0"/>
              <w:rPr>
                <w:sz w:val="1"/>
                <w:szCs w:val="1"/>
                <w:color w:val="auto"/>
              </w:rPr>
            </w:pPr>
          </w:p>
        </w:tc>
      </w:tr>
      <w:tr>
        <w:trPr>
          <w:trHeight w:val="48"/>
        </w:trPr>
        <w:tc>
          <w:tcPr>
            <w:tcW w:w="640" w:type="dxa"/>
            <w:vAlign w:val="bottom"/>
            <w:tcBorders>
              <w:bottom w:val="single" w:sz="8" w:color="14202A"/>
            </w:tcBorders>
            <w:gridSpan w:val="2"/>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gridSpan w:val="2"/>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1020" w:type="dxa"/>
            <w:vAlign w:val="bottom"/>
            <w:tcBorders>
              <w:bottom w:val="single" w:sz="8" w:color="14202A"/>
            </w:tcBorders>
          </w:tcPr>
          <w:p>
            <w:pPr>
              <w:spacing w:after="0"/>
              <w:rPr>
                <w:sz w:val="4"/>
                <w:szCs w:val="4"/>
                <w:color w:val="auto"/>
              </w:rPr>
            </w:pPr>
          </w:p>
        </w:tc>
        <w:tc>
          <w:tcPr>
            <w:tcW w:w="8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40" w:type="dxa"/>
            <w:vAlign w:val="bottom"/>
            <w:gridSpan w:val="2"/>
          </w:tcPr>
          <w:p>
            <w:pPr>
              <w:jc w:val="right"/>
              <w:ind w:right="97"/>
              <w:spacing w:after="0"/>
              <w:rPr>
                <w:sz w:val="20"/>
                <w:szCs w:val="20"/>
                <w:color w:val="auto"/>
              </w:rPr>
            </w:pPr>
            <w:r>
              <w:rPr>
                <w:rFonts w:ascii="Arial" w:cs="Arial" w:eastAsia="Arial" w:hAnsi="Arial"/>
                <w:sz w:val="14"/>
                <w:szCs w:val="14"/>
                <w:color w:val="14202A"/>
              </w:rPr>
              <w:t>2023</w:t>
            </w:r>
          </w:p>
        </w:tc>
        <w:tc>
          <w:tcPr>
            <w:tcW w:w="1160" w:type="dxa"/>
            <w:vAlign w:val="bottom"/>
          </w:tcPr>
          <w:p>
            <w:pPr>
              <w:jc w:val="center"/>
              <w:spacing w:after="0"/>
              <w:rPr>
                <w:sz w:val="20"/>
                <w:szCs w:val="20"/>
                <w:color w:val="auto"/>
              </w:rPr>
            </w:pPr>
            <w:r>
              <w:rPr>
                <w:rFonts w:ascii="Arial" w:cs="Arial" w:eastAsia="Arial" w:hAnsi="Arial"/>
                <w:sz w:val="14"/>
                <w:szCs w:val="14"/>
                <w:color w:val="14202A"/>
              </w:rPr>
              <w:t>6,677,728</w:t>
            </w:r>
          </w:p>
        </w:tc>
        <w:tc>
          <w:tcPr>
            <w:tcW w:w="1100" w:type="dxa"/>
            <w:vAlign w:val="bottom"/>
          </w:tcPr>
          <w:p>
            <w:pPr>
              <w:jc w:val="right"/>
              <w:ind w:right="192"/>
              <w:spacing w:after="0"/>
              <w:rPr>
                <w:sz w:val="20"/>
                <w:szCs w:val="20"/>
                <w:color w:val="auto"/>
              </w:rPr>
            </w:pPr>
            <w:r>
              <w:rPr>
                <w:rFonts w:ascii="Arial" w:cs="Arial" w:eastAsia="Arial" w:hAnsi="Arial"/>
                <w:sz w:val="14"/>
                <w:szCs w:val="14"/>
                <w:color w:val="14202A"/>
              </w:rPr>
              <w:t>4,040,446</w:t>
            </w:r>
          </w:p>
        </w:tc>
        <w:tc>
          <w:tcPr>
            <w:tcW w:w="1280" w:type="dxa"/>
            <w:vAlign w:val="bottom"/>
          </w:tcPr>
          <w:p>
            <w:pPr>
              <w:jc w:val="center"/>
              <w:ind w:right="14"/>
              <w:spacing w:after="0"/>
              <w:rPr>
                <w:sz w:val="20"/>
                <w:szCs w:val="20"/>
                <w:color w:val="auto"/>
              </w:rPr>
            </w:pPr>
            <w:r>
              <w:rPr>
                <w:rFonts w:ascii="Arial" w:cs="Arial" w:eastAsia="Arial" w:hAnsi="Arial"/>
                <w:sz w:val="14"/>
                <w:szCs w:val="14"/>
                <w:color w:val="14202A"/>
              </w:rPr>
              <w:t>2,946,821</w:t>
            </w:r>
          </w:p>
        </w:tc>
        <w:tc>
          <w:tcPr>
            <w:tcW w:w="1320" w:type="dxa"/>
            <w:vAlign w:val="bottom"/>
          </w:tcPr>
          <w:p>
            <w:pPr>
              <w:jc w:val="center"/>
              <w:spacing w:after="0"/>
              <w:rPr>
                <w:sz w:val="20"/>
                <w:szCs w:val="20"/>
                <w:color w:val="auto"/>
              </w:rPr>
            </w:pPr>
            <w:r>
              <w:rPr>
                <w:rFonts w:ascii="Arial" w:cs="Arial" w:eastAsia="Arial" w:hAnsi="Arial"/>
                <w:sz w:val="14"/>
                <w:szCs w:val="14"/>
                <w:color w:val="14202A"/>
              </w:rPr>
              <w:t>2,675,476</w:t>
            </w:r>
          </w:p>
        </w:tc>
        <w:tc>
          <w:tcPr>
            <w:tcW w:w="940" w:type="dxa"/>
            <w:vAlign w:val="bottom"/>
            <w:gridSpan w:val="2"/>
          </w:tcPr>
          <w:p>
            <w:pPr>
              <w:jc w:val="right"/>
              <w:ind w:right="239"/>
              <w:spacing w:after="0"/>
              <w:rPr>
                <w:sz w:val="20"/>
                <w:szCs w:val="20"/>
                <w:color w:val="auto"/>
              </w:rPr>
            </w:pPr>
            <w:r>
              <w:rPr>
                <w:rFonts w:ascii="Arial" w:cs="Arial" w:eastAsia="Arial" w:hAnsi="Arial"/>
                <w:sz w:val="14"/>
                <w:szCs w:val="14"/>
                <w:color w:val="14202A"/>
              </w:rPr>
              <w:t>112.9</w:t>
            </w:r>
          </w:p>
        </w:tc>
        <w:tc>
          <w:tcPr>
            <w:tcW w:w="1000" w:type="dxa"/>
            <w:vAlign w:val="bottom"/>
          </w:tcPr>
          <w:p>
            <w:pPr>
              <w:jc w:val="right"/>
              <w:ind w:right="255"/>
              <w:spacing w:after="0"/>
              <w:rPr>
                <w:sz w:val="20"/>
                <w:szCs w:val="20"/>
                <w:color w:val="auto"/>
              </w:rPr>
            </w:pPr>
            <w:r>
              <w:rPr>
                <w:rFonts w:ascii="Arial" w:cs="Arial" w:eastAsia="Arial" w:hAnsi="Arial"/>
                <w:sz w:val="14"/>
                <w:szCs w:val="14"/>
                <w:color w:val="14202A"/>
              </w:rPr>
              <w:t>114.2</w:t>
            </w:r>
          </w:p>
        </w:tc>
        <w:tc>
          <w:tcPr>
            <w:tcW w:w="1020" w:type="dxa"/>
            <w:vAlign w:val="bottom"/>
          </w:tcPr>
          <w:p>
            <w:pPr>
              <w:jc w:val="right"/>
              <w:ind w:right="251"/>
              <w:spacing w:after="0"/>
              <w:rPr>
                <w:sz w:val="20"/>
                <w:szCs w:val="20"/>
                <w:color w:val="auto"/>
              </w:rPr>
            </w:pPr>
            <w:r>
              <w:rPr>
                <w:rFonts w:ascii="Arial" w:cs="Arial" w:eastAsia="Arial" w:hAnsi="Arial"/>
                <w:sz w:val="14"/>
                <w:szCs w:val="14"/>
                <w:color w:val="14202A"/>
              </w:rPr>
              <w:t>215.9</w:t>
            </w:r>
          </w:p>
        </w:tc>
        <w:tc>
          <w:tcPr>
            <w:tcW w:w="820" w:type="dxa"/>
            <w:vAlign w:val="bottom"/>
          </w:tcPr>
          <w:p>
            <w:pPr>
              <w:jc w:val="right"/>
              <w:ind w:right="211"/>
              <w:spacing w:after="0"/>
              <w:rPr>
                <w:sz w:val="20"/>
                <w:szCs w:val="20"/>
                <w:color w:val="auto"/>
              </w:rPr>
            </w:pPr>
            <w:r>
              <w:rPr>
                <w:rFonts w:ascii="Arial" w:cs="Arial" w:eastAsia="Arial" w:hAnsi="Arial"/>
                <w:sz w:val="14"/>
                <w:szCs w:val="14"/>
                <w:color w:val="14202A"/>
              </w:rPr>
              <w:t>6.07</w:t>
            </w:r>
          </w:p>
        </w:tc>
        <w:tc>
          <w:tcPr>
            <w:tcW w:w="0" w:type="dxa"/>
            <w:vAlign w:val="bottom"/>
          </w:tcPr>
          <w:p>
            <w:pPr>
              <w:spacing w:after="0"/>
              <w:rPr>
                <w:sz w:val="1"/>
                <w:szCs w:val="1"/>
                <w:color w:val="auto"/>
              </w:rPr>
            </w:pPr>
          </w:p>
        </w:tc>
      </w:tr>
      <w:tr>
        <w:trPr>
          <w:trHeight w:val="49"/>
        </w:trPr>
        <w:tc>
          <w:tcPr>
            <w:tcW w:w="640" w:type="dxa"/>
            <w:vAlign w:val="bottom"/>
            <w:tcBorders>
              <w:bottom w:val="single" w:sz="8" w:color="14202A"/>
            </w:tcBorders>
            <w:gridSpan w:val="2"/>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gridSpan w:val="2"/>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1020" w:type="dxa"/>
            <w:vAlign w:val="bottom"/>
            <w:tcBorders>
              <w:bottom w:val="single" w:sz="8" w:color="14202A"/>
            </w:tcBorders>
          </w:tcPr>
          <w:p>
            <w:pPr>
              <w:spacing w:after="0"/>
              <w:rPr>
                <w:sz w:val="4"/>
                <w:szCs w:val="4"/>
                <w:color w:val="auto"/>
              </w:rPr>
            </w:pPr>
          </w:p>
        </w:tc>
        <w:tc>
          <w:tcPr>
            <w:tcW w:w="8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40" w:type="dxa"/>
            <w:vAlign w:val="bottom"/>
            <w:gridSpan w:val="2"/>
          </w:tcPr>
          <w:p>
            <w:pPr>
              <w:jc w:val="right"/>
              <w:ind w:right="97"/>
              <w:spacing w:after="0"/>
              <w:rPr>
                <w:sz w:val="20"/>
                <w:szCs w:val="20"/>
                <w:color w:val="auto"/>
              </w:rPr>
            </w:pPr>
            <w:r>
              <w:rPr>
                <w:rFonts w:ascii="Arial" w:cs="Arial" w:eastAsia="Arial" w:hAnsi="Arial"/>
                <w:sz w:val="14"/>
                <w:szCs w:val="14"/>
                <w:color w:val="14202A"/>
              </w:rPr>
              <w:t>2022</w:t>
            </w:r>
          </w:p>
        </w:tc>
        <w:tc>
          <w:tcPr>
            <w:tcW w:w="1160" w:type="dxa"/>
            <w:vAlign w:val="bottom"/>
          </w:tcPr>
          <w:p>
            <w:pPr>
              <w:jc w:val="center"/>
              <w:spacing w:after="0"/>
              <w:rPr>
                <w:sz w:val="20"/>
                <w:szCs w:val="20"/>
                <w:color w:val="auto"/>
              </w:rPr>
            </w:pPr>
            <w:r>
              <w:rPr>
                <w:rFonts w:ascii="Arial" w:cs="Arial" w:eastAsia="Arial" w:hAnsi="Arial"/>
                <w:sz w:val="14"/>
                <w:szCs w:val="14"/>
                <w:color w:val="14202A"/>
              </w:rPr>
              <w:t>6,676,569</w:t>
            </w:r>
          </w:p>
        </w:tc>
        <w:tc>
          <w:tcPr>
            <w:tcW w:w="1100" w:type="dxa"/>
            <w:vAlign w:val="bottom"/>
          </w:tcPr>
          <w:p>
            <w:pPr>
              <w:jc w:val="right"/>
              <w:ind w:right="192"/>
              <w:spacing w:after="0"/>
              <w:rPr>
                <w:sz w:val="20"/>
                <w:szCs w:val="20"/>
                <w:color w:val="auto"/>
              </w:rPr>
            </w:pPr>
            <w:r>
              <w:rPr>
                <w:rFonts w:ascii="Arial" w:cs="Arial" w:eastAsia="Arial" w:hAnsi="Arial"/>
                <w:sz w:val="14"/>
                <w:szCs w:val="14"/>
                <w:color w:val="14202A"/>
              </w:rPr>
              <w:t>5,569,618</w:t>
            </w:r>
          </w:p>
        </w:tc>
        <w:tc>
          <w:tcPr>
            <w:tcW w:w="1280" w:type="dxa"/>
            <w:vAlign w:val="bottom"/>
          </w:tcPr>
          <w:p>
            <w:pPr>
              <w:jc w:val="center"/>
              <w:ind w:right="14"/>
              <w:spacing w:after="0"/>
              <w:rPr>
                <w:sz w:val="20"/>
                <w:szCs w:val="20"/>
                <w:color w:val="auto"/>
              </w:rPr>
            </w:pPr>
            <w:r>
              <w:rPr>
                <w:rFonts w:ascii="Arial" w:cs="Arial" w:eastAsia="Arial" w:hAnsi="Arial"/>
                <w:sz w:val="14"/>
                <w:szCs w:val="14"/>
                <w:color w:val="14202A"/>
              </w:rPr>
              <w:t>4,824,469</w:t>
            </w:r>
          </w:p>
        </w:tc>
        <w:tc>
          <w:tcPr>
            <w:tcW w:w="1320" w:type="dxa"/>
            <w:vAlign w:val="bottom"/>
          </w:tcPr>
          <w:p>
            <w:pPr>
              <w:jc w:val="center"/>
              <w:spacing w:after="0"/>
              <w:rPr>
                <w:sz w:val="20"/>
                <w:szCs w:val="20"/>
                <w:color w:val="auto"/>
              </w:rPr>
            </w:pPr>
            <w:r>
              <w:rPr>
                <w:rFonts w:ascii="Arial" w:cs="Arial" w:eastAsia="Arial" w:hAnsi="Arial"/>
                <w:sz w:val="14"/>
                <w:szCs w:val="14"/>
                <w:color w:val="14202A"/>
              </w:rPr>
              <w:t>4,871,036</w:t>
            </w:r>
          </w:p>
        </w:tc>
        <w:tc>
          <w:tcPr>
            <w:tcW w:w="940" w:type="dxa"/>
            <w:vAlign w:val="bottom"/>
            <w:gridSpan w:val="2"/>
          </w:tcPr>
          <w:p>
            <w:pPr>
              <w:jc w:val="center"/>
              <w:spacing w:after="0"/>
              <w:rPr>
                <w:sz w:val="20"/>
                <w:szCs w:val="20"/>
                <w:color w:val="auto"/>
              </w:rPr>
            </w:pPr>
            <w:r>
              <w:rPr>
                <w:rFonts w:ascii="Arial" w:cs="Arial" w:eastAsia="Arial" w:hAnsi="Arial"/>
                <w:sz w:val="14"/>
                <w:szCs w:val="14"/>
                <w:color w:val="14202A"/>
              </w:rPr>
              <w:t>106.7</w:t>
            </w:r>
          </w:p>
        </w:tc>
        <w:tc>
          <w:tcPr>
            <w:tcW w:w="1000" w:type="dxa"/>
            <w:vAlign w:val="bottom"/>
          </w:tcPr>
          <w:p>
            <w:pPr>
              <w:jc w:val="right"/>
              <w:ind w:right="255"/>
              <w:spacing w:after="0"/>
              <w:rPr>
                <w:sz w:val="20"/>
                <w:szCs w:val="20"/>
                <w:color w:val="auto"/>
              </w:rPr>
            </w:pPr>
            <w:r>
              <w:rPr>
                <w:rFonts w:ascii="Arial" w:cs="Arial" w:eastAsia="Arial" w:hAnsi="Arial"/>
                <w:sz w:val="14"/>
                <w:szCs w:val="14"/>
                <w:color w:val="14202A"/>
              </w:rPr>
              <w:t>115.2</w:t>
            </w:r>
          </w:p>
        </w:tc>
        <w:tc>
          <w:tcPr>
            <w:tcW w:w="1020" w:type="dxa"/>
            <w:vAlign w:val="bottom"/>
          </w:tcPr>
          <w:p>
            <w:pPr>
              <w:jc w:val="right"/>
              <w:ind w:right="231"/>
              <w:spacing w:after="0"/>
              <w:rPr>
                <w:sz w:val="20"/>
                <w:szCs w:val="20"/>
                <w:color w:val="auto"/>
              </w:rPr>
            </w:pPr>
            <w:r>
              <w:rPr>
                <w:rFonts w:ascii="Arial" w:cs="Arial" w:eastAsia="Arial" w:hAnsi="Arial"/>
                <w:sz w:val="14"/>
                <w:szCs w:val="14"/>
                <w:color w:val="14202A"/>
              </w:rPr>
              <w:t>390.6</w:t>
            </w:r>
          </w:p>
        </w:tc>
        <w:tc>
          <w:tcPr>
            <w:tcW w:w="820" w:type="dxa"/>
            <w:vAlign w:val="bottom"/>
          </w:tcPr>
          <w:p>
            <w:pPr>
              <w:jc w:val="right"/>
              <w:ind w:right="191"/>
              <w:spacing w:after="0"/>
              <w:rPr>
                <w:sz w:val="20"/>
                <w:szCs w:val="20"/>
                <w:color w:val="auto"/>
              </w:rPr>
            </w:pPr>
            <w:r>
              <w:rPr>
                <w:rFonts w:ascii="Arial" w:cs="Arial" w:eastAsia="Arial" w:hAnsi="Arial"/>
                <w:sz w:val="14"/>
                <w:szCs w:val="14"/>
                <w:color w:val="14202A"/>
              </w:rPr>
              <w:t>12.39</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540" w:type="dxa"/>
            <w:vAlign w:val="bottom"/>
            <w:tcBorders>
              <w:bottom w:val="single" w:sz="8" w:color="14202A"/>
            </w:tcBorders>
          </w:tcPr>
          <w:p>
            <w:pPr>
              <w:spacing w:after="0" w:line="20" w:lineRule="exact"/>
              <w:rPr>
                <w:sz w:val="1"/>
                <w:szCs w:val="1"/>
                <w:color w:val="auto"/>
              </w:rPr>
            </w:pPr>
          </w:p>
        </w:tc>
        <w:tc>
          <w:tcPr>
            <w:tcW w:w="1160" w:type="dxa"/>
            <w:vAlign w:val="bottom"/>
            <w:tcBorders>
              <w:bottom w:val="single" w:sz="8" w:color="14202A"/>
            </w:tcBorders>
          </w:tcPr>
          <w:p>
            <w:pPr>
              <w:spacing w:after="0" w:line="20" w:lineRule="exact"/>
              <w:rPr>
                <w:sz w:val="1"/>
                <w:szCs w:val="1"/>
                <w:color w:val="auto"/>
              </w:rPr>
            </w:pPr>
          </w:p>
        </w:tc>
        <w:tc>
          <w:tcPr>
            <w:tcW w:w="1100" w:type="dxa"/>
            <w:vAlign w:val="bottom"/>
            <w:tcBorders>
              <w:bottom w:val="single" w:sz="8" w:color="14202A"/>
            </w:tcBorders>
          </w:tcPr>
          <w:p>
            <w:pPr>
              <w:spacing w:after="0" w:line="20" w:lineRule="exact"/>
              <w:rPr>
                <w:sz w:val="1"/>
                <w:szCs w:val="1"/>
                <w:color w:val="auto"/>
              </w:rPr>
            </w:pPr>
          </w:p>
        </w:tc>
        <w:tc>
          <w:tcPr>
            <w:tcW w:w="1280" w:type="dxa"/>
            <w:vAlign w:val="bottom"/>
            <w:tcBorders>
              <w:bottom w:val="single" w:sz="8" w:color="14202A"/>
            </w:tcBorders>
          </w:tcPr>
          <w:p>
            <w:pPr>
              <w:spacing w:after="0" w:line="20" w:lineRule="exact"/>
              <w:rPr>
                <w:sz w:val="1"/>
                <w:szCs w:val="1"/>
                <w:color w:val="auto"/>
              </w:rPr>
            </w:pPr>
          </w:p>
        </w:tc>
        <w:tc>
          <w:tcPr>
            <w:tcW w:w="1320" w:type="dxa"/>
            <w:vAlign w:val="bottom"/>
            <w:tcBorders>
              <w:bottom w:val="single" w:sz="8" w:color="14202A"/>
            </w:tcBorders>
          </w:tcPr>
          <w:p>
            <w:pPr>
              <w:spacing w:after="0" w:line="20" w:lineRule="exact"/>
              <w:rPr>
                <w:sz w:val="1"/>
                <w:szCs w:val="1"/>
                <w:color w:val="auto"/>
              </w:rPr>
            </w:pPr>
          </w:p>
        </w:tc>
        <w:tc>
          <w:tcPr>
            <w:tcW w:w="60" w:type="dxa"/>
            <w:vAlign w:val="bottom"/>
            <w:tcBorders>
              <w:bottom w:val="single" w:sz="8" w:color="14202A"/>
            </w:tcBorders>
          </w:tcPr>
          <w:p>
            <w:pPr>
              <w:spacing w:after="0" w:line="20" w:lineRule="exact"/>
              <w:rPr>
                <w:sz w:val="1"/>
                <w:szCs w:val="1"/>
                <w:color w:val="auto"/>
              </w:rPr>
            </w:pPr>
          </w:p>
        </w:tc>
        <w:tc>
          <w:tcPr>
            <w:tcW w:w="880" w:type="dxa"/>
            <w:vAlign w:val="bottom"/>
            <w:tcBorders>
              <w:bottom w:val="single" w:sz="8" w:color="14202A"/>
            </w:tcBorders>
          </w:tcPr>
          <w:p>
            <w:pPr>
              <w:spacing w:after="0" w:line="20" w:lineRule="exact"/>
              <w:rPr>
                <w:sz w:val="1"/>
                <w:szCs w:val="1"/>
                <w:color w:val="auto"/>
              </w:rPr>
            </w:pPr>
          </w:p>
        </w:tc>
        <w:tc>
          <w:tcPr>
            <w:tcW w:w="1000" w:type="dxa"/>
            <w:vAlign w:val="bottom"/>
            <w:tcBorders>
              <w:bottom w:val="single" w:sz="8" w:color="14202A"/>
            </w:tcBorders>
          </w:tcPr>
          <w:p>
            <w:pPr>
              <w:spacing w:after="0" w:line="20" w:lineRule="exact"/>
              <w:rPr>
                <w:sz w:val="1"/>
                <w:szCs w:val="1"/>
                <w:color w:val="auto"/>
              </w:rPr>
            </w:pPr>
          </w:p>
        </w:tc>
        <w:tc>
          <w:tcPr>
            <w:tcW w:w="1020" w:type="dxa"/>
            <w:vAlign w:val="bottom"/>
            <w:tcBorders>
              <w:bottom w:val="single" w:sz="8" w:color="14202A"/>
            </w:tcBorders>
          </w:tcPr>
          <w:p>
            <w:pPr>
              <w:spacing w:after="0" w:line="20" w:lineRule="exact"/>
              <w:rPr>
                <w:sz w:val="1"/>
                <w:szCs w:val="1"/>
                <w:color w:val="auto"/>
              </w:rPr>
            </w:pPr>
          </w:p>
        </w:tc>
        <w:tc>
          <w:tcPr>
            <w:tcW w:w="82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3060" w:hanging="360"/>
        <w:spacing w:after="0" w:line="226" w:lineRule="auto"/>
        <w:tabs>
          <w:tab w:leader="none" w:pos="351" w:val="left"/>
        </w:tabs>
        <w:numPr>
          <w:ilvl w:val="0"/>
          <w:numId w:val="46"/>
        </w:numPr>
        <w:rPr>
          <w:rFonts w:ascii="Arial" w:cs="Arial" w:eastAsia="Arial" w:hAnsi="Arial"/>
          <w:sz w:val="13"/>
          <w:szCs w:val="13"/>
          <w:color w:val="14202A"/>
        </w:rPr>
      </w:pPr>
      <w:r>
        <w:rPr>
          <w:rFonts w:ascii="Arial" w:cs="Arial" w:eastAsia="Arial" w:hAnsi="Arial"/>
          <w:sz w:val="13"/>
          <w:szCs w:val="13"/>
          <w:color w:val="14202A"/>
        </w:rPr>
        <w:t>The CEO reflected above is Mr. Happe. The non-CEO NEOs reflect the following individuals in each year: 2026: Messrs. Clark, Hughes and Tubman, and Ms. Bogart</w:t>
      </w:r>
    </w:p>
    <w:p>
      <w:pPr>
        <w:ind w:left="360"/>
        <w:spacing w:after="0" w:line="216" w:lineRule="auto"/>
        <w:rPr>
          <w:rFonts w:ascii="Arial" w:cs="Arial" w:eastAsia="Arial" w:hAnsi="Arial"/>
          <w:sz w:val="13"/>
          <w:szCs w:val="13"/>
          <w:color w:val="14202A"/>
        </w:rPr>
      </w:pPr>
      <w:r>
        <w:rPr>
          <w:rFonts w:ascii="Arial" w:cs="Arial" w:eastAsia="Arial" w:hAnsi="Arial"/>
          <w:sz w:val="13"/>
          <w:szCs w:val="13"/>
          <w:color w:val="14202A"/>
        </w:rPr>
        <w:t>2025: Messrs. Clark, Hughes and Tubman, and Ms. Bogart</w:t>
      </w:r>
    </w:p>
    <w:p>
      <w:pPr>
        <w:ind w:left="360"/>
        <w:spacing w:after="0" w:line="216" w:lineRule="auto"/>
        <w:rPr>
          <w:rFonts w:ascii="Arial" w:cs="Arial" w:eastAsia="Arial" w:hAnsi="Arial"/>
          <w:sz w:val="13"/>
          <w:szCs w:val="13"/>
          <w:color w:val="14202A"/>
        </w:rPr>
      </w:pPr>
      <w:r>
        <w:rPr>
          <w:rFonts w:ascii="Arial" w:cs="Arial" w:eastAsia="Arial" w:hAnsi="Arial"/>
          <w:sz w:val="13"/>
          <w:szCs w:val="13"/>
          <w:color w:val="14202A"/>
        </w:rPr>
        <w:t>2024: Messrs. Bower, Clark, Hughes and Tubman</w:t>
      </w:r>
    </w:p>
    <w:p>
      <w:pPr>
        <w:ind w:left="360"/>
        <w:spacing w:after="0" w:line="216" w:lineRule="auto"/>
        <w:rPr>
          <w:rFonts w:ascii="Arial" w:cs="Arial" w:eastAsia="Arial" w:hAnsi="Arial"/>
          <w:sz w:val="13"/>
          <w:szCs w:val="13"/>
          <w:color w:val="14202A"/>
        </w:rPr>
      </w:pPr>
      <w:r>
        <w:rPr>
          <w:rFonts w:ascii="Arial" w:cs="Arial" w:eastAsia="Arial" w:hAnsi="Arial"/>
          <w:sz w:val="13"/>
          <w:szCs w:val="13"/>
          <w:color w:val="14202A"/>
        </w:rPr>
        <w:t>2023: Ms. Bogart and Messrs. Bower, Clark and Hughes</w:t>
      </w:r>
    </w:p>
    <w:p>
      <w:pPr>
        <w:ind w:left="360"/>
        <w:spacing w:after="0"/>
        <w:rPr>
          <w:rFonts w:ascii="Arial" w:cs="Arial" w:eastAsia="Arial" w:hAnsi="Arial"/>
          <w:sz w:val="13"/>
          <w:szCs w:val="13"/>
          <w:color w:val="14202A"/>
        </w:rPr>
      </w:pPr>
      <w:r>
        <w:rPr>
          <w:rFonts w:ascii="Arial" w:cs="Arial" w:eastAsia="Arial" w:hAnsi="Arial"/>
          <w:sz w:val="13"/>
          <w:szCs w:val="13"/>
          <w:color w:val="14202A"/>
        </w:rPr>
        <w:t>2022: Ms. Bogart and Messrs. Bower, Clark and Hughes</w:t>
      </w:r>
    </w:p>
    <w:p>
      <w:pPr>
        <w:spacing w:after="0" w:line="27" w:lineRule="exact"/>
        <w:rPr>
          <w:rFonts w:ascii="Arial" w:cs="Arial" w:eastAsia="Arial" w:hAnsi="Arial"/>
          <w:sz w:val="13"/>
          <w:szCs w:val="13"/>
          <w:color w:val="14202A"/>
        </w:rPr>
      </w:pPr>
    </w:p>
    <w:p>
      <w:pPr>
        <w:ind w:left="360" w:right="600" w:hanging="360"/>
        <w:spacing w:after="0" w:line="243" w:lineRule="auto"/>
        <w:tabs>
          <w:tab w:leader="none" w:pos="360" w:val="left"/>
        </w:tabs>
        <w:numPr>
          <w:ilvl w:val="0"/>
          <w:numId w:val="46"/>
        </w:numPr>
        <w:rPr>
          <w:rFonts w:ascii="Arial" w:cs="Arial" w:eastAsia="Arial" w:hAnsi="Arial"/>
          <w:sz w:val="13"/>
          <w:szCs w:val="13"/>
          <w:color w:val="14202A"/>
        </w:rPr>
      </w:pPr>
      <w:r>
        <w:rPr>
          <w:rFonts w:ascii="Arial" w:cs="Arial" w:eastAsia="Arial" w:hAnsi="Arial"/>
          <w:sz w:val="13"/>
          <w:szCs w:val="13"/>
          <w:color w:val="14202A"/>
        </w:rPr>
        <w:t>Company and peer group Total Shareholder Return (“TSR”) for each year reflects what the cumulative value of a $100 investment would be, including reinvestment of dividends, if such an amount were invested on August 27, 2021, the last trading day of Fiscal 2021.</w:t>
      </w:r>
    </w:p>
    <w:p>
      <w:pPr>
        <w:spacing w:after="0" w:line="21" w:lineRule="exact"/>
        <w:rPr>
          <w:rFonts w:ascii="Arial" w:cs="Arial" w:eastAsia="Arial" w:hAnsi="Arial"/>
          <w:sz w:val="13"/>
          <w:szCs w:val="13"/>
          <w:color w:val="14202A"/>
        </w:rPr>
      </w:pPr>
    </w:p>
    <w:p>
      <w:pPr>
        <w:ind w:left="360" w:hanging="360"/>
        <w:spacing w:after="0"/>
        <w:tabs>
          <w:tab w:leader="none" w:pos="360" w:val="left"/>
        </w:tabs>
        <w:numPr>
          <w:ilvl w:val="0"/>
          <w:numId w:val="46"/>
        </w:numPr>
        <w:rPr>
          <w:rFonts w:ascii="Arial" w:cs="Arial" w:eastAsia="Arial" w:hAnsi="Arial"/>
          <w:sz w:val="13"/>
          <w:szCs w:val="13"/>
          <w:color w:val="14202A"/>
        </w:rPr>
      </w:pPr>
      <w:r>
        <w:rPr>
          <w:rFonts w:ascii="Arial" w:cs="Arial" w:eastAsia="Arial" w:hAnsi="Arial"/>
          <w:sz w:val="13"/>
          <w:szCs w:val="13"/>
          <w:color w:val="14202A"/>
        </w:rPr>
        <w:t>Peer group TSR is calculated using the Russell 3000 Recreational Vehicles and Boats Subsector Index.</w:t>
      </w:r>
    </w:p>
    <w:p>
      <w:pPr>
        <w:spacing w:after="0" w:line="39" w:lineRule="exact"/>
        <w:rPr>
          <w:rFonts w:ascii="Arial" w:cs="Arial" w:eastAsia="Arial" w:hAnsi="Arial"/>
          <w:sz w:val="13"/>
          <w:szCs w:val="13"/>
          <w:color w:val="14202A"/>
        </w:rPr>
      </w:pPr>
    </w:p>
    <w:p>
      <w:pPr>
        <w:ind w:left="360" w:right="20" w:hanging="360"/>
        <w:spacing w:after="0" w:line="233" w:lineRule="auto"/>
        <w:tabs>
          <w:tab w:leader="none" w:pos="360" w:val="left"/>
        </w:tabs>
        <w:numPr>
          <w:ilvl w:val="0"/>
          <w:numId w:val="46"/>
        </w:numPr>
        <w:rPr>
          <w:rFonts w:ascii="Arial" w:cs="Arial" w:eastAsia="Arial" w:hAnsi="Arial"/>
          <w:sz w:val="13"/>
          <w:szCs w:val="13"/>
          <w:color w:val="14202A"/>
        </w:rPr>
      </w:pPr>
      <w:r>
        <w:rPr>
          <w:rFonts w:ascii="Arial" w:cs="Arial" w:eastAsia="Arial" w:hAnsi="Arial"/>
          <w:sz w:val="13"/>
          <w:szCs w:val="13"/>
          <w:color w:val="14202A"/>
        </w:rPr>
        <w:t>Our company-selected measure, which is the measure we believe represents the most important financial performance metric used to link compensation paid to our NEOs in Fiscal 2026 to our performance is Incentive EPS. This is a non-GAAP measure, which is defined above under “Compensation Discussion and Analysis – Fiscal 2026 Equity Awards.”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14202A"/>
        </w:rPr>
        <w:t>Compensation Actually Paid (“CAP”) illustrated in the table above is calculated by making the following adjustments from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Summary Compensation Table (“SCT”) totals as follows: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Item and Value Added (Deducted)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784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For CEO:</w:t>
            </w:r>
          </w:p>
        </w:tc>
        <w:tc>
          <w:tcPr>
            <w:tcW w:w="1340" w:type="dxa"/>
            <w:vAlign w:val="bottom"/>
            <w:shd w:val="clear" w:color="auto" w:fill="14202A"/>
          </w:tcPr>
          <w:p>
            <w:pPr>
              <w:jc w:val="right"/>
              <w:ind w:right="271"/>
              <w:spacing w:after="0"/>
              <w:rPr>
                <w:sz w:val="20"/>
                <w:szCs w:val="20"/>
                <w:color w:val="auto"/>
              </w:rPr>
            </w:pPr>
            <w:r>
              <w:rPr>
                <w:rFonts w:ascii="Arial" w:cs="Arial" w:eastAsia="Arial" w:hAnsi="Arial"/>
                <w:sz w:val="13"/>
                <w:szCs w:val="13"/>
                <w:b w:val="1"/>
                <w:bCs w:val="1"/>
                <w:color w:val="FFFFFF"/>
              </w:rPr>
              <w:t>2026</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7840" w:type="dxa"/>
            <w:vAlign w:val="bottom"/>
            <w:vMerge w:val="continue"/>
            <w:shd w:val="clear" w:color="auto" w:fill="14202A"/>
          </w:tcPr>
          <w:p>
            <w:pPr>
              <w:spacing w:after="0"/>
              <w:rPr>
                <w:sz w:val="14"/>
                <w:szCs w:val="14"/>
                <w:color w:val="auto"/>
              </w:rPr>
            </w:pPr>
          </w:p>
        </w:tc>
        <w:tc>
          <w:tcPr>
            <w:tcW w:w="1340" w:type="dxa"/>
            <w:vAlign w:val="bottom"/>
            <w:shd w:val="clear" w:color="auto" w:fill="14202A"/>
          </w:tcPr>
          <w:p>
            <w:pPr>
              <w:jc w:val="right"/>
              <w:ind w:right="331"/>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7840" w:type="dxa"/>
            <w:vAlign w:val="bottom"/>
            <w:shd w:val="clear" w:color="auto" w:fill="14202A"/>
          </w:tcPr>
          <w:p>
            <w:pPr>
              <w:spacing w:after="0"/>
              <w:rPr>
                <w:sz w:val="5"/>
                <w:szCs w:val="5"/>
                <w:color w:val="auto"/>
              </w:rPr>
            </w:pPr>
          </w:p>
        </w:tc>
        <w:tc>
          <w:tcPr>
            <w:tcW w:w="134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14202A"/>
              </w:rPr>
              <w:t>- SCT “Stock Awards” column value</w:t>
            </w:r>
          </w:p>
        </w:tc>
        <w:tc>
          <w:tcPr>
            <w:tcW w:w="1340" w:type="dxa"/>
            <w:vAlign w:val="bottom"/>
          </w:tcPr>
          <w:p>
            <w:pPr>
              <w:jc w:val="right"/>
              <w:ind w:right="91"/>
              <w:spacing w:after="0"/>
              <w:rPr>
                <w:sz w:val="20"/>
                <w:szCs w:val="20"/>
                <w:color w:val="auto"/>
              </w:rPr>
            </w:pPr>
            <w:r>
              <w:rPr>
                <w:rFonts w:ascii="Arial" w:cs="Arial" w:eastAsia="Arial" w:hAnsi="Arial"/>
                <w:sz w:val="14"/>
                <w:szCs w:val="14"/>
                <w:color w:val="14202A"/>
              </w:rPr>
              <w:t>5,185,003</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784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14202A"/>
              </w:rPr>
              <w:t>- SCT “Option Awards” column value</w:t>
            </w:r>
          </w:p>
        </w:tc>
        <w:tc>
          <w:tcPr>
            <w:tcW w:w="1340" w:type="dxa"/>
            <w:vAlign w:val="bottom"/>
          </w:tcPr>
          <w:p>
            <w:pPr>
              <w:jc w:val="right"/>
              <w:ind w:right="91"/>
              <w:spacing w:after="0"/>
              <w:rPr>
                <w:sz w:val="20"/>
                <w:szCs w:val="20"/>
                <w:color w:val="auto"/>
              </w:rPr>
            </w:pPr>
            <w:r>
              <w:rPr>
                <w:rFonts w:ascii="Arial" w:cs="Arial" w:eastAsia="Arial" w:hAnsi="Arial"/>
                <w:sz w:val="14"/>
                <w:szCs w:val="14"/>
                <w:color w:val="14202A"/>
              </w:rPr>
              <w:t>914,997</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784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14202A"/>
              </w:rPr>
              <w:t>+ Fiscal 2026 year end fair value of awards granted in Fiscal 2026 that are outstanding and unvested at the end of</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4"/>
                <w:szCs w:val="14"/>
                <w:color w:val="14202A"/>
              </w:rPr>
              <w:t>Fiscal 2026</w:t>
            </w:r>
          </w:p>
        </w:tc>
        <w:tc>
          <w:tcPr>
            <w:tcW w:w="1340" w:type="dxa"/>
            <w:vAlign w:val="bottom"/>
          </w:tcPr>
          <w:p>
            <w:pPr>
              <w:jc w:val="right"/>
              <w:ind w:right="91"/>
              <w:spacing w:after="0"/>
              <w:rPr>
                <w:sz w:val="20"/>
                <w:szCs w:val="20"/>
                <w:color w:val="auto"/>
              </w:rPr>
            </w:pPr>
            <w:r>
              <w:rPr>
                <w:rFonts w:ascii="Arial" w:cs="Arial" w:eastAsia="Arial" w:hAnsi="Arial"/>
                <w:sz w:val="14"/>
                <w:szCs w:val="14"/>
                <w:color w:val="14202A"/>
              </w:rPr>
              <w:t>5,006,474</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784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14202A"/>
              </w:rPr>
              <w:t>+/- difference between the fair value of awards from the end of Fiscal 2025 to the end of Fiscal 2026 for awards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4"/>
                <w:szCs w:val="14"/>
                <w:color w:val="14202A"/>
              </w:rPr>
              <w:t>granted in any fiscal year prior to Fiscal 2026 that are outstanding and unvested at the end of Fiscal 2026</w:t>
            </w:r>
          </w:p>
        </w:tc>
        <w:tc>
          <w:tcPr>
            <w:tcW w:w="1340" w:type="dxa"/>
            <w:vAlign w:val="bottom"/>
          </w:tcPr>
          <w:p>
            <w:pPr>
              <w:jc w:val="right"/>
              <w:ind w:right="31"/>
              <w:spacing w:after="0"/>
              <w:rPr>
                <w:sz w:val="20"/>
                <w:szCs w:val="20"/>
                <w:color w:val="auto"/>
              </w:rPr>
            </w:pPr>
            <w:r>
              <w:rPr>
                <w:rFonts w:ascii="Arial" w:cs="Arial" w:eastAsia="Arial" w:hAnsi="Arial"/>
                <w:sz w:val="14"/>
                <w:szCs w:val="14"/>
                <w:color w:val="14202A"/>
              </w:rPr>
              <w:t>(1,632,185)</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784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14202A"/>
              </w:rPr>
              <w:t>+/- change in fair value from the end of Fiscal 2025 to the vesting date for awards granted in any fiscal year prior to</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4"/>
                <w:szCs w:val="14"/>
                <w:color w:val="14202A"/>
              </w:rPr>
              <w:t>Fiscal 2026 which vested during Fiscal 2026</w:t>
            </w:r>
          </w:p>
        </w:tc>
        <w:tc>
          <w:tcPr>
            <w:tcW w:w="1340" w:type="dxa"/>
            <w:vAlign w:val="bottom"/>
          </w:tcPr>
          <w:p>
            <w:pPr>
              <w:jc w:val="right"/>
              <w:ind w:right="31"/>
              <w:spacing w:after="0"/>
              <w:rPr>
                <w:sz w:val="20"/>
                <w:szCs w:val="20"/>
                <w:color w:val="auto"/>
              </w:rPr>
            </w:pPr>
            <w:r>
              <w:rPr>
                <w:rFonts w:ascii="Arial" w:cs="Arial" w:eastAsia="Arial" w:hAnsi="Arial"/>
                <w:sz w:val="14"/>
                <w:szCs w:val="14"/>
                <w:color w:val="14202A"/>
              </w:rPr>
              <w:t>(337,630)</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7840" w:type="dxa"/>
            <w:vAlign w:val="bottom"/>
            <w:tcBorders>
              <w:bottom w:val="single" w:sz="8" w:color="14202A"/>
            </w:tcBorders>
          </w:tcPr>
          <w:p>
            <w:pPr>
              <w:spacing w:after="0" w:line="20" w:lineRule="exact"/>
              <w:rPr>
                <w:sz w:val="1"/>
                <w:szCs w:val="1"/>
                <w:color w:val="auto"/>
              </w:rPr>
            </w:pPr>
          </w:p>
        </w:tc>
        <w:tc>
          <w:tcPr>
            <w:tcW w:w="134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172085</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790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For Other Named Executive Officers (Average)</w:t>
            </w:r>
          </w:p>
        </w:tc>
        <w:tc>
          <w:tcPr>
            <w:tcW w:w="1280" w:type="dxa"/>
            <w:vAlign w:val="bottom"/>
            <w:shd w:val="clear" w:color="auto" w:fill="14202A"/>
          </w:tcPr>
          <w:p>
            <w:pPr>
              <w:jc w:val="center"/>
              <w:ind w:left="371"/>
              <w:spacing w:after="0"/>
              <w:rPr>
                <w:sz w:val="20"/>
                <w:szCs w:val="20"/>
                <w:color w:val="auto"/>
              </w:rPr>
            </w:pPr>
            <w:r>
              <w:rPr>
                <w:rFonts w:ascii="Arial" w:cs="Arial" w:eastAsia="Arial" w:hAnsi="Arial"/>
                <w:sz w:val="13"/>
                <w:szCs w:val="13"/>
                <w:b w:val="1"/>
                <w:bCs w:val="1"/>
                <w:color w:val="FFFFFF"/>
                <w:w w:val="96"/>
              </w:rPr>
              <w:t>2026</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7900" w:type="dxa"/>
            <w:vAlign w:val="bottom"/>
            <w:vMerge w:val="continue"/>
            <w:shd w:val="clear" w:color="auto" w:fill="14202A"/>
          </w:tcPr>
          <w:p>
            <w:pPr>
              <w:spacing w:after="0"/>
              <w:rPr>
                <w:sz w:val="14"/>
                <w:szCs w:val="14"/>
                <w:color w:val="auto"/>
              </w:rPr>
            </w:pPr>
          </w:p>
        </w:tc>
        <w:tc>
          <w:tcPr>
            <w:tcW w:w="1280" w:type="dxa"/>
            <w:vAlign w:val="bottom"/>
            <w:shd w:val="clear" w:color="auto" w:fill="14202A"/>
          </w:tcPr>
          <w:p>
            <w:pPr>
              <w:jc w:val="center"/>
              <w:ind w:left="391"/>
              <w:spacing w:after="0"/>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7900" w:type="dxa"/>
            <w:vAlign w:val="bottom"/>
            <w:shd w:val="clear" w:color="auto" w:fill="14202A"/>
          </w:tcPr>
          <w:p>
            <w:pPr>
              <w:spacing w:after="0"/>
              <w:rPr>
                <w:sz w:val="5"/>
                <w:szCs w:val="5"/>
                <w:color w:val="auto"/>
              </w:rPr>
            </w:pPr>
          </w:p>
        </w:tc>
        <w:tc>
          <w:tcPr>
            <w:tcW w:w="128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14202A"/>
              </w:rPr>
              <w:t>- SCT “Stock Awards” column value</w:t>
            </w:r>
          </w:p>
        </w:tc>
        <w:tc>
          <w:tcPr>
            <w:tcW w:w="1280" w:type="dxa"/>
            <w:vAlign w:val="bottom"/>
          </w:tcPr>
          <w:p>
            <w:pPr>
              <w:jc w:val="right"/>
              <w:ind w:right="91"/>
              <w:spacing w:after="0"/>
              <w:rPr>
                <w:sz w:val="20"/>
                <w:szCs w:val="20"/>
                <w:color w:val="auto"/>
              </w:rPr>
            </w:pPr>
            <w:r>
              <w:rPr>
                <w:rFonts w:ascii="Arial" w:cs="Arial" w:eastAsia="Arial" w:hAnsi="Arial"/>
                <w:sz w:val="14"/>
                <w:szCs w:val="14"/>
                <w:color w:val="14202A"/>
              </w:rPr>
              <w:t>662,025</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790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14202A"/>
              </w:rPr>
              <w:t>- SCT “Option Awards” column value</w:t>
            </w:r>
          </w:p>
        </w:tc>
        <w:tc>
          <w:tcPr>
            <w:tcW w:w="1280" w:type="dxa"/>
            <w:vAlign w:val="bottom"/>
          </w:tcPr>
          <w:p>
            <w:pPr>
              <w:jc w:val="center"/>
              <w:ind w:left="391"/>
              <w:spacing w:after="0"/>
              <w:rPr>
                <w:sz w:val="20"/>
                <w:szCs w:val="20"/>
                <w:color w:val="auto"/>
              </w:rPr>
            </w:pPr>
            <w:r>
              <w:rPr>
                <w:rFonts w:ascii="Arial" w:cs="Arial" w:eastAsia="Arial" w:hAnsi="Arial"/>
                <w:sz w:val="14"/>
                <w:szCs w:val="14"/>
                <w:color w:val="14202A"/>
                <w:w w:val="98"/>
              </w:rPr>
              <w:t>116,827</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790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14202A"/>
              </w:rPr>
              <w:t>+ Fiscal 2026 year end fair value of awards granted in Fiscal 2026 that are outstanding and unvested at the end of</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7900" w:type="dxa"/>
            <w:vAlign w:val="bottom"/>
          </w:tcPr>
          <w:p>
            <w:pPr>
              <w:ind w:left="220"/>
              <w:spacing w:after="0"/>
              <w:rPr>
                <w:sz w:val="20"/>
                <w:szCs w:val="20"/>
                <w:color w:val="auto"/>
              </w:rPr>
            </w:pPr>
            <w:r>
              <w:rPr>
                <w:rFonts w:ascii="Arial" w:cs="Arial" w:eastAsia="Arial" w:hAnsi="Arial"/>
                <w:sz w:val="14"/>
                <w:szCs w:val="14"/>
                <w:color w:val="14202A"/>
              </w:rPr>
              <w:t>Fiscal 2026</w:t>
            </w:r>
          </w:p>
        </w:tc>
        <w:tc>
          <w:tcPr>
            <w:tcW w:w="1280" w:type="dxa"/>
            <w:vAlign w:val="bottom"/>
          </w:tcPr>
          <w:p>
            <w:pPr>
              <w:jc w:val="right"/>
              <w:ind w:right="91"/>
              <w:spacing w:after="0"/>
              <w:rPr>
                <w:sz w:val="20"/>
                <w:szCs w:val="20"/>
                <w:color w:val="auto"/>
              </w:rPr>
            </w:pPr>
            <w:r>
              <w:rPr>
                <w:rFonts w:ascii="Arial" w:cs="Arial" w:eastAsia="Arial" w:hAnsi="Arial"/>
                <w:sz w:val="14"/>
                <w:szCs w:val="14"/>
                <w:color w:val="14202A"/>
              </w:rPr>
              <w:t>852,306</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790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14202A"/>
              </w:rPr>
              <w:t>+/- difference between the fair value of awards from the end of Fiscal 2025 to the end of Fiscal 2026 for awards</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7900" w:type="dxa"/>
            <w:vAlign w:val="bottom"/>
          </w:tcPr>
          <w:p>
            <w:pPr>
              <w:ind w:left="220"/>
              <w:spacing w:after="0"/>
              <w:rPr>
                <w:sz w:val="20"/>
                <w:szCs w:val="20"/>
                <w:color w:val="auto"/>
              </w:rPr>
            </w:pPr>
            <w:r>
              <w:rPr>
                <w:rFonts w:ascii="Arial" w:cs="Arial" w:eastAsia="Arial" w:hAnsi="Arial"/>
                <w:sz w:val="14"/>
                <w:szCs w:val="14"/>
                <w:color w:val="14202A"/>
              </w:rPr>
              <w:t>granted in any fiscal year prior to Fiscal 2026 that are outstanding and unvested at the end of Fiscal 2026</w:t>
            </w:r>
          </w:p>
        </w:tc>
        <w:tc>
          <w:tcPr>
            <w:tcW w:w="1280" w:type="dxa"/>
            <w:vAlign w:val="bottom"/>
          </w:tcPr>
          <w:p>
            <w:pPr>
              <w:jc w:val="center"/>
              <w:ind w:left="391"/>
              <w:spacing w:after="0"/>
              <w:rPr>
                <w:sz w:val="20"/>
                <w:szCs w:val="20"/>
                <w:color w:val="auto"/>
              </w:rPr>
            </w:pPr>
            <w:r>
              <w:rPr>
                <w:rFonts w:ascii="Arial" w:cs="Arial" w:eastAsia="Arial" w:hAnsi="Arial"/>
                <w:sz w:val="14"/>
                <w:szCs w:val="14"/>
                <w:color w:val="14202A"/>
              </w:rPr>
              <w:t>(246,167)</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790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14202A"/>
              </w:rPr>
              <w:t>+/- change in fair value from the end of Fiscal 2025 to the vesting date for awards granted in any fiscal year prior to</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7900" w:type="dxa"/>
            <w:vAlign w:val="bottom"/>
          </w:tcPr>
          <w:p>
            <w:pPr>
              <w:ind w:left="220"/>
              <w:spacing w:after="0"/>
              <w:rPr>
                <w:sz w:val="20"/>
                <w:szCs w:val="20"/>
                <w:color w:val="auto"/>
              </w:rPr>
            </w:pPr>
            <w:r>
              <w:rPr>
                <w:rFonts w:ascii="Arial" w:cs="Arial" w:eastAsia="Arial" w:hAnsi="Arial"/>
                <w:sz w:val="14"/>
                <w:szCs w:val="14"/>
                <w:color w:val="14202A"/>
              </w:rPr>
              <w:t>Fiscal 2026 which vested during Fiscal 2026</w:t>
            </w:r>
          </w:p>
        </w:tc>
        <w:tc>
          <w:tcPr>
            <w:tcW w:w="1280" w:type="dxa"/>
            <w:vAlign w:val="bottom"/>
          </w:tcPr>
          <w:p>
            <w:pPr>
              <w:jc w:val="right"/>
              <w:ind w:right="31"/>
              <w:spacing w:after="0"/>
              <w:rPr>
                <w:sz w:val="20"/>
                <w:szCs w:val="20"/>
                <w:color w:val="auto"/>
              </w:rPr>
            </w:pPr>
            <w:r>
              <w:rPr>
                <w:rFonts w:ascii="Arial" w:cs="Arial" w:eastAsia="Arial" w:hAnsi="Arial"/>
                <w:sz w:val="14"/>
                <w:szCs w:val="14"/>
                <w:color w:val="14202A"/>
              </w:rPr>
              <w:t>(50,864)</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7900" w:type="dxa"/>
            <w:vAlign w:val="bottom"/>
            <w:tcBorders>
              <w:bottom w:val="single" w:sz="8" w:color="14202A"/>
            </w:tcBorders>
          </w:tcPr>
          <w:p>
            <w:pPr>
              <w:spacing w:after="0" w:line="20" w:lineRule="exact"/>
              <w:rPr>
                <w:sz w:val="1"/>
                <w:szCs w:val="1"/>
                <w:color w:val="auto"/>
              </w:rPr>
            </w:pPr>
          </w:p>
        </w:tc>
        <w:tc>
          <w:tcPr>
            <w:tcW w:w="128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14202A"/>
        </w:rPr>
        <w:t>None of our NEOs participate in a pension plan; therefore, no adjustment from the SCT total related to pension value was made.</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80"/>
        <w:spacing w:after="0" w:line="286" w:lineRule="auto"/>
        <w:rPr>
          <w:sz w:val="20"/>
          <w:szCs w:val="20"/>
          <w:color w:val="auto"/>
        </w:rPr>
      </w:pPr>
      <w:r>
        <w:rPr>
          <w:rFonts w:ascii="Arial" w:cs="Arial" w:eastAsia="Arial" w:hAnsi="Arial"/>
          <w:sz w:val="16"/>
          <w:szCs w:val="16"/>
          <w:color w:val="14202A"/>
        </w:rPr>
        <w:t>The charts below describe the relationship between the CEO’s and other NEOs’ (averaged) CAP to Net Income, Total Shareholder Return of the Company and our peer group, and Incentive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1217295</wp:posOffset>
            </wp:positionH>
            <wp:positionV relativeFrom="paragraph">
              <wp:posOffset>159385</wp:posOffset>
            </wp:positionV>
            <wp:extent cx="3463290" cy="23660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6329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209550</wp:posOffset>
            </wp:positionV>
            <wp:extent cx="3454400" cy="21513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5440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1259840</wp:posOffset>
            </wp:positionH>
            <wp:positionV relativeFrom="paragraph">
              <wp:posOffset>209550</wp:posOffset>
            </wp:positionV>
            <wp:extent cx="3385820" cy="22028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8582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14202A"/>
        </w:rPr>
        <w:t>The following table lists the five financial performance measures that we believe represent the most important financial performance measures we used to link compensation actually paid to our NEOs to our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Most Important Performance Measures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4"/>
          <w:szCs w:val="14"/>
          <w:color w:val="14202A"/>
        </w:rPr>
        <w:t>Incentive EPS</w:t>
      </w:r>
      <w:r>
        <w:rPr>
          <w:rFonts w:ascii="Arial" w:cs="Arial" w:eastAsia="Arial" w:hAnsi="Arial"/>
          <w:sz w:val="23"/>
          <w:szCs w:val="23"/>
          <w:color w:val="14202A"/>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58978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4"/>
          <w:szCs w:val="14"/>
          <w:color w:val="14202A"/>
        </w:rPr>
        <w:t>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58978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4"/>
          <w:szCs w:val="14"/>
          <w:color w:val="14202A"/>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58978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4"/>
          <w:szCs w:val="14"/>
          <w:color w:val="14202A"/>
        </w:rPr>
        <w:t>Net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58978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4"/>
          <w:szCs w:val="14"/>
          <w:color w:val="14202A"/>
        </w:rPr>
        <w:t>Incentive ROIC</w:t>
      </w:r>
      <w:r>
        <w:rPr>
          <w:rFonts w:ascii="Arial" w:cs="Arial" w:eastAsia="Arial" w:hAnsi="Arial"/>
          <w:sz w:val="23"/>
          <w:szCs w:val="23"/>
          <w:color w:val="14202A"/>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58978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70" w:lineRule="exact"/>
        <w:rPr>
          <w:sz w:val="20"/>
          <w:szCs w:val="20"/>
          <w:color w:val="auto"/>
        </w:rPr>
      </w:pPr>
    </w:p>
    <w:p>
      <w:pPr>
        <w:ind w:left="360" w:hanging="360"/>
        <w:spacing w:after="0" w:line="285" w:lineRule="auto"/>
        <w:tabs>
          <w:tab w:leader="none" w:pos="360" w:val="left"/>
        </w:tabs>
        <w:numPr>
          <w:ilvl w:val="0"/>
          <w:numId w:val="47"/>
        </w:numPr>
        <w:rPr>
          <w:rFonts w:ascii="Arial" w:cs="Arial" w:eastAsia="Arial" w:hAnsi="Arial"/>
          <w:sz w:val="14"/>
          <w:szCs w:val="14"/>
          <w:color w:val="14202A"/>
        </w:rPr>
      </w:pPr>
      <w:r>
        <w:rPr>
          <w:rFonts w:ascii="Arial" w:cs="Arial" w:eastAsia="Arial" w:hAnsi="Arial"/>
          <w:sz w:val="14"/>
          <w:szCs w:val="14"/>
          <w:color w:val="14202A"/>
        </w:rPr>
        <w:t>Denotes non-GAAP financial measure described above under “Compensation Discussion and Analysis – Fiscal 2026 Equity Awards – LTIP / Performance Share Units.”</w:t>
      </w:r>
    </w:p>
    <w:p>
      <w:pPr>
        <w:spacing w:after="0" w:line="257"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Equity Compensation Plan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14202A"/>
        </w:rPr>
        <w:t>Information with respect to shares of our common stock that may be issued under our existing equity compensation plans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August 29, 2026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0" w:type="dxa"/>
            <w:vAlign w:val="bottom"/>
            <w:shd w:val="clear" w:color="auto" w:fill="14202A"/>
          </w:tcPr>
          <w:p>
            <w:pPr>
              <w:spacing w:after="0"/>
              <w:rPr>
                <w:sz w:val="22"/>
                <w:szCs w:val="22"/>
                <w:color w:val="auto"/>
              </w:rPr>
            </w:pPr>
          </w:p>
        </w:tc>
        <w:tc>
          <w:tcPr>
            <w:tcW w:w="3460" w:type="dxa"/>
            <w:vAlign w:val="bottom"/>
            <w:shd w:val="clear" w:color="auto" w:fill="14202A"/>
          </w:tcPr>
          <w:p>
            <w:pPr>
              <w:spacing w:after="0"/>
              <w:rPr>
                <w:sz w:val="22"/>
                <w:szCs w:val="22"/>
                <w:color w:val="auto"/>
              </w:rPr>
            </w:pPr>
          </w:p>
        </w:tc>
        <w:tc>
          <w:tcPr>
            <w:tcW w:w="1740" w:type="dxa"/>
            <w:vAlign w:val="bottom"/>
            <w:shd w:val="clear" w:color="auto" w:fill="14202A"/>
          </w:tcPr>
          <w:p>
            <w:pPr>
              <w:jc w:val="center"/>
              <w:ind w:left="234"/>
              <w:spacing w:after="0"/>
              <w:rPr>
                <w:sz w:val="20"/>
                <w:szCs w:val="20"/>
                <w:color w:val="auto"/>
              </w:rPr>
            </w:pPr>
            <w:r>
              <w:rPr>
                <w:rFonts w:ascii="Arial" w:cs="Arial" w:eastAsia="Arial" w:hAnsi="Arial"/>
                <w:sz w:val="13"/>
                <w:szCs w:val="13"/>
                <w:b w:val="1"/>
                <w:bCs w:val="1"/>
                <w:color w:val="FFFFFF"/>
              </w:rPr>
              <w:t>(a)</w:t>
            </w:r>
          </w:p>
        </w:tc>
        <w:tc>
          <w:tcPr>
            <w:tcW w:w="160" w:type="dxa"/>
            <w:vAlign w:val="bottom"/>
            <w:shd w:val="clear" w:color="auto" w:fill="14202A"/>
          </w:tcPr>
          <w:p>
            <w:pPr>
              <w:spacing w:after="0"/>
              <w:rPr>
                <w:sz w:val="22"/>
                <w:szCs w:val="22"/>
                <w:color w:val="auto"/>
              </w:rPr>
            </w:pPr>
          </w:p>
        </w:tc>
        <w:tc>
          <w:tcPr>
            <w:tcW w:w="1620" w:type="dxa"/>
            <w:vAlign w:val="bottom"/>
            <w:shd w:val="clear" w:color="auto" w:fill="14202A"/>
          </w:tcPr>
          <w:p>
            <w:pPr>
              <w:jc w:val="center"/>
              <w:ind w:left="76"/>
              <w:spacing w:after="0"/>
              <w:rPr>
                <w:sz w:val="20"/>
                <w:szCs w:val="20"/>
                <w:color w:val="auto"/>
              </w:rPr>
            </w:pPr>
            <w:r>
              <w:rPr>
                <w:rFonts w:ascii="Arial" w:cs="Arial" w:eastAsia="Arial" w:hAnsi="Arial"/>
                <w:sz w:val="13"/>
                <w:szCs w:val="13"/>
                <w:b w:val="1"/>
                <w:bCs w:val="1"/>
                <w:color w:val="FFFFFF"/>
                <w:w w:val="96"/>
              </w:rPr>
              <w:t>(b)</w:t>
            </w:r>
          </w:p>
        </w:tc>
        <w:tc>
          <w:tcPr>
            <w:tcW w:w="2080" w:type="dxa"/>
            <w:vAlign w:val="bottom"/>
            <w:shd w:val="clear" w:color="auto" w:fill="14202A"/>
          </w:tcPr>
          <w:p>
            <w:pPr>
              <w:jc w:val="center"/>
              <w:ind w:left="234"/>
              <w:spacing w:after="0"/>
              <w:rPr>
                <w:sz w:val="20"/>
                <w:szCs w:val="20"/>
                <w:color w:val="auto"/>
              </w:rPr>
            </w:pPr>
            <w:r>
              <w:rPr>
                <w:rFonts w:ascii="Arial" w:cs="Arial" w:eastAsia="Arial" w:hAnsi="Arial"/>
                <w:sz w:val="13"/>
                <w:szCs w:val="13"/>
                <w:b w:val="1"/>
                <w:bCs w:val="1"/>
                <w:color w:val="FFFFFF"/>
                <w:w w:val="87"/>
              </w:rPr>
              <w:t>(c)</w:t>
            </w:r>
          </w:p>
        </w:tc>
        <w:tc>
          <w:tcPr>
            <w:tcW w:w="12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00" w:type="dxa"/>
            <w:vAlign w:val="bottom"/>
            <w:shd w:val="clear" w:color="auto" w:fill="14202A"/>
          </w:tcPr>
          <w:p>
            <w:pPr>
              <w:spacing w:after="0"/>
              <w:rPr>
                <w:sz w:val="22"/>
                <w:szCs w:val="22"/>
                <w:color w:val="auto"/>
              </w:rPr>
            </w:pPr>
          </w:p>
        </w:tc>
        <w:tc>
          <w:tcPr>
            <w:tcW w:w="3460" w:type="dxa"/>
            <w:vAlign w:val="bottom"/>
            <w:shd w:val="clear" w:color="auto" w:fill="14202A"/>
          </w:tcPr>
          <w:p>
            <w:pPr>
              <w:spacing w:after="0"/>
              <w:rPr>
                <w:sz w:val="22"/>
                <w:szCs w:val="22"/>
                <w:color w:val="auto"/>
              </w:rPr>
            </w:pPr>
          </w:p>
        </w:tc>
        <w:tc>
          <w:tcPr>
            <w:tcW w:w="1740" w:type="dxa"/>
            <w:vAlign w:val="bottom"/>
            <w:vMerge w:val="restart"/>
            <w:shd w:val="clear" w:color="auto" w:fill="14202A"/>
          </w:tcPr>
          <w:p>
            <w:pPr>
              <w:jc w:val="center"/>
              <w:ind w:left="254"/>
              <w:spacing w:after="0"/>
              <w:rPr>
                <w:sz w:val="20"/>
                <w:szCs w:val="20"/>
                <w:color w:val="auto"/>
              </w:rPr>
            </w:pPr>
            <w:r>
              <w:rPr>
                <w:rFonts w:ascii="Arial" w:cs="Arial" w:eastAsia="Arial" w:hAnsi="Arial"/>
                <w:sz w:val="13"/>
                <w:szCs w:val="13"/>
                <w:b w:val="1"/>
                <w:bCs w:val="1"/>
                <w:color w:val="FFFFFF"/>
                <w:w w:val="96"/>
              </w:rPr>
              <w:t>Number of Securities</w:t>
            </w:r>
          </w:p>
        </w:tc>
        <w:tc>
          <w:tcPr>
            <w:tcW w:w="160" w:type="dxa"/>
            <w:vAlign w:val="bottom"/>
            <w:shd w:val="clear" w:color="auto" w:fill="14202A"/>
          </w:tcPr>
          <w:p>
            <w:pPr>
              <w:spacing w:after="0"/>
              <w:rPr>
                <w:sz w:val="22"/>
                <w:szCs w:val="22"/>
                <w:color w:val="auto"/>
              </w:rPr>
            </w:pPr>
          </w:p>
        </w:tc>
        <w:tc>
          <w:tcPr>
            <w:tcW w:w="1620" w:type="dxa"/>
            <w:vAlign w:val="bottom"/>
            <w:vMerge w:val="restart"/>
            <w:shd w:val="clear" w:color="auto" w:fill="14202A"/>
          </w:tcPr>
          <w:p>
            <w:pPr>
              <w:jc w:val="center"/>
              <w:ind w:left="76"/>
              <w:spacing w:after="0"/>
              <w:rPr>
                <w:sz w:val="20"/>
                <w:szCs w:val="20"/>
                <w:color w:val="auto"/>
              </w:rPr>
            </w:pPr>
            <w:r>
              <w:rPr>
                <w:rFonts w:ascii="Arial" w:cs="Arial" w:eastAsia="Arial" w:hAnsi="Arial"/>
                <w:sz w:val="13"/>
                <w:szCs w:val="13"/>
                <w:b w:val="1"/>
                <w:bCs w:val="1"/>
                <w:color w:val="FFFFFF"/>
                <w:w w:val="95"/>
              </w:rPr>
              <w:t>Weighted Average</w:t>
            </w:r>
          </w:p>
        </w:tc>
        <w:tc>
          <w:tcPr>
            <w:tcW w:w="2080" w:type="dxa"/>
            <w:vAlign w:val="bottom"/>
            <w:shd w:val="clear" w:color="auto" w:fill="14202A"/>
          </w:tcPr>
          <w:p>
            <w:pPr>
              <w:jc w:val="center"/>
              <w:ind w:left="234"/>
              <w:spacing w:after="0"/>
              <w:rPr>
                <w:sz w:val="20"/>
                <w:szCs w:val="20"/>
                <w:color w:val="auto"/>
              </w:rPr>
            </w:pPr>
            <w:r>
              <w:rPr>
                <w:rFonts w:ascii="Arial" w:cs="Arial" w:eastAsia="Arial" w:hAnsi="Arial"/>
                <w:sz w:val="13"/>
                <w:szCs w:val="13"/>
                <w:b w:val="1"/>
                <w:bCs w:val="1"/>
                <w:color w:val="FFFFFF"/>
                <w:w w:val="96"/>
              </w:rPr>
              <w:t>Number of Securities</w:t>
            </w:r>
          </w:p>
        </w:tc>
        <w:tc>
          <w:tcPr>
            <w:tcW w:w="12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100" w:type="dxa"/>
            <w:vAlign w:val="bottom"/>
            <w:shd w:val="clear" w:color="auto" w:fill="14202A"/>
          </w:tcPr>
          <w:p>
            <w:pPr>
              <w:spacing w:after="0"/>
              <w:rPr>
                <w:sz w:val="10"/>
                <w:szCs w:val="10"/>
                <w:color w:val="auto"/>
              </w:rPr>
            </w:pPr>
          </w:p>
        </w:tc>
        <w:tc>
          <w:tcPr>
            <w:tcW w:w="3460" w:type="dxa"/>
            <w:vAlign w:val="bottom"/>
            <w:shd w:val="clear" w:color="auto" w:fill="14202A"/>
          </w:tcPr>
          <w:p>
            <w:pPr>
              <w:spacing w:after="0"/>
              <w:rPr>
                <w:sz w:val="10"/>
                <w:szCs w:val="10"/>
                <w:color w:val="auto"/>
              </w:rPr>
            </w:pPr>
          </w:p>
        </w:tc>
        <w:tc>
          <w:tcPr>
            <w:tcW w:w="1740" w:type="dxa"/>
            <w:vAlign w:val="bottom"/>
            <w:vMerge w:val="continue"/>
            <w:shd w:val="clear" w:color="auto" w:fill="14202A"/>
          </w:tcPr>
          <w:p>
            <w:pPr>
              <w:spacing w:after="0"/>
              <w:rPr>
                <w:sz w:val="10"/>
                <w:szCs w:val="10"/>
                <w:color w:val="auto"/>
              </w:rPr>
            </w:pPr>
          </w:p>
        </w:tc>
        <w:tc>
          <w:tcPr>
            <w:tcW w:w="160" w:type="dxa"/>
            <w:vAlign w:val="bottom"/>
            <w:shd w:val="clear" w:color="auto" w:fill="14202A"/>
          </w:tcPr>
          <w:p>
            <w:pPr>
              <w:spacing w:after="0"/>
              <w:rPr>
                <w:sz w:val="10"/>
                <w:szCs w:val="10"/>
                <w:color w:val="auto"/>
              </w:rPr>
            </w:pPr>
          </w:p>
        </w:tc>
        <w:tc>
          <w:tcPr>
            <w:tcW w:w="1620" w:type="dxa"/>
            <w:vAlign w:val="bottom"/>
            <w:vMerge w:val="continue"/>
            <w:shd w:val="clear" w:color="auto" w:fill="14202A"/>
          </w:tcPr>
          <w:p>
            <w:pPr>
              <w:spacing w:after="0"/>
              <w:rPr>
                <w:sz w:val="10"/>
                <w:szCs w:val="10"/>
                <w:color w:val="auto"/>
              </w:rPr>
            </w:pPr>
          </w:p>
        </w:tc>
        <w:tc>
          <w:tcPr>
            <w:tcW w:w="2080" w:type="dxa"/>
            <w:vAlign w:val="bottom"/>
            <w:shd w:val="clear" w:color="auto" w:fill="14202A"/>
          </w:tcPr>
          <w:p>
            <w:pPr>
              <w:jc w:val="center"/>
              <w:ind w:left="194"/>
              <w:spacing w:after="0" w:line="126" w:lineRule="exact"/>
              <w:rPr>
                <w:sz w:val="20"/>
                <w:szCs w:val="20"/>
                <w:color w:val="auto"/>
              </w:rPr>
            </w:pPr>
            <w:r>
              <w:rPr>
                <w:rFonts w:ascii="Arial" w:cs="Arial" w:eastAsia="Arial" w:hAnsi="Arial"/>
                <w:sz w:val="13"/>
                <w:szCs w:val="13"/>
                <w:b w:val="1"/>
                <w:bCs w:val="1"/>
                <w:color w:val="FFFFFF"/>
                <w:w w:val="95"/>
              </w:rPr>
              <w:t>Remaining Available for</w:t>
            </w:r>
          </w:p>
        </w:tc>
        <w:tc>
          <w:tcPr>
            <w:tcW w:w="120" w:type="dxa"/>
            <w:vAlign w:val="bottom"/>
            <w:shd w:val="clear" w:color="auto" w:fill="14202A"/>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460" w:type="dxa"/>
            <w:vAlign w:val="bottom"/>
            <w:shd w:val="clear" w:color="auto" w:fill="14202A"/>
          </w:tcPr>
          <w:p>
            <w:pPr>
              <w:spacing w:after="0"/>
              <w:rPr>
                <w:sz w:val="11"/>
                <w:szCs w:val="11"/>
                <w:color w:val="auto"/>
              </w:rPr>
            </w:pPr>
          </w:p>
        </w:tc>
        <w:tc>
          <w:tcPr>
            <w:tcW w:w="1740" w:type="dxa"/>
            <w:vAlign w:val="bottom"/>
            <w:shd w:val="clear" w:color="auto" w:fill="14202A"/>
          </w:tcPr>
          <w:p>
            <w:pPr>
              <w:jc w:val="center"/>
              <w:ind w:left="214"/>
              <w:spacing w:after="0" w:line="135" w:lineRule="exact"/>
              <w:rPr>
                <w:sz w:val="20"/>
                <w:szCs w:val="20"/>
                <w:color w:val="auto"/>
              </w:rPr>
            </w:pPr>
            <w:r>
              <w:rPr>
                <w:rFonts w:ascii="Arial" w:cs="Arial" w:eastAsia="Arial" w:hAnsi="Arial"/>
                <w:sz w:val="13"/>
                <w:szCs w:val="13"/>
                <w:b w:val="1"/>
                <w:bCs w:val="1"/>
                <w:color w:val="FFFFFF"/>
                <w:w w:val="97"/>
              </w:rPr>
              <w:t>to be Issued Upon</w:t>
            </w:r>
          </w:p>
        </w:tc>
        <w:tc>
          <w:tcPr>
            <w:tcW w:w="160" w:type="dxa"/>
            <w:vAlign w:val="bottom"/>
            <w:shd w:val="clear" w:color="auto" w:fill="14202A"/>
          </w:tcPr>
          <w:p>
            <w:pPr>
              <w:spacing w:after="0"/>
              <w:rPr>
                <w:sz w:val="11"/>
                <w:szCs w:val="11"/>
                <w:color w:val="auto"/>
              </w:rPr>
            </w:pPr>
          </w:p>
        </w:tc>
        <w:tc>
          <w:tcPr>
            <w:tcW w:w="1620" w:type="dxa"/>
            <w:vAlign w:val="bottom"/>
            <w:shd w:val="clear" w:color="auto" w:fill="14202A"/>
          </w:tcPr>
          <w:p>
            <w:pPr>
              <w:jc w:val="center"/>
              <w:ind w:left="36"/>
              <w:spacing w:after="0" w:line="135" w:lineRule="exact"/>
              <w:rPr>
                <w:sz w:val="20"/>
                <w:szCs w:val="20"/>
                <w:color w:val="auto"/>
              </w:rPr>
            </w:pPr>
            <w:r>
              <w:rPr>
                <w:rFonts w:ascii="Arial" w:cs="Arial" w:eastAsia="Arial" w:hAnsi="Arial"/>
                <w:sz w:val="13"/>
                <w:szCs w:val="13"/>
                <w:b w:val="1"/>
                <w:bCs w:val="1"/>
                <w:color w:val="FFFFFF"/>
                <w:w w:val="95"/>
              </w:rPr>
              <w:t>Exercise Price of</w:t>
            </w:r>
          </w:p>
        </w:tc>
        <w:tc>
          <w:tcPr>
            <w:tcW w:w="2080" w:type="dxa"/>
            <w:vAlign w:val="bottom"/>
            <w:shd w:val="clear" w:color="auto" w:fill="14202A"/>
          </w:tcPr>
          <w:p>
            <w:pPr>
              <w:jc w:val="center"/>
              <w:ind w:left="194"/>
              <w:spacing w:after="0" w:line="135" w:lineRule="exact"/>
              <w:rPr>
                <w:sz w:val="20"/>
                <w:szCs w:val="20"/>
                <w:color w:val="auto"/>
              </w:rPr>
            </w:pPr>
            <w:r>
              <w:rPr>
                <w:rFonts w:ascii="Arial" w:cs="Arial" w:eastAsia="Arial" w:hAnsi="Arial"/>
                <w:sz w:val="13"/>
                <w:szCs w:val="13"/>
                <w:b w:val="1"/>
                <w:bCs w:val="1"/>
                <w:color w:val="FFFFFF"/>
                <w:w w:val="97"/>
              </w:rPr>
              <w:t>Future Issuance Under</w:t>
            </w:r>
          </w:p>
        </w:tc>
        <w:tc>
          <w:tcPr>
            <w:tcW w:w="1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460" w:type="dxa"/>
            <w:vAlign w:val="bottom"/>
            <w:shd w:val="clear" w:color="auto" w:fill="14202A"/>
          </w:tcPr>
          <w:p>
            <w:pPr>
              <w:spacing w:after="0"/>
              <w:rPr>
                <w:sz w:val="11"/>
                <w:szCs w:val="11"/>
                <w:color w:val="auto"/>
              </w:rPr>
            </w:pPr>
          </w:p>
        </w:tc>
        <w:tc>
          <w:tcPr>
            <w:tcW w:w="1740" w:type="dxa"/>
            <w:vAlign w:val="bottom"/>
            <w:shd w:val="clear" w:color="auto" w:fill="14202A"/>
          </w:tcPr>
          <w:p>
            <w:pPr>
              <w:jc w:val="center"/>
              <w:ind w:left="194"/>
              <w:spacing w:after="0" w:line="135" w:lineRule="exact"/>
              <w:rPr>
                <w:sz w:val="20"/>
                <w:szCs w:val="20"/>
                <w:color w:val="auto"/>
              </w:rPr>
            </w:pPr>
            <w:r>
              <w:rPr>
                <w:rFonts w:ascii="Arial" w:cs="Arial" w:eastAsia="Arial" w:hAnsi="Arial"/>
                <w:sz w:val="13"/>
                <w:szCs w:val="13"/>
                <w:b w:val="1"/>
                <w:bCs w:val="1"/>
                <w:color w:val="FFFFFF"/>
                <w:w w:val="97"/>
              </w:rPr>
              <w:t>Exercise of</w:t>
            </w:r>
          </w:p>
        </w:tc>
        <w:tc>
          <w:tcPr>
            <w:tcW w:w="160" w:type="dxa"/>
            <w:vAlign w:val="bottom"/>
            <w:shd w:val="clear" w:color="auto" w:fill="14202A"/>
          </w:tcPr>
          <w:p>
            <w:pPr>
              <w:spacing w:after="0"/>
              <w:rPr>
                <w:sz w:val="11"/>
                <w:szCs w:val="11"/>
                <w:color w:val="auto"/>
              </w:rPr>
            </w:pPr>
          </w:p>
        </w:tc>
        <w:tc>
          <w:tcPr>
            <w:tcW w:w="1620" w:type="dxa"/>
            <w:vAlign w:val="bottom"/>
            <w:shd w:val="clear" w:color="auto" w:fill="14202A"/>
          </w:tcPr>
          <w:p>
            <w:pPr>
              <w:jc w:val="center"/>
              <w:ind w:left="36"/>
              <w:spacing w:after="0" w:line="135" w:lineRule="exact"/>
              <w:rPr>
                <w:sz w:val="20"/>
                <w:szCs w:val="20"/>
                <w:color w:val="auto"/>
              </w:rPr>
            </w:pPr>
            <w:r>
              <w:rPr>
                <w:rFonts w:ascii="Arial" w:cs="Arial" w:eastAsia="Arial" w:hAnsi="Arial"/>
                <w:sz w:val="13"/>
                <w:szCs w:val="13"/>
                <w:b w:val="1"/>
                <w:bCs w:val="1"/>
                <w:color w:val="FFFFFF"/>
                <w:w w:val="96"/>
              </w:rPr>
              <w:t>Outstanding Options,</w:t>
            </w:r>
          </w:p>
        </w:tc>
        <w:tc>
          <w:tcPr>
            <w:tcW w:w="2080" w:type="dxa"/>
            <w:vAlign w:val="bottom"/>
            <w:shd w:val="clear" w:color="auto" w:fill="14202A"/>
          </w:tcPr>
          <w:p>
            <w:pPr>
              <w:jc w:val="center"/>
              <w:ind w:left="194"/>
              <w:spacing w:after="0" w:line="135" w:lineRule="exact"/>
              <w:rPr>
                <w:sz w:val="20"/>
                <w:szCs w:val="20"/>
                <w:color w:val="auto"/>
              </w:rPr>
            </w:pPr>
            <w:r>
              <w:rPr>
                <w:rFonts w:ascii="Arial" w:cs="Arial" w:eastAsia="Arial" w:hAnsi="Arial"/>
                <w:sz w:val="13"/>
                <w:szCs w:val="13"/>
                <w:b w:val="1"/>
                <w:bCs w:val="1"/>
                <w:color w:val="FFFFFF"/>
                <w:w w:val="96"/>
              </w:rPr>
              <w:t>Equity Compensation Plans</w:t>
            </w:r>
          </w:p>
        </w:tc>
        <w:tc>
          <w:tcPr>
            <w:tcW w:w="1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46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Plan Category</w:t>
            </w:r>
          </w:p>
        </w:tc>
        <w:tc>
          <w:tcPr>
            <w:tcW w:w="1740" w:type="dxa"/>
            <w:vAlign w:val="bottom"/>
            <w:shd w:val="clear" w:color="auto" w:fill="14202A"/>
          </w:tcPr>
          <w:p>
            <w:pPr>
              <w:jc w:val="center"/>
              <w:ind w:left="194"/>
              <w:spacing w:after="0" w:line="135" w:lineRule="exact"/>
              <w:rPr>
                <w:sz w:val="20"/>
                <w:szCs w:val="20"/>
                <w:color w:val="auto"/>
              </w:rPr>
            </w:pPr>
            <w:r>
              <w:rPr>
                <w:rFonts w:ascii="Arial" w:cs="Arial" w:eastAsia="Arial" w:hAnsi="Arial"/>
                <w:sz w:val="13"/>
                <w:szCs w:val="13"/>
                <w:b w:val="1"/>
                <w:bCs w:val="1"/>
                <w:color w:val="FFFFFF"/>
                <w:w w:val="96"/>
              </w:rPr>
              <w:t>Outstanding Options,</w:t>
            </w:r>
          </w:p>
        </w:tc>
        <w:tc>
          <w:tcPr>
            <w:tcW w:w="160" w:type="dxa"/>
            <w:vAlign w:val="bottom"/>
            <w:shd w:val="clear" w:color="auto" w:fill="14202A"/>
          </w:tcPr>
          <w:p>
            <w:pPr>
              <w:spacing w:after="0"/>
              <w:rPr>
                <w:sz w:val="11"/>
                <w:szCs w:val="11"/>
                <w:color w:val="auto"/>
              </w:rPr>
            </w:pPr>
          </w:p>
        </w:tc>
        <w:tc>
          <w:tcPr>
            <w:tcW w:w="1620" w:type="dxa"/>
            <w:vAlign w:val="bottom"/>
            <w:shd w:val="clear" w:color="auto" w:fill="14202A"/>
          </w:tcPr>
          <w:p>
            <w:pPr>
              <w:jc w:val="center"/>
              <w:ind w:left="36"/>
              <w:spacing w:after="0" w:line="135" w:lineRule="exact"/>
              <w:rPr>
                <w:sz w:val="20"/>
                <w:szCs w:val="20"/>
                <w:color w:val="auto"/>
              </w:rPr>
            </w:pPr>
            <w:r>
              <w:rPr>
                <w:rFonts w:ascii="Arial" w:cs="Arial" w:eastAsia="Arial" w:hAnsi="Arial"/>
                <w:sz w:val="10"/>
                <w:szCs w:val="10"/>
                <w:b w:val="1"/>
                <w:bCs w:val="1"/>
                <w:color w:val="FFFFFF"/>
              </w:rPr>
              <w:t>Warrants and Rights</w:t>
            </w:r>
            <w:r>
              <w:rPr>
                <w:rFonts w:ascii="Arial" w:cs="Arial" w:eastAsia="Arial" w:hAnsi="Arial"/>
                <w:sz w:val="15"/>
                <w:szCs w:val="15"/>
                <w:b w:val="1"/>
                <w:bCs w:val="1"/>
                <w:color w:val="FFFFFF"/>
                <w:vertAlign w:val="superscript"/>
              </w:rPr>
              <w:t>(2)</w:t>
            </w:r>
          </w:p>
        </w:tc>
        <w:tc>
          <w:tcPr>
            <w:tcW w:w="2080" w:type="dxa"/>
            <w:vAlign w:val="bottom"/>
            <w:shd w:val="clear" w:color="auto" w:fill="14202A"/>
          </w:tcPr>
          <w:p>
            <w:pPr>
              <w:jc w:val="center"/>
              <w:ind w:left="214"/>
              <w:spacing w:after="0" w:line="135" w:lineRule="exact"/>
              <w:rPr>
                <w:sz w:val="20"/>
                <w:szCs w:val="20"/>
                <w:color w:val="auto"/>
              </w:rPr>
            </w:pPr>
            <w:r>
              <w:rPr>
                <w:rFonts w:ascii="Arial" w:cs="Arial" w:eastAsia="Arial" w:hAnsi="Arial"/>
                <w:sz w:val="13"/>
                <w:szCs w:val="13"/>
                <w:b w:val="1"/>
                <w:bCs w:val="1"/>
                <w:color w:val="FFFFFF"/>
                <w:w w:val="96"/>
              </w:rPr>
              <w:t>(Excluding Securities</w:t>
            </w:r>
          </w:p>
        </w:tc>
        <w:tc>
          <w:tcPr>
            <w:tcW w:w="1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00" w:type="dxa"/>
            <w:vAlign w:val="bottom"/>
            <w:shd w:val="clear" w:color="auto" w:fill="14202A"/>
          </w:tcPr>
          <w:p>
            <w:pPr>
              <w:spacing w:after="0"/>
              <w:rPr>
                <w:sz w:val="21"/>
                <w:szCs w:val="21"/>
                <w:color w:val="auto"/>
              </w:rPr>
            </w:pPr>
          </w:p>
        </w:tc>
        <w:tc>
          <w:tcPr>
            <w:tcW w:w="3460" w:type="dxa"/>
            <w:vAlign w:val="bottom"/>
            <w:vMerge w:val="continue"/>
            <w:shd w:val="clear" w:color="auto" w:fill="14202A"/>
          </w:tcPr>
          <w:p>
            <w:pPr>
              <w:spacing w:after="0"/>
              <w:rPr>
                <w:sz w:val="21"/>
                <w:szCs w:val="21"/>
                <w:color w:val="auto"/>
              </w:rPr>
            </w:pPr>
          </w:p>
        </w:tc>
        <w:tc>
          <w:tcPr>
            <w:tcW w:w="1740" w:type="dxa"/>
            <w:vAlign w:val="bottom"/>
            <w:shd w:val="clear" w:color="auto" w:fill="14202A"/>
          </w:tcPr>
          <w:p>
            <w:pPr>
              <w:jc w:val="center"/>
              <w:ind w:left="234"/>
              <w:spacing w:after="0"/>
              <w:rPr>
                <w:sz w:val="20"/>
                <w:szCs w:val="20"/>
                <w:color w:val="auto"/>
              </w:rPr>
            </w:pPr>
            <w:r>
              <w:rPr>
                <w:rFonts w:ascii="Arial" w:cs="Arial" w:eastAsia="Arial" w:hAnsi="Arial"/>
                <w:sz w:val="13"/>
                <w:szCs w:val="13"/>
                <w:b w:val="1"/>
                <w:bCs w:val="1"/>
                <w:color w:val="FFFFFF"/>
                <w:w w:val="94"/>
              </w:rPr>
              <w:t>Warrants and Rights</w:t>
            </w:r>
            <w:r>
              <w:rPr>
                <w:rFonts w:ascii="Arial" w:cs="Arial" w:eastAsia="Arial" w:hAnsi="Arial"/>
                <w:sz w:val="20"/>
                <w:szCs w:val="20"/>
                <w:b w:val="1"/>
                <w:bCs w:val="1"/>
                <w:color w:val="FFFFFF"/>
                <w:w w:val="94"/>
                <w:vertAlign w:val="superscript"/>
              </w:rPr>
              <w:t>(1)</w:t>
            </w:r>
          </w:p>
        </w:tc>
        <w:tc>
          <w:tcPr>
            <w:tcW w:w="160" w:type="dxa"/>
            <w:vAlign w:val="bottom"/>
            <w:shd w:val="clear" w:color="auto" w:fill="14202A"/>
          </w:tcPr>
          <w:p>
            <w:pPr>
              <w:spacing w:after="0"/>
              <w:rPr>
                <w:sz w:val="21"/>
                <w:szCs w:val="21"/>
                <w:color w:val="auto"/>
              </w:rPr>
            </w:pPr>
          </w:p>
        </w:tc>
        <w:tc>
          <w:tcPr>
            <w:tcW w:w="1620" w:type="dxa"/>
            <w:vAlign w:val="bottom"/>
            <w:shd w:val="clear" w:color="auto" w:fill="14202A"/>
          </w:tcPr>
          <w:p>
            <w:pPr>
              <w:jc w:val="center"/>
              <w:ind w:left="76"/>
              <w:spacing w:after="0"/>
              <w:rPr>
                <w:sz w:val="20"/>
                <w:szCs w:val="20"/>
                <w:color w:val="auto"/>
              </w:rPr>
            </w:pPr>
            <w:r>
              <w:rPr>
                <w:rFonts w:ascii="Arial" w:cs="Arial" w:eastAsia="Arial" w:hAnsi="Arial"/>
                <w:sz w:val="13"/>
                <w:szCs w:val="13"/>
                <w:b w:val="1"/>
                <w:bCs w:val="1"/>
                <w:color w:val="FFFFFF"/>
              </w:rPr>
              <w:t>($)</w:t>
            </w:r>
          </w:p>
        </w:tc>
        <w:tc>
          <w:tcPr>
            <w:tcW w:w="2080" w:type="dxa"/>
            <w:vAlign w:val="bottom"/>
            <w:shd w:val="clear" w:color="auto" w:fill="14202A"/>
          </w:tcPr>
          <w:p>
            <w:pPr>
              <w:jc w:val="center"/>
              <w:ind w:left="234"/>
              <w:spacing w:after="0"/>
              <w:rPr>
                <w:sz w:val="20"/>
                <w:szCs w:val="20"/>
                <w:color w:val="auto"/>
              </w:rPr>
            </w:pPr>
            <w:r>
              <w:rPr>
                <w:rFonts w:ascii="Arial" w:cs="Arial" w:eastAsia="Arial" w:hAnsi="Arial"/>
                <w:sz w:val="13"/>
                <w:szCs w:val="13"/>
                <w:b w:val="1"/>
                <w:bCs w:val="1"/>
                <w:color w:val="FFFFFF"/>
                <w:w w:val="96"/>
              </w:rPr>
              <w:t>Reflected in (a))</w:t>
            </w:r>
          </w:p>
        </w:tc>
        <w:tc>
          <w:tcPr>
            <w:tcW w:w="120" w:type="dxa"/>
            <w:vAlign w:val="bottom"/>
            <w:shd w:val="clear" w:color="auto" w:fill="14202A"/>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3460" w:type="dxa"/>
            <w:vAlign w:val="bottom"/>
          </w:tcPr>
          <w:p>
            <w:pPr>
              <w:ind w:left="60"/>
              <w:spacing w:after="0"/>
              <w:rPr>
                <w:sz w:val="20"/>
                <w:szCs w:val="20"/>
                <w:color w:val="auto"/>
              </w:rPr>
            </w:pPr>
            <w:r>
              <w:rPr>
                <w:rFonts w:ascii="Arial" w:cs="Arial" w:eastAsia="Arial" w:hAnsi="Arial"/>
                <w:sz w:val="14"/>
                <w:szCs w:val="14"/>
                <w:color w:val="14202A"/>
              </w:rPr>
              <w:t>Equity compensation plans approved by</w:t>
            </w:r>
          </w:p>
        </w:tc>
        <w:tc>
          <w:tcPr>
            <w:tcW w:w="1740" w:type="dxa"/>
            <w:vAlign w:val="bottom"/>
            <w:vMerge w:val="restart"/>
          </w:tcPr>
          <w:p>
            <w:pPr>
              <w:jc w:val="right"/>
              <w:ind w:right="174"/>
              <w:spacing w:after="0"/>
              <w:rPr>
                <w:sz w:val="20"/>
                <w:szCs w:val="20"/>
                <w:color w:val="auto"/>
              </w:rPr>
            </w:pPr>
            <w:r>
              <w:rPr>
                <w:rFonts w:ascii="Arial" w:cs="Arial" w:eastAsia="Arial" w:hAnsi="Arial"/>
                <w:sz w:val="14"/>
                <w:szCs w:val="14"/>
                <w:color w:val="14202A"/>
              </w:rPr>
              <w:t>146,422</w:t>
            </w:r>
            <w:r>
              <w:rPr>
                <w:rFonts w:ascii="Arial" w:cs="Arial" w:eastAsia="Arial" w:hAnsi="Arial"/>
                <w:sz w:val="23"/>
                <w:szCs w:val="23"/>
                <w:color w:val="14202A"/>
                <w:vertAlign w:val="superscript"/>
              </w:rPr>
              <w:t>(3)</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00" w:type="dxa"/>
            <w:vAlign w:val="bottom"/>
            <w:tcBorders>
              <w:bottom w:val="single" w:sz="8" w:color="14202A"/>
            </w:tcBorders>
          </w:tcPr>
          <w:p>
            <w:pPr>
              <w:spacing w:after="0"/>
              <w:rPr>
                <w:sz w:val="20"/>
                <w:szCs w:val="20"/>
                <w:color w:val="auto"/>
              </w:rPr>
            </w:pPr>
          </w:p>
        </w:tc>
        <w:tc>
          <w:tcPr>
            <w:tcW w:w="3460" w:type="dxa"/>
            <w:vAlign w:val="bottom"/>
            <w:tcBorders>
              <w:bottom w:val="single" w:sz="8" w:color="14202A"/>
            </w:tcBorders>
          </w:tcPr>
          <w:p>
            <w:pPr>
              <w:ind w:left="220"/>
              <w:spacing w:after="0"/>
              <w:rPr>
                <w:sz w:val="20"/>
                <w:szCs w:val="20"/>
                <w:color w:val="auto"/>
              </w:rPr>
            </w:pPr>
            <w:r>
              <w:rPr>
                <w:rFonts w:ascii="Arial" w:cs="Arial" w:eastAsia="Arial" w:hAnsi="Arial"/>
                <w:sz w:val="14"/>
                <w:szCs w:val="14"/>
                <w:color w:val="14202A"/>
              </w:rPr>
              <w:t>shareholders – 2014 Plan</w:t>
            </w:r>
          </w:p>
        </w:tc>
        <w:tc>
          <w:tcPr>
            <w:tcW w:w="1740" w:type="dxa"/>
            <w:vAlign w:val="bottom"/>
            <w:tcBorders>
              <w:bottom w:val="single" w:sz="8" w:color="14202A"/>
            </w:tcBorders>
            <w:vMerge w:val="continue"/>
          </w:tcPr>
          <w:p>
            <w:pPr>
              <w:spacing w:after="0"/>
              <w:rPr>
                <w:sz w:val="20"/>
                <w:szCs w:val="20"/>
                <w:color w:val="auto"/>
              </w:rPr>
            </w:pPr>
          </w:p>
        </w:tc>
        <w:tc>
          <w:tcPr>
            <w:tcW w:w="1780" w:type="dxa"/>
            <w:vAlign w:val="bottom"/>
            <w:tcBorders>
              <w:bottom w:val="single" w:sz="8" w:color="14202A"/>
            </w:tcBorders>
            <w:gridSpan w:val="2"/>
          </w:tcPr>
          <w:p>
            <w:pPr>
              <w:jc w:val="right"/>
              <w:ind w:right="496"/>
              <w:spacing w:after="0"/>
              <w:rPr>
                <w:sz w:val="20"/>
                <w:szCs w:val="20"/>
                <w:color w:val="auto"/>
              </w:rPr>
            </w:pPr>
            <w:r>
              <w:rPr>
                <w:rFonts w:ascii="Arial" w:cs="Arial" w:eastAsia="Arial" w:hAnsi="Arial"/>
                <w:sz w:val="14"/>
                <w:szCs w:val="14"/>
                <w:color w:val="14202A"/>
              </w:rPr>
              <w:t>36.62</w:t>
            </w:r>
          </w:p>
        </w:tc>
        <w:tc>
          <w:tcPr>
            <w:tcW w:w="2200" w:type="dxa"/>
            <w:vAlign w:val="bottom"/>
            <w:tcBorders>
              <w:bottom w:val="single" w:sz="8" w:color="14202A"/>
            </w:tcBorders>
            <w:gridSpan w:val="2"/>
          </w:tcPr>
          <w:p>
            <w:pPr>
              <w:jc w:val="right"/>
              <w:ind w:right="66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4"/>
                <w:szCs w:val="14"/>
                <w:color w:val="14202A"/>
              </w:rPr>
              <w:t>Equity compensation plans approved by</w:t>
            </w:r>
          </w:p>
        </w:tc>
        <w:tc>
          <w:tcPr>
            <w:tcW w:w="1740" w:type="dxa"/>
            <w:vAlign w:val="bottom"/>
            <w:vMerge w:val="restart"/>
          </w:tcPr>
          <w:p>
            <w:pPr>
              <w:jc w:val="right"/>
              <w:ind w:right="174"/>
              <w:spacing w:after="0"/>
              <w:rPr>
                <w:sz w:val="20"/>
                <w:szCs w:val="20"/>
                <w:color w:val="auto"/>
              </w:rPr>
            </w:pPr>
            <w:r>
              <w:rPr>
                <w:rFonts w:ascii="Arial" w:cs="Arial" w:eastAsia="Arial" w:hAnsi="Arial"/>
                <w:sz w:val="14"/>
                <w:szCs w:val="14"/>
                <w:color w:val="14202A"/>
              </w:rPr>
              <w:t>1,410,637</w:t>
            </w:r>
            <w:r>
              <w:rPr>
                <w:rFonts w:ascii="Arial" w:cs="Arial" w:eastAsia="Arial" w:hAnsi="Arial"/>
                <w:sz w:val="23"/>
                <w:szCs w:val="23"/>
                <w:color w:val="14202A"/>
                <w:vertAlign w:val="superscript"/>
              </w:rPr>
              <w:t>(4)</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80" w:type="dxa"/>
            <w:vAlign w:val="bottom"/>
            <w:vMerge w:val="restart"/>
          </w:tcPr>
          <w:p>
            <w:pPr>
              <w:jc w:val="right"/>
              <w:ind w:right="334"/>
              <w:spacing w:after="0"/>
              <w:rPr>
                <w:sz w:val="20"/>
                <w:szCs w:val="20"/>
                <w:color w:val="auto"/>
              </w:rPr>
            </w:pPr>
            <w:r>
              <w:rPr>
                <w:rFonts w:ascii="Arial" w:cs="Arial" w:eastAsia="Arial" w:hAnsi="Arial"/>
                <w:sz w:val="14"/>
                <w:szCs w:val="14"/>
                <w:color w:val="14202A"/>
              </w:rPr>
              <w:t>2,711,541</w:t>
            </w:r>
            <w:r>
              <w:rPr>
                <w:rFonts w:ascii="Arial" w:cs="Arial" w:eastAsia="Arial" w:hAnsi="Arial"/>
                <w:sz w:val="23"/>
                <w:szCs w:val="23"/>
                <w:color w:val="14202A"/>
                <w:vertAlign w:val="superscript"/>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00" w:type="dxa"/>
            <w:vAlign w:val="bottom"/>
            <w:tcBorders>
              <w:bottom w:val="single" w:sz="8" w:color="14202A"/>
            </w:tcBorders>
          </w:tcPr>
          <w:p>
            <w:pPr>
              <w:spacing w:after="0"/>
              <w:rPr>
                <w:sz w:val="20"/>
                <w:szCs w:val="20"/>
                <w:color w:val="auto"/>
              </w:rPr>
            </w:pPr>
          </w:p>
        </w:tc>
        <w:tc>
          <w:tcPr>
            <w:tcW w:w="3460" w:type="dxa"/>
            <w:vAlign w:val="bottom"/>
            <w:tcBorders>
              <w:bottom w:val="single" w:sz="8" w:color="14202A"/>
            </w:tcBorders>
          </w:tcPr>
          <w:p>
            <w:pPr>
              <w:ind w:left="220"/>
              <w:spacing w:after="0"/>
              <w:rPr>
                <w:sz w:val="20"/>
                <w:szCs w:val="20"/>
                <w:color w:val="auto"/>
              </w:rPr>
            </w:pPr>
            <w:r>
              <w:rPr>
                <w:rFonts w:ascii="Arial" w:cs="Arial" w:eastAsia="Arial" w:hAnsi="Arial"/>
                <w:sz w:val="14"/>
                <w:szCs w:val="14"/>
                <w:color w:val="14202A"/>
              </w:rPr>
              <w:t>shareholders – 2019 Plan</w:t>
            </w:r>
          </w:p>
        </w:tc>
        <w:tc>
          <w:tcPr>
            <w:tcW w:w="1740" w:type="dxa"/>
            <w:vAlign w:val="bottom"/>
            <w:tcBorders>
              <w:bottom w:val="single" w:sz="8" w:color="14202A"/>
            </w:tcBorders>
            <w:vMerge w:val="continue"/>
          </w:tcPr>
          <w:p>
            <w:pPr>
              <w:spacing w:after="0"/>
              <w:rPr>
                <w:sz w:val="20"/>
                <w:szCs w:val="20"/>
                <w:color w:val="auto"/>
              </w:rPr>
            </w:pPr>
          </w:p>
        </w:tc>
        <w:tc>
          <w:tcPr>
            <w:tcW w:w="1780" w:type="dxa"/>
            <w:vAlign w:val="bottom"/>
            <w:tcBorders>
              <w:bottom w:val="single" w:sz="8" w:color="14202A"/>
            </w:tcBorders>
            <w:gridSpan w:val="2"/>
          </w:tcPr>
          <w:p>
            <w:pPr>
              <w:jc w:val="center"/>
              <w:ind w:left="208"/>
              <w:spacing w:after="0"/>
              <w:rPr>
                <w:sz w:val="20"/>
                <w:szCs w:val="20"/>
                <w:color w:val="auto"/>
              </w:rPr>
            </w:pPr>
            <w:r>
              <w:rPr>
                <w:rFonts w:ascii="Arial" w:cs="Arial" w:eastAsia="Arial" w:hAnsi="Arial"/>
                <w:sz w:val="14"/>
                <w:szCs w:val="14"/>
                <w:color w:val="14202A"/>
                <w:w w:val="96"/>
              </w:rPr>
              <w:t>48.11</w:t>
            </w:r>
          </w:p>
        </w:tc>
        <w:tc>
          <w:tcPr>
            <w:tcW w:w="2080" w:type="dxa"/>
            <w:vAlign w:val="bottom"/>
            <w:tcBorders>
              <w:bottom w:val="single" w:sz="8" w:color="14202A"/>
            </w:tcBorders>
            <w:vMerge w:val="continue"/>
          </w:tcPr>
          <w:p>
            <w:pPr>
              <w:spacing w:after="0"/>
              <w:rPr>
                <w:sz w:val="20"/>
                <w:szCs w:val="20"/>
                <w:color w:val="auto"/>
              </w:rPr>
            </w:pPr>
          </w:p>
        </w:tc>
        <w:tc>
          <w:tcPr>
            <w:tcW w:w="12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4"/>
                <w:szCs w:val="14"/>
                <w:color w:val="14202A"/>
              </w:rPr>
              <w:t>Equity compensation plans approved by</w:t>
            </w:r>
          </w:p>
        </w:tc>
        <w:tc>
          <w:tcPr>
            <w:tcW w:w="1740" w:type="dxa"/>
            <w:vAlign w:val="bottom"/>
            <w:vMerge w:val="restart"/>
          </w:tcPr>
          <w:p>
            <w:pPr>
              <w:jc w:val="right"/>
              <w:ind w:right="154"/>
              <w:spacing w:after="0"/>
              <w:rPr>
                <w:sz w:val="20"/>
                <w:szCs w:val="20"/>
                <w:color w:val="auto"/>
              </w:rPr>
            </w:pPr>
            <w:r>
              <w:rPr>
                <w:rFonts w:ascii="Arial" w:cs="Arial" w:eastAsia="Arial" w:hAnsi="Arial"/>
                <w:sz w:val="28"/>
                <w:szCs w:val="28"/>
                <w:color w:val="14202A"/>
                <w:vertAlign w:val="subscript"/>
              </w:rPr>
              <w:t>—</w:t>
            </w:r>
            <w:r>
              <w:rPr>
                <w:rFonts w:ascii="Arial" w:cs="Arial" w:eastAsia="Arial" w:hAnsi="Arial"/>
                <w:sz w:val="12"/>
                <w:szCs w:val="12"/>
                <w:color w:val="14202A"/>
              </w:rPr>
              <w:t>(6)</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80" w:type="dxa"/>
            <w:vAlign w:val="bottom"/>
            <w:vMerge w:val="restart"/>
          </w:tcPr>
          <w:p>
            <w:pPr>
              <w:jc w:val="right"/>
              <w:ind w:right="334"/>
              <w:spacing w:after="0"/>
              <w:rPr>
                <w:sz w:val="20"/>
                <w:szCs w:val="20"/>
                <w:color w:val="auto"/>
              </w:rPr>
            </w:pPr>
            <w:r>
              <w:rPr>
                <w:rFonts w:ascii="Arial" w:cs="Arial" w:eastAsia="Arial" w:hAnsi="Arial"/>
                <w:sz w:val="14"/>
                <w:szCs w:val="14"/>
                <w:color w:val="14202A"/>
              </w:rPr>
              <w:t>393,890</w:t>
            </w:r>
            <w:r>
              <w:rPr>
                <w:rFonts w:ascii="Arial" w:cs="Arial" w:eastAsia="Arial" w:hAnsi="Arial"/>
                <w:sz w:val="23"/>
                <w:szCs w:val="23"/>
                <w:color w:val="14202A"/>
                <w:vertAlign w:val="superscript"/>
              </w:rPr>
              <w:t>(7)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00" w:type="dxa"/>
            <w:vAlign w:val="bottom"/>
            <w:tcBorders>
              <w:bottom w:val="single" w:sz="8" w:color="14202A"/>
            </w:tcBorders>
          </w:tcPr>
          <w:p>
            <w:pPr>
              <w:spacing w:after="0"/>
              <w:rPr>
                <w:sz w:val="20"/>
                <w:szCs w:val="20"/>
                <w:color w:val="auto"/>
              </w:rPr>
            </w:pPr>
          </w:p>
        </w:tc>
        <w:tc>
          <w:tcPr>
            <w:tcW w:w="3460" w:type="dxa"/>
            <w:vAlign w:val="bottom"/>
            <w:tcBorders>
              <w:bottom w:val="single" w:sz="8" w:color="14202A"/>
            </w:tcBorders>
          </w:tcPr>
          <w:p>
            <w:pPr>
              <w:ind w:left="220"/>
              <w:spacing w:after="0"/>
              <w:rPr>
                <w:sz w:val="20"/>
                <w:szCs w:val="20"/>
                <w:color w:val="auto"/>
              </w:rPr>
            </w:pPr>
            <w:r>
              <w:rPr>
                <w:rFonts w:ascii="Arial" w:cs="Arial" w:eastAsia="Arial" w:hAnsi="Arial"/>
                <w:sz w:val="14"/>
                <w:szCs w:val="14"/>
                <w:color w:val="14202A"/>
              </w:rPr>
              <w:t>shareholders – ESPP</w:t>
            </w:r>
          </w:p>
        </w:tc>
        <w:tc>
          <w:tcPr>
            <w:tcW w:w="1740" w:type="dxa"/>
            <w:vAlign w:val="bottom"/>
            <w:tcBorders>
              <w:bottom w:val="single" w:sz="8" w:color="14202A"/>
            </w:tcBorders>
            <w:vMerge w:val="continue"/>
          </w:tcPr>
          <w:p>
            <w:pPr>
              <w:spacing w:after="0"/>
              <w:rPr>
                <w:sz w:val="20"/>
                <w:szCs w:val="20"/>
                <w:color w:val="auto"/>
              </w:rPr>
            </w:pPr>
          </w:p>
        </w:tc>
        <w:tc>
          <w:tcPr>
            <w:tcW w:w="160" w:type="dxa"/>
            <w:vAlign w:val="bottom"/>
            <w:tcBorders>
              <w:bottom w:val="single" w:sz="8" w:color="14202A"/>
            </w:tcBorders>
          </w:tcPr>
          <w:p>
            <w:pPr>
              <w:spacing w:after="0"/>
              <w:rPr>
                <w:sz w:val="20"/>
                <w:szCs w:val="20"/>
                <w:color w:val="auto"/>
              </w:rPr>
            </w:pPr>
          </w:p>
        </w:tc>
        <w:tc>
          <w:tcPr>
            <w:tcW w:w="1620" w:type="dxa"/>
            <w:vAlign w:val="bottom"/>
            <w:tcBorders>
              <w:bottom w:val="single" w:sz="8" w:color="14202A"/>
            </w:tcBorders>
          </w:tcPr>
          <w:p>
            <w:pPr>
              <w:jc w:val="right"/>
              <w:ind w:right="496"/>
              <w:spacing w:after="0"/>
              <w:rPr>
                <w:sz w:val="20"/>
                <w:szCs w:val="20"/>
                <w:color w:val="auto"/>
              </w:rPr>
            </w:pPr>
            <w:r>
              <w:rPr>
                <w:rFonts w:ascii="Arial" w:cs="Arial" w:eastAsia="Arial" w:hAnsi="Arial"/>
                <w:sz w:val="14"/>
                <w:szCs w:val="14"/>
                <w:color w:val="14202A"/>
              </w:rPr>
              <w:t>—</w:t>
            </w:r>
          </w:p>
        </w:tc>
        <w:tc>
          <w:tcPr>
            <w:tcW w:w="2080" w:type="dxa"/>
            <w:vAlign w:val="bottom"/>
            <w:tcBorders>
              <w:bottom w:val="single" w:sz="8" w:color="14202A"/>
            </w:tcBorders>
            <w:vMerge w:val="continue"/>
          </w:tcPr>
          <w:p>
            <w:pPr>
              <w:spacing w:after="0"/>
              <w:rPr>
                <w:sz w:val="20"/>
                <w:szCs w:val="20"/>
                <w:color w:val="auto"/>
              </w:rPr>
            </w:pPr>
          </w:p>
        </w:tc>
        <w:tc>
          <w:tcPr>
            <w:tcW w:w="12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4"/>
                <w:szCs w:val="14"/>
                <w:b w:val="1"/>
                <w:bCs w:val="1"/>
                <w:color w:val="14202A"/>
              </w:rPr>
              <w:t>Total equity compensation plans approved by</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460" w:type="dxa"/>
            <w:vAlign w:val="bottom"/>
          </w:tcPr>
          <w:p>
            <w:pPr>
              <w:ind w:left="220"/>
              <w:spacing w:after="0"/>
              <w:rPr>
                <w:sz w:val="20"/>
                <w:szCs w:val="20"/>
                <w:color w:val="auto"/>
              </w:rPr>
            </w:pPr>
            <w:r>
              <w:rPr>
                <w:rFonts w:ascii="Arial" w:cs="Arial" w:eastAsia="Arial" w:hAnsi="Arial"/>
                <w:sz w:val="14"/>
                <w:szCs w:val="14"/>
                <w:b w:val="1"/>
                <w:bCs w:val="1"/>
                <w:color w:val="14202A"/>
              </w:rPr>
              <w:t>shareholders</w:t>
            </w:r>
          </w:p>
        </w:tc>
        <w:tc>
          <w:tcPr>
            <w:tcW w:w="1740" w:type="dxa"/>
            <w:vAlign w:val="bottom"/>
          </w:tcPr>
          <w:p>
            <w:pPr>
              <w:jc w:val="right"/>
              <w:ind w:right="314"/>
              <w:spacing w:after="0"/>
              <w:rPr>
                <w:sz w:val="20"/>
                <w:szCs w:val="20"/>
                <w:color w:val="auto"/>
              </w:rPr>
            </w:pPr>
            <w:r>
              <w:rPr>
                <w:rFonts w:ascii="Arial" w:cs="Arial" w:eastAsia="Arial" w:hAnsi="Arial"/>
                <w:sz w:val="14"/>
                <w:szCs w:val="14"/>
                <w:color w:val="14202A"/>
              </w:rPr>
              <w:t>1,557,059</w:t>
            </w:r>
          </w:p>
        </w:tc>
        <w:tc>
          <w:tcPr>
            <w:tcW w:w="1780" w:type="dxa"/>
            <w:vAlign w:val="bottom"/>
            <w:gridSpan w:val="2"/>
          </w:tcPr>
          <w:p>
            <w:pPr>
              <w:jc w:val="right"/>
              <w:ind w:right="496"/>
              <w:spacing w:after="0"/>
              <w:rPr>
                <w:sz w:val="20"/>
                <w:szCs w:val="20"/>
                <w:color w:val="auto"/>
              </w:rPr>
            </w:pPr>
            <w:r>
              <w:rPr>
                <w:rFonts w:ascii="Arial" w:cs="Arial" w:eastAsia="Arial" w:hAnsi="Arial"/>
                <w:sz w:val="14"/>
                <w:szCs w:val="14"/>
                <w:color w:val="14202A"/>
              </w:rPr>
              <w:t>45.58</w:t>
            </w:r>
          </w:p>
        </w:tc>
        <w:tc>
          <w:tcPr>
            <w:tcW w:w="2080" w:type="dxa"/>
            <w:vAlign w:val="bottom"/>
          </w:tcPr>
          <w:p>
            <w:pPr>
              <w:jc w:val="right"/>
              <w:ind w:right="474"/>
              <w:spacing w:after="0"/>
              <w:rPr>
                <w:sz w:val="20"/>
                <w:szCs w:val="20"/>
                <w:color w:val="auto"/>
              </w:rPr>
            </w:pPr>
            <w:r>
              <w:rPr>
                <w:rFonts w:ascii="Arial" w:cs="Arial" w:eastAsia="Arial" w:hAnsi="Arial"/>
                <w:sz w:val="14"/>
                <w:szCs w:val="14"/>
                <w:color w:val="14202A"/>
              </w:rPr>
              <w:t>3,105,431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14202A"/>
            </w:tcBorders>
          </w:tcPr>
          <w:p>
            <w:pPr>
              <w:spacing w:after="0"/>
              <w:rPr>
                <w:sz w:val="3"/>
                <w:szCs w:val="3"/>
                <w:color w:val="auto"/>
              </w:rPr>
            </w:pPr>
          </w:p>
        </w:tc>
        <w:tc>
          <w:tcPr>
            <w:tcW w:w="3460" w:type="dxa"/>
            <w:vAlign w:val="bottom"/>
            <w:tcBorders>
              <w:bottom w:val="single" w:sz="8" w:color="14202A"/>
            </w:tcBorders>
          </w:tcPr>
          <w:p>
            <w:pPr>
              <w:spacing w:after="0"/>
              <w:rPr>
                <w:sz w:val="3"/>
                <w:szCs w:val="3"/>
                <w:color w:val="auto"/>
              </w:rPr>
            </w:pPr>
          </w:p>
        </w:tc>
        <w:tc>
          <w:tcPr>
            <w:tcW w:w="1740" w:type="dxa"/>
            <w:vAlign w:val="bottom"/>
            <w:tcBorders>
              <w:bottom w:val="single" w:sz="8" w:color="14202A"/>
            </w:tcBorders>
          </w:tcPr>
          <w:p>
            <w:pPr>
              <w:spacing w:after="0"/>
              <w:rPr>
                <w:sz w:val="3"/>
                <w:szCs w:val="3"/>
                <w:color w:val="auto"/>
              </w:rPr>
            </w:pPr>
          </w:p>
        </w:tc>
        <w:tc>
          <w:tcPr>
            <w:tcW w:w="16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2080" w:type="dxa"/>
            <w:vAlign w:val="bottom"/>
            <w:tcBorders>
              <w:bottom w:val="single" w:sz="8" w:color="14202A"/>
            </w:tcBorders>
          </w:tcPr>
          <w:p>
            <w:pPr>
              <w:spacing w:after="0"/>
              <w:rPr>
                <w:sz w:val="3"/>
                <w:szCs w:val="3"/>
                <w:color w:val="auto"/>
              </w:rPr>
            </w:pPr>
          </w:p>
        </w:tc>
        <w:tc>
          <w:tcPr>
            <w:tcW w:w="12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4"/>
                <w:szCs w:val="14"/>
                <w:b w:val="1"/>
                <w:bCs w:val="1"/>
                <w:color w:val="14202A"/>
              </w:rPr>
              <w:t>Equity compensation plans not approved by</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0" w:type="dxa"/>
            <w:vAlign w:val="bottom"/>
            <w:tcBorders>
              <w:bottom w:val="single" w:sz="8" w:color="14202A"/>
            </w:tcBorders>
          </w:tcPr>
          <w:p>
            <w:pPr>
              <w:spacing w:after="0"/>
              <w:rPr>
                <w:sz w:val="23"/>
                <w:szCs w:val="23"/>
                <w:color w:val="auto"/>
              </w:rPr>
            </w:pPr>
          </w:p>
        </w:tc>
        <w:tc>
          <w:tcPr>
            <w:tcW w:w="3460" w:type="dxa"/>
            <w:vAlign w:val="bottom"/>
            <w:tcBorders>
              <w:bottom w:val="single" w:sz="8" w:color="14202A"/>
            </w:tcBorders>
          </w:tcPr>
          <w:p>
            <w:pPr>
              <w:ind w:left="220"/>
              <w:spacing w:after="0"/>
              <w:rPr>
                <w:sz w:val="20"/>
                <w:szCs w:val="20"/>
                <w:color w:val="auto"/>
              </w:rPr>
            </w:pPr>
            <w:r>
              <w:rPr>
                <w:rFonts w:ascii="Arial" w:cs="Arial" w:eastAsia="Arial" w:hAnsi="Arial"/>
                <w:sz w:val="14"/>
                <w:szCs w:val="14"/>
                <w:b w:val="1"/>
                <w:bCs w:val="1"/>
                <w:color w:val="14202A"/>
              </w:rPr>
              <w:t>shareholders</w:t>
            </w:r>
            <w:r>
              <w:rPr>
                <w:rFonts w:ascii="Arial" w:cs="Arial" w:eastAsia="Arial" w:hAnsi="Arial"/>
                <w:sz w:val="23"/>
                <w:szCs w:val="23"/>
                <w:b w:val="1"/>
                <w:bCs w:val="1"/>
                <w:color w:val="14202A"/>
                <w:vertAlign w:val="superscript"/>
              </w:rPr>
              <w:t>(8)</w:t>
            </w:r>
          </w:p>
        </w:tc>
        <w:tc>
          <w:tcPr>
            <w:tcW w:w="1740" w:type="dxa"/>
            <w:vAlign w:val="bottom"/>
            <w:tcBorders>
              <w:bottom w:val="single" w:sz="8" w:color="14202A"/>
            </w:tcBorders>
          </w:tcPr>
          <w:p>
            <w:pPr>
              <w:jc w:val="right"/>
              <w:ind w:right="174"/>
              <w:spacing w:after="0"/>
              <w:rPr>
                <w:sz w:val="20"/>
                <w:szCs w:val="20"/>
                <w:color w:val="auto"/>
              </w:rPr>
            </w:pPr>
            <w:r>
              <w:rPr>
                <w:rFonts w:ascii="Arial" w:cs="Arial" w:eastAsia="Arial" w:hAnsi="Arial"/>
                <w:sz w:val="14"/>
                <w:szCs w:val="14"/>
                <w:color w:val="14202A"/>
              </w:rPr>
              <w:t>23,992</w:t>
            </w:r>
            <w:r>
              <w:rPr>
                <w:rFonts w:ascii="Arial" w:cs="Arial" w:eastAsia="Arial" w:hAnsi="Arial"/>
                <w:sz w:val="23"/>
                <w:szCs w:val="23"/>
                <w:color w:val="14202A"/>
                <w:vertAlign w:val="superscript"/>
              </w:rPr>
              <w:t>(9)</w:t>
            </w:r>
          </w:p>
        </w:tc>
        <w:tc>
          <w:tcPr>
            <w:tcW w:w="160" w:type="dxa"/>
            <w:vAlign w:val="bottom"/>
            <w:tcBorders>
              <w:bottom w:val="single" w:sz="8" w:color="14202A"/>
            </w:tcBorders>
          </w:tcPr>
          <w:p>
            <w:pPr>
              <w:spacing w:after="0"/>
              <w:rPr>
                <w:sz w:val="23"/>
                <w:szCs w:val="23"/>
                <w:color w:val="auto"/>
              </w:rPr>
            </w:pPr>
          </w:p>
        </w:tc>
        <w:tc>
          <w:tcPr>
            <w:tcW w:w="1620" w:type="dxa"/>
            <w:vAlign w:val="bottom"/>
            <w:tcBorders>
              <w:bottom w:val="single" w:sz="8" w:color="14202A"/>
            </w:tcBorders>
          </w:tcPr>
          <w:p>
            <w:pPr>
              <w:jc w:val="right"/>
              <w:ind w:right="496"/>
              <w:spacing w:after="0"/>
              <w:rPr>
                <w:sz w:val="20"/>
                <w:szCs w:val="20"/>
                <w:color w:val="auto"/>
              </w:rPr>
            </w:pPr>
            <w:r>
              <w:rPr>
                <w:rFonts w:ascii="Arial" w:cs="Arial" w:eastAsia="Arial" w:hAnsi="Arial"/>
                <w:sz w:val="14"/>
                <w:szCs w:val="14"/>
                <w:color w:val="14202A"/>
              </w:rPr>
              <w:t>—</w:t>
            </w:r>
          </w:p>
        </w:tc>
        <w:tc>
          <w:tcPr>
            <w:tcW w:w="2200" w:type="dxa"/>
            <w:vAlign w:val="bottom"/>
            <w:tcBorders>
              <w:bottom w:val="single" w:sz="8" w:color="14202A"/>
            </w:tcBorders>
            <w:gridSpan w:val="2"/>
          </w:tcPr>
          <w:p>
            <w:pPr>
              <w:ind w:left="1400"/>
              <w:spacing w:after="0" w:line="269" w:lineRule="exact"/>
              <w:rPr>
                <w:sz w:val="20"/>
                <w:szCs w:val="20"/>
                <w:color w:val="auto"/>
              </w:rPr>
            </w:pPr>
            <w:r>
              <w:rPr>
                <w:rFonts w:ascii="Arial" w:cs="Arial" w:eastAsia="Arial" w:hAnsi="Arial"/>
                <w:sz w:val="28"/>
                <w:szCs w:val="28"/>
                <w:color w:val="14202A"/>
                <w:vertAlign w:val="subscript"/>
              </w:rPr>
              <w:t>—</w:t>
            </w:r>
            <w:r>
              <w:rPr>
                <w:rFonts w:ascii="Arial" w:cs="Arial" w:eastAsia="Arial" w:hAnsi="Arial"/>
                <w:sz w:val="12"/>
                <w:szCs w:val="12"/>
                <w:color w:val="14202A"/>
              </w:rPr>
              <w:t>(10)</w:t>
            </w: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460" w:type="dxa"/>
            <w:vAlign w:val="bottom"/>
          </w:tcPr>
          <w:p>
            <w:pPr>
              <w:ind w:left="60"/>
              <w:spacing w:after="0"/>
              <w:rPr>
                <w:sz w:val="20"/>
                <w:szCs w:val="20"/>
                <w:color w:val="auto"/>
              </w:rPr>
            </w:pPr>
            <w:r>
              <w:rPr>
                <w:rFonts w:ascii="Arial" w:cs="Arial" w:eastAsia="Arial" w:hAnsi="Arial"/>
                <w:sz w:val="14"/>
                <w:szCs w:val="14"/>
                <w:color w:val="14202A"/>
              </w:rPr>
              <w:t>Total</w:t>
            </w:r>
          </w:p>
        </w:tc>
        <w:tc>
          <w:tcPr>
            <w:tcW w:w="1740" w:type="dxa"/>
            <w:vAlign w:val="bottom"/>
          </w:tcPr>
          <w:p>
            <w:pPr>
              <w:jc w:val="right"/>
              <w:ind w:right="314"/>
              <w:spacing w:after="0"/>
              <w:rPr>
                <w:sz w:val="20"/>
                <w:szCs w:val="20"/>
                <w:color w:val="auto"/>
              </w:rPr>
            </w:pPr>
            <w:r>
              <w:rPr>
                <w:rFonts w:ascii="Arial" w:cs="Arial" w:eastAsia="Arial" w:hAnsi="Arial"/>
                <w:sz w:val="14"/>
                <w:szCs w:val="14"/>
                <w:color w:val="14202A"/>
              </w:rPr>
              <w:t>1,581,051</w:t>
            </w: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80" w:type="dxa"/>
            <w:vAlign w:val="bottom"/>
          </w:tcPr>
          <w:p>
            <w:pPr>
              <w:jc w:val="right"/>
              <w:ind w:right="474"/>
              <w:spacing w:after="0"/>
              <w:rPr>
                <w:sz w:val="20"/>
                <w:szCs w:val="20"/>
                <w:color w:val="auto"/>
              </w:rPr>
            </w:pPr>
            <w:r>
              <w:rPr>
                <w:rFonts w:ascii="Arial" w:cs="Arial" w:eastAsia="Arial" w:hAnsi="Arial"/>
                <w:sz w:val="14"/>
                <w:szCs w:val="14"/>
                <w:color w:val="14202A"/>
              </w:rPr>
              <w:t>3,105,431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460" w:type="dxa"/>
            <w:vAlign w:val="bottom"/>
            <w:tcBorders>
              <w:bottom w:val="single" w:sz="8" w:color="14202A"/>
            </w:tcBorders>
          </w:tcPr>
          <w:p>
            <w:pPr>
              <w:spacing w:after="0" w:line="20" w:lineRule="exact"/>
              <w:rPr>
                <w:sz w:val="1"/>
                <w:szCs w:val="1"/>
                <w:color w:val="auto"/>
              </w:rPr>
            </w:pPr>
          </w:p>
        </w:tc>
        <w:tc>
          <w:tcPr>
            <w:tcW w:w="1740" w:type="dxa"/>
            <w:vAlign w:val="bottom"/>
            <w:tcBorders>
              <w:bottom w:val="single" w:sz="8" w:color="14202A"/>
            </w:tcBorders>
          </w:tcPr>
          <w:p>
            <w:pPr>
              <w:spacing w:after="0" w:line="20" w:lineRule="exact"/>
              <w:rPr>
                <w:sz w:val="1"/>
                <w:szCs w:val="1"/>
                <w:color w:val="auto"/>
              </w:rPr>
            </w:pPr>
          </w:p>
        </w:tc>
        <w:tc>
          <w:tcPr>
            <w:tcW w:w="160" w:type="dxa"/>
            <w:vAlign w:val="bottom"/>
            <w:tcBorders>
              <w:bottom w:val="single" w:sz="8" w:color="14202A"/>
            </w:tcBorders>
          </w:tcPr>
          <w:p>
            <w:pPr>
              <w:spacing w:after="0" w:line="20" w:lineRule="exact"/>
              <w:rPr>
                <w:sz w:val="1"/>
                <w:szCs w:val="1"/>
                <w:color w:val="auto"/>
              </w:rPr>
            </w:pPr>
          </w:p>
        </w:tc>
        <w:tc>
          <w:tcPr>
            <w:tcW w:w="1620" w:type="dxa"/>
            <w:vAlign w:val="bottom"/>
            <w:tcBorders>
              <w:bottom w:val="single" w:sz="8" w:color="14202A"/>
            </w:tcBorders>
          </w:tcPr>
          <w:p>
            <w:pPr>
              <w:spacing w:after="0" w:line="20" w:lineRule="exact"/>
              <w:rPr>
                <w:sz w:val="1"/>
                <w:szCs w:val="1"/>
                <w:color w:val="auto"/>
              </w:rPr>
            </w:pPr>
          </w:p>
        </w:tc>
        <w:tc>
          <w:tcPr>
            <w:tcW w:w="2080" w:type="dxa"/>
            <w:vAlign w:val="bottom"/>
            <w:tcBorders>
              <w:bottom w:val="single" w:sz="8" w:color="14202A"/>
            </w:tcBorders>
          </w:tcPr>
          <w:p>
            <w:pPr>
              <w:spacing w:after="0" w:line="20" w:lineRule="exact"/>
              <w:rPr>
                <w:sz w:val="1"/>
                <w:szCs w:val="1"/>
                <w:color w:val="auto"/>
              </w:rPr>
            </w:pPr>
          </w:p>
        </w:tc>
        <w:tc>
          <w:tcPr>
            <w:tcW w:w="12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2451735</wp:posOffset>
            </wp:positionH>
            <wp:positionV relativeFrom="paragraph">
              <wp:posOffset>-2322195</wp:posOffset>
            </wp:positionV>
            <wp:extent cx="336867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0" w:lineRule="exact"/>
        <w:rPr>
          <w:sz w:val="20"/>
          <w:szCs w:val="20"/>
          <w:color w:val="auto"/>
        </w:rPr>
      </w:pPr>
    </w:p>
    <w:p>
      <w:pPr>
        <w:ind w:left="360" w:hanging="360"/>
        <w:spacing w:after="0"/>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Number of securities to be issued in the table are shown in whole numbers.</w:t>
      </w:r>
    </w:p>
    <w:p>
      <w:pPr>
        <w:spacing w:after="0" w:line="39" w:lineRule="exact"/>
        <w:rPr>
          <w:rFonts w:ascii="Arial" w:cs="Arial" w:eastAsia="Arial" w:hAnsi="Arial"/>
          <w:sz w:val="13"/>
          <w:szCs w:val="13"/>
          <w:color w:val="14202A"/>
        </w:rPr>
      </w:pPr>
    </w:p>
    <w:p>
      <w:pPr>
        <w:ind w:left="360" w:right="300" w:hanging="360"/>
        <w:spacing w:after="0" w:line="243" w:lineRule="auto"/>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Represents the weighted average exercise price of outstanding stock options only. Restricted stock unit and performance share unit awards do not have an exercise price so weighted average is not applicable.</w:t>
      </w:r>
    </w:p>
    <w:p>
      <w:pPr>
        <w:spacing w:after="0" w:line="21" w:lineRule="exact"/>
        <w:rPr>
          <w:rFonts w:ascii="Arial" w:cs="Arial" w:eastAsia="Arial" w:hAnsi="Arial"/>
          <w:sz w:val="13"/>
          <w:szCs w:val="13"/>
          <w:color w:val="14202A"/>
        </w:rPr>
      </w:pPr>
    </w:p>
    <w:p>
      <w:pPr>
        <w:ind w:left="360" w:hanging="360"/>
        <w:spacing w:after="0"/>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Represents outstanding stock options and unvested share unit awards granted under the 2014 Plan.</w:t>
      </w:r>
    </w:p>
    <w:p>
      <w:pPr>
        <w:spacing w:after="0" w:line="39" w:lineRule="exact"/>
        <w:rPr>
          <w:rFonts w:ascii="Arial" w:cs="Arial" w:eastAsia="Arial" w:hAnsi="Arial"/>
          <w:sz w:val="13"/>
          <w:szCs w:val="13"/>
          <w:color w:val="14202A"/>
        </w:rPr>
      </w:pPr>
    </w:p>
    <w:p>
      <w:pPr>
        <w:ind w:left="360" w:right="160" w:hanging="360"/>
        <w:spacing w:after="0" w:line="243" w:lineRule="auto"/>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Represents outstanding stock options and unvested share unit awards granted under the 2019 Plan, which replaced the 2014 Plan effective on December 11, 2018.</w:t>
      </w:r>
    </w:p>
    <w:p>
      <w:pPr>
        <w:spacing w:after="0" w:line="21" w:lineRule="exact"/>
        <w:rPr>
          <w:rFonts w:ascii="Arial" w:cs="Arial" w:eastAsia="Arial" w:hAnsi="Arial"/>
          <w:sz w:val="13"/>
          <w:szCs w:val="13"/>
          <w:color w:val="14202A"/>
        </w:rPr>
      </w:pPr>
    </w:p>
    <w:p>
      <w:pPr>
        <w:ind w:left="360" w:hanging="360"/>
        <w:spacing w:after="0"/>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Represents shares available for grant of awards under the 2019 Plan as of August 29, 2026.</w:t>
      </w:r>
    </w:p>
    <w:p>
      <w:pPr>
        <w:spacing w:after="0" w:line="39" w:lineRule="exact"/>
        <w:rPr>
          <w:rFonts w:ascii="Arial" w:cs="Arial" w:eastAsia="Arial" w:hAnsi="Arial"/>
          <w:sz w:val="13"/>
          <w:szCs w:val="13"/>
          <w:color w:val="14202A"/>
        </w:rPr>
      </w:pPr>
    </w:p>
    <w:p>
      <w:pPr>
        <w:ind w:left="360" w:hanging="360"/>
        <w:spacing w:after="0"/>
        <w:tabs>
          <w:tab w:leader="none" w:pos="360" w:val="left"/>
        </w:tabs>
        <w:numPr>
          <w:ilvl w:val="0"/>
          <w:numId w:val="48"/>
        </w:numPr>
        <w:rPr>
          <w:rFonts w:ascii="Arial" w:cs="Arial" w:eastAsia="Arial" w:hAnsi="Arial"/>
          <w:sz w:val="12"/>
          <w:szCs w:val="12"/>
          <w:color w:val="14202A"/>
        </w:rPr>
      </w:pPr>
      <w:r>
        <w:rPr>
          <w:rFonts w:ascii="Arial" w:cs="Arial" w:eastAsia="Arial" w:hAnsi="Arial"/>
          <w:sz w:val="12"/>
          <w:szCs w:val="12"/>
          <w:color w:val="14202A"/>
        </w:rPr>
        <w:t>Represents shares subject to purchase in the purchase period then in effect under the Winnebago Industries, Inc. Employee Stock Purchase Plan (the “ESPP”).</w:t>
      </w:r>
    </w:p>
    <w:p>
      <w:pPr>
        <w:spacing w:after="0" w:line="51" w:lineRule="exact"/>
        <w:rPr>
          <w:rFonts w:ascii="Arial" w:cs="Arial" w:eastAsia="Arial" w:hAnsi="Arial"/>
          <w:sz w:val="12"/>
          <w:szCs w:val="12"/>
          <w:color w:val="14202A"/>
        </w:rPr>
      </w:pPr>
    </w:p>
    <w:p>
      <w:pPr>
        <w:ind w:left="360" w:hanging="360"/>
        <w:spacing w:after="0"/>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Represents shares available for issuance under the ESPP as of August 29, 2026.</w:t>
      </w:r>
    </w:p>
    <w:p>
      <w:pPr>
        <w:spacing w:after="0" w:line="39" w:lineRule="exact"/>
        <w:rPr>
          <w:rFonts w:ascii="Arial" w:cs="Arial" w:eastAsia="Arial" w:hAnsi="Arial"/>
          <w:sz w:val="13"/>
          <w:szCs w:val="13"/>
          <w:color w:val="14202A"/>
        </w:rPr>
      </w:pPr>
    </w:p>
    <w:p>
      <w:pPr>
        <w:ind w:left="360" w:right="360" w:hanging="360"/>
        <w:spacing w:after="0" w:line="243" w:lineRule="auto"/>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Our only equity compensation plan not previously submitted to our shareholders for approval is the Directors’ Deferred Plan. The Board may terminate the Directors’ Deferred Plan at any time.</w:t>
      </w:r>
    </w:p>
    <w:p>
      <w:pPr>
        <w:spacing w:after="0" w:line="21" w:lineRule="exact"/>
        <w:rPr>
          <w:rFonts w:ascii="Arial" w:cs="Arial" w:eastAsia="Arial" w:hAnsi="Arial"/>
          <w:sz w:val="13"/>
          <w:szCs w:val="13"/>
          <w:color w:val="14202A"/>
        </w:rPr>
      </w:pPr>
    </w:p>
    <w:p>
      <w:pPr>
        <w:ind w:left="360" w:right="620" w:hanging="360"/>
        <w:spacing w:after="0" w:line="243" w:lineRule="auto"/>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Represents shares of common stock issued to a trust which underlie stock units, payable on a one-for-one basis, credited to stock unit accounts as of August 29, 2026 under the Directors’ Deferred Plan.</w:t>
      </w:r>
    </w:p>
    <w:p>
      <w:pPr>
        <w:spacing w:after="0" w:line="21" w:lineRule="exact"/>
        <w:rPr>
          <w:rFonts w:ascii="Arial" w:cs="Arial" w:eastAsia="Arial" w:hAnsi="Arial"/>
          <w:sz w:val="13"/>
          <w:szCs w:val="13"/>
          <w:color w:val="14202A"/>
        </w:rPr>
      </w:pPr>
    </w:p>
    <w:p>
      <w:pPr>
        <w:jc w:val="both"/>
        <w:ind w:left="360" w:right="60" w:hanging="360"/>
        <w:spacing w:after="0" w:line="233" w:lineRule="auto"/>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The table does not reflect a specific number of stock units which may be distributed pursuant to the Directors’ Deferred Plan. The Directors’ Deferred Plan does not limit the number of stock units issuable thereunder. The number of stock units to be distributed pursuant to the Directors’ Deferred Plan will be based on the amount of the director’s compensation deferred and the per share price of our common stock at the time of deferral.</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ind w:right="60"/>
        <w:spacing w:after="0" w:line="287" w:lineRule="auto"/>
        <w:rPr>
          <w:sz w:val="20"/>
          <w:szCs w:val="20"/>
          <w:color w:val="auto"/>
        </w:rPr>
      </w:pPr>
      <w:r>
        <w:rPr>
          <w:rFonts w:ascii="Arial" w:cs="Arial" w:eastAsia="Arial" w:hAnsi="Arial"/>
          <w:sz w:val="27"/>
          <w:szCs w:val="27"/>
          <w:b w:val="1"/>
          <w:bCs w:val="1"/>
          <w:color w:val="14202A"/>
        </w:rPr>
        <w:t>Proposal 2 – Advisory Vote to Approve the Compensation of our Named Executive Officers</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14202A"/>
        </w:rPr>
        <w:t>As required by SEC rules, shareholders have the opportunity to vote, on an advisory and non-binding basis, on the compensation of our NEOs as set forth in this Proxy Statement. This is commonly referred to as the “Say on Pay” vote. At the 2023 annual meeting, the shareholders determined that the Say on Pay vote would be held annually. The next advisory vote on executive compensation following the Annual Meeting is expected to occur at our 2027 annual meeting of shareholders.</w:t>
      </w:r>
    </w:p>
    <w:p>
      <w:pPr>
        <w:spacing w:after="0" w:line="137"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14202A"/>
        </w:rPr>
        <w:t>As discussed in greater detail in the “Compensation Discussion and Analysis” section of this Proxy Statement, 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such that a substantial portion of each executive officer’s total compensation potential is a function of performance incentives. The Board believes the compensation of the NEOs outlined in this Proxy Statement is appropriate based upon the performance of the Company.</w:t>
      </w:r>
    </w:p>
    <w:p>
      <w:pPr>
        <w:spacing w:after="0" w:line="14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14202A"/>
        </w:rPr>
        <w:t>While the Board and especially the Human Resources Committee intend to carefully consider the results of the voting on this proposal when making future decisions regarding executive compensation, the vote is not binding on the Company or the Board and is advisory in nature.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14202A"/>
        </w:rPr>
        <w:t>Unless a contrary choice is specified, proxies solicited by the Board will be voted “</w:t>
      </w:r>
      <w:r>
        <w:rPr>
          <w:rFonts w:ascii="Arial" w:cs="Arial" w:eastAsia="Arial" w:hAnsi="Arial"/>
          <w:sz w:val="16"/>
          <w:szCs w:val="16"/>
          <w:b w:val="1"/>
          <w:bCs w:val="1"/>
          <w:color w:val="14202A"/>
        </w:rPr>
        <w:t>FOR</w:t>
      </w:r>
      <w:r>
        <w:rPr>
          <w:rFonts w:ascii="Arial" w:cs="Arial" w:eastAsia="Arial" w:hAnsi="Arial"/>
          <w:sz w:val="16"/>
          <w:szCs w:val="16"/>
          <w:color w:val="14202A"/>
        </w:rPr>
        <w:t>” approval of Proposal 2.</w:t>
      </w:r>
    </w:p>
    <w:p>
      <w:pPr>
        <w:spacing w:after="0" w:line="252" w:lineRule="exact"/>
        <w:rPr>
          <w:sz w:val="20"/>
          <w:szCs w:val="20"/>
          <w:color w:val="auto"/>
        </w:rPr>
      </w:pPr>
    </w:p>
    <w:p>
      <w:pPr>
        <w:ind w:left="1480" w:right="1080" w:hanging="630"/>
        <w:spacing w:after="0" w:line="181" w:lineRule="auto"/>
        <w:tabs>
          <w:tab w:leader="none" w:pos="1480" w:val="left"/>
        </w:tabs>
        <w:numPr>
          <w:ilvl w:val="0"/>
          <w:numId w:val="49"/>
        </w:numPr>
        <w:rPr>
          <w:rFonts w:ascii="MS PGothic" w:cs="MS PGothic" w:eastAsia="MS PGothic" w:hAnsi="MS PGothic"/>
          <w:sz w:val="44"/>
          <w:szCs w:val="44"/>
          <w:color w:val="FFFFFF"/>
          <w:shd w:val="clear" w:color="auto" w:fill="2E3F4C"/>
        </w:rPr>
      </w:pPr>
      <w:r>
        <w:rPr>
          <w:rFonts w:ascii="Arial" w:cs="Arial" w:eastAsia="Arial" w:hAnsi="Arial"/>
          <w:sz w:val="18"/>
          <w:szCs w:val="18"/>
          <w:b w:val="1"/>
          <w:bCs w:val="1"/>
          <w:color w:val="FFFFFF"/>
        </w:rPr>
        <w:t>The Board unanimously recommends voting, on a non-binding, advisory basis, FOR approval of the compensation of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-416560</wp:posOffset>
            </wp:positionV>
            <wp:extent cx="5078730" cy="4845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078730" cy="48450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 </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ind w:right="620"/>
        <w:spacing w:after="0" w:line="287" w:lineRule="auto"/>
        <w:rPr>
          <w:sz w:val="20"/>
          <w:szCs w:val="20"/>
          <w:color w:val="auto"/>
        </w:rPr>
      </w:pPr>
      <w:r>
        <w:rPr>
          <w:rFonts w:ascii="Arial" w:cs="Arial" w:eastAsia="Arial" w:hAnsi="Arial"/>
          <w:sz w:val="27"/>
          <w:szCs w:val="27"/>
          <w:b w:val="1"/>
          <w:bCs w:val="1"/>
          <w:color w:val="14202A"/>
        </w:rPr>
        <w:t>Proposal 3 – Approval of the Amended and Restated 2019 Omnibus Incentive Plan</w:t>
      </w:r>
    </w:p>
    <w:p>
      <w:pPr>
        <w:spacing w:after="0" w:line="8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14202A"/>
        </w:rPr>
        <w:t>We are seeking shareholder approval of the amendment and restatement of our Amended and Restated 2019 Omnibus Incentive Plan to increase the number of shares of our common stock available for issuance under the 2019 Plan by an additional 2,200,000 shares and extend the term of the 2019 Plan. The 2019 Plan originally became effective on December 11, 2018, was amended and restated effective December 14, 2023, and was further amended and restated effective December 16, 2025. On October 15, 2026, our Board, at the recommendation of our Human Resources Committee (the “Committee”), approved the amendment and restatement of the 2019 Plan, subject to approval by our shareholders at the Annual Meeting. This amendment and restatement of the 2019 Plan will become effective on the date it is approved by our shareholders.</w:t>
      </w:r>
    </w:p>
    <w:p>
      <w:pPr>
        <w:spacing w:after="0" w:line="141"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14202A"/>
        </w:rPr>
        <w:t>Except for the increase in the number of shares and extension of the term, the amended and restated 2019 Plan is substantively the same as the current 2019 Plan.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Factors Considered in Requesting Share Reserve Increase</w:t>
      </w:r>
    </w:p>
    <w:p>
      <w:pPr>
        <w:spacing w:after="0" w:line="18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14202A"/>
        </w:rPr>
        <w:t>As of October 20, 2026, there were 28,476,262 shares of our common stock issued and outstanding. The closing sale price of a share of our common stock on the NYSE on that date was $23.17.</w:t>
      </w:r>
    </w:p>
    <w:p>
      <w:pPr>
        <w:spacing w:after="0" w:line="115"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14202A"/>
        </w:rPr>
        <w:t>In setting the proposed number of additional shares to be reserved and issuable under the 2019 Plan, the Committee and our Board considered a number of factors as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Awards Outstanding and Shares Available for Grant</w:t>
      </w:r>
    </w:p>
    <w:p>
      <w:pPr>
        <w:spacing w:after="0" w:line="194"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14202A"/>
        </w:rPr>
        <w:t>The table below shows, as of October 20, 2026, the shares reserved for issuance of outstanding awards under the 2019 Plan as well as its predecessor, our 2014 Omnibus Equity, Performance Award and Incentive Compensation Plan (the “2014 Plan”), and available for future grant under our 2019 Plan. The table also shows the number of shares that will be available for future grants under the 2019 Plan following approval of the amended and restated 2019 Plan by our shareholders.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700" w:type="dxa"/>
            <w:vAlign w:val="bottom"/>
            <w:shd w:val="clear" w:color="auto" w:fill="14202A"/>
          </w:tcPr>
          <w:p>
            <w:pPr>
              <w:spacing w:after="0"/>
              <w:rPr>
                <w:sz w:val="22"/>
                <w:szCs w:val="22"/>
                <w:color w:val="auto"/>
              </w:rPr>
            </w:pPr>
          </w:p>
        </w:tc>
        <w:tc>
          <w:tcPr>
            <w:tcW w:w="3760" w:type="dxa"/>
            <w:vAlign w:val="bottom"/>
            <w:gridSpan w:val="2"/>
            <w:shd w:val="clear" w:color="auto" w:fill="14202A"/>
          </w:tcPr>
          <w:p>
            <w:pPr>
              <w:jc w:val="right"/>
              <w:ind w:right="812"/>
              <w:spacing w:after="0"/>
              <w:rPr>
                <w:sz w:val="20"/>
                <w:szCs w:val="20"/>
                <w:color w:val="auto"/>
              </w:rPr>
            </w:pPr>
            <w:r>
              <w:rPr>
                <w:rFonts w:ascii="Arial" w:cs="Arial" w:eastAsia="Arial" w:hAnsi="Arial"/>
                <w:sz w:val="13"/>
                <w:szCs w:val="13"/>
                <w:b w:val="1"/>
                <w:bCs w:val="1"/>
                <w:color w:val="FFFFFF"/>
              </w:rPr>
              <w:t>As of October 20, 2026</w:t>
            </w:r>
          </w:p>
        </w:tc>
        <w:tc>
          <w:tcPr>
            <w:tcW w:w="2820" w:type="dxa"/>
            <w:vAlign w:val="bottom"/>
            <w:shd w:val="clear" w:color="auto" w:fill="14202A"/>
          </w:tcPr>
          <w:p>
            <w:pPr>
              <w:jc w:val="center"/>
              <w:ind w:left="453"/>
              <w:spacing w:after="0"/>
              <w:rPr>
                <w:sz w:val="20"/>
                <w:szCs w:val="20"/>
                <w:color w:val="auto"/>
              </w:rPr>
            </w:pPr>
            <w:r>
              <w:rPr>
                <w:rFonts w:ascii="Arial" w:cs="Arial" w:eastAsia="Arial" w:hAnsi="Arial"/>
                <w:sz w:val="13"/>
                <w:szCs w:val="13"/>
                <w:b w:val="1"/>
                <w:bCs w:val="1"/>
                <w:color w:val="FFFFFF"/>
                <w:w w:val="97"/>
              </w:rPr>
              <w:t>After Approval of Restated Plan</w:t>
            </w:r>
          </w:p>
        </w:tc>
      </w:tr>
      <w:tr>
        <w:trPr>
          <w:trHeight w:val="260"/>
        </w:trPr>
        <w:tc>
          <w:tcPr>
            <w:tcW w:w="2700" w:type="dxa"/>
            <w:vAlign w:val="bottom"/>
            <w:shd w:val="clear" w:color="auto" w:fill="14202A"/>
          </w:tcPr>
          <w:p>
            <w:pPr>
              <w:spacing w:after="0"/>
              <w:rPr>
                <w:sz w:val="22"/>
                <w:szCs w:val="22"/>
                <w:color w:val="auto"/>
              </w:rPr>
            </w:pPr>
          </w:p>
        </w:tc>
        <w:tc>
          <w:tcPr>
            <w:tcW w:w="2140" w:type="dxa"/>
            <w:vAlign w:val="bottom"/>
            <w:shd w:val="clear" w:color="auto" w:fill="14202A"/>
          </w:tcPr>
          <w:p>
            <w:pPr>
              <w:jc w:val="center"/>
              <w:ind w:left="233"/>
              <w:spacing w:after="0"/>
              <w:rPr>
                <w:sz w:val="20"/>
                <w:szCs w:val="20"/>
                <w:color w:val="auto"/>
              </w:rPr>
            </w:pPr>
            <w:r>
              <w:rPr>
                <w:rFonts w:ascii="Arial" w:cs="Arial" w:eastAsia="Arial" w:hAnsi="Arial"/>
                <w:sz w:val="13"/>
                <w:szCs w:val="13"/>
                <w:b w:val="1"/>
                <w:bCs w:val="1"/>
                <w:color w:val="FFFFFF"/>
                <w:w w:val="97"/>
              </w:rPr>
              <w:t>Shares Underlying</w:t>
            </w:r>
          </w:p>
        </w:tc>
        <w:tc>
          <w:tcPr>
            <w:tcW w:w="1620" w:type="dxa"/>
            <w:vAlign w:val="bottom"/>
            <w:shd w:val="clear" w:color="auto" w:fill="14202A"/>
          </w:tcPr>
          <w:p>
            <w:pPr>
              <w:spacing w:after="0"/>
              <w:rPr>
                <w:sz w:val="22"/>
                <w:szCs w:val="22"/>
                <w:color w:val="auto"/>
              </w:rPr>
            </w:pPr>
          </w:p>
        </w:tc>
        <w:tc>
          <w:tcPr>
            <w:tcW w:w="2820" w:type="dxa"/>
            <w:vAlign w:val="bottom"/>
            <w:shd w:val="clear" w:color="auto" w:fill="14202A"/>
          </w:tcPr>
          <w:p>
            <w:pPr>
              <w:spacing w:after="0"/>
              <w:rPr>
                <w:sz w:val="22"/>
                <w:szCs w:val="22"/>
                <w:color w:val="auto"/>
              </w:rPr>
            </w:pPr>
          </w:p>
        </w:tc>
      </w:tr>
      <w:tr>
        <w:trPr>
          <w:trHeight w:val="166"/>
        </w:trPr>
        <w:tc>
          <w:tcPr>
            <w:tcW w:w="2700" w:type="dxa"/>
            <w:vAlign w:val="bottom"/>
            <w:shd w:val="clear" w:color="auto" w:fill="14202A"/>
          </w:tcPr>
          <w:p>
            <w:pPr>
              <w:spacing w:after="0"/>
              <w:rPr>
                <w:sz w:val="14"/>
                <w:szCs w:val="14"/>
                <w:color w:val="auto"/>
              </w:rPr>
            </w:pPr>
          </w:p>
        </w:tc>
        <w:tc>
          <w:tcPr>
            <w:tcW w:w="2140" w:type="dxa"/>
            <w:vAlign w:val="bottom"/>
            <w:shd w:val="clear" w:color="auto" w:fill="14202A"/>
          </w:tcPr>
          <w:p>
            <w:pPr>
              <w:jc w:val="center"/>
              <w:ind w:left="253"/>
              <w:spacing w:after="0"/>
              <w:rPr>
                <w:sz w:val="20"/>
                <w:szCs w:val="20"/>
                <w:color w:val="auto"/>
              </w:rPr>
            </w:pPr>
            <w:r>
              <w:rPr>
                <w:rFonts w:ascii="Arial" w:cs="Arial" w:eastAsia="Arial" w:hAnsi="Arial"/>
                <w:sz w:val="13"/>
                <w:szCs w:val="13"/>
                <w:b w:val="1"/>
                <w:bCs w:val="1"/>
                <w:color w:val="FFFFFF"/>
                <w:w w:val="96"/>
              </w:rPr>
              <w:t>Outstanding</w:t>
            </w:r>
          </w:p>
        </w:tc>
        <w:tc>
          <w:tcPr>
            <w:tcW w:w="1620" w:type="dxa"/>
            <w:vAlign w:val="bottom"/>
            <w:shd w:val="clear" w:color="auto" w:fill="14202A"/>
          </w:tcPr>
          <w:p>
            <w:pPr>
              <w:jc w:val="right"/>
              <w:spacing w:after="0"/>
              <w:rPr>
                <w:sz w:val="20"/>
                <w:szCs w:val="20"/>
                <w:color w:val="auto"/>
              </w:rPr>
            </w:pPr>
            <w:r>
              <w:rPr>
                <w:rFonts w:ascii="Arial" w:cs="Arial" w:eastAsia="Arial" w:hAnsi="Arial"/>
                <w:sz w:val="13"/>
                <w:szCs w:val="13"/>
                <w:b w:val="1"/>
                <w:bCs w:val="1"/>
                <w:color w:val="FFFFFF"/>
              </w:rPr>
              <w:t>Shares Available for</w:t>
            </w:r>
          </w:p>
        </w:tc>
        <w:tc>
          <w:tcPr>
            <w:tcW w:w="2820" w:type="dxa"/>
            <w:vAlign w:val="bottom"/>
            <w:shd w:val="clear" w:color="auto" w:fill="14202A"/>
          </w:tcPr>
          <w:p>
            <w:pPr>
              <w:jc w:val="center"/>
              <w:ind w:left="433"/>
              <w:spacing w:after="0"/>
              <w:rPr>
                <w:sz w:val="20"/>
                <w:szCs w:val="20"/>
                <w:color w:val="auto"/>
              </w:rPr>
            </w:pPr>
            <w:r>
              <w:rPr>
                <w:rFonts w:ascii="Arial" w:cs="Arial" w:eastAsia="Arial" w:hAnsi="Arial"/>
                <w:sz w:val="13"/>
                <w:szCs w:val="13"/>
                <w:b w:val="1"/>
                <w:bCs w:val="1"/>
                <w:color w:val="FFFFFF"/>
                <w:w w:val="95"/>
              </w:rPr>
              <w:t>Shares Available for</w:t>
            </w:r>
          </w:p>
        </w:tc>
      </w:tr>
      <w:tr>
        <w:trPr>
          <w:trHeight w:val="243"/>
        </w:trPr>
        <w:tc>
          <w:tcPr>
            <w:tcW w:w="2700" w:type="dxa"/>
            <w:vAlign w:val="bottom"/>
            <w:shd w:val="clear" w:color="auto" w:fill="14202A"/>
          </w:tcPr>
          <w:p>
            <w:pPr>
              <w:spacing w:after="0"/>
              <w:rPr>
                <w:sz w:val="21"/>
                <w:szCs w:val="21"/>
                <w:color w:val="auto"/>
              </w:rPr>
            </w:pPr>
          </w:p>
        </w:tc>
        <w:tc>
          <w:tcPr>
            <w:tcW w:w="2140" w:type="dxa"/>
            <w:vAlign w:val="bottom"/>
            <w:shd w:val="clear" w:color="auto" w:fill="14202A"/>
          </w:tcPr>
          <w:p>
            <w:pPr>
              <w:jc w:val="center"/>
              <w:ind w:left="293"/>
              <w:spacing w:after="0"/>
              <w:rPr>
                <w:sz w:val="20"/>
                <w:szCs w:val="20"/>
                <w:color w:val="auto"/>
              </w:rPr>
            </w:pPr>
            <w:r>
              <w:rPr>
                <w:rFonts w:ascii="Arial" w:cs="Arial" w:eastAsia="Arial" w:hAnsi="Arial"/>
                <w:sz w:val="13"/>
                <w:szCs w:val="13"/>
                <w:b w:val="1"/>
                <w:bCs w:val="1"/>
                <w:color w:val="FFFFFF"/>
                <w:w w:val="91"/>
              </w:rPr>
              <w:t>Awards</w:t>
            </w:r>
            <w:r>
              <w:rPr>
                <w:rFonts w:ascii="Arial" w:cs="Arial" w:eastAsia="Arial" w:hAnsi="Arial"/>
                <w:sz w:val="20"/>
                <w:szCs w:val="20"/>
                <w:b w:val="1"/>
                <w:bCs w:val="1"/>
                <w:color w:val="FFFFFF"/>
                <w:w w:val="91"/>
                <w:vertAlign w:val="superscript"/>
              </w:rPr>
              <w:t>(1)</w:t>
            </w:r>
          </w:p>
        </w:tc>
        <w:tc>
          <w:tcPr>
            <w:tcW w:w="1620" w:type="dxa"/>
            <w:vAlign w:val="bottom"/>
            <w:shd w:val="clear" w:color="auto" w:fill="14202A"/>
          </w:tcPr>
          <w:p>
            <w:pPr>
              <w:jc w:val="right"/>
              <w:ind w:right="132"/>
              <w:spacing w:after="0"/>
              <w:rPr>
                <w:sz w:val="20"/>
                <w:szCs w:val="20"/>
                <w:color w:val="auto"/>
              </w:rPr>
            </w:pPr>
            <w:r>
              <w:rPr>
                <w:rFonts w:ascii="Arial" w:cs="Arial" w:eastAsia="Arial" w:hAnsi="Arial"/>
                <w:sz w:val="13"/>
                <w:szCs w:val="13"/>
                <w:b w:val="1"/>
                <w:bCs w:val="1"/>
                <w:color w:val="FFFFFF"/>
              </w:rPr>
              <w:t>Future Awards</w:t>
            </w:r>
          </w:p>
        </w:tc>
        <w:tc>
          <w:tcPr>
            <w:tcW w:w="2820" w:type="dxa"/>
            <w:vAlign w:val="bottom"/>
            <w:shd w:val="clear" w:color="auto" w:fill="14202A"/>
          </w:tcPr>
          <w:p>
            <w:pPr>
              <w:jc w:val="center"/>
              <w:ind w:left="473"/>
              <w:spacing w:after="0"/>
              <w:rPr>
                <w:sz w:val="20"/>
                <w:szCs w:val="20"/>
                <w:color w:val="auto"/>
              </w:rPr>
            </w:pPr>
            <w:r>
              <w:rPr>
                <w:rFonts w:ascii="Arial" w:cs="Arial" w:eastAsia="Arial" w:hAnsi="Arial"/>
                <w:sz w:val="13"/>
                <w:szCs w:val="13"/>
                <w:b w:val="1"/>
                <w:bCs w:val="1"/>
                <w:color w:val="FFFFFF"/>
                <w:w w:val="96"/>
              </w:rPr>
              <w:t>Future Awards</w:t>
            </w:r>
          </w:p>
        </w:tc>
      </w:tr>
      <w:tr>
        <w:trPr>
          <w:trHeight w:val="268"/>
        </w:trPr>
        <w:tc>
          <w:tcPr>
            <w:tcW w:w="2700" w:type="dxa"/>
            <w:vAlign w:val="bottom"/>
          </w:tcPr>
          <w:p>
            <w:pPr>
              <w:ind w:left="160"/>
              <w:spacing w:after="0"/>
              <w:rPr>
                <w:sz w:val="20"/>
                <w:szCs w:val="20"/>
                <w:color w:val="auto"/>
              </w:rPr>
            </w:pPr>
            <w:r>
              <w:rPr>
                <w:rFonts w:ascii="Arial" w:cs="Arial" w:eastAsia="Arial" w:hAnsi="Arial"/>
                <w:sz w:val="14"/>
                <w:szCs w:val="14"/>
                <w:b w:val="1"/>
                <w:bCs w:val="1"/>
                <w:color w:val="14202A"/>
              </w:rPr>
              <w:t>2014 Plan</w:t>
            </w:r>
          </w:p>
        </w:tc>
        <w:tc>
          <w:tcPr>
            <w:tcW w:w="2140" w:type="dxa"/>
            <w:vAlign w:val="bottom"/>
          </w:tcPr>
          <w:p>
            <w:pPr>
              <w:jc w:val="right"/>
              <w:ind w:right="493"/>
              <w:spacing w:after="0"/>
              <w:rPr>
                <w:sz w:val="20"/>
                <w:szCs w:val="20"/>
                <w:color w:val="auto"/>
              </w:rPr>
            </w:pPr>
            <w:r>
              <w:rPr>
                <w:rFonts w:ascii="Arial" w:cs="Arial" w:eastAsia="Arial" w:hAnsi="Arial"/>
                <w:sz w:val="14"/>
                <w:szCs w:val="14"/>
                <w:color w:val="14202A"/>
              </w:rPr>
              <w:t>168,782</w:t>
            </w:r>
          </w:p>
        </w:tc>
        <w:tc>
          <w:tcPr>
            <w:tcW w:w="1620" w:type="dxa"/>
            <w:vAlign w:val="bottom"/>
          </w:tcPr>
          <w:p>
            <w:pPr>
              <w:jc w:val="right"/>
              <w:ind w:right="392"/>
              <w:spacing w:after="0"/>
              <w:rPr>
                <w:sz w:val="20"/>
                <w:szCs w:val="20"/>
                <w:color w:val="auto"/>
              </w:rPr>
            </w:pPr>
            <w:r>
              <w:rPr>
                <w:rFonts w:ascii="Arial" w:cs="Arial" w:eastAsia="Arial" w:hAnsi="Arial"/>
                <w:sz w:val="14"/>
                <w:szCs w:val="14"/>
                <w:color w:val="14202A"/>
              </w:rPr>
              <w:t>—</w:t>
            </w:r>
          </w:p>
        </w:tc>
        <w:tc>
          <w:tcPr>
            <w:tcW w:w="2820" w:type="dxa"/>
            <w:vAlign w:val="bottom"/>
          </w:tcPr>
          <w:p>
            <w:pPr>
              <w:jc w:val="right"/>
              <w:ind w:right="773"/>
              <w:spacing w:after="0"/>
              <w:rPr>
                <w:sz w:val="20"/>
                <w:szCs w:val="20"/>
                <w:color w:val="auto"/>
              </w:rPr>
            </w:pPr>
            <w:r>
              <w:rPr>
                <w:rFonts w:ascii="Arial" w:cs="Arial" w:eastAsia="Arial" w:hAnsi="Arial"/>
                <w:sz w:val="14"/>
                <w:szCs w:val="14"/>
                <w:color w:val="14202A"/>
              </w:rPr>
              <w:t>—</w:t>
            </w:r>
          </w:p>
        </w:tc>
      </w:tr>
      <w:tr>
        <w:trPr>
          <w:trHeight w:val="43"/>
        </w:trPr>
        <w:tc>
          <w:tcPr>
            <w:tcW w:w="2700" w:type="dxa"/>
            <w:vAlign w:val="bottom"/>
            <w:tcBorders>
              <w:bottom w:val="single" w:sz="8" w:color="14202A"/>
            </w:tcBorders>
          </w:tcPr>
          <w:p>
            <w:pPr>
              <w:spacing w:after="0"/>
              <w:rPr>
                <w:sz w:val="3"/>
                <w:szCs w:val="3"/>
                <w:color w:val="auto"/>
              </w:rPr>
            </w:pPr>
          </w:p>
        </w:tc>
        <w:tc>
          <w:tcPr>
            <w:tcW w:w="214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2820" w:type="dxa"/>
            <w:vAlign w:val="bottom"/>
            <w:tcBorders>
              <w:bottom w:val="single" w:sz="8" w:color="14202A"/>
            </w:tcBorders>
          </w:tcPr>
          <w:p>
            <w:pPr>
              <w:spacing w:after="0"/>
              <w:rPr>
                <w:sz w:val="3"/>
                <w:szCs w:val="3"/>
                <w:color w:val="auto"/>
              </w:rPr>
            </w:pPr>
          </w:p>
        </w:tc>
      </w:tr>
      <w:tr>
        <w:trPr>
          <w:trHeight w:val="248"/>
        </w:trPr>
        <w:tc>
          <w:tcPr>
            <w:tcW w:w="2700" w:type="dxa"/>
            <w:vAlign w:val="bottom"/>
          </w:tcPr>
          <w:p>
            <w:pPr>
              <w:ind w:left="160"/>
              <w:spacing w:after="0"/>
              <w:rPr>
                <w:sz w:val="20"/>
                <w:szCs w:val="20"/>
                <w:color w:val="auto"/>
              </w:rPr>
            </w:pPr>
            <w:r>
              <w:rPr>
                <w:rFonts w:ascii="Arial" w:cs="Arial" w:eastAsia="Arial" w:hAnsi="Arial"/>
                <w:sz w:val="14"/>
                <w:szCs w:val="14"/>
                <w:b w:val="1"/>
                <w:bCs w:val="1"/>
                <w:color w:val="14202A"/>
              </w:rPr>
              <w:t>2019 Plan</w:t>
            </w:r>
          </w:p>
        </w:tc>
        <w:tc>
          <w:tcPr>
            <w:tcW w:w="2140" w:type="dxa"/>
            <w:vAlign w:val="bottom"/>
          </w:tcPr>
          <w:p>
            <w:pPr>
              <w:jc w:val="right"/>
              <w:ind w:right="493"/>
              <w:spacing w:after="0"/>
              <w:rPr>
                <w:sz w:val="20"/>
                <w:szCs w:val="20"/>
                <w:color w:val="auto"/>
              </w:rPr>
            </w:pPr>
            <w:r>
              <w:rPr>
                <w:rFonts w:ascii="Arial" w:cs="Arial" w:eastAsia="Arial" w:hAnsi="Arial"/>
                <w:sz w:val="14"/>
                <w:szCs w:val="14"/>
                <w:color w:val="14202A"/>
              </w:rPr>
              <w:t>2,352,716</w:t>
            </w:r>
          </w:p>
        </w:tc>
        <w:tc>
          <w:tcPr>
            <w:tcW w:w="1620" w:type="dxa"/>
            <w:vAlign w:val="bottom"/>
          </w:tcPr>
          <w:p>
            <w:pPr>
              <w:jc w:val="right"/>
              <w:ind w:right="392"/>
              <w:spacing w:after="0"/>
              <w:rPr>
                <w:sz w:val="20"/>
                <w:szCs w:val="20"/>
                <w:color w:val="auto"/>
              </w:rPr>
            </w:pPr>
            <w:r>
              <w:rPr>
                <w:rFonts w:ascii="Arial" w:cs="Arial" w:eastAsia="Arial" w:hAnsi="Arial"/>
                <w:sz w:val="14"/>
                <w:szCs w:val="14"/>
                <w:color w:val="14202A"/>
              </w:rPr>
              <w:t>7,990</w:t>
            </w:r>
          </w:p>
        </w:tc>
        <w:tc>
          <w:tcPr>
            <w:tcW w:w="2820" w:type="dxa"/>
            <w:vAlign w:val="bottom"/>
          </w:tcPr>
          <w:p>
            <w:pPr>
              <w:jc w:val="right"/>
              <w:ind w:right="773"/>
              <w:spacing w:after="0"/>
              <w:rPr>
                <w:sz w:val="20"/>
                <w:szCs w:val="20"/>
                <w:color w:val="auto"/>
              </w:rPr>
            </w:pPr>
            <w:r>
              <w:rPr>
                <w:rFonts w:ascii="Arial" w:cs="Arial" w:eastAsia="Arial" w:hAnsi="Arial"/>
                <w:sz w:val="14"/>
                <w:szCs w:val="14"/>
                <w:color w:val="14202A"/>
              </w:rPr>
              <w:t>2,207,990</w:t>
            </w:r>
          </w:p>
        </w:tc>
      </w:tr>
      <w:tr>
        <w:trPr>
          <w:trHeight w:val="42"/>
        </w:trPr>
        <w:tc>
          <w:tcPr>
            <w:tcW w:w="2700" w:type="dxa"/>
            <w:vAlign w:val="bottom"/>
            <w:tcBorders>
              <w:bottom w:val="single" w:sz="8" w:color="14202A"/>
            </w:tcBorders>
          </w:tcPr>
          <w:p>
            <w:pPr>
              <w:spacing w:after="0"/>
              <w:rPr>
                <w:sz w:val="3"/>
                <w:szCs w:val="3"/>
                <w:color w:val="auto"/>
              </w:rPr>
            </w:pPr>
          </w:p>
        </w:tc>
        <w:tc>
          <w:tcPr>
            <w:tcW w:w="214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2820" w:type="dxa"/>
            <w:vAlign w:val="bottom"/>
            <w:tcBorders>
              <w:bottom w:val="single" w:sz="8" w:color="14202A"/>
            </w:tcBorders>
          </w:tcPr>
          <w:p>
            <w:pPr>
              <w:spacing w:after="0"/>
              <w:rPr>
                <w:sz w:val="3"/>
                <w:szCs w:val="3"/>
                <w:color w:val="auto"/>
              </w:rPr>
            </w:pPr>
          </w:p>
        </w:tc>
      </w:tr>
      <w:tr>
        <w:trPr>
          <w:trHeight w:val="290"/>
        </w:trPr>
        <w:tc>
          <w:tcPr>
            <w:tcW w:w="270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Total</w:t>
            </w:r>
          </w:p>
        </w:tc>
        <w:tc>
          <w:tcPr>
            <w:tcW w:w="2140" w:type="dxa"/>
            <w:vAlign w:val="bottom"/>
            <w:tcBorders>
              <w:bottom w:val="single" w:sz="8" w:color="14202A"/>
            </w:tcBorders>
          </w:tcPr>
          <w:p>
            <w:pPr>
              <w:jc w:val="right"/>
              <w:ind w:right="493"/>
              <w:spacing w:after="0"/>
              <w:rPr>
                <w:sz w:val="20"/>
                <w:szCs w:val="20"/>
                <w:color w:val="auto"/>
              </w:rPr>
            </w:pPr>
            <w:r>
              <w:rPr>
                <w:rFonts w:ascii="Arial" w:cs="Arial" w:eastAsia="Arial" w:hAnsi="Arial"/>
                <w:sz w:val="14"/>
                <w:szCs w:val="14"/>
                <w:color w:val="14202A"/>
              </w:rPr>
              <w:t>2,521,498</w:t>
            </w:r>
          </w:p>
        </w:tc>
        <w:tc>
          <w:tcPr>
            <w:tcW w:w="1620" w:type="dxa"/>
            <w:vAlign w:val="bottom"/>
            <w:tcBorders>
              <w:bottom w:val="single" w:sz="8" w:color="14202A"/>
            </w:tcBorders>
          </w:tcPr>
          <w:p>
            <w:pPr>
              <w:jc w:val="right"/>
              <w:ind w:right="392"/>
              <w:spacing w:after="0"/>
              <w:rPr>
                <w:sz w:val="20"/>
                <w:szCs w:val="20"/>
                <w:color w:val="auto"/>
              </w:rPr>
            </w:pPr>
            <w:r>
              <w:rPr>
                <w:rFonts w:ascii="Arial" w:cs="Arial" w:eastAsia="Arial" w:hAnsi="Arial"/>
                <w:sz w:val="14"/>
                <w:szCs w:val="14"/>
                <w:color w:val="14202A"/>
              </w:rPr>
              <w:t>7,990</w:t>
            </w:r>
          </w:p>
        </w:tc>
        <w:tc>
          <w:tcPr>
            <w:tcW w:w="2820" w:type="dxa"/>
            <w:vAlign w:val="bottom"/>
            <w:tcBorders>
              <w:bottom w:val="single" w:sz="8" w:color="14202A"/>
            </w:tcBorders>
          </w:tcPr>
          <w:p>
            <w:pPr>
              <w:jc w:val="right"/>
              <w:ind w:right="493"/>
              <w:spacing w:after="0"/>
              <w:rPr>
                <w:sz w:val="20"/>
                <w:szCs w:val="20"/>
                <w:color w:val="auto"/>
              </w:rPr>
            </w:pPr>
            <w:r>
              <w:rPr>
                <w:rFonts w:ascii="Arial" w:cs="Arial" w:eastAsia="Arial" w:hAnsi="Arial"/>
                <w:sz w:val="14"/>
                <w:szCs w:val="14"/>
                <w:color w:val="14202A"/>
              </w:rPr>
              <w:t>2,207,990</w:t>
            </w:r>
            <w:r>
              <w:rPr>
                <w:rFonts w:ascii="Arial" w:cs="Arial" w:eastAsia="Arial" w:hAnsi="Arial"/>
                <w:sz w:val="23"/>
                <w:szCs w:val="23"/>
                <w:color w:val="14202A"/>
                <w:vertAlign w:val="superscript"/>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2125980</wp:posOffset>
            </wp:positionH>
            <wp:positionV relativeFrom="paragraph">
              <wp:posOffset>-985520</wp:posOffset>
            </wp:positionV>
            <wp:extent cx="369443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694430" cy="8890"/>
                    </a:xfrm>
                    <a:prstGeom prst="rect">
                      <a:avLst/>
                    </a:prstGeom>
                    <a:noFill/>
                  </pic:spPr>
                </pic:pic>
              </a:graphicData>
            </a:graphic>
          </wp:anchor>
        </w:drawing>
      </w:r>
    </w:p>
    <w:p>
      <w:pPr>
        <w:spacing w:after="0" w:line="70" w:lineRule="exact"/>
        <w:rPr>
          <w:sz w:val="20"/>
          <w:szCs w:val="20"/>
          <w:color w:val="auto"/>
        </w:rPr>
      </w:pPr>
    </w:p>
    <w:p>
      <w:pPr>
        <w:ind w:left="360" w:hanging="360"/>
        <w:spacing w:after="0"/>
        <w:tabs>
          <w:tab w:leader="none" w:pos="360" w:val="left"/>
        </w:tabs>
        <w:numPr>
          <w:ilvl w:val="0"/>
          <w:numId w:val="50"/>
        </w:numPr>
        <w:rPr>
          <w:rFonts w:ascii="Arial" w:cs="Arial" w:eastAsia="Arial" w:hAnsi="Arial"/>
          <w:sz w:val="13"/>
          <w:szCs w:val="13"/>
          <w:color w:val="14202A"/>
        </w:rPr>
      </w:pPr>
      <w:r>
        <w:rPr>
          <w:rFonts w:ascii="Arial" w:cs="Arial" w:eastAsia="Arial" w:hAnsi="Arial"/>
          <w:sz w:val="13"/>
          <w:szCs w:val="13"/>
          <w:color w:val="14202A"/>
        </w:rPr>
        <w:t>Outstanding awards as of October 20, 2026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720" w:type="dxa"/>
            <w:vAlign w:val="bottom"/>
            <w:shd w:val="clear" w:color="auto" w:fill="14202A"/>
          </w:tcPr>
          <w:p>
            <w:pPr>
              <w:spacing w:after="0"/>
              <w:rPr>
                <w:sz w:val="22"/>
                <w:szCs w:val="22"/>
                <w:color w:val="auto"/>
              </w:rPr>
            </w:pPr>
          </w:p>
        </w:tc>
        <w:tc>
          <w:tcPr>
            <w:tcW w:w="2980" w:type="dxa"/>
            <w:vAlign w:val="bottom"/>
            <w:gridSpan w:val="2"/>
            <w:shd w:val="clear" w:color="auto" w:fill="14202A"/>
          </w:tcPr>
          <w:p>
            <w:pPr>
              <w:jc w:val="right"/>
              <w:ind w:right="310"/>
              <w:spacing w:after="0"/>
              <w:rPr>
                <w:sz w:val="20"/>
                <w:szCs w:val="20"/>
                <w:color w:val="auto"/>
              </w:rPr>
            </w:pPr>
            <w:r>
              <w:rPr>
                <w:rFonts w:ascii="Arial" w:cs="Arial" w:eastAsia="Arial" w:hAnsi="Arial"/>
                <w:sz w:val="13"/>
                <w:szCs w:val="13"/>
                <w:b w:val="1"/>
                <w:bCs w:val="1"/>
                <w:color w:val="FFFFFF"/>
              </w:rPr>
              <w:t>Types of Outstanding Awards</w:t>
            </w:r>
          </w:p>
        </w:tc>
        <w:tc>
          <w:tcPr>
            <w:tcW w:w="1900" w:type="dxa"/>
            <w:vAlign w:val="bottom"/>
            <w:shd w:val="clear" w:color="auto" w:fill="14202A"/>
          </w:tcPr>
          <w:p>
            <w:pPr>
              <w:jc w:val="center"/>
              <w:ind w:left="134"/>
              <w:spacing w:after="0"/>
              <w:rPr>
                <w:sz w:val="20"/>
                <w:szCs w:val="20"/>
                <w:color w:val="auto"/>
              </w:rPr>
            </w:pPr>
            <w:r>
              <w:rPr>
                <w:rFonts w:ascii="Arial" w:cs="Arial" w:eastAsia="Arial" w:hAnsi="Arial"/>
                <w:sz w:val="13"/>
                <w:szCs w:val="13"/>
                <w:b w:val="1"/>
                <w:bCs w:val="1"/>
                <w:color w:val="FFFFFF"/>
                <w:w w:val="96"/>
              </w:rPr>
              <w:t>Weighted Average</w:t>
            </w:r>
          </w:p>
        </w:tc>
        <w:tc>
          <w:tcPr>
            <w:tcW w:w="1680" w:type="dxa"/>
            <w:vAlign w:val="bottom"/>
            <w:shd w:val="clear" w:color="auto" w:fill="14202A"/>
          </w:tcPr>
          <w:p>
            <w:pPr>
              <w:jc w:val="center"/>
              <w:ind w:left="34"/>
              <w:spacing w:after="0"/>
              <w:rPr>
                <w:sz w:val="20"/>
                <w:szCs w:val="20"/>
                <w:color w:val="auto"/>
              </w:rPr>
            </w:pPr>
            <w:r>
              <w:rPr>
                <w:rFonts w:ascii="Arial" w:cs="Arial" w:eastAsia="Arial" w:hAnsi="Arial"/>
                <w:sz w:val="13"/>
                <w:szCs w:val="13"/>
                <w:b w:val="1"/>
                <w:bCs w:val="1"/>
                <w:color w:val="FFFFFF"/>
                <w:w w:val="96"/>
              </w:rPr>
              <w:t>Weighted Average</w:t>
            </w:r>
          </w:p>
        </w:tc>
        <w:tc>
          <w:tcPr>
            <w:tcW w:w="0" w:type="dxa"/>
            <w:vAlign w:val="bottom"/>
          </w:tcPr>
          <w:p>
            <w:pPr>
              <w:spacing w:after="0"/>
              <w:rPr>
                <w:sz w:val="1"/>
                <w:szCs w:val="1"/>
                <w:color w:val="auto"/>
              </w:rPr>
            </w:pPr>
          </w:p>
        </w:tc>
      </w:tr>
      <w:tr>
        <w:trPr>
          <w:trHeight w:val="104"/>
        </w:trPr>
        <w:tc>
          <w:tcPr>
            <w:tcW w:w="2720" w:type="dxa"/>
            <w:vAlign w:val="bottom"/>
            <w:shd w:val="clear" w:color="auto" w:fill="14202A"/>
          </w:tcPr>
          <w:p>
            <w:pPr>
              <w:spacing w:after="0"/>
              <w:rPr>
                <w:sz w:val="9"/>
                <w:szCs w:val="9"/>
                <w:color w:val="auto"/>
              </w:rPr>
            </w:pPr>
          </w:p>
        </w:tc>
        <w:tc>
          <w:tcPr>
            <w:tcW w:w="1580" w:type="dxa"/>
            <w:vAlign w:val="bottom"/>
            <w:shd w:val="clear" w:color="auto" w:fill="14202A"/>
          </w:tcPr>
          <w:p>
            <w:pPr>
              <w:spacing w:after="0"/>
              <w:rPr>
                <w:sz w:val="9"/>
                <w:szCs w:val="9"/>
                <w:color w:val="auto"/>
              </w:rPr>
            </w:pPr>
          </w:p>
        </w:tc>
        <w:tc>
          <w:tcPr>
            <w:tcW w:w="1400" w:type="dxa"/>
            <w:vAlign w:val="bottom"/>
            <w:shd w:val="clear" w:color="auto" w:fill="14202A"/>
          </w:tcPr>
          <w:p>
            <w:pPr>
              <w:spacing w:after="0"/>
              <w:rPr>
                <w:sz w:val="9"/>
                <w:szCs w:val="9"/>
                <w:color w:val="auto"/>
              </w:rPr>
            </w:pPr>
          </w:p>
        </w:tc>
        <w:tc>
          <w:tcPr>
            <w:tcW w:w="1900" w:type="dxa"/>
            <w:vAlign w:val="bottom"/>
            <w:shd w:val="clear" w:color="auto" w:fill="14202A"/>
          </w:tcPr>
          <w:p>
            <w:pPr>
              <w:jc w:val="center"/>
              <w:ind w:left="134"/>
              <w:spacing w:after="0" w:line="104" w:lineRule="exact"/>
              <w:rPr>
                <w:sz w:val="20"/>
                <w:szCs w:val="20"/>
                <w:color w:val="auto"/>
              </w:rPr>
            </w:pPr>
            <w:r>
              <w:rPr>
                <w:rFonts w:ascii="Arial" w:cs="Arial" w:eastAsia="Arial" w:hAnsi="Arial"/>
                <w:sz w:val="12"/>
                <w:szCs w:val="12"/>
                <w:b w:val="1"/>
                <w:bCs w:val="1"/>
                <w:color w:val="FFFFFF"/>
              </w:rPr>
              <w:t>Exercise Price of</w:t>
            </w:r>
          </w:p>
        </w:tc>
        <w:tc>
          <w:tcPr>
            <w:tcW w:w="1680" w:type="dxa"/>
            <w:vAlign w:val="bottom"/>
            <w:shd w:val="clear" w:color="auto" w:fill="14202A"/>
          </w:tcPr>
          <w:p>
            <w:pPr>
              <w:jc w:val="center"/>
              <w:ind w:left="34"/>
              <w:spacing w:after="0" w:line="104" w:lineRule="exact"/>
              <w:rPr>
                <w:sz w:val="20"/>
                <w:szCs w:val="20"/>
                <w:color w:val="auto"/>
              </w:rPr>
            </w:pPr>
            <w:r>
              <w:rPr>
                <w:rFonts w:ascii="Arial" w:cs="Arial" w:eastAsia="Arial" w:hAnsi="Arial"/>
                <w:sz w:val="12"/>
                <w:szCs w:val="12"/>
                <w:b w:val="1"/>
                <w:bCs w:val="1"/>
                <w:color w:val="FFFFFF"/>
              </w:rPr>
              <w:t>Remaining Term for</w:t>
            </w:r>
          </w:p>
        </w:tc>
        <w:tc>
          <w:tcPr>
            <w:tcW w:w="0" w:type="dxa"/>
            <w:vAlign w:val="bottom"/>
          </w:tcPr>
          <w:p>
            <w:pPr>
              <w:spacing w:after="0"/>
              <w:rPr>
                <w:sz w:val="1"/>
                <w:szCs w:val="1"/>
                <w:color w:val="auto"/>
              </w:rPr>
            </w:pPr>
          </w:p>
        </w:tc>
      </w:tr>
      <w:tr>
        <w:trPr>
          <w:trHeight w:val="135"/>
        </w:trPr>
        <w:tc>
          <w:tcPr>
            <w:tcW w:w="2720" w:type="dxa"/>
            <w:vAlign w:val="bottom"/>
            <w:shd w:val="clear" w:color="auto" w:fill="14202A"/>
          </w:tcPr>
          <w:p>
            <w:pPr>
              <w:spacing w:after="0"/>
              <w:rPr>
                <w:sz w:val="11"/>
                <w:szCs w:val="11"/>
                <w:color w:val="auto"/>
              </w:rPr>
            </w:pPr>
          </w:p>
        </w:tc>
        <w:tc>
          <w:tcPr>
            <w:tcW w:w="1580" w:type="dxa"/>
            <w:vAlign w:val="bottom"/>
            <w:vMerge w:val="restart"/>
            <w:shd w:val="clear" w:color="auto" w:fill="14202A"/>
          </w:tcPr>
          <w:p>
            <w:pPr>
              <w:jc w:val="center"/>
              <w:ind w:left="152"/>
              <w:spacing w:after="0"/>
              <w:rPr>
                <w:sz w:val="20"/>
                <w:szCs w:val="20"/>
                <w:color w:val="auto"/>
              </w:rPr>
            </w:pPr>
            <w:r>
              <w:rPr>
                <w:rFonts w:ascii="Arial" w:cs="Arial" w:eastAsia="Arial" w:hAnsi="Arial"/>
                <w:sz w:val="13"/>
                <w:szCs w:val="13"/>
                <w:b w:val="1"/>
                <w:bCs w:val="1"/>
                <w:color w:val="FFFFFF"/>
                <w:w w:val="96"/>
              </w:rPr>
              <w:t>Options/SARs</w:t>
            </w:r>
          </w:p>
        </w:tc>
        <w:tc>
          <w:tcPr>
            <w:tcW w:w="1400" w:type="dxa"/>
            <w:vAlign w:val="bottom"/>
            <w:vMerge w:val="restart"/>
            <w:shd w:val="clear" w:color="auto" w:fill="14202A"/>
          </w:tcPr>
          <w:p>
            <w:pPr>
              <w:jc w:val="right"/>
              <w:spacing w:after="0"/>
              <w:rPr>
                <w:sz w:val="20"/>
                <w:szCs w:val="20"/>
                <w:color w:val="auto"/>
              </w:rPr>
            </w:pPr>
            <w:r>
              <w:rPr>
                <w:rFonts w:ascii="Arial" w:cs="Arial" w:eastAsia="Arial" w:hAnsi="Arial"/>
                <w:sz w:val="13"/>
                <w:szCs w:val="13"/>
                <w:b w:val="1"/>
                <w:bCs w:val="1"/>
                <w:color w:val="FFFFFF"/>
              </w:rPr>
              <w:t>Full Value Awards</w:t>
            </w:r>
          </w:p>
        </w:tc>
        <w:tc>
          <w:tcPr>
            <w:tcW w:w="1900" w:type="dxa"/>
            <w:vAlign w:val="bottom"/>
            <w:shd w:val="clear" w:color="auto" w:fill="14202A"/>
          </w:tcPr>
          <w:p>
            <w:pPr>
              <w:jc w:val="center"/>
              <w:ind w:left="174"/>
              <w:spacing w:after="0" w:line="135" w:lineRule="exact"/>
              <w:rPr>
                <w:sz w:val="20"/>
                <w:szCs w:val="20"/>
                <w:color w:val="auto"/>
              </w:rPr>
            </w:pPr>
            <w:r>
              <w:rPr>
                <w:rFonts w:ascii="Arial" w:cs="Arial" w:eastAsia="Arial" w:hAnsi="Arial"/>
                <w:sz w:val="13"/>
                <w:szCs w:val="13"/>
                <w:b w:val="1"/>
                <w:bCs w:val="1"/>
                <w:color w:val="FFFFFF"/>
                <w:w w:val="98"/>
              </w:rPr>
              <w:t>Options/SARs</w:t>
            </w:r>
          </w:p>
        </w:tc>
        <w:tc>
          <w:tcPr>
            <w:tcW w:w="1680" w:type="dxa"/>
            <w:vAlign w:val="bottom"/>
            <w:shd w:val="clear" w:color="auto" w:fill="14202A"/>
          </w:tcPr>
          <w:p>
            <w:pPr>
              <w:jc w:val="center"/>
              <w:ind w:left="54"/>
              <w:spacing w:after="0" w:line="135" w:lineRule="exact"/>
              <w:rPr>
                <w:sz w:val="20"/>
                <w:szCs w:val="20"/>
                <w:color w:val="auto"/>
              </w:rPr>
            </w:pPr>
            <w:r>
              <w:rPr>
                <w:rFonts w:ascii="Arial" w:cs="Arial" w:eastAsia="Arial" w:hAnsi="Arial"/>
                <w:sz w:val="13"/>
                <w:szCs w:val="13"/>
                <w:b w:val="1"/>
                <w:bCs w:val="1"/>
                <w:color w:val="FFFFFF"/>
                <w:w w:val="96"/>
              </w:rPr>
              <w:t>Options/SARs</w:t>
            </w:r>
          </w:p>
        </w:tc>
        <w:tc>
          <w:tcPr>
            <w:tcW w:w="0" w:type="dxa"/>
            <w:vAlign w:val="bottom"/>
          </w:tcPr>
          <w:p>
            <w:pPr>
              <w:spacing w:after="0"/>
              <w:rPr>
                <w:sz w:val="1"/>
                <w:szCs w:val="1"/>
                <w:color w:val="auto"/>
              </w:rPr>
            </w:pPr>
          </w:p>
        </w:tc>
      </w:tr>
      <w:tr>
        <w:trPr>
          <w:trHeight w:val="172"/>
        </w:trPr>
        <w:tc>
          <w:tcPr>
            <w:tcW w:w="2720" w:type="dxa"/>
            <w:vAlign w:val="bottom"/>
            <w:shd w:val="clear" w:color="auto" w:fill="14202A"/>
          </w:tcPr>
          <w:p>
            <w:pPr>
              <w:spacing w:after="0"/>
              <w:rPr>
                <w:sz w:val="14"/>
                <w:szCs w:val="14"/>
                <w:color w:val="auto"/>
              </w:rPr>
            </w:pPr>
          </w:p>
        </w:tc>
        <w:tc>
          <w:tcPr>
            <w:tcW w:w="1580" w:type="dxa"/>
            <w:vAlign w:val="bottom"/>
            <w:vMerge w:val="continue"/>
            <w:shd w:val="clear" w:color="auto" w:fill="14202A"/>
          </w:tcPr>
          <w:p>
            <w:pPr>
              <w:spacing w:after="0"/>
              <w:rPr>
                <w:sz w:val="14"/>
                <w:szCs w:val="14"/>
                <w:color w:val="auto"/>
              </w:rPr>
            </w:pPr>
          </w:p>
        </w:tc>
        <w:tc>
          <w:tcPr>
            <w:tcW w:w="1400" w:type="dxa"/>
            <w:vAlign w:val="bottom"/>
            <w:vMerge w:val="continue"/>
            <w:shd w:val="clear" w:color="auto" w:fill="14202A"/>
          </w:tcPr>
          <w:p>
            <w:pPr>
              <w:spacing w:after="0"/>
              <w:rPr>
                <w:sz w:val="14"/>
                <w:szCs w:val="14"/>
                <w:color w:val="auto"/>
              </w:rPr>
            </w:pPr>
          </w:p>
        </w:tc>
        <w:tc>
          <w:tcPr>
            <w:tcW w:w="1900" w:type="dxa"/>
            <w:vAlign w:val="bottom"/>
            <w:shd w:val="clear" w:color="auto" w:fill="14202A"/>
          </w:tcPr>
          <w:p>
            <w:pPr>
              <w:jc w:val="center"/>
              <w:ind w:left="174"/>
              <w:spacing w:after="0"/>
              <w:rPr>
                <w:sz w:val="20"/>
                <w:szCs w:val="20"/>
                <w:color w:val="auto"/>
              </w:rPr>
            </w:pPr>
            <w:r>
              <w:rPr>
                <w:rFonts w:ascii="Arial" w:cs="Arial" w:eastAsia="Arial" w:hAnsi="Arial"/>
                <w:sz w:val="13"/>
                <w:szCs w:val="13"/>
                <w:b w:val="1"/>
                <w:bCs w:val="1"/>
                <w:color w:val="FFFFFF"/>
                <w:w w:val="87"/>
              </w:rPr>
              <w:t>($)</w:t>
            </w:r>
          </w:p>
        </w:tc>
        <w:tc>
          <w:tcPr>
            <w:tcW w:w="1680" w:type="dxa"/>
            <w:vAlign w:val="bottom"/>
            <w:shd w:val="clear" w:color="auto" w:fill="14202A"/>
          </w:tcPr>
          <w:p>
            <w:pPr>
              <w:jc w:val="center"/>
              <w:ind w:left="74"/>
              <w:spacing w:after="0"/>
              <w:rPr>
                <w:sz w:val="20"/>
                <w:szCs w:val="20"/>
                <w:color w:val="auto"/>
              </w:rPr>
            </w:pPr>
            <w:r>
              <w:rPr>
                <w:rFonts w:ascii="Arial" w:cs="Arial" w:eastAsia="Arial" w:hAnsi="Arial"/>
                <w:sz w:val="13"/>
                <w:szCs w:val="13"/>
                <w:b w:val="1"/>
                <w:bCs w:val="1"/>
                <w:color w:val="FFFFFF"/>
                <w:w w:val="98"/>
              </w:rPr>
              <w:t>(years)</w:t>
            </w:r>
          </w:p>
        </w:tc>
        <w:tc>
          <w:tcPr>
            <w:tcW w:w="0" w:type="dxa"/>
            <w:vAlign w:val="bottom"/>
          </w:tcPr>
          <w:p>
            <w:pPr>
              <w:spacing w:after="0"/>
              <w:rPr>
                <w:sz w:val="1"/>
                <w:szCs w:val="1"/>
                <w:color w:val="auto"/>
              </w:rPr>
            </w:pPr>
          </w:p>
        </w:tc>
      </w:tr>
      <w:tr>
        <w:trPr>
          <w:trHeight w:val="62"/>
        </w:trPr>
        <w:tc>
          <w:tcPr>
            <w:tcW w:w="2720" w:type="dxa"/>
            <w:vAlign w:val="bottom"/>
            <w:shd w:val="clear" w:color="auto" w:fill="14202A"/>
          </w:tcPr>
          <w:p>
            <w:pPr>
              <w:spacing w:after="0"/>
              <w:rPr>
                <w:sz w:val="5"/>
                <w:szCs w:val="5"/>
                <w:color w:val="auto"/>
              </w:rPr>
            </w:pPr>
          </w:p>
        </w:tc>
        <w:tc>
          <w:tcPr>
            <w:tcW w:w="1580" w:type="dxa"/>
            <w:vAlign w:val="bottom"/>
            <w:shd w:val="clear" w:color="auto" w:fill="14202A"/>
          </w:tcPr>
          <w:p>
            <w:pPr>
              <w:spacing w:after="0"/>
              <w:rPr>
                <w:sz w:val="5"/>
                <w:szCs w:val="5"/>
                <w:color w:val="auto"/>
              </w:rPr>
            </w:pPr>
          </w:p>
        </w:tc>
        <w:tc>
          <w:tcPr>
            <w:tcW w:w="1400" w:type="dxa"/>
            <w:vAlign w:val="bottom"/>
            <w:shd w:val="clear" w:color="auto" w:fill="14202A"/>
          </w:tcPr>
          <w:p>
            <w:pPr>
              <w:spacing w:after="0"/>
              <w:rPr>
                <w:sz w:val="5"/>
                <w:szCs w:val="5"/>
                <w:color w:val="auto"/>
              </w:rPr>
            </w:pPr>
          </w:p>
        </w:tc>
        <w:tc>
          <w:tcPr>
            <w:tcW w:w="1900" w:type="dxa"/>
            <w:vAlign w:val="bottom"/>
            <w:shd w:val="clear" w:color="auto" w:fill="14202A"/>
          </w:tcPr>
          <w:p>
            <w:pPr>
              <w:spacing w:after="0"/>
              <w:rPr>
                <w:sz w:val="5"/>
                <w:szCs w:val="5"/>
                <w:color w:val="auto"/>
              </w:rPr>
            </w:pPr>
          </w:p>
        </w:tc>
        <w:tc>
          <w:tcPr>
            <w:tcW w:w="168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720" w:type="dxa"/>
            <w:vAlign w:val="bottom"/>
          </w:tcPr>
          <w:p>
            <w:pPr>
              <w:ind w:left="160"/>
              <w:spacing w:after="0"/>
              <w:rPr>
                <w:sz w:val="20"/>
                <w:szCs w:val="20"/>
                <w:color w:val="auto"/>
              </w:rPr>
            </w:pPr>
            <w:r>
              <w:rPr>
                <w:rFonts w:ascii="Arial" w:cs="Arial" w:eastAsia="Arial" w:hAnsi="Arial"/>
                <w:sz w:val="14"/>
                <w:szCs w:val="14"/>
                <w:b w:val="1"/>
                <w:bCs w:val="1"/>
                <w:color w:val="14202A"/>
              </w:rPr>
              <w:t>2014 Plan</w:t>
            </w:r>
          </w:p>
        </w:tc>
        <w:tc>
          <w:tcPr>
            <w:tcW w:w="1580" w:type="dxa"/>
            <w:vAlign w:val="bottom"/>
          </w:tcPr>
          <w:p>
            <w:pPr>
              <w:jc w:val="center"/>
              <w:ind w:left="152"/>
              <w:spacing w:after="0"/>
              <w:rPr>
                <w:sz w:val="20"/>
                <w:szCs w:val="20"/>
                <w:color w:val="auto"/>
              </w:rPr>
            </w:pPr>
            <w:r>
              <w:rPr>
                <w:rFonts w:ascii="Arial" w:cs="Arial" w:eastAsia="Arial" w:hAnsi="Arial"/>
                <w:sz w:val="14"/>
                <w:szCs w:val="14"/>
                <w:color w:val="14202A"/>
              </w:rPr>
              <w:t>134,434</w:t>
            </w:r>
          </w:p>
        </w:tc>
        <w:tc>
          <w:tcPr>
            <w:tcW w:w="1400" w:type="dxa"/>
            <w:vAlign w:val="bottom"/>
          </w:tcPr>
          <w:p>
            <w:pPr>
              <w:jc w:val="right"/>
              <w:ind w:right="170"/>
              <w:spacing w:after="0"/>
              <w:rPr>
                <w:sz w:val="20"/>
                <w:szCs w:val="20"/>
                <w:color w:val="auto"/>
              </w:rPr>
            </w:pPr>
            <w:r>
              <w:rPr>
                <w:rFonts w:ascii="Arial" w:cs="Arial" w:eastAsia="Arial" w:hAnsi="Arial"/>
                <w:sz w:val="14"/>
                <w:szCs w:val="14"/>
                <w:color w:val="14202A"/>
              </w:rPr>
              <w:t>34,348</w:t>
            </w:r>
          </w:p>
        </w:tc>
        <w:tc>
          <w:tcPr>
            <w:tcW w:w="1900" w:type="dxa"/>
            <w:vAlign w:val="bottom"/>
          </w:tcPr>
          <w:p>
            <w:pPr>
              <w:jc w:val="center"/>
              <w:ind w:left="154"/>
              <w:spacing w:after="0"/>
              <w:rPr>
                <w:sz w:val="20"/>
                <w:szCs w:val="20"/>
                <w:color w:val="auto"/>
              </w:rPr>
            </w:pPr>
            <w:r>
              <w:rPr>
                <w:rFonts w:ascii="Arial" w:cs="Arial" w:eastAsia="Arial" w:hAnsi="Arial"/>
                <w:sz w:val="14"/>
                <w:szCs w:val="14"/>
                <w:color w:val="14202A"/>
              </w:rPr>
              <w:t>36.62</w:t>
            </w:r>
          </w:p>
        </w:tc>
        <w:tc>
          <w:tcPr>
            <w:tcW w:w="1680" w:type="dxa"/>
            <w:vAlign w:val="bottom"/>
          </w:tcPr>
          <w:p>
            <w:pPr>
              <w:jc w:val="center"/>
              <w:ind w:left="14"/>
              <w:spacing w:after="0"/>
              <w:rPr>
                <w:sz w:val="20"/>
                <w:szCs w:val="20"/>
                <w:color w:val="auto"/>
              </w:rPr>
            </w:pPr>
            <w:r>
              <w:rPr>
                <w:rFonts w:ascii="Arial" w:cs="Arial" w:eastAsia="Arial" w:hAnsi="Arial"/>
                <w:sz w:val="14"/>
                <w:szCs w:val="14"/>
                <w:color w:val="14202A"/>
              </w:rPr>
              <w:t>1.41</w:t>
            </w:r>
          </w:p>
        </w:tc>
        <w:tc>
          <w:tcPr>
            <w:tcW w:w="0" w:type="dxa"/>
            <w:vAlign w:val="bottom"/>
          </w:tcPr>
          <w:p>
            <w:pPr>
              <w:spacing w:after="0"/>
              <w:rPr>
                <w:sz w:val="1"/>
                <w:szCs w:val="1"/>
                <w:color w:val="auto"/>
              </w:rPr>
            </w:pPr>
          </w:p>
        </w:tc>
      </w:tr>
      <w:tr>
        <w:trPr>
          <w:trHeight w:val="43"/>
        </w:trPr>
        <w:tc>
          <w:tcPr>
            <w:tcW w:w="272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1400" w:type="dxa"/>
            <w:vAlign w:val="bottom"/>
            <w:tcBorders>
              <w:bottom w:val="single" w:sz="8" w:color="14202A"/>
            </w:tcBorders>
          </w:tcPr>
          <w:p>
            <w:pPr>
              <w:spacing w:after="0"/>
              <w:rPr>
                <w:sz w:val="3"/>
                <w:szCs w:val="3"/>
                <w:color w:val="auto"/>
              </w:rPr>
            </w:pPr>
          </w:p>
        </w:tc>
        <w:tc>
          <w:tcPr>
            <w:tcW w:w="1900" w:type="dxa"/>
            <w:vAlign w:val="bottom"/>
            <w:tcBorders>
              <w:bottom w:val="single" w:sz="8" w:color="14202A"/>
            </w:tcBorders>
          </w:tcPr>
          <w:p>
            <w:pPr>
              <w:spacing w:after="0"/>
              <w:rPr>
                <w:sz w:val="3"/>
                <w:szCs w:val="3"/>
                <w:color w:val="auto"/>
              </w:rPr>
            </w:pPr>
          </w:p>
        </w:tc>
        <w:tc>
          <w:tcPr>
            <w:tcW w:w="168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720" w:type="dxa"/>
            <w:vAlign w:val="bottom"/>
          </w:tcPr>
          <w:p>
            <w:pPr>
              <w:ind w:left="160"/>
              <w:spacing w:after="0"/>
              <w:rPr>
                <w:sz w:val="20"/>
                <w:szCs w:val="20"/>
                <w:color w:val="auto"/>
              </w:rPr>
            </w:pPr>
            <w:r>
              <w:rPr>
                <w:rFonts w:ascii="Arial" w:cs="Arial" w:eastAsia="Arial" w:hAnsi="Arial"/>
                <w:sz w:val="14"/>
                <w:szCs w:val="14"/>
                <w:b w:val="1"/>
                <w:bCs w:val="1"/>
                <w:color w:val="14202A"/>
              </w:rPr>
              <w:t>2019 Plan</w:t>
            </w:r>
          </w:p>
        </w:tc>
        <w:tc>
          <w:tcPr>
            <w:tcW w:w="1580" w:type="dxa"/>
            <w:vAlign w:val="bottom"/>
          </w:tcPr>
          <w:p>
            <w:pPr>
              <w:jc w:val="center"/>
              <w:ind w:left="152"/>
              <w:spacing w:after="0"/>
              <w:rPr>
                <w:sz w:val="20"/>
                <w:szCs w:val="20"/>
                <w:color w:val="auto"/>
              </w:rPr>
            </w:pPr>
            <w:r>
              <w:rPr>
                <w:rFonts w:ascii="Arial" w:cs="Arial" w:eastAsia="Arial" w:hAnsi="Arial"/>
                <w:sz w:val="14"/>
                <w:szCs w:val="14"/>
                <w:color w:val="14202A"/>
              </w:rPr>
              <w:t>737,347</w:t>
            </w:r>
          </w:p>
        </w:tc>
        <w:tc>
          <w:tcPr>
            <w:tcW w:w="1400" w:type="dxa"/>
            <w:vAlign w:val="bottom"/>
          </w:tcPr>
          <w:p>
            <w:pPr>
              <w:jc w:val="right"/>
              <w:ind w:right="190"/>
              <w:spacing w:after="0"/>
              <w:rPr>
                <w:sz w:val="20"/>
                <w:szCs w:val="20"/>
                <w:color w:val="auto"/>
              </w:rPr>
            </w:pPr>
            <w:r>
              <w:rPr>
                <w:rFonts w:ascii="Arial" w:cs="Arial" w:eastAsia="Arial" w:hAnsi="Arial"/>
                <w:sz w:val="14"/>
                <w:szCs w:val="14"/>
                <w:color w:val="14202A"/>
              </w:rPr>
              <w:t>1,615,369</w:t>
            </w:r>
          </w:p>
        </w:tc>
        <w:tc>
          <w:tcPr>
            <w:tcW w:w="1900" w:type="dxa"/>
            <w:vAlign w:val="bottom"/>
          </w:tcPr>
          <w:p>
            <w:pPr>
              <w:jc w:val="center"/>
              <w:ind w:left="154"/>
              <w:spacing w:after="0"/>
              <w:rPr>
                <w:sz w:val="20"/>
                <w:szCs w:val="20"/>
                <w:color w:val="auto"/>
              </w:rPr>
            </w:pPr>
            <w:r>
              <w:rPr>
                <w:rFonts w:ascii="Arial" w:cs="Arial" w:eastAsia="Arial" w:hAnsi="Arial"/>
                <w:sz w:val="14"/>
                <w:szCs w:val="14"/>
                <w:color w:val="14202A"/>
              </w:rPr>
              <w:t>39.25</w:t>
            </w:r>
          </w:p>
        </w:tc>
        <w:tc>
          <w:tcPr>
            <w:tcW w:w="1680" w:type="dxa"/>
            <w:vAlign w:val="bottom"/>
          </w:tcPr>
          <w:p>
            <w:pPr>
              <w:jc w:val="center"/>
              <w:ind w:left="14"/>
              <w:spacing w:after="0"/>
              <w:rPr>
                <w:sz w:val="20"/>
                <w:szCs w:val="20"/>
                <w:color w:val="auto"/>
              </w:rPr>
            </w:pPr>
            <w:r>
              <w:rPr>
                <w:rFonts w:ascii="Arial" w:cs="Arial" w:eastAsia="Arial" w:hAnsi="Arial"/>
                <w:sz w:val="14"/>
                <w:szCs w:val="14"/>
                <w:color w:val="14202A"/>
              </w:rPr>
              <w:t>8.06</w:t>
            </w:r>
          </w:p>
        </w:tc>
        <w:tc>
          <w:tcPr>
            <w:tcW w:w="0" w:type="dxa"/>
            <w:vAlign w:val="bottom"/>
          </w:tcPr>
          <w:p>
            <w:pPr>
              <w:spacing w:after="0"/>
              <w:rPr>
                <w:sz w:val="1"/>
                <w:szCs w:val="1"/>
                <w:color w:val="auto"/>
              </w:rPr>
            </w:pPr>
          </w:p>
        </w:tc>
      </w:tr>
      <w:tr>
        <w:trPr>
          <w:trHeight w:val="43"/>
        </w:trPr>
        <w:tc>
          <w:tcPr>
            <w:tcW w:w="272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1400" w:type="dxa"/>
            <w:vAlign w:val="bottom"/>
            <w:tcBorders>
              <w:bottom w:val="single" w:sz="8" w:color="14202A"/>
            </w:tcBorders>
          </w:tcPr>
          <w:p>
            <w:pPr>
              <w:spacing w:after="0"/>
              <w:rPr>
                <w:sz w:val="3"/>
                <w:szCs w:val="3"/>
                <w:color w:val="auto"/>
              </w:rPr>
            </w:pPr>
          </w:p>
        </w:tc>
        <w:tc>
          <w:tcPr>
            <w:tcW w:w="1900" w:type="dxa"/>
            <w:vAlign w:val="bottom"/>
            <w:tcBorders>
              <w:bottom w:val="single" w:sz="8" w:color="14202A"/>
            </w:tcBorders>
          </w:tcPr>
          <w:p>
            <w:pPr>
              <w:spacing w:after="0"/>
              <w:rPr>
                <w:sz w:val="3"/>
                <w:szCs w:val="3"/>
                <w:color w:val="auto"/>
              </w:rPr>
            </w:pPr>
          </w:p>
        </w:tc>
        <w:tc>
          <w:tcPr>
            <w:tcW w:w="168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72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Total</w:t>
            </w:r>
          </w:p>
        </w:tc>
        <w:tc>
          <w:tcPr>
            <w:tcW w:w="1580" w:type="dxa"/>
            <w:vAlign w:val="bottom"/>
            <w:tcBorders>
              <w:bottom w:val="single" w:sz="8" w:color="14202A"/>
            </w:tcBorders>
          </w:tcPr>
          <w:p>
            <w:pPr>
              <w:jc w:val="center"/>
              <w:ind w:left="152"/>
              <w:spacing w:after="0"/>
              <w:rPr>
                <w:sz w:val="20"/>
                <w:szCs w:val="20"/>
                <w:color w:val="auto"/>
              </w:rPr>
            </w:pPr>
            <w:r>
              <w:rPr>
                <w:rFonts w:ascii="Arial" w:cs="Arial" w:eastAsia="Arial" w:hAnsi="Arial"/>
                <w:sz w:val="14"/>
                <w:szCs w:val="14"/>
                <w:color w:val="14202A"/>
              </w:rPr>
              <w:t>871,781</w:t>
            </w:r>
          </w:p>
        </w:tc>
        <w:tc>
          <w:tcPr>
            <w:tcW w:w="1400" w:type="dxa"/>
            <w:vAlign w:val="bottom"/>
            <w:tcBorders>
              <w:bottom w:val="single" w:sz="8" w:color="14202A"/>
            </w:tcBorders>
          </w:tcPr>
          <w:p>
            <w:pPr>
              <w:jc w:val="right"/>
              <w:ind w:right="190"/>
              <w:spacing w:after="0"/>
              <w:rPr>
                <w:sz w:val="20"/>
                <w:szCs w:val="20"/>
                <w:color w:val="auto"/>
              </w:rPr>
            </w:pPr>
            <w:r>
              <w:rPr>
                <w:rFonts w:ascii="Arial" w:cs="Arial" w:eastAsia="Arial" w:hAnsi="Arial"/>
                <w:sz w:val="14"/>
                <w:szCs w:val="14"/>
                <w:color w:val="14202A"/>
              </w:rPr>
              <w:t>1,649,717</w:t>
            </w:r>
          </w:p>
        </w:tc>
        <w:tc>
          <w:tcPr>
            <w:tcW w:w="1900" w:type="dxa"/>
            <w:vAlign w:val="bottom"/>
            <w:tcBorders>
              <w:bottom w:val="single" w:sz="8" w:color="14202A"/>
            </w:tcBorders>
          </w:tcPr>
          <w:p>
            <w:pPr>
              <w:jc w:val="center"/>
              <w:ind w:left="154"/>
              <w:spacing w:after="0"/>
              <w:rPr>
                <w:sz w:val="20"/>
                <w:szCs w:val="20"/>
                <w:color w:val="auto"/>
              </w:rPr>
            </w:pPr>
            <w:r>
              <w:rPr>
                <w:rFonts w:ascii="Arial" w:cs="Arial" w:eastAsia="Arial" w:hAnsi="Arial"/>
                <w:sz w:val="14"/>
                <w:szCs w:val="14"/>
                <w:color w:val="14202A"/>
              </w:rPr>
              <w:t>38.84</w:t>
            </w:r>
          </w:p>
        </w:tc>
        <w:tc>
          <w:tcPr>
            <w:tcW w:w="1680" w:type="dxa"/>
            <w:vAlign w:val="bottom"/>
            <w:tcBorders>
              <w:bottom w:val="single" w:sz="8" w:color="14202A"/>
            </w:tcBorders>
          </w:tcPr>
          <w:p>
            <w:pPr>
              <w:jc w:val="center"/>
              <w:ind w:left="14"/>
              <w:spacing w:after="0"/>
              <w:rPr>
                <w:sz w:val="20"/>
                <w:szCs w:val="20"/>
                <w:color w:val="auto"/>
              </w:rPr>
            </w:pPr>
            <w:r>
              <w:rPr>
                <w:rFonts w:ascii="Arial" w:cs="Arial" w:eastAsia="Arial" w:hAnsi="Arial"/>
                <w:sz w:val="14"/>
                <w:szCs w:val="14"/>
                <w:color w:val="14202A"/>
              </w:rPr>
              <w:t>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2014220</wp:posOffset>
            </wp:positionH>
            <wp:positionV relativeFrom="paragraph">
              <wp:posOffset>-813435</wp:posOffset>
            </wp:positionV>
            <wp:extent cx="160337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70" w:lineRule="exact"/>
        <w:rPr>
          <w:sz w:val="20"/>
          <w:szCs w:val="20"/>
          <w:color w:val="auto"/>
        </w:rPr>
      </w:pPr>
    </w:p>
    <w:p>
      <w:pPr>
        <w:ind w:left="360" w:right="20" w:hanging="360"/>
        <w:spacing w:after="0" w:line="281" w:lineRule="auto"/>
        <w:tabs>
          <w:tab w:leader="none" w:pos="360" w:val="left"/>
        </w:tabs>
        <w:numPr>
          <w:ilvl w:val="0"/>
          <w:numId w:val="51"/>
        </w:numPr>
        <w:rPr>
          <w:rFonts w:ascii="Arial" w:cs="Arial" w:eastAsia="Arial" w:hAnsi="Arial"/>
          <w:sz w:val="12"/>
          <w:szCs w:val="12"/>
          <w:color w:val="14202A"/>
        </w:rPr>
      </w:pPr>
      <w:r>
        <w:rPr>
          <w:rFonts w:ascii="Arial" w:cs="Arial" w:eastAsia="Arial" w:hAnsi="Arial"/>
          <w:sz w:val="12"/>
          <w:szCs w:val="12"/>
          <w:color w:val="14202A"/>
        </w:rPr>
        <w:t>We also issue vested deferred stock units pursuant to our Directors’ Deferred Plan. The Directors’ Deferred Plan does not limit the number of shares of common stock issuable thereunder. 23,992 deferred stock units were nominally held in stock unit accounts under the Directors’ Deferred Plan as of October 20, 2026.</w:t>
      </w:r>
    </w:p>
    <w:p>
      <w:pPr>
        <w:ind w:left="360" w:right="320" w:hanging="360"/>
        <w:spacing w:after="0" w:line="243" w:lineRule="auto"/>
        <w:tabs>
          <w:tab w:leader="none" w:pos="360" w:val="left"/>
        </w:tabs>
        <w:numPr>
          <w:ilvl w:val="0"/>
          <w:numId w:val="51"/>
        </w:numPr>
        <w:rPr>
          <w:rFonts w:ascii="Arial" w:cs="Arial" w:eastAsia="Arial" w:hAnsi="Arial"/>
          <w:sz w:val="13"/>
          <w:szCs w:val="13"/>
          <w:color w:val="14202A"/>
        </w:rPr>
      </w:pPr>
      <w:r>
        <w:rPr>
          <w:rFonts w:ascii="Arial" w:cs="Arial" w:eastAsia="Arial" w:hAnsi="Arial"/>
          <w:sz w:val="13"/>
          <w:szCs w:val="13"/>
          <w:color w:val="14202A"/>
        </w:rPr>
        <w:t>No further equity awards may be granted under the 2014 Plan; however, any shares that would return to the 2014 Plan as a result of an award terminating, expiring or being forfeited or being settled in cash in lieu of shares are instead available under the 2019 Plan.</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Historical Equity Granting Practices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14202A"/>
        </w:rPr>
        <w:t>Our three-year average “burn rate” was 1.47% for Fiscal 2024 through Fiscal 2026.</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40" w:type="dxa"/>
            <w:vAlign w:val="bottom"/>
            <w:shd w:val="clear" w:color="auto" w:fill="14202A"/>
          </w:tcPr>
          <w:p>
            <w:pPr>
              <w:spacing w:after="0"/>
              <w:rPr>
                <w:sz w:val="19"/>
                <w:szCs w:val="19"/>
                <w:color w:val="auto"/>
              </w:rPr>
            </w:pPr>
          </w:p>
        </w:tc>
        <w:tc>
          <w:tcPr>
            <w:tcW w:w="2500" w:type="dxa"/>
            <w:vAlign w:val="bottom"/>
            <w:shd w:val="clear" w:color="auto" w:fill="14202A"/>
          </w:tcPr>
          <w:p>
            <w:pPr>
              <w:spacing w:after="0"/>
              <w:rPr>
                <w:sz w:val="19"/>
                <w:szCs w:val="19"/>
                <w:color w:val="auto"/>
              </w:rPr>
            </w:pPr>
          </w:p>
        </w:tc>
        <w:tc>
          <w:tcPr>
            <w:tcW w:w="1780" w:type="dxa"/>
            <w:vAlign w:val="bottom"/>
            <w:shd w:val="clear" w:color="auto" w:fill="14202A"/>
          </w:tcPr>
          <w:p>
            <w:pPr>
              <w:spacing w:after="0"/>
              <w:rPr>
                <w:sz w:val="19"/>
                <w:szCs w:val="19"/>
                <w:color w:val="auto"/>
              </w:rPr>
            </w:pPr>
          </w:p>
        </w:tc>
        <w:tc>
          <w:tcPr>
            <w:tcW w:w="18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Weighted Average</w:t>
            </w:r>
          </w:p>
        </w:tc>
        <w:tc>
          <w:tcPr>
            <w:tcW w:w="1120" w:type="dxa"/>
            <w:vAlign w:val="bottom"/>
            <w:shd w:val="clear" w:color="auto" w:fill="14202A"/>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14202A"/>
          </w:tcPr>
          <w:p>
            <w:pPr>
              <w:spacing w:after="0"/>
              <w:rPr>
                <w:sz w:val="11"/>
                <w:szCs w:val="11"/>
                <w:color w:val="auto"/>
              </w:rPr>
            </w:pPr>
          </w:p>
        </w:tc>
        <w:tc>
          <w:tcPr>
            <w:tcW w:w="2500" w:type="dxa"/>
            <w:vAlign w:val="bottom"/>
            <w:vMerge w:val="restart"/>
            <w:shd w:val="clear" w:color="auto" w:fill="14202A"/>
          </w:tcPr>
          <w:p>
            <w:pPr>
              <w:jc w:val="right"/>
              <w:ind w:right="292"/>
              <w:spacing w:after="0"/>
              <w:rPr>
                <w:sz w:val="20"/>
                <w:szCs w:val="20"/>
                <w:color w:val="auto"/>
              </w:rPr>
            </w:pPr>
            <w:r>
              <w:rPr>
                <w:rFonts w:ascii="Arial" w:cs="Arial" w:eastAsia="Arial" w:hAnsi="Arial"/>
                <w:sz w:val="13"/>
                <w:szCs w:val="13"/>
                <w:b w:val="1"/>
                <w:bCs w:val="1"/>
                <w:color w:val="FFFFFF"/>
              </w:rPr>
              <w:t>Options/SARs</w:t>
            </w:r>
          </w:p>
        </w:tc>
        <w:tc>
          <w:tcPr>
            <w:tcW w:w="17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Full Value Awards</w:t>
            </w:r>
          </w:p>
        </w:tc>
        <w:tc>
          <w:tcPr>
            <w:tcW w:w="18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8"/>
              </w:rPr>
              <w:t>Number of</w:t>
            </w:r>
          </w:p>
        </w:tc>
        <w:tc>
          <w:tcPr>
            <w:tcW w:w="11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14202A"/>
          </w:tcPr>
          <w:p>
            <w:pPr>
              <w:spacing w:after="0"/>
              <w:rPr>
                <w:sz w:val="11"/>
                <w:szCs w:val="11"/>
                <w:color w:val="auto"/>
              </w:rPr>
            </w:pPr>
          </w:p>
        </w:tc>
        <w:tc>
          <w:tcPr>
            <w:tcW w:w="2500" w:type="dxa"/>
            <w:vAlign w:val="bottom"/>
            <w:vMerge w:val="continue"/>
            <w:shd w:val="clear" w:color="auto" w:fill="14202A"/>
          </w:tcPr>
          <w:p>
            <w:pPr>
              <w:spacing w:after="0"/>
              <w:rPr>
                <w:sz w:val="11"/>
                <w:szCs w:val="11"/>
                <w:color w:val="auto"/>
              </w:rPr>
            </w:pPr>
          </w:p>
        </w:tc>
        <w:tc>
          <w:tcPr>
            <w:tcW w:w="1780" w:type="dxa"/>
            <w:vAlign w:val="bottom"/>
            <w:vMerge w:val="continue"/>
            <w:shd w:val="clear" w:color="auto" w:fill="14202A"/>
          </w:tcPr>
          <w:p>
            <w:pPr>
              <w:spacing w:after="0"/>
              <w:rPr>
                <w:sz w:val="11"/>
                <w:szCs w:val="11"/>
                <w:color w:val="auto"/>
              </w:rPr>
            </w:pPr>
          </w:p>
        </w:tc>
        <w:tc>
          <w:tcPr>
            <w:tcW w:w="18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Common Shares</w:t>
            </w:r>
          </w:p>
        </w:tc>
        <w:tc>
          <w:tcPr>
            <w:tcW w:w="1120" w:type="dxa"/>
            <w:vAlign w:val="bottom"/>
            <w:vMerge w:val="restart"/>
            <w:shd w:val="clear" w:color="auto" w:fill="14202A"/>
          </w:tcPr>
          <w:p>
            <w:pPr>
              <w:jc w:val="right"/>
              <w:ind w:right="70"/>
              <w:spacing w:after="0"/>
              <w:rPr>
                <w:sz w:val="20"/>
                <w:szCs w:val="20"/>
                <w:color w:val="auto"/>
              </w:rPr>
            </w:pPr>
            <w:r>
              <w:rPr>
                <w:rFonts w:ascii="Arial" w:cs="Arial" w:eastAsia="Arial" w:hAnsi="Arial"/>
                <w:sz w:val="13"/>
                <w:szCs w:val="13"/>
                <w:b w:val="1"/>
                <w:bCs w:val="1"/>
                <w:color w:val="FFFFFF"/>
              </w:rPr>
              <w:t>Burn Rate</w:t>
            </w:r>
          </w:p>
        </w:tc>
        <w:tc>
          <w:tcPr>
            <w:tcW w:w="0" w:type="dxa"/>
            <w:vAlign w:val="bottom"/>
          </w:tcPr>
          <w:p>
            <w:pPr>
              <w:spacing w:after="0"/>
              <w:rPr>
                <w:sz w:val="1"/>
                <w:szCs w:val="1"/>
                <w:color w:val="auto"/>
              </w:rPr>
            </w:pPr>
          </w:p>
        </w:tc>
      </w:tr>
      <w:tr>
        <w:trPr>
          <w:trHeight w:val="172"/>
        </w:trPr>
        <w:tc>
          <w:tcPr>
            <w:tcW w:w="2040" w:type="dxa"/>
            <w:vAlign w:val="bottom"/>
            <w:shd w:val="clear" w:color="auto" w:fill="14202A"/>
          </w:tcPr>
          <w:p>
            <w:pPr>
              <w:spacing w:after="0"/>
              <w:rPr>
                <w:sz w:val="14"/>
                <w:szCs w:val="14"/>
                <w:color w:val="auto"/>
              </w:rPr>
            </w:pPr>
          </w:p>
        </w:tc>
        <w:tc>
          <w:tcPr>
            <w:tcW w:w="2500" w:type="dxa"/>
            <w:vAlign w:val="bottom"/>
            <w:shd w:val="clear" w:color="auto" w:fill="14202A"/>
          </w:tcPr>
          <w:p>
            <w:pPr>
              <w:jc w:val="right"/>
              <w:ind w:right="452"/>
              <w:spacing w:after="0"/>
              <w:rPr>
                <w:sz w:val="20"/>
                <w:szCs w:val="20"/>
                <w:color w:val="auto"/>
              </w:rPr>
            </w:pPr>
            <w:r>
              <w:rPr>
                <w:rFonts w:ascii="Arial" w:cs="Arial" w:eastAsia="Arial" w:hAnsi="Arial"/>
                <w:sz w:val="13"/>
                <w:szCs w:val="13"/>
                <w:b w:val="1"/>
                <w:bCs w:val="1"/>
                <w:color w:val="FFFFFF"/>
              </w:rPr>
              <w:t>Granted</w:t>
            </w:r>
          </w:p>
        </w:tc>
        <w:tc>
          <w:tcPr>
            <w:tcW w:w="17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Granted</w:t>
            </w:r>
          </w:p>
        </w:tc>
        <w:tc>
          <w:tcPr>
            <w:tcW w:w="18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Outstanding</w:t>
            </w:r>
          </w:p>
        </w:tc>
        <w:tc>
          <w:tcPr>
            <w:tcW w:w="1120" w:type="dxa"/>
            <w:vAlign w:val="bottom"/>
            <w:vMerge w:val="continue"/>
            <w:shd w:val="clear" w:color="auto" w:fill="14202A"/>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40" w:type="dxa"/>
            <w:vAlign w:val="bottom"/>
            <w:shd w:val="clear" w:color="auto" w:fill="14202A"/>
          </w:tcPr>
          <w:p>
            <w:pPr>
              <w:spacing w:after="0"/>
              <w:rPr>
                <w:sz w:val="5"/>
                <w:szCs w:val="5"/>
                <w:color w:val="auto"/>
              </w:rPr>
            </w:pPr>
          </w:p>
        </w:tc>
        <w:tc>
          <w:tcPr>
            <w:tcW w:w="2500" w:type="dxa"/>
            <w:vAlign w:val="bottom"/>
            <w:shd w:val="clear" w:color="auto" w:fill="14202A"/>
          </w:tcPr>
          <w:p>
            <w:pPr>
              <w:spacing w:after="0"/>
              <w:rPr>
                <w:sz w:val="5"/>
                <w:szCs w:val="5"/>
                <w:color w:val="auto"/>
              </w:rPr>
            </w:pPr>
          </w:p>
        </w:tc>
        <w:tc>
          <w:tcPr>
            <w:tcW w:w="1780" w:type="dxa"/>
            <w:vAlign w:val="bottom"/>
            <w:shd w:val="clear" w:color="auto" w:fill="14202A"/>
          </w:tcPr>
          <w:p>
            <w:pPr>
              <w:spacing w:after="0"/>
              <w:rPr>
                <w:sz w:val="5"/>
                <w:szCs w:val="5"/>
                <w:color w:val="auto"/>
              </w:rPr>
            </w:pPr>
          </w:p>
        </w:tc>
        <w:tc>
          <w:tcPr>
            <w:tcW w:w="1840" w:type="dxa"/>
            <w:vAlign w:val="bottom"/>
            <w:shd w:val="clear" w:color="auto" w:fill="14202A"/>
          </w:tcPr>
          <w:p>
            <w:pPr>
              <w:spacing w:after="0"/>
              <w:rPr>
                <w:sz w:val="5"/>
                <w:szCs w:val="5"/>
                <w:color w:val="auto"/>
              </w:rPr>
            </w:pPr>
          </w:p>
        </w:tc>
        <w:tc>
          <w:tcPr>
            <w:tcW w:w="112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40" w:type="dxa"/>
            <w:vAlign w:val="bottom"/>
          </w:tcPr>
          <w:p>
            <w:pPr>
              <w:ind w:left="160"/>
              <w:spacing w:after="0"/>
              <w:rPr>
                <w:sz w:val="20"/>
                <w:szCs w:val="20"/>
                <w:color w:val="auto"/>
              </w:rPr>
            </w:pPr>
            <w:r>
              <w:rPr>
                <w:rFonts w:ascii="Arial" w:cs="Arial" w:eastAsia="Arial" w:hAnsi="Arial"/>
                <w:sz w:val="14"/>
                <w:szCs w:val="14"/>
                <w:b w:val="1"/>
                <w:bCs w:val="1"/>
                <w:color w:val="14202A"/>
              </w:rPr>
              <w:t>2024</w:t>
            </w:r>
          </w:p>
        </w:tc>
        <w:tc>
          <w:tcPr>
            <w:tcW w:w="2500" w:type="dxa"/>
            <w:vAlign w:val="bottom"/>
          </w:tcPr>
          <w:p>
            <w:pPr>
              <w:jc w:val="right"/>
              <w:ind w:right="412"/>
              <w:spacing w:after="0"/>
              <w:rPr>
                <w:sz w:val="20"/>
                <w:szCs w:val="20"/>
                <w:color w:val="auto"/>
              </w:rPr>
            </w:pPr>
            <w:r>
              <w:rPr>
                <w:rFonts w:ascii="Arial" w:cs="Arial" w:eastAsia="Arial" w:hAnsi="Arial"/>
                <w:sz w:val="14"/>
                <w:szCs w:val="14"/>
                <w:color w:val="14202A"/>
              </w:rPr>
              <w:t>70,299</w:t>
            </w:r>
          </w:p>
        </w:tc>
        <w:tc>
          <w:tcPr>
            <w:tcW w:w="1780" w:type="dxa"/>
            <w:vAlign w:val="bottom"/>
          </w:tcPr>
          <w:p>
            <w:pPr>
              <w:jc w:val="center"/>
              <w:spacing w:after="0"/>
              <w:rPr>
                <w:sz w:val="20"/>
                <w:szCs w:val="20"/>
                <w:color w:val="auto"/>
              </w:rPr>
            </w:pPr>
            <w:r>
              <w:rPr>
                <w:rFonts w:ascii="Arial" w:cs="Arial" w:eastAsia="Arial" w:hAnsi="Arial"/>
                <w:sz w:val="14"/>
                <w:szCs w:val="14"/>
                <w:color w:val="14202A"/>
              </w:rPr>
              <w:t>292,218</w:t>
            </w:r>
          </w:p>
        </w:tc>
        <w:tc>
          <w:tcPr>
            <w:tcW w:w="1840" w:type="dxa"/>
            <w:vAlign w:val="bottom"/>
          </w:tcPr>
          <w:p>
            <w:pPr>
              <w:jc w:val="center"/>
              <w:spacing w:after="0"/>
              <w:rPr>
                <w:sz w:val="20"/>
                <w:szCs w:val="20"/>
                <w:color w:val="auto"/>
              </w:rPr>
            </w:pPr>
            <w:r>
              <w:rPr>
                <w:rFonts w:ascii="Arial" w:cs="Arial" w:eastAsia="Arial" w:hAnsi="Arial"/>
                <w:sz w:val="14"/>
                <w:szCs w:val="14"/>
                <w:color w:val="14202A"/>
              </w:rPr>
              <w:t>29,205,733</w:t>
            </w:r>
          </w:p>
        </w:tc>
        <w:tc>
          <w:tcPr>
            <w:tcW w:w="1120" w:type="dxa"/>
            <w:vAlign w:val="bottom"/>
          </w:tcPr>
          <w:p>
            <w:pPr>
              <w:jc w:val="right"/>
              <w:ind w:right="130"/>
              <w:spacing w:after="0"/>
              <w:rPr>
                <w:sz w:val="20"/>
                <w:szCs w:val="20"/>
                <w:color w:val="auto"/>
              </w:rPr>
            </w:pPr>
            <w:r>
              <w:rPr>
                <w:rFonts w:ascii="Arial" w:cs="Arial" w:eastAsia="Arial" w:hAnsi="Arial"/>
                <w:sz w:val="14"/>
                <w:szCs w:val="14"/>
                <w:color w:val="14202A"/>
              </w:rPr>
              <w:t>1.24%</w:t>
            </w:r>
          </w:p>
        </w:tc>
        <w:tc>
          <w:tcPr>
            <w:tcW w:w="0" w:type="dxa"/>
            <w:vAlign w:val="bottom"/>
          </w:tcPr>
          <w:p>
            <w:pPr>
              <w:spacing w:after="0"/>
              <w:rPr>
                <w:sz w:val="1"/>
                <w:szCs w:val="1"/>
                <w:color w:val="auto"/>
              </w:rPr>
            </w:pPr>
          </w:p>
        </w:tc>
      </w:tr>
      <w:tr>
        <w:trPr>
          <w:trHeight w:val="43"/>
        </w:trPr>
        <w:tc>
          <w:tcPr>
            <w:tcW w:w="2040" w:type="dxa"/>
            <w:vAlign w:val="bottom"/>
            <w:tcBorders>
              <w:bottom w:val="single" w:sz="8" w:color="14202A"/>
            </w:tcBorders>
          </w:tcPr>
          <w:p>
            <w:pPr>
              <w:spacing w:after="0"/>
              <w:rPr>
                <w:sz w:val="3"/>
                <w:szCs w:val="3"/>
                <w:color w:val="auto"/>
              </w:rPr>
            </w:pPr>
          </w:p>
        </w:tc>
        <w:tc>
          <w:tcPr>
            <w:tcW w:w="2500" w:type="dxa"/>
            <w:vAlign w:val="bottom"/>
            <w:tcBorders>
              <w:bottom w:val="single" w:sz="8" w:color="14202A"/>
            </w:tcBorders>
          </w:tcPr>
          <w:p>
            <w:pPr>
              <w:spacing w:after="0"/>
              <w:rPr>
                <w:sz w:val="3"/>
                <w:szCs w:val="3"/>
                <w:color w:val="auto"/>
              </w:rPr>
            </w:pPr>
          </w:p>
        </w:tc>
        <w:tc>
          <w:tcPr>
            <w:tcW w:w="1780" w:type="dxa"/>
            <w:vAlign w:val="bottom"/>
            <w:tcBorders>
              <w:bottom w:val="single" w:sz="8" w:color="14202A"/>
            </w:tcBorders>
          </w:tcPr>
          <w:p>
            <w:pPr>
              <w:spacing w:after="0"/>
              <w:rPr>
                <w:sz w:val="3"/>
                <w:szCs w:val="3"/>
                <w:color w:val="auto"/>
              </w:rPr>
            </w:pPr>
          </w:p>
        </w:tc>
        <w:tc>
          <w:tcPr>
            <w:tcW w:w="184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40" w:type="dxa"/>
            <w:vAlign w:val="bottom"/>
          </w:tcPr>
          <w:p>
            <w:pPr>
              <w:ind w:left="160"/>
              <w:spacing w:after="0"/>
              <w:rPr>
                <w:sz w:val="20"/>
                <w:szCs w:val="20"/>
                <w:color w:val="auto"/>
              </w:rPr>
            </w:pPr>
            <w:r>
              <w:rPr>
                <w:rFonts w:ascii="Arial" w:cs="Arial" w:eastAsia="Arial" w:hAnsi="Arial"/>
                <w:sz w:val="14"/>
                <w:szCs w:val="14"/>
                <w:b w:val="1"/>
                <w:bCs w:val="1"/>
                <w:color w:val="14202A"/>
              </w:rPr>
              <w:t>2025</w:t>
            </w:r>
          </w:p>
        </w:tc>
        <w:tc>
          <w:tcPr>
            <w:tcW w:w="2500" w:type="dxa"/>
            <w:vAlign w:val="bottom"/>
          </w:tcPr>
          <w:p>
            <w:pPr>
              <w:jc w:val="right"/>
              <w:ind w:right="412"/>
              <w:spacing w:after="0"/>
              <w:rPr>
                <w:sz w:val="20"/>
                <w:szCs w:val="20"/>
                <w:color w:val="auto"/>
              </w:rPr>
            </w:pPr>
            <w:r>
              <w:rPr>
                <w:rFonts w:ascii="Arial" w:cs="Arial" w:eastAsia="Arial" w:hAnsi="Arial"/>
                <w:sz w:val="14"/>
                <w:szCs w:val="14"/>
                <w:color w:val="14202A"/>
              </w:rPr>
              <w:t>74,927</w:t>
            </w:r>
          </w:p>
        </w:tc>
        <w:tc>
          <w:tcPr>
            <w:tcW w:w="1780" w:type="dxa"/>
            <w:vAlign w:val="bottom"/>
          </w:tcPr>
          <w:p>
            <w:pPr>
              <w:jc w:val="center"/>
              <w:spacing w:after="0"/>
              <w:rPr>
                <w:sz w:val="20"/>
                <w:szCs w:val="20"/>
                <w:color w:val="auto"/>
              </w:rPr>
            </w:pPr>
            <w:r>
              <w:rPr>
                <w:rFonts w:ascii="Arial" w:cs="Arial" w:eastAsia="Arial" w:hAnsi="Arial"/>
                <w:sz w:val="14"/>
                <w:szCs w:val="14"/>
                <w:color w:val="14202A"/>
              </w:rPr>
              <w:t>244,657</w:t>
            </w:r>
          </w:p>
        </w:tc>
        <w:tc>
          <w:tcPr>
            <w:tcW w:w="1840" w:type="dxa"/>
            <w:vAlign w:val="bottom"/>
          </w:tcPr>
          <w:p>
            <w:pPr>
              <w:jc w:val="center"/>
              <w:spacing w:after="0"/>
              <w:rPr>
                <w:sz w:val="20"/>
                <w:szCs w:val="20"/>
                <w:color w:val="auto"/>
              </w:rPr>
            </w:pPr>
            <w:r>
              <w:rPr>
                <w:rFonts w:ascii="Arial" w:cs="Arial" w:eastAsia="Arial" w:hAnsi="Arial"/>
                <w:sz w:val="14"/>
                <w:szCs w:val="14"/>
                <w:color w:val="14202A"/>
              </w:rPr>
              <w:t>28,206,923</w:t>
            </w:r>
          </w:p>
        </w:tc>
        <w:tc>
          <w:tcPr>
            <w:tcW w:w="1120" w:type="dxa"/>
            <w:vAlign w:val="bottom"/>
          </w:tcPr>
          <w:p>
            <w:pPr>
              <w:jc w:val="right"/>
              <w:ind w:right="130"/>
              <w:spacing w:after="0"/>
              <w:rPr>
                <w:sz w:val="20"/>
                <w:szCs w:val="20"/>
                <w:color w:val="auto"/>
              </w:rPr>
            </w:pPr>
            <w:r>
              <w:rPr>
                <w:rFonts w:ascii="Arial" w:cs="Arial" w:eastAsia="Arial" w:hAnsi="Arial"/>
                <w:sz w:val="14"/>
                <w:szCs w:val="14"/>
                <w:color w:val="14202A"/>
              </w:rPr>
              <w:t>1.13%</w:t>
            </w:r>
          </w:p>
        </w:tc>
        <w:tc>
          <w:tcPr>
            <w:tcW w:w="0" w:type="dxa"/>
            <w:vAlign w:val="bottom"/>
          </w:tcPr>
          <w:p>
            <w:pPr>
              <w:spacing w:after="0"/>
              <w:rPr>
                <w:sz w:val="1"/>
                <w:szCs w:val="1"/>
                <w:color w:val="auto"/>
              </w:rPr>
            </w:pPr>
          </w:p>
        </w:tc>
      </w:tr>
      <w:tr>
        <w:trPr>
          <w:trHeight w:val="43"/>
        </w:trPr>
        <w:tc>
          <w:tcPr>
            <w:tcW w:w="2040" w:type="dxa"/>
            <w:vAlign w:val="bottom"/>
            <w:tcBorders>
              <w:bottom w:val="single" w:sz="8" w:color="14202A"/>
            </w:tcBorders>
          </w:tcPr>
          <w:p>
            <w:pPr>
              <w:spacing w:after="0"/>
              <w:rPr>
                <w:sz w:val="3"/>
                <w:szCs w:val="3"/>
                <w:color w:val="auto"/>
              </w:rPr>
            </w:pPr>
          </w:p>
        </w:tc>
        <w:tc>
          <w:tcPr>
            <w:tcW w:w="2500" w:type="dxa"/>
            <w:vAlign w:val="bottom"/>
            <w:tcBorders>
              <w:bottom w:val="single" w:sz="8" w:color="14202A"/>
            </w:tcBorders>
          </w:tcPr>
          <w:p>
            <w:pPr>
              <w:spacing w:after="0"/>
              <w:rPr>
                <w:sz w:val="3"/>
                <w:szCs w:val="3"/>
                <w:color w:val="auto"/>
              </w:rPr>
            </w:pPr>
          </w:p>
        </w:tc>
        <w:tc>
          <w:tcPr>
            <w:tcW w:w="1780" w:type="dxa"/>
            <w:vAlign w:val="bottom"/>
            <w:tcBorders>
              <w:bottom w:val="single" w:sz="8" w:color="14202A"/>
            </w:tcBorders>
          </w:tcPr>
          <w:p>
            <w:pPr>
              <w:spacing w:after="0"/>
              <w:rPr>
                <w:sz w:val="3"/>
                <w:szCs w:val="3"/>
                <w:color w:val="auto"/>
              </w:rPr>
            </w:pPr>
          </w:p>
        </w:tc>
        <w:tc>
          <w:tcPr>
            <w:tcW w:w="184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40" w:type="dxa"/>
            <w:vAlign w:val="bottom"/>
          </w:tcPr>
          <w:p>
            <w:pPr>
              <w:ind w:left="160"/>
              <w:spacing w:after="0"/>
              <w:rPr>
                <w:sz w:val="20"/>
                <w:szCs w:val="20"/>
                <w:color w:val="auto"/>
              </w:rPr>
            </w:pPr>
            <w:r>
              <w:rPr>
                <w:rFonts w:ascii="Arial" w:cs="Arial" w:eastAsia="Arial" w:hAnsi="Arial"/>
                <w:sz w:val="14"/>
                <w:szCs w:val="14"/>
                <w:b w:val="1"/>
                <w:bCs w:val="1"/>
                <w:color w:val="14202A"/>
              </w:rPr>
              <w:t>2026</w:t>
            </w:r>
          </w:p>
        </w:tc>
        <w:tc>
          <w:tcPr>
            <w:tcW w:w="2500" w:type="dxa"/>
            <w:vAlign w:val="bottom"/>
          </w:tcPr>
          <w:p>
            <w:pPr>
              <w:jc w:val="right"/>
              <w:ind w:right="412"/>
              <w:spacing w:after="0"/>
              <w:rPr>
                <w:sz w:val="20"/>
                <w:szCs w:val="20"/>
                <w:color w:val="auto"/>
              </w:rPr>
            </w:pPr>
            <w:r>
              <w:rPr>
                <w:rFonts w:ascii="Arial" w:cs="Arial" w:eastAsia="Arial" w:hAnsi="Arial"/>
                <w:sz w:val="14"/>
                <w:szCs w:val="14"/>
                <w:color w:val="14202A"/>
              </w:rPr>
              <w:t>180,017</w:t>
            </w:r>
          </w:p>
        </w:tc>
        <w:tc>
          <w:tcPr>
            <w:tcW w:w="1780" w:type="dxa"/>
            <w:vAlign w:val="bottom"/>
          </w:tcPr>
          <w:p>
            <w:pPr>
              <w:jc w:val="center"/>
              <w:spacing w:after="0"/>
              <w:rPr>
                <w:sz w:val="20"/>
                <w:szCs w:val="20"/>
                <w:color w:val="auto"/>
              </w:rPr>
            </w:pPr>
            <w:r>
              <w:rPr>
                <w:rFonts w:ascii="Arial" w:cs="Arial" w:eastAsia="Arial" w:hAnsi="Arial"/>
                <w:sz w:val="14"/>
                <w:szCs w:val="14"/>
                <w:color w:val="14202A"/>
              </w:rPr>
              <w:t>399,397</w:t>
            </w:r>
          </w:p>
        </w:tc>
        <w:tc>
          <w:tcPr>
            <w:tcW w:w="1840" w:type="dxa"/>
            <w:vAlign w:val="bottom"/>
          </w:tcPr>
          <w:p>
            <w:pPr>
              <w:jc w:val="center"/>
              <w:spacing w:after="0"/>
              <w:rPr>
                <w:sz w:val="20"/>
                <w:szCs w:val="20"/>
                <w:color w:val="auto"/>
              </w:rPr>
            </w:pPr>
            <w:r>
              <w:rPr>
                <w:rFonts w:ascii="Arial" w:cs="Arial" w:eastAsia="Arial" w:hAnsi="Arial"/>
                <w:sz w:val="14"/>
                <w:szCs w:val="14"/>
                <w:color w:val="14202A"/>
              </w:rPr>
              <w:t>28,246,737</w:t>
            </w:r>
          </w:p>
        </w:tc>
        <w:tc>
          <w:tcPr>
            <w:tcW w:w="1120" w:type="dxa"/>
            <w:vAlign w:val="bottom"/>
          </w:tcPr>
          <w:p>
            <w:pPr>
              <w:jc w:val="right"/>
              <w:ind w:right="130"/>
              <w:spacing w:after="0"/>
              <w:rPr>
                <w:sz w:val="20"/>
                <w:szCs w:val="20"/>
                <w:color w:val="auto"/>
              </w:rPr>
            </w:pPr>
            <w:r>
              <w:rPr>
                <w:rFonts w:ascii="Arial" w:cs="Arial" w:eastAsia="Arial" w:hAnsi="Arial"/>
                <w:sz w:val="14"/>
                <w:szCs w:val="14"/>
                <w:color w:val="14202A"/>
              </w:rPr>
              <w:t>2.05%</w:t>
            </w:r>
          </w:p>
        </w:tc>
        <w:tc>
          <w:tcPr>
            <w:tcW w:w="0" w:type="dxa"/>
            <w:vAlign w:val="bottom"/>
          </w:tcPr>
          <w:p>
            <w:pPr>
              <w:spacing w:after="0"/>
              <w:rPr>
                <w:sz w:val="1"/>
                <w:szCs w:val="1"/>
                <w:color w:val="auto"/>
              </w:rPr>
            </w:pPr>
          </w:p>
        </w:tc>
      </w:tr>
      <w:tr>
        <w:trPr>
          <w:trHeight w:val="43"/>
        </w:trPr>
        <w:tc>
          <w:tcPr>
            <w:tcW w:w="2040" w:type="dxa"/>
            <w:vAlign w:val="bottom"/>
            <w:tcBorders>
              <w:bottom w:val="single" w:sz="8" w:color="14202A"/>
            </w:tcBorders>
          </w:tcPr>
          <w:p>
            <w:pPr>
              <w:spacing w:after="0"/>
              <w:rPr>
                <w:sz w:val="3"/>
                <w:szCs w:val="3"/>
                <w:color w:val="auto"/>
              </w:rPr>
            </w:pPr>
          </w:p>
        </w:tc>
        <w:tc>
          <w:tcPr>
            <w:tcW w:w="2500" w:type="dxa"/>
            <w:vAlign w:val="bottom"/>
            <w:tcBorders>
              <w:bottom w:val="single" w:sz="8" w:color="14202A"/>
            </w:tcBorders>
          </w:tcPr>
          <w:p>
            <w:pPr>
              <w:spacing w:after="0"/>
              <w:rPr>
                <w:sz w:val="3"/>
                <w:szCs w:val="3"/>
                <w:color w:val="auto"/>
              </w:rPr>
            </w:pPr>
          </w:p>
        </w:tc>
        <w:tc>
          <w:tcPr>
            <w:tcW w:w="1780" w:type="dxa"/>
            <w:vAlign w:val="bottom"/>
            <w:tcBorders>
              <w:bottom w:val="single" w:sz="8" w:color="14202A"/>
            </w:tcBorders>
          </w:tcPr>
          <w:p>
            <w:pPr>
              <w:spacing w:after="0"/>
              <w:rPr>
                <w:sz w:val="3"/>
                <w:szCs w:val="3"/>
                <w:color w:val="auto"/>
              </w:rPr>
            </w:pPr>
          </w:p>
        </w:tc>
        <w:tc>
          <w:tcPr>
            <w:tcW w:w="184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4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Average</w:t>
            </w:r>
          </w:p>
        </w:tc>
        <w:tc>
          <w:tcPr>
            <w:tcW w:w="2500" w:type="dxa"/>
            <w:vAlign w:val="bottom"/>
            <w:tcBorders>
              <w:bottom w:val="single" w:sz="8" w:color="14202A"/>
            </w:tcBorders>
          </w:tcPr>
          <w:p>
            <w:pPr>
              <w:spacing w:after="0"/>
              <w:rPr>
                <w:sz w:val="22"/>
                <w:szCs w:val="22"/>
                <w:color w:val="auto"/>
              </w:rPr>
            </w:pPr>
          </w:p>
        </w:tc>
        <w:tc>
          <w:tcPr>
            <w:tcW w:w="1780" w:type="dxa"/>
            <w:vAlign w:val="bottom"/>
            <w:tcBorders>
              <w:bottom w:val="single" w:sz="8" w:color="14202A"/>
            </w:tcBorders>
          </w:tcPr>
          <w:p>
            <w:pPr>
              <w:spacing w:after="0"/>
              <w:rPr>
                <w:sz w:val="22"/>
                <w:szCs w:val="22"/>
                <w:color w:val="auto"/>
              </w:rPr>
            </w:pPr>
          </w:p>
        </w:tc>
        <w:tc>
          <w:tcPr>
            <w:tcW w:w="1840" w:type="dxa"/>
            <w:vAlign w:val="bottom"/>
            <w:tcBorders>
              <w:bottom w:val="single" w:sz="8" w:color="14202A"/>
            </w:tcBorders>
          </w:tcPr>
          <w:p>
            <w:pPr>
              <w:spacing w:after="0"/>
              <w:rPr>
                <w:sz w:val="22"/>
                <w:szCs w:val="22"/>
                <w:color w:val="auto"/>
              </w:rPr>
            </w:pPr>
          </w:p>
        </w:tc>
        <w:tc>
          <w:tcPr>
            <w:tcW w:w="1120" w:type="dxa"/>
            <w:vAlign w:val="bottom"/>
            <w:tcBorders>
              <w:bottom w:val="single" w:sz="8" w:color="14202A"/>
            </w:tcBorders>
          </w:tcPr>
          <w:p>
            <w:pPr>
              <w:jc w:val="right"/>
              <w:ind w:right="130"/>
              <w:spacing w:after="0"/>
              <w:rPr>
                <w:sz w:val="20"/>
                <w:szCs w:val="20"/>
                <w:color w:val="auto"/>
              </w:rPr>
            </w:pPr>
            <w:r>
              <w:rPr>
                <w:rFonts w:ascii="Arial" w:cs="Arial" w:eastAsia="Arial" w:hAnsi="Arial"/>
                <w:sz w:val="14"/>
                <w:szCs w:val="14"/>
                <w:color w:val="14202A"/>
              </w:rPr>
              <w:t>1.47%</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14202A"/>
        </w:rPr>
        <w:t>We calculated our burn rate by dividing the number of shares granted under the 2019 Plan by the weighted-average number of shares. For purposes of the table above, “Full Value Awards Granted” for each fiscal year equals the number of time-based restricted stock units granted during that fiscal year plus the number of performance share units that vested during that fiscal year, consistent with the shares granted and vested disclosed in our Annual Report on Form 10-K for the applicable fiscal year.</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Estimated Duration of Shares Available for Issuance under the 2019 Plan</w:t>
      </w:r>
    </w:p>
    <w:p>
      <w:pPr>
        <w:spacing w:after="0" w:line="194" w:lineRule="exact"/>
        <w:rPr>
          <w:sz w:val="20"/>
          <w:szCs w:val="20"/>
          <w:color w:val="auto"/>
        </w:rPr>
      </w:pPr>
    </w:p>
    <w:p>
      <w:pPr>
        <w:jc w:val="both"/>
        <w:ind w:right="120"/>
        <w:spacing w:after="0" w:line="254" w:lineRule="auto"/>
        <w:rPr>
          <w:sz w:val="20"/>
          <w:szCs w:val="20"/>
          <w:color w:val="auto"/>
        </w:rPr>
      </w:pPr>
      <w:r>
        <w:rPr>
          <w:rFonts w:ascii="Arial" w:cs="Arial" w:eastAsia="Arial" w:hAnsi="Arial"/>
          <w:sz w:val="16"/>
          <w:szCs w:val="16"/>
          <w:color w:val="14202A"/>
        </w:rPr>
        <w:t>We expect to continue making equity awards consistent with our practices over the past three years, however, even though our total employee stock award dollar value is comparable to prior years, we expect our average annual burn rate to increase as our stock price has declined. On that basis, we expect that shares currently remaining available for awards under the 2019 Plan will likely be insufficient to continue making awards beyond our most recent grants in October 2026, but that the shares of common stock available for future awards if the amended 2019 Plan is approved by shareholders would be sufficient to cover awards for approximately one additional year.</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Expected Dilution</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6"/>
          <w:szCs w:val="16"/>
          <w:color w:val="14202A"/>
        </w:rPr>
        <w:t>As of October 20, 2026, our existing share capital dilution was 8.88%. We define existing share capital dilution as the sum of (i) the total number of shares of our common stock subject to outstanding awards under the 2014 Plan and the 2019 Plan, and (ii) the total number of shares available for future grants under the 2019 Plan, divided by the number of our common shares outstanding. Our projected share capital dilution as of that same date would be 16.61%, based on including the 2,200,000 additional share reserve under the amended 2019 Plan in the formula. In light of the expected duration of the amended 2019 Plan’s share reserve, we believe the expected dilution that will result from the amended 2019 Plan is reasonable for a company of our size in our industry.</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Key Compensation Practices</w:t>
      </w:r>
    </w:p>
    <w:p>
      <w:pPr>
        <w:spacing w:after="0" w:line="180"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14202A"/>
        </w:rPr>
        <w:t>The proposed amendments to the 2019 Plan change only the number of shares and the expiration date. Accordingly, the amended and restated 2019 Plan continues to include a number of features that we believe are consistent with the interests of our shareholders and sensible corporate governance practices, including the following:</w:t>
      </w:r>
    </w:p>
    <w:p>
      <w:pPr>
        <w:spacing w:after="0" w:line="131" w:lineRule="exact"/>
        <w:rPr>
          <w:sz w:val="20"/>
          <w:szCs w:val="20"/>
          <w:color w:val="auto"/>
        </w:rPr>
      </w:pPr>
    </w:p>
    <w:p>
      <w:pPr>
        <w:ind w:left="720" w:right="280"/>
        <w:spacing w:after="0" w:line="266" w:lineRule="auto"/>
        <w:rPr>
          <w:sz w:val="20"/>
          <w:szCs w:val="20"/>
          <w:color w:val="auto"/>
        </w:rPr>
      </w:pPr>
      <w:r>
        <w:rPr>
          <w:rFonts w:ascii="Arial" w:cs="Arial" w:eastAsia="Arial" w:hAnsi="Arial"/>
          <w:sz w:val="16"/>
          <w:szCs w:val="16"/>
          <w:i w:val="1"/>
          <w:iCs w:val="1"/>
          <w:color w:val="14202A"/>
        </w:rPr>
        <w:t>Incorporates a fungible share design</w:t>
      </w:r>
      <w:r>
        <w:rPr>
          <w:rFonts w:ascii="Arial" w:cs="Arial" w:eastAsia="Arial" w:hAnsi="Arial"/>
          <w:sz w:val="16"/>
          <w:szCs w:val="16"/>
          <w:color w:val="14202A"/>
        </w:rPr>
        <w:t>. Full value awards (such as restricted stock units and performance stock units)</w:t>
      </w:r>
      <w:r>
        <w:rPr>
          <w:rFonts w:ascii="Arial" w:cs="Arial" w:eastAsia="Arial" w:hAnsi="Arial"/>
          <w:sz w:val="16"/>
          <w:szCs w:val="16"/>
          <w:i w:val="1"/>
          <w:iCs w:val="1"/>
          <w:color w:val="14202A"/>
        </w:rPr>
        <w:t xml:space="preserve"> </w:t>
      </w:r>
      <w:r>
        <w:rPr>
          <w:rFonts w:ascii="Arial" w:cs="Arial" w:eastAsia="Arial" w:hAnsi="Arial"/>
          <w:sz w:val="16"/>
          <w:szCs w:val="16"/>
          <w:color w:val="14202A"/>
        </w:rPr>
        <w:t>count against the shares reserved for issuance at a 2:1 ratio, while appreciation awards (such as SARs and stock options) count against the share reserve at a 1:1 ratio.</w:t>
      </w:r>
    </w:p>
    <w:p>
      <w:pPr>
        <w:spacing w:after="0" w:line="133" w:lineRule="exact"/>
        <w:rPr>
          <w:sz w:val="20"/>
          <w:szCs w:val="20"/>
          <w:color w:val="auto"/>
        </w:rPr>
      </w:pPr>
    </w:p>
    <w:p>
      <w:pPr>
        <w:ind w:left="720" w:right="600"/>
        <w:spacing w:after="0" w:line="286" w:lineRule="auto"/>
        <w:rPr>
          <w:sz w:val="20"/>
          <w:szCs w:val="20"/>
          <w:color w:val="auto"/>
        </w:rPr>
      </w:pPr>
      <w:r>
        <w:rPr>
          <w:rFonts w:ascii="Arial" w:cs="Arial" w:eastAsia="Arial" w:hAnsi="Arial"/>
          <w:sz w:val="16"/>
          <w:szCs w:val="16"/>
          <w:i w:val="1"/>
          <w:iCs w:val="1"/>
          <w:color w:val="14202A"/>
        </w:rPr>
        <w:t xml:space="preserve">Minimum vesting or performance period for all awards. </w:t>
      </w:r>
      <w:r>
        <w:rPr>
          <w:rFonts w:ascii="Arial" w:cs="Arial" w:eastAsia="Arial" w:hAnsi="Arial"/>
          <w:sz w:val="16"/>
          <w:szCs w:val="16"/>
          <w:color w:val="14202A"/>
        </w:rPr>
        <w:t>A minimum vesting or performance period of one year is</w:t>
      </w:r>
      <w:r>
        <w:rPr>
          <w:rFonts w:ascii="Arial" w:cs="Arial" w:eastAsia="Arial" w:hAnsi="Arial"/>
          <w:sz w:val="16"/>
          <w:szCs w:val="16"/>
          <w:i w:val="1"/>
          <w:iCs w:val="1"/>
          <w:color w:val="14202A"/>
        </w:rPr>
        <w:t xml:space="preserve"> </w:t>
      </w:r>
      <w:r>
        <w:rPr>
          <w:rFonts w:ascii="Arial" w:cs="Arial" w:eastAsia="Arial" w:hAnsi="Arial"/>
          <w:sz w:val="16"/>
          <w:szCs w:val="16"/>
          <w:color w:val="14202A"/>
        </w:rPr>
        <w:t>prescribed for all awards, subject to limited exceptions.</w:t>
      </w:r>
    </w:p>
    <w:p>
      <w:pPr>
        <w:spacing w:after="0" w:line="125" w:lineRule="exact"/>
        <w:rPr>
          <w:sz w:val="20"/>
          <w:szCs w:val="20"/>
          <w:color w:val="auto"/>
        </w:rPr>
      </w:pPr>
    </w:p>
    <w:p>
      <w:pPr>
        <w:ind w:left="720" w:right="460"/>
        <w:spacing w:after="0" w:line="286" w:lineRule="auto"/>
        <w:rPr>
          <w:sz w:val="20"/>
          <w:szCs w:val="20"/>
          <w:color w:val="auto"/>
        </w:rPr>
      </w:pPr>
      <w:r>
        <w:rPr>
          <w:rFonts w:ascii="Arial" w:cs="Arial" w:eastAsia="Arial" w:hAnsi="Arial"/>
          <w:sz w:val="16"/>
          <w:szCs w:val="16"/>
          <w:i w:val="1"/>
          <w:iCs w:val="1"/>
          <w:color w:val="14202A"/>
        </w:rPr>
        <w:t>Restrictions on dividends and dividend equivalents</w:t>
      </w:r>
      <w:r>
        <w:rPr>
          <w:rFonts w:ascii="Arial" w:cs="Arial" w:eastAsia="Arial" w:hAnsi="Arial"/>
          <w:sz w:val="16"/>
          <w:szCs w:val="16"/>
          <w:color w:val="14202A"/>
        </w:rPr>
        <w:t>. The 2019 Plan prohibits the payment of dividends or dividend</w:t>
      </w:r>
      <w:r>
        <w:rPr>
          <w:rFonts w:ascii="Arial" w:cs="Arial" w:eastAsia="Arial" w:hAnsi="Arial"/>
          <w:sz w:val="16"/>
          <w:szCs w:val="16"/>
          <w:i w:val="1"/>
          <w:iCs w:val="1"/>
          <w:color w:val="14202A"/>
        </w:rPr>
        <w:t xml:space="preserve"> </w:t>
      </w:r>
      <w:r>
        <w:rPr>
          <w:rFonts w:ascii="Arial" w:cs="Arial" w:eastAsia="Arial" w:hAnsi="Arial"/>
          <w:sz w:val="16"/>
          <w:szCs w:val="16"/>
          <w:color w:val="14202A"/>
        </w:rPr>
        <w:t>equivalents on stock options and stock appreciation rights (SARs), and provides that, any</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spacing w:after="0" w:line="266" w:lineRule="auto"/>
        <w:rPr>
          <w:sz w:val="20"/>
          <w:szCs w:val="20"/>
          <w:color w:val="auto"/>
        </w:rPr>
      </w:pPr>
      <w:r>
        <w:rPr>
          <w:rFonts w:ascii="Arial" w:cs="Arial" w:eastAsia="Arial" w:hAnsi="Arial"/>
          <w:sz w:val="16"/>
          <w:szCs w:val="16"/>
          <w:color w:val="14202A"/>
        </w:rPr>
        <w:t>dividends or dividend equivalents payable with respect to shares or share equivalents subject to the unvested portion of a full value award are subject to the same restrictions and risk of forfeiture as the shares or share equivalents to which such dividends or dividend equivalents relate, including any performance conditions.</w:t>
      </w:r>
    </w:p>
    <w:p>
      <w:pPr>
        <w:spacing w:after="0" w:line="131" w:lineRule="exact"/>
        <w:rPr>
          <w:sz w:val="20"/>
          <w:szCs w:val="20"/>
          <w:color w:val="auto"/>
        </w:rPr>
      </w:pPr>
    </w:p>
    <w:p>
      <w:pPr>
        <w:ind w:left="720" w:right="260"/>
        <w:spacing w:after="0" w:line="266" w:lineRule="auto"/>
        <w:rPr>
          <w:sz w:val="20"/>
          <w:szCs w:val="20"/>
          <w:color w:val="auto"/>
        </w:rPr>
      </w:pPr>
      <w:r>
        <w:rPr>
          <w:rFonts w:ascii="Arial" w:cs="Arial" w:eastAsia="Arial" w:hAnsi="Arial"/>
          <w:sz w:val="16"/>
          <w:szCs w:val="16"/>
          <w:i w:val="1"/>
          <w:iCs w:val="1"/>
          <w:color w:val="14202A"/>
        </w:rPr>
        <w:t xml:space="preserve">No liberal definition of “change in control.” </w:t>
      </w:r>
      <w:r>
        <w:rPr>
          <w:rFonts w:ascii="Arial" w:cs="Arial" w:eastAsia="Arial" w:hAnsi="Arial"/>
          <w:sz w:val="16"/>
          <w:szCs w:val="16"/>
          <w:color w:val="14202A"/>
        </w:rPr>
        <w:t>No change in control would be triggered by shareholder approval of a</w:t>
      </w:r>
      <w:r>
        <w:rPr>
          <w:rFonts w:ascii="Arial" w:cs="Arial" w:eastAsia="Arial" w:hAnsi="Arial"/>
          <w:sz w:val="16"/>
          <w:szCs w:val="16"/>
          <w:i w:val="1"/>
          <w:iCs w:val="1"/>
          <w:color w:val="14202A"/>
        </w:rPr>
        <w:t xml:space="preserve"> </w:t>
      </w:r>
      <w:r>
        <w:rPr>
          <w:rFonts w:ascii="Arial" w:cs="Arial" w:eastAsia="Arial" w:hAnsi="Arial"/>
          <w:sz w:val="16"/>
          <w:szCs w:val="16"/>
          <w:color w:val="14202A"/>
        </w:rPr>
        <w:t>business combination transaction, the announcement or commencement of a tender offer, or any Board assessment that a change in control may be imminent.</w:t>
      </w:r>
    </w:p>
    <w:p>
      <w:pPr>
        <w:spacing w:after="0" w:line="130" w:lineRule="exact"/>
        <w:rPr>
          <w:sz w:val="20"/>
          <w:szCs w:val="20"/>
          <w:color w:val="auto"/>
        </w:rPr>
      </w:pPr>
    </w:p>
    <w:p>
      <w:pPr>
        <w:ind w:left="720" w:right="20"/>
        <w:spacing w:after="0" w:line="254" w:lineRule="auto"/>
        <w:rPr>
          <w:sz w:val="20"/>
          <w:szCs w:val="20"/>
          <w:color w:val="auto"/>
        </w:rPr>
      </w:pPr>
      <w:r>
        <w:rPr>
          <w:rFonts w:ascii="Arial" w:cs="Arial" w:eastAsia="Arial" w:hAnsi="Arial"/>
          <w:sz w:val="16"/>
          <w:szCs w:val="16"/>
          <w:i w:val="1"/>
          <w:iCs w:val="1"/>
          <w:color w:val="14202A"/>
        </w:rPr>
        <w:t>“Double trigger” acceleration of equity awards upon a Change in Control</w:t>
      </w:r>
      <w:r>
        <w:rPr>
          <w:rFonts w:ascii="Arial" w:cs="Arial" w:eastAsia="Arial" w:hAnsi="Arial"/>
          <w:sz w:val="16"/>
          <w:szCs w:val="16"/>
          <w:color w:val="14202A"/>
        </w:rPr>
        <w:t>. The 2019 Plan provides for vesting of time-based equity awards or performance-based equity awards based on both (i) the occurrence of a change in control and (ii) an accompanying involuntary termination of service without cause or, if so provided by the Committee, a termination for good reason, within 24 months of the consummation of the change in control (other than in the event awards are not continued, assumed, or replaced in connection with a corporate transaction, in which case they will accelerate upon the change in control).</w:t>
      </w:r>
    </w:p>
    <w:p>
      <w:pPr>
        <w:spacing w:after="0" w:line="144" w:lineRule="exact"/>
        <w:rPr>
          <w:sz w:val="20"/>
          <w:szCs w:val="20"/>
          <w:color w:val="auto"/>
        </w:rPr>
      </w:pPr>
    </w:p>
    <w:p>
      <w:pPr>
        <w:ind w:left="720"/>
        <w:spacing w:after="0" w:line="252" w:lineRule="auto"/>
        <w:rPr>
          <w:sz w:val="20"/>
          <w:szCs w:val="20"/>
          <w:color w:val="auto"/>
        </w:rPr>
      </w:pPr>
      <w:r>
        <w:rPr>
          <w:rFonts w:ascii="Arial" w:cs="Arial" w:eastAsia="Arial" w:hAnsi="Arial"/>
          <w:sz w:val="16"/>
          <w:szCs w:val="16"/>
          <w:i w:val="1"/>
          <w:iCs w:val="1"/>
          <w:color w:val="14202A"/>
        </w:rPr>
        <w:t>No parachute payment gross-ups; net best cutbacks</w:t>
      </w:r>
      <w:r>
        <w:rPr>
          <w:rFonts w:ascii="Arial" w:cs="Arial" w:eastAsia="Arial" w:hAnsi="Arial"/>
          <w:sz w:val="16"/>
          <w:szCs w:val="16"/>
          <w:color w:val="14202A"/>
        </w:rPr>
        <w:t>. The 2019 Plan does not provide any parachute payment gross-ups to its participants. The 2019 Plan provides that if any benefits provided to a participant under the 2019 Plan or other Company compensation arrangements in connection with a change in control would constitute “parachute payments” within the meaning of Code Section 280G and result in the imposition of an excise tax on the participant under Code Section 4999, then the amount of such payments and benefits will either (i) be reduced to the extent necessary to avoid characterization as parachute payments and the imposition of the excise tax, or (ii) be paid in full and remain subject to the imposition of the excise tax, whichever results in the participant’s receipt on an after-tax basis of the greatest amount of payments and benefits.</w:t>
      </w:r>
    </w:p>
    <w:p>
      <w:pPr>
        <w:spacing w:after="0" w:line="152" w:lineRule="exact"/>
        <w:rPr>
          <w:sz w:val="20"/>
          <w:szCs w:val="20"/>
          <w:color w:val="auto"/>
        </w:rPr>
      </w:pPr>
    </w:p>
    <w:p>
      <w:pPr>
        <w:ind w:left="720" w:right="140"/>
        <w:spacing w:after="0" w:line="266" w:lineRule="auto"/>
        <w:rPr>
          <w:sz w:val="20"/>
          <w:szCs w:val="20"/>
          <w:color w:val="auto"/>
        </w:rPr>
      </w:pPr>
      <w:r>
        <w:rPr>
          <w:rFonts w:ascii="Arial" w:cs="Arial" w:eastAsia="Arial" w:hAnsi="Arial"/>
          <w:sz w:val="16"/>
          <w:szCs w:val="16"/>
          <w:i w:val="1"/>
          <w:iCs w:val="1"/>
          <w:color w:val="14202A"/>
        </w:rPr>
        <w:t xml:space="preserve">No repricing of underwater options or stock appreciation rights without shareholder approval. </w:t>
      </w:r>
      <w:r>
        <w:rPr>
          <w:rFonts w:ascii="Arial" w:cs="Arial" w:eastAsia="Arial" w:hAnsi="Arial"/>
          <w:sz w:val="16"/>
          <w:szCs w:val="16"/>
          <w:color w:val="14202A"/>
        </w:rPr>
        <w:t>The 2019 Plan prohibits,</w:t>
      </w:r>
      <w:r>
        <w:rPr>
          <w:rFonts w:ascii="Arial" w:cs="Arial" w:eastAsia="Arial" w:hAnsi="Arial"/>
          <w:sz w:val="16"/>
          <w:szCs w:val="16"/>
          <w:i w:val="1"/>
          <w:iCs w:val="1"/>
          <w:color w:val="14202A"/>
        </w:rPr>
        <w:t xml:space="preserve"> </w:t>
      </w:r>
      <w:r>
        <w:rPr>
          <w:rFonts w:ascii="Arial" w:cs="Arial" w:eastAsia="Arial" w:hAnsi="Arial"/>
          <w:sz w:val="16"/>
          <w:szCs w:val="16"/>
          <w:color w:val="14202A"/>
        </w:rPr>
        <w:t>without shareholder approval, actions to reprice, replace, or repurchase options or SARs when the exercise price per share of an option or SAR exceeds the fair market value of a share of our common stock.</w:t>
      </w:r>
    </w:p>
    <w:p>
      <w:pPr>
        <w:spacing w:after="0" w:line="130" w:lineRule="exact"/>
        <w:rPr>
          <w:sz w:val="20"/>
          <w:szCs w:val="20"/>
          <w:color w:val="auto"/>
        </w:rPr>
      </w:pPr>
    </w:p>
    <w:p>
      <w:pPr>
        <w:ind w:left="720" w:right="380"/>
        <w:spacing w:after="0" w:line="286" w:lineRule="auto"/>
        <w:rPr>
          <w:sz w:val="20"/>
          <w:szCs w:val="20"/>
          <w:color w:val="auto"/>
        </w:rPr>
      </w:pPr>
      <w:r>
        <w:rPr>
          <w:rFonts w:ascii="Arial" w:cs="Arial" w:eastAsia="Arial" w:hAnsi="Arial"/>
          <w:sz w:val="16"/>
          <w:szCs w:val="16"/>
          <w:i w:val="1"/>
          <w:iCs w:val="1"/>
          <w:color w:val="14202A"/>
        </w:rPr>
        <w:t>Limit on non-employee director awards</w:t>
      </w:r>
      <w:r>
        <w:rPr>
          <w:rFonts w:ascii="Arial" w:cs="Arial" w:eastAsia="Arial" w:hAnsi="Arial"/>
          <w:sz w:val="16"/>
          <w:szCs w:val="16"/>
          <w:color w:val="14202A"/>
        </w:rPr>
        <w:t>. The 2019 Plan provides an annual cash-denominated limit of $400,000 on</w:t>
      </w:r>
      <w:r>
        <w:rPr>
          <w:rFonts w:ascii="Arial" w:cs="Arial" w:eastAsia="Arial" w:hAnsi="Arial"/>
          <w:sz w:val="16"/>
          <w:szCs w:val="16"/>
          <w:i w:val="1"/>
          <w:iCs w:val="1"/>
          <w:color w:val="14202A"/>
        </w:rPr>
        <w:t xml:space="preserve"> </w:t>
      </w:r>
      <w:r>
        <w:rPr>
          <w:rFonts w:ascii="Arial" w:cs="Arial" w:eastAsia="Arial" w:hAnsi="Arial"/>
          <w:sz w:val="16"/>
          <w:szCs w:val="16"/>
          <w:color w:val="14202A"/>
        </w:rPr>
        <w:t>awards granted to individual non-employee directors under the 2019 Plan.</w:t>
      </w:r>
    </w:p>
    <w:p>
      <w:pPr>
        <w:spacing w:after="0" w:line="117" w:lineRule="exact"/>
        <w:rPr>
          <w:sz w:val="20"/>
          <w:szCs w:val="20"/>
          <w:color w:val="auto"/>
        </w:rPr>
      </w:pPr>
    </w:p>
    <w:p>
      <w:pPr>
        <w:ind w:left="720"/>
        <w:spacing w:after="0" w:line="259" w:lineRule="auto"/>
        <w:rPr>
          <w:sz w:val="20"/>
          <w:szCs w:val="20"/>
          <w:color w:val="auto"/>
        </w:rPr>
      </w:pPr>
      <w:r>
        <w:rPr>
          <w:rFonts w:ascii="Arial" w:cs="Arial" w:eastAsia="Arial" w:hAnsi="Arial"/>
          <w:sz w:val="16"/>
          <w:szCs w:val="16"/>
          <w:i w:val="1"/>
          <w:iCs w:val="1"/>
          <w:color w:val="14202A"/>
        </w:rPr>
        <w:t xml:space="preserve">Clawback provisions. </w:t>
      </w:r>
      <w:r>
        <w:rPr>
          <w:rFonts w:ascii="Arial" w:cs="Arial" w:eastAsia="Arial" w:hAnsi="Arial"/>
          <w:sz w:val="16"/>
          <w:szCs w:val="16"/>
          <w:color w:val="14202A"/>
        </w:rPr>
        <w:t>All awards under the 2019 Plan are subject to our compensation forfeiture and recoupment</w:t>
      </w:r>
      <w:r>
        <w:rPr>
          <w:rFonts w:ascii="Arial" w:cs="Arial" w:eastAsia="Arial" w:hAnsi="Arial"/>
          <w:sz w:val="16"/>
          <w:szCs w:val="16"/>
          <w:i w:val="1"/>
          <w:iCs w:val="1"/>
          <w:color w:val="14202A"/>
        </w:rPr>
        <w:t xml:space="preserve"> </w:t>
      </w:r>
      <w:r>
        <w:rPr>
          <w:rFonts w:ascii="Arial" w:cs="Arial" w:eastAsia="Arial" w:hAnsi="Arial"/>
          <w:sz w:val="16"/>
          <w:szCs w:val="16"/>
          <w:color w:val="14202A"/>
        </w:rPr>
        <w:t xml:space="preserve">policies. Our clawback policies cover time-based as well as performance-based equity awards in certain circumstances. For more information about our current executive compensation recoupment policies, see “Compensation Discussion and Analysis – Additional Compensation Policies” on page </w:t>
      </w:r>
      <w:r>
        <w:rPr>
          <w:rFonts w:ascii="Arial" w:cs="Arial" w:eastAsia="Arial" w:hAnsi="Arial"/>
          <w:sz w:val="16"/>
          <w:szCs w:val="16"/>
          <w:u w:val="single" w:color="auto"/>
          <w:color w:val="0000EE"/>
        </w:rPr>
        <w:t>49</w:t>
      </w:r>
      <w:r>
        <w:rPr>
          <w:rFonts w:ascii="Arial" w:cs="Arial" w:eastAsia="Arial" w:hAnsi="Arial"/>
          <w:sz w:val="16"/>
          <w:szCs w:val="16"/>
          <w:color w:val="14202A"/>
        </w:rPr>
        <w:t xml:space="preserve"> of this Proxy Statement.</w:t>
      </w:r>
    </w:p>
    <w:p>
      <w:pPr>
        <w:spacing w:after="0" w:line="147" w:lineRule="exact"/>
        <w:rPr>
          <w:sz w:val="20"/>
          <w:szCs w:val="20"/>
          <w:color w:val="auto"/>
        </w:rPr>
      </w:pPr>
    </w:p>
    <w:p>
      <w:pPr>
        <w:ind w:left="720" w:right="400"/>
        <w:spacing w:after="0" w:line="266" w:lineRule="auto"/>
        <w:rPr>
          <w:sz w:val="20"/>
          <w:szCs w:val="20"/>
          <w:color w:val="auto"/>
        </w:rPr>
      </w:pPr>
      <w:r>
        <w:rPr>
          <w:rFonts w:ascii="Arial" w:cs="Arial" w:eastAsia="Arial" w:hAnsi="Arial"/>
          <w:sz w:val="16"/>
          <w:szCs w:val="16"/>
          <w:i w:val="1"/>
          <w:iCs w:val="1"/>
          <w:color w:val="14202A"/>
        </w:rPr>
        <w:t xml:space="preserve">No discounted option or SAR grants. </w:t>
      </w:r>
      <w:r>
        <w:rPr>
          <w:rFonts w:ascii="Arial" w:cs="Arial" w:eastAsia="Arial" w:hAnsi="Arial"/>
          <w:sz w:val="16"/>
          <w:szCs w:val="16"/>
          <w:color w:val="14202A"/>
        </w:rPr>
        <w:t>The 2019 Plan requires that the exercise price of options or SARs be at least</w:t>
      </w:r>
      <w:r>
        <w:rPr>
          <w:rFonts w:ascii="Arial" w:cs="Arial" w:eastAsia="Arial" w:hAnsi="Arial"/>
          <w:sz w:val="16"/>
          <w:szCs w:val="16"/>
          <w:i w:val="1"/>
          <w:iCs w:val="1"/>
          <w:color w:val="14202A"/>
        </w:rPr>
        <w:t xml:space="preserve"> </w:t>
      </w:r>
      <w:r>
        <w:rPr>
          <w:rFonts w:ascii="Arial" w:cs="Arial" w:eastAsia="Arial" w:hAnsi="Arial"/>
          <w:sz w:val="16"/>
          <w:szCs w:val="16"/>
          <w:color w:val="14202A"/>
        </w:rPr>
        <w:t>equal to the fair market value of our common stock on the date of grant (except in the limited case of “substitute awards” as described below).</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Description of the Amended and Restated 2019 Omnibus Incentive Plan</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14202A"/>
        </w:rPr>
        <w:t>The proposed material changes to the 2019 Plan are: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Increase the number of shares authorized for issuance by 2,200,000; and</w:t>
      </w:r>
    </w:p>
    <w:p>
      <w:pPr>
        <w:spacing w:after="0" w:line="261" w:lineRule="exact"/>
        <w:rPr>
          <w:sz w:val="20"/>
          <w:szCs w:val="20"/>
          <w:color w:val="auto"/>
        </w:rPr>
      </w:pPr>
    </w:p>
    <w:p>
      <w:pPr>
        <w:ind w:left="720" w:right="640"/>
        <w:spacing w:after="0" w:line="286" w:lineRule="auto"/>
        <w:rPr>
          <w:sz w:val="20"/>
          <w:szCs w:val="20"/>
          <w:color w:val="auto"/>
        </w:rPr>
      </w:pPr>
      <w:r>
        <w:rPr>
          <w:rFonts w:ascii="Arial" w:cs="Arial" w:eastAsia="Arial" w:hAnsi="Arial"/>
          <w:sz w:val="16"/>
          <w:szCs w:val="16"/>
          <w:color w:val="14202A"/>
        </w:rPr>
        <w:t>Extend the term of the 2019 Plan to the date that is 10 years after shareholder approval of the amendment and restatement of the 2019 Plan.</w:t>
      </w:r>
    </w:p>
    <w:p>
      <w:pPr>
        <w:spacing w:after="0" w:line="1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14202A"/>
        </w:rPr>
        <w:t xml:space="preserve">The major features of the 2019 Plan are summarized below. The summary is qualified in its entirety by reference to the full text of the 2019 Plan, which is attached to this Proxy Statement as </w:t>
      </w:r>
      <w:r>
        <w:rPr>
          <w:rFonts w:ascii="Arial" w:cs="Arial" w:eastAsia="Arial" w:hAnsi="Arial"/>
          <w:sz w:val="16"/>
          <w:szCs w:val="16"/>
          <w:b w:val="1"/>
          <w:bCs w:val="1"/>
          <w:color w:val="14202A"/>
        </w:rPr>
        <w:t>Appendix A</w:t>
      </w:r>
      <w:r>
        <w:rPr>
          <w:rFonts w:ascii="Arial" w:cs="Arial" w:eastAsia="Arial" w:hAnsi="Arial"/>
          <w:sz w:val="16"/>
          <w:szCs w:val="16"/>
          <w:color w:val="14202A"/>
        </w:rPr>
        <w:t>.</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Eligible Participants</w:t>
      </w:r>
    </w:p>
    <w:p>
      <w:pPr>
        <w:spacing w:after="0" w:line="181"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14202A"/>
        </w:rPr>
        <w:t>Employees, consultants, and advisors of the Company or its affiliates, as well as non-employee directors of the Company, are eligible to receive awards under the 2019 Plan. As of October 20, 2026, there were approximately 4,900 employees, an indeterminate number of consultants and advisors of the Company and its affiliates and nine non-employee directors of the Company who would be eligible to receive awards under the 2019 Plan.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Administration</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14202A"/>
        </w:rPr>
        <w:t>The 2019 Plan is administered by the Committee. To the extent not inconsistent with applicable law or stock exchange rules, the Committee may delegate its authority under the 2019 Plan to any one or more of its members, or, with respect to awards to participants who are not themselves our directors or executive officers, to one or more of our directors or executive officers or to a committee of the Board comprised of one or more directors. The Committee may also delegate non-discretionary administrative duties to other persons as it deems advisable. The full Board performs the duties and has the responsibilities of the Committee with respect to awards under the 2019 Plan that are made to our non-employee directors.</w:t>
      </w:r>
    </w:p>
    <w:p>
      <w:pPr>
        <w:spacing w:after="0" w:line="15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14202A"/>
        </w:rPr>
        <w:t>The Committee has the authority to determine the persons to whom awards will be granted, the timing of awards, the type and number of shares covered by each award, the terms, conditions, performance criteria, and restrictions of the awards as well as the manner in which awards are paid and settled. The Committee may also establish, rescind, and modify rules to administer the 2019 Plan, adopt sub-plans or special provisions applicable to certain awards, interpret the 2019 Plan, any award and any related award agreement, reconcile any inconsistency, correct any defect or supply an omission in the 2019 Plan and any related award agreement, cancel or suspend an award, determine in what circumstances an award will be forfeited, accelerate the vesting (subject to certain minimum vesting provisions) or extend the exercise period of an award (whether by amendment or other action), grant substitute awards in accordance with the 2019 Plan, and require or permit the deferral of the settlement of an award.</w:t>
      </w:r>
    </w:p>
    <w:p>
      <w:pPr>
        <w:spacing w:after="0" w:line="33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14202A"/>
        </w:rPr>
        <w:t>Except in connection with equity restructurings and other situations in which share adjustments are specifically authorized, the 2019 Plan prohibits the Committee from repricing any outstanding option or SAR awards without the prior approval of our shareholders. For these purposes, a “repricing” includes amending the terms of an option or SAR award to lower the exercise price, canceling an option or SAR award in conjunction with granting a replacement option or SAR award with a lower exercise price, canceling an option or SAR award in exchange for cash, other property or grant of a new full value award at a time when the per share exercise price of the option or SAR award is greater than the fair market value of a share of our common stock, or otherwise making an option or SAR award subject to any action that would be treated under accounting rules as a “repricing.”</w:t>
      </w:r>
    </w:p>
    <w:p>
      <w:pPr>
        <w:spacing w:after="0" w:line="14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14202A"/>
        </w:rPr>
        <w:t>Subject to certain limitations set forth in the 2019 Plan, the Committee may also modify the terms of awards under the 2019 Plan with respect to participants who reside outside of the United States or who are employed by a non-United States subsidiary of the Company in order to comply with local legal or regulatory requirements.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Available Shares and Limitations on Awards</w:t>
      </w:r>
    </w:p>
    <w:p>
      <w:pPr>
        <w:spacing w:after="0" w:line="18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14202A"/>
        </w:rPr>
        <w:t>A maximum share reserve of 9,520,000 shares of our common stock will be authorized under the amendment and restatement of the 2019 Plan, inclusive of shares previously authorized and issued. The shares of common stock issuable under the 2019 Plan may come from authorized and unissued shares or treasury shares. Full value awards granted under the 2019 Plan count as two shares against the 2019 Plan’s authorized share reserve, whereas options and SARs count as one share against the authorized share reserve. Where the number of shares subject to an award is variable, the maximum number of shares that could be received under that award will be counted against the share reserve until it can be determined that only a lesser number of shares could vest.</w:t>
      </w:r>
    </w:p>
    <w:p>
      <w:pPr>
        <w:spacing w:after="0" w:line="141"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14202A"/>
        </w:rPr>
        <w:t>Under the terms of the 2019 Plan, the aggregate grant date fair value of awards granted under the 2019 Plan during a calendar year to any one of our non-employee directors (excluding awards granted at his or her election in lieu of any portion of retainers or fees otherwise payable in cash) may not exceed $400,000.</w:t>
      </w:r>
    </w:p>
    <w:p>
      <w:pPr>
        <w:spacing w:after="0" w:line="144"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14202A"/>
        </w:rPr>
        <w:t>The share limitations under the 2019 Plan are subject to adjustment for changes in our corporate structure or shares, as described below.</w:t>
      </w:r>
    </w:p>
    <w:p>
      <w:pPr>
        <w:spacing w:after="0" w:line="115"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14202A"/>
        </w:rPr>
        <w:t>If any shares of our common stock subject to any award under the 2019 Plan, or to an award under the 2014 Plan that was outstanding on the date our shareholders originally approved the 2019 Plan, that expires, is forfeited or</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14202A"/>
        </w:rPr>
        <w:t>cancelled, or is settled or paid in cash will, to the extent of such expiration, forfeiture, cancellation or cash settlement, become available again for future awards under the 2019 Plan. Each share that again becomes available for awards in such manner will increase the share reserve, with shares subject to full value awards increasing the share reserve by 2 shares and shares subject to options and SARs increasing the share reserve by one share. However, shares tendered or withheld in payment of the purchase price of a stock option, shares tendered or withheld to satisfy a tax withholding obligation, shares repurchased with proceeds received by the Company from exercise of a stock option and shares subject to a stock appreciation right that are not issued in connection with the stock settlement of the stock appreciation right may not be used again under the 2019 Plan.</w:t>
      </w:r>
    </w:p>
    <w:p>
      <w:pPr>
        <w:spacing w:after="0" w:line="141"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14202A"/>
        </w:rPr>
        <w:t>Any shares of common stock issuable during the term of the 2019 Plan as a result of the reinvestment of dividends or the deemed reinvestment of dividend equivalents in connection with an award under the 2019 Plan or 2014 Plan that are forfeited also will automatically replenish the 2019 Plan share reserve to the extent of such forfeiture.</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14202A"/>
        </w:rPr>
        <w:t>Awards granted or shares of our common stock issued under the 2019 Plan upon the assumption of, or in substitution or exchange for, outstanding equity awards previously granted by an entity acquired by us or any of our affiliates or with which we or any of our affiliates combine (referred to as “substitute awards”) will not reduce the share reserve under the 2019 Plan and will not reduce the shares authorized for grant to a participant in any calendar year.</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Additionally, if a company acquired by us or any of our subsidiaries or with which we or any of our subsidiaries combines has shares available under a pre-existing plan approved by its shareholders and not adopted in contemplation of such acquisition or combination, the shares available for grant pursuant to the terms of that pre-existing plan may be used for awards under the 2019 Plan and will supplement the share reserve under the 2019 Plan, but only if the awards are made to individuals who were not employed by, or serving as a non-employee director of, us or any of our subsidiaries prior to such acquisition or combination.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Share Adjustment Provisions</w:t>
      </w:r>
    </w:p>
    <w:p>
      <w:pPr>
        <w:spacing w:after="0" w:line="18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14202A"/>
        </w:rPr>
        <w:t>If certain equity transactions occur that cause the per share value of our common stock to change, such as stock dividends, stock splits, spin-offs, rights offerings, or certain recapitalizations (referred to as “equity restructurings”), the Committee will make adjustments as it deems equitable and appropriate to: (i) the aggregate number and kind of shares or other securities issued or reserved for issuance under the 2019 Plan, (ii) the number and kind of shares or other securities subject to outstanding awards,</w:t>
      </w:r>
    </w:p>
    <w:p>
      <w:pPr>
        <w:spacing w:after="0" w:line="2" w:lineRule="exact"/>
        <w:rPr>
          <w:sz w:val="20"/>
          <w:szCs w:val="20"/>
          <w:color w:val="auto"/>
        </w:rPr>
      </w:pPr>
    </w:p>
    <w:p>
      <w:pPr>
        <w:ind w:right="160"/>
        <w:spacing w:after="0" w:line="251" w:lineRule="auto"/>
        <w:tabs>
          <w:tab w:leader="none" w:pos="261" w:val="left"/>
        </w:tabs>
        <w:numPr>
          <w:ilvl w:val="0"/>
          <w:numId w:val="55"/>
        </w:numPr>
        <w:rPr>
          <w:rFonts w:ascii="Arial" w:cs="Arial" w:eastAsia="Arial" w:hAnsi="Arial"/>
          <w:sz w:val="16"/>
          <w:szCs w:val="16"/>
          <w:color w:val="14202A"/>
        </w:rPr>
      </w:pPr>
      <w:r>
        <w:rPr>
          <w:rFonts w:ascii="Arial" w:cs="Arial" w:eastAsia="Arial" w:hAnsi="Arial"/>
          <w:sz w:val="16"/>
          <w:szCs w:val="16"/>
          <w:color w:val="14202A"/>
        </w:rPr>
        <w:t>the exercise price of outstanding options and SAR awards, and (iv) award limitations prescribed by the 2019 Plan. Other types of transactions may also affect our common stock, such as a reorganization, merger, consolidation or partial or complete liquidation of our Company. If there is such a transaction and the Committee determines that adjustments of the type previously described in connection with equity restructurings would be appropriate to prevent any dilution or enlargement of benefits under the 2019 Plan, the Committee may make such adjustments as it deems equitable.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Types of Awards</w:t>
      </w:r>
    </w:p>
    <w:p>
      <w:pPr>
        <w:spacing w:after="0" w:line="194"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14202A"/>
        </w:rPr>
        <w:t>The 2019 Plan permits us to award stock options, SARs, restricted stock awards, stock unit awards, and other stock-based awards to eligible recipients. These types of awards are described in more detail below.</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Stock Options</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14202A"/>
        </w:rPr>
        <w:t>Employees of the Company or any subsidiary may be granted options to purchase common stock that qualify as “incentive stock options” within the meaning of Section 422 of the Code, and any eligible recipient may be granted options to purchase common stock that do not qualify as incentive stock options, referred to as “non-qualified stock options.” The per share exercise price to be paid by a participant at the time an option is exercised may not be less than 100% of the fair market value of one share of our common stock on the date of grant, unless the option is granted as a substitute award as described above. “Fair market value” under the 2019 Plan as of any date generally means the closing sale price of a share of our common stock on the NYSE on that date.</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14202A"/>
        </w:rPr>
        <w:t>The total purchase price of the shares to be purchased upon exercise of an option will be paid by the participant in cash unless the Committee permits exercise payments to be made, in whole or in part, (i) by means of a broker-assisted sale and remittance program, (ii) by delivery to us (or attestation as to ownership) of shares of common stock already owned by the participant, or (iii) by a “net exercise” of the option in which a portion of the</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14202A"/>
        </w:rPr>
        <w:t>shares otherwise issuable upon exercise of the option are withheld by us. Any shares delivered or withheld in payment of an exercise price will be valued at their fair market value on the exercise date and have an aggregate value equal to the purchase price of the shares being purchased.</w:t>
      </w:r>
    </w:p>
    <w:p>
      <w:pPr>
        <w:spacing w:after="0" w:line="131"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14202A"/>
        </w:rPr>
        <w:t>An option will vest and become exercisable at such time, in such installments and subject to such conditions as may be determined by the Committee, and no option may have a term greater than ten years from its date of grant. No dividends or dividend equivalents may be paid or credited with respect to shares subject to an option award.</w:t>
      </w:r>
    </w:p>
    <w:p>
      <w:pPr>
        <w:spacing w:after="0" w:line="13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14202A"/>
        </w:rPr>
        <w:t>The aggregate fair market value of shares of our common stock with respect to which incentive stock options granted to any participant may first become exercisable during any calendar year may not exceed $100,000. Any incentive stock options that become exercisable in excess of this amount will be treated as non-qualified stock options. The maximum number of shares that may be issued upon the exercise of incentive stock option awards under the 2019 Plan is the same number of shares which may be issued under the plan.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Stock Appreciation Rights</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6"/>
          <w:szCs w:val="16"/>
          <w:color w:val="14202A"/>
        </w:rPr>
        <w:t>A SAR award provides the right to receive, in cash and/or shares of our common stock (as determined by the Committee), an amount equal to the difference between (i) the fair market value as of the date of exercise of the number of shares of our common stock as to which the SAR is being exercised, and (ii) the aggregate exercise price of that number of shares. The exercise price per share of a SAR award will be determined by the Committee, but may not be less than 100% of the fair market value of one share of our common stock on the date of grant, unless the SAR is granted as a substitute award as described above. No dividends or dividend equivalents may be paid or credited with respect to shares subject to a SAR award. A SAR award may not have a term greater than ten years from its date of grant, and will be subject to such other terms and conditions, consistent with the terms of the 2019 Plan, as may be determined by the Committee.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Restricted Stock Awards</w:t>
      </w:r>
    </w:p>
    <w:p>
      <w:pPr>
        <w:spacing w:after="0" w:line="18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14202A"/>
        </w:rPr>
        <w:t>A restricted stock award is an award of our common stock that vests at such times and in such installments as may be determined by the Committee. Until it vests, the shares subject to the award are subject to restrictions on transferability and the possibility of forfeiture. The Committee may impose such restrictions or conditions to the vesting of restricted stock awards as it deems appropriate, including that we, or any of our subsidiaries or business units, satisfy specified performance goals. Dividends or distributions payable with respect to shares that are subject to the unvested portion of a restricted stock award will be subject to the same restrictions and risk of forfeiture as the shares to which such dividends or distributions relate. Unless otherwise provided in an award agreement, participants are entitled to vote restricted shares prior to the time they vest.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Stock Unit Awards</w:t>
      </w:r>
    </w:p>
    <w:p>
      <w:pPr>
        <w:spacing w:after="0" w:line="181"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14202A"/>
        </w:rPr>
        <w:t>A stock unit award is a right to receive the fair market value of a specified number of shares of our common stock, payable in cash, shares, or a combination of both, that vests at such times, in such installments and subject to such conditions as may be determined by the Committee, including the satisfaction of specified performance goals. Until it vests, a stock unit award is subject to restrictions and the possibility of forfeiture. Following the vesting of a stock unit award, settlement of the award and payment to the participant will be made at such time as determined by the Committee. Stock unit awards will be subject to such other terms and conditions, consistent with the other provisions of the 2019 Plan, as may be determined by the Committee. The Committee may provide for the payment of dividend equivalents on stock unit awards and other stock-based awards and any such dividend equivalents will be subject to the same restrictions and risk of forfeiture as the underlying units or other awards to which such dividend equivalents relate.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Other Stock-Based Awards</w:t>
      </w:r>
    </w:p>
    <w:p>
      <w:pPr>
        <w:spacing w:after="0" w:line="19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14202A"/>
        </w:rPr>
        <w:t>The Committee may grant awards of common stock and other awards that are valued by reference to and/or payable in shares of our common stock under the 2019 Plan. The Committee has discretion in determining the terms and conditions of such awards, consistent with the terms and purposes of the 2019 Plan.</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Minimum Vesting Periods</w:t>
      </w:r>
    </w:p>
    <w:p>
      <w:pPr>
        <w:spacing w:after="0" w:line="181" w:lineRule="exact"/>
        <w:rPr>
          <w:sz w:val="20"/>
          <w:szCs w:val="20"/>
          <w:color w:val="auto"/>
        </w:rPr>
      </w:pPr>
    </w:p>
    <w:p>
      <w:pPr>
        <w:jc w:val="both"/>
        <w:ind w:right="140"/>
        <w:spacing w:after="0" w:line="250" w:lineRule="auto"/>
        <w:rPr>
          <w:sz w:val="20"/>
          <w:szCs w:val="20"/>
          <w:color w:val="auto"/>
        </w:rPr>
      </w:pPr>
      <w:r>
        <w:rPr>
          <w:rFonts w:ascii="Arial" w:cs="Arial" w:eastAsia="Arial" w:hAnsi="Arial"/>
          <w:sz w:val="16"/>
          <w:szCs w:val="16"/>
          <w:color w:val="14202A"/>
        </w:rPr>
        <w:t>Awards that vest based solely on the satisfaction of service-based vesting conditions are subject to a minimum vesting period of one year from the date of grant, and awards whose grant or vesting is subject to performance-based vesting conditions must be subject to a performance period of not less than one year. These required vesting and performance periods will not apply: (i) to awards granted to our non-employee directors in payment of or in exchange for other compensation that is already earned and payable, (ii) upon certain specified instances of a change in control, (iii) upon termination of service due to death or disability,</w:t>
      </w:r>
    </w:p>
    <w:p>
      <w:pPr>
        <w:spacing w:after="0" w:line="3" w:lineRule="exact"/>
        <w:rPr>
          <w:sz w:val="20"/>
          <w:szCs w:val="20"/>
          <w:color w:val="auto"/>
        </w:rPr>
      </w:pPr>
    </w:p>
    <w:p>
      <w:pPr>
        <w:ind w:right="180"/>
        <w:spacing w:after="0" w:line="251" w:lineRule="auto"/>
        <w:tabs>
          <w:tab w:leader="none" w:pos="270" w:val="left"/>
        </w:tabs>
        <w:numPr>
          <w:ilvl w:val="0"/>
          <w:numId w:val="56"/>
        </w:numPr>
        <w:rPr>
          <w:rFonts w:ascii="Arial" w:cs="Arial" w:eastAsia="Arial" w:hAnsi="Arial"/>
          <w:sz w:val="16"/>
          <w:szCs w:val="16"/>
          <w:color w:val="14202A"/>
        </w:rPr>
      </w:pPr>
      <w:r>
        <w:rPr>
          <w:rFonts w:ascii="Arial" w:cs="Arial" w:eastAsia="Arial" w:hAnsi="Arial"/>
          <w:sz w:val="16"/>
          <w:szCs w:val="16"/>
          <w:color w:val="14202A"/>
        </w:rPr>
        <w:t>to a substitute award that does not reduce the vesting period of the award being replaced, or (v) to awards involving an aggregate number of shares not in excess of 5% of the 2019 Plan’s share reserve. For purposes of awards made to non-employee directors, a vesting period will be deemed to be one year if it runs from the date of one annual meeting of the Company’s shareholders to the date of the next annual meeting of the Company’s shareholders, as long as such period lasts at least 50 weeks.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Transferability of Awards</w:t>
      </w:r>
    </w:p>
    <w:p>
      <w:pPr>
        <w:spacing w:after="0" w:line="18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14202A"/>
        </w:rPr>
        <w:t>In general, no right or interest in any award under the 2019 Plan may be sold, assigned, transferred, exchanged or encumbered by a participant, voluntarily or involuntarily, except by will or the laws of descent and distribution. However, the Committee may provide that an award (other than an incentive stock option) may be transferable by gift to a participant’s family member or pursuant to a domestic relations order. Any award held by such permitted transferee will remain subject to the same terms and conditions that were applicable to the award before the transfer thereof.</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Performance-Based Compensation</w:t>
      </w:r>
    </w:p>
    <w:p>
      <w:pPr>
        <w:spacing w:after="0" w:line="18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14202A"/>
        </w:rPr>
        <w:t>The Committee may grant awards under the 2019 Plan as a performance-based award if the Committee establishes performance goals to be attained based on one or more performance measures, and the performance period over which the specified performance is to be attained, as a condition to the grant, vesting, exercisability, lapse of restrictions and/or settlement in cash or shares of such award. Performance measures may include one or more of the following: (i) stock price measures (including but not limited to growth measures and total shareholder return); (ii) earnings per share (actual or targeted growth); (iii) earnings before interest, taxes, depreciation, and amortization (“EBITDA”); (iv) economic value added (“EVA”); (v) net income measures (including but not limited to income after capital costs and income before or after taxes); (vi) revenue and/or sales (gross or net) and margins; (vii) operating income; (viii) cash flow and working capital measures; (ix) return measures (including but not limited to return on assets, equity and/or invested capital); (x) growth measures (including revenue or sales growth); (xi) market share;</w:t>
      </w:r>
    </w:p>
    <w:p>
      <w:pPr>
        <w:spacing w:after="0" w:line="6" w:lineRule="exact"/>
        <w:rPr>
          <w:sz w:val="20"/>
          <w:szCs w:val="20"/>
          <w:color w:val="auto"/>
        </w:rPr>
      </w:pPr>
    </w:p>
    <w:p>
      <w:pPr>
        <w:ind w:right="20"/>
        <w:spacing w:after="0" w:line="249" w:lineRule="auto"/>
        <w:tabs>
          <w:tab w:leader="none" w:pos="306" w:val="left"/>
        </w:tabs>
        <w:numPr>
          <w:ilvl w:val="0"/>
          <w:numId w:val="57"/>
        </w:numPr>
        <w:rPr>
          <w:rFonts w:ascii="Arial" w:cs="Arial" w:eastAsia="Arial" w:hAnsi="Arial"/>
          <w:sz w:val="16"/>
          <w:szCs w:val="16"/>
          <w:color w:val="14202A"/>
        </w:rPr>
      </w:pPr>
      <w:r>
        <w:rPr>
          <w:rFonts w:ascii="Arial" w:cs="Arial" w:eastAsia="Arial" w:hAnsi="Arial"/>
          <w:sz w:val="16"/>
          <w:szCs w:val="16"/>
          <w:color w:val="14202A"/>
        </w:rPr>
        <w:t>product quality and customer satisfaction measures; (xiii) corporate values and strategic measures (including but not limited to ethics compliance, environmental, safety, strategic and succession planning); and (xiv) any other financial, operational or strategic measure approved by the Committee. Any performance goal based on one or more of the foregoing performance measures may be expressed in absolute amounts, on a per share basis (basic or diluted), relative to one or more other performance measures, as a growth rate or change from preceding periods, or as a comparison to the performance of specified companies, indices or other external measures, and may relate to one or any combination of the Company, its affiliates, divisions, business segments, business units or individual performance.</w:t>
      </w:r>
    </w:p>
    <w:p>
      <w:pPr>
        <w:spacing w:after="0" w:line="146"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14202A"/>
        </w:rPr>
        <w:t>For each performance-based award, the Committee will select the applicable performance measure(s), specify the performance goal(s) based on those performance measures for any performance period, specify in terms of a formula or standard the method for calculating the amount payable to a participant if the performance goal(s) are satisfied, and determine the degree to which applicable performance goals have been satisfied and any amount that vests and is payable in connection with such award. When specifying performance goals in an award, the Committee may provide that one or more adjustments will be made to the performance measures on which the performance goals are based, which may include adjustments that would cause such measures to be considered “non-GAAP” financial measures. The Committee also may provide, in an agreement or otherwise, for the modification of a performance period and/or adjustments to or waivers of the achievement of performance goals under specified circumstances such as the occurrence of events that are unusual in nature or infrequently occurring, such as a change in control, certain equity restructurings, acquisitions, divestitures, restructuring activities, recapitalizations, or asset write-downs, changes in applicable tax laws or accounting principles, or a participant’s death or disability. The Committee may, in its discretion and based on such considerations as it deems appropriate, adjust any amount otherwise determined by the application of the performance goals to be otherwise payable in connection with an award.</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Change in Control</w:t>
      </w:r>
    </w:p>
    <w:p>
      <w:pPr>
        <w:spacing w:after="0" w:line="18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14202A"/>
        </w:rPr>
        <w:t>If a change in control of the Company that involves a corporate transaction occurs, then the consequences will be as described below unless the Committee provides otherwise in an applicable award or other agreement with a participant. If outstanding awards are continued, assumed or replaced by the surviving or successor entity in connection with a corporate transaction, and if within 24 months after the corporate transaction a participant’s employment or other service is involuntarily terminated without cause, or, if so provided in the discretion of the Committee in an award agreement, the participant terminates his or her employment or other service for good reason, (i) each of the participant’s outstanding options and SARs will become fully vested and exercisable and will remain exercisable for one year, and (ii) each of the participant’s unvested full value awards will fully vest. To the extent vesting of any award continued, assumed or replaced is subject to satisfaction of specified performance goals, those goals will be deemed to be achieved as of the date of the corporate transaction at the target level of performance, or, in the discretion of the Committee, at the actual level of performance (if determinable), and such Awards will continue to be subject to any continuing service requirements.</w:t>
      </w:r>
    </w:p>
    <w:p>
      <w:pPr>
        <w:spacing w:after="0" w:line="14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14202A"/>
        </w:rPr>
        <w:t>If any outstanding award is not continued, assumed or replaced in connection with a change in control involving a corporate transaction, then (i) all outstanding options and SARs will become fully vested and exercisable for a period of time prior to the effective time of the corporate transaction and will then terminate at the effective time of the corporate transaction, and (ii) all full value awards will fully vest immediately prior to the effective time of the corporate transaction. For these purposes, a performance-based award will be considered fully vested at the greater of target level of performance or actual level of performance (if determinable) and the vested portion of the Award at that level of performance is proportionate to the portion of the performance period that has elapsed prior to the corporate transaction. Alternatively, if outstanding awards are not continued, assumed or replaced, the Committee may elect to cancel such awards at or immediately prior to the effective time of the corporate transaction in exchange for a payment with respect to each award in an amount equal to the excess, if any, between the fair market value of the consideration that would otherwise be received in the corporate transaction for the same number of shares over the aggregate exercise price (if any) for the shares subject to such award (or, if there is no excess, such award may be terminated without payment).</w:t>
      </w:r>
    </w:p>
    <w:p>
      <w:pPr>
        <w:spacing w:after="0" w:line="157"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14202A"/>
        </w:rPr>
        <w:t>In the event of a change in control of the Company that does not involve a corporate transaction, if within 24 months after the change in control a participant’s employment or other service is involuntarily terminated without cause, or, if so provided in the discretion of the Committee in an award agreement, the participant terminates his or her employment or other service for good reason, (i) each of the participant’s outstanding options and SARs will become fully vested and exercisable and remain exercisable for one year, and (ii) each of the participant’s unvested full value awards will fully vest. For these purposes, a performance-based award will be considered fully vested at the greater of target level of performance or actual level of performance (if determinable) and the vested portion of the Award at that level of performance is proportionate to the portion of the performance period that has elapsed prior to the participant’s termination of employment or other service.</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6"/>
          <w:szCs w:val="16"/>
          <w:color w:val="14202A"/>
        </w:rPr>
        <w:t>The 2019 Plan also provides that if any payments or benefits provided to a participant under the 2019 Plan or any other Company compensation programs or arrangements in connection with a change in control would constitute “parachute payments” within the meaning of Code Section 280G, and would otherwise result in the imposition of an excise tax under Code Section 4999, then the amount of such payments and benefits will either (i) be reduced to the extent necessary to avoid characterization as parachute payments and the imposition of the excise tax, or (ii) be paid in full and remain subject to the imposition of the excise tax, whichever results in the participant’s receipt on an after-tax basis of the greatest amount of payments and benefits.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14202A"/>
        </w:rPr>
        <w:t>For purposes of the 2019 Plan, the following terms have the meanings indicated:</w:t>
      </w:r>
    </w:p>
    <w:p>
      <w:pPr>
        <w:spacing w:after="0" w:line="181" w:lineRule="exact"/>
        <w:rPr>
          <w:sz w:val="20"/>
          <w:szCs w:val="20"/>
          <w:color w:val="auto"/>
        </w:rPr>
      </w:pPr>
    </w:p>
    <w:p>
      <w:pPr>
        <w:ind w:left="720" w:right="80"/>
        <w:spacing w:after="0" w:line="256" w:lineRule="auto"/>
        <w:rPr>
          <w:sz w:val="20"/>
          <w:szCs w:val="20"/>
          <w:color w:val="auto"/>
        </w:rPr>
      </w:pPr>
      <w:r>
        <w:rPr>
          <w:rFonts w:ascii="Arial" w:cs="Arial" w:eastAsia="Arial" w:hAnsi="Arial"/>
          <w:sz w:val="16"/>
          <w:szCs w:val="16"/>
          <w:color w:val="14202A"/>
        </w:rPr>
        <w:t>A “change in control” generally refers to the acquisition by a person or group of beneficial ownership of 30% or more of the combined voting power of our voting securities, our continuing directors ceasing to constitute a majority of our Board, or the consummation of a corporate transaction as defined below (unless immediately following such corporate transaction all or substantially all of our previous holders of voting securities beneficially own more than 50% of the combined voting power of the resulting entity in substantially the same proportions).</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7" w:lineRule="exact"/>
        <w:rPr>
          <w:sz w:val="20"/>
          <w:szCs w:val="20"/>
          <w:color w:val="auto"/>
        </w:rPr>
      </w:pPr>
    </w:p>
    <w:p>
      <w:pPr>
        <w:ind w:left="720" w:right="340"/>
        <w:spacing w:after="0" w:line="286" w:lineRule="auto"/>
        <w:rPr>
          <w:sz w:val="20"/>
          <w:szCs w:val="20"/>
          <w:color w:val="auto"/>
        </w:rPr>
      </w:pPr>
      <w:r>
        <w:rPr>
          <w:rFonts w:ascii="Arial" w:cs="Arial" w:eastAsia="Arial" w:hAnsi="Arial"/>
          <w:sz w:val="16"/>
          <w:szCs w:val="16"/>
          <w:color w:val="14202A"/>
        </w:rPr>
        <w:t>A “corporate transaction” generally means (i) a sale or other disposition of all or substantially all of the assets of the Company, or (ii) a merger, consolidation, share exchange or similar transaction involving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Effect of Termination of Employment or Other Service</w:t>
      </w:r>
    </w:p>
    <w:p>
      <w:pPr>
        <w:spacing w:after="0" w:line="18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14202A"/>
        </w:rPr>
        <w:t>Unless otherwise set forth in an applicable award agreement, if a participant ceases to be employed by or provide other services to us and our affiliates, awards under the 2019 Plan will be treated as set forth in the 2019 Plan. Upon termination for cause or upon conduct that would constitute cause during any post-termination exercise period, all unexercised option and SAR awards and all unvested portions of any other outstanding awards will be immediately forfeited without consideration. If a participant’s service is terminated due to his or her death or disability, all unvested portions of any outstanding awards will vest in full immediately and the currently vested and exercisable portions of option and SAR awards may be exercised for a period of one year after the date of such termination. Upon termination for any reason other than death, disability or cause, all unvested and unexercisable portions of any outstanding awards will be immediately forfeited without consideration and the currently vested and exercisable portions of option and SAR awards may be exercised for a period of three months after the date of such termination. However, if a participant thereafter dies during such three-month period, the vested and exercisable portions of the option and SAR awards may be exercised for a period of one year after the date of such termination.</w:t>
      </w:r>
    </w:p>
    <w:p>
      <w:pPr>
        <w:spacing w:after="0" w:line="146"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14202A"/>
        </w:rPr>
        <w:t>Under the 2019 Plan, “cause” is generally defined as (i) material failure to perform satisfactorily the duties reasonably required of such person; (ii) material violation of any law, rule, regulation, court order or regulatory directive (other than traffic violations, misdemeanors or other minor offenses), including but not limited to, a violation of any federal or state securities laws, rules or regulations or of any rule or other requirement of any securities exchanges on which our common stock may, at the time, be listed; (iii) material breach of our business conduct or ethics code or of any fiduciary duty or nondisclosure, non-solicitation, non-competition or similar obligation owed to the Company or any of its affiliates; (iv) engaging in any act or practice that involves personal dishonesty or demonstrates a willful and continuing disregard for the best interests of the Company and its affiliates; or</w:t>
      </w:r>
    </w:p>
    <w:p>
      <w:pPr>
        <w:spacing w:after="0" w:line="3" w:lineRule="exact"/>
        <w:rPr>
          <w:sz w:val="20"/>
          <w:szCs w:val="20"/>
          <w:color w:val="auto"/>
        </w:rPr>
      </w:pPr>
    </w:p>
    <w:p>
      <w:pPr>
        <w:ind w:right="20"/>
        <w:spacing w:after="0" w:line="256" w:lineRule="auto"/>
        <w:tabs>
          <w:tab w:leader="none" w:pos="234" w:val="left"/>
        </w:tabs>
        <w:numPr>
          <w:ilvl w:val="0"/>
          <w:numId w:val="60"/>
        </w:numPr>
        <w:rPr>
          <w:rFonts w:ascii="Arial" w:cs="Arial" w:eastAsia="Arial" w:hAnsi="Arial"/>
          <w:sz w:val="16"/>
          <w:szCs w:val="16"/>
          <w:color w:val="14202A"/>
        </w:rPr>
      </w:pPr>
      <w:r>
        <w:rPr>
          <w:rFonts w:ascii="Arial" w:cs="Arial" w:eastAsia="Arial" w:hAnsi="Arial"/>
          <w:sz w:val="16"/>
          <w:szCs w:val="16"/>
          <w:color w:val="14202A"/>
        </w:rPr>
        <w:t>engaging in dishonorable or disruptive behavior, practices or acts which would be reasonably expected to harm or bring disrepute to the Company or any of its affiliates, their business or any of their customers, employees or vendors, provided that if a participant has another then-effective written agreement with the Company that defines “cause”, that definition will control.</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Term of the Amended and Restated 2019 Plan</w:t>
      </w:r>
    </w:p>
    <w:p>
      <w:pPr>
        <w:spacing w:after="0" w:line="18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14202A"/>
        </w:rPr>
        <w:t>Unless terminated earlier, the 2019 Plan will terminate on the tenth anniversary of shareholder approval of this amendment and restatement of the 2019 Plan. Awards outstanding under the 2019 Plan at the time it is terminated will continue in accordance with their terms and the terms of the 2019 Plan unless otherwise provided in the applicable agreements.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Amendment of the Plan</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6"/>
          <w:szCs w:val="16"/>
          <w:color w:val="14202A"/>
        </w:rPr>
        <w:t>Our Board may amend the 2019 Plan from time to time, but no amendments to the 2019 Plan will be effective without shareholder approval if such approval is required under applicable laws, regulations or stock exchange rules. Our Board also may suspend or terminate the 2019 Plan at any time. No termination, suspension or amendment of the 2019 Plan may materially impair the rights of any participant under a previously granted award without the consent of the affected participant, unless such action is necessary to comply with applicable laws or stock exchange rules.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Amendment of Awards</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6"/>
          <w:szCs w:val="16"/>
          <w:color w:val="14202A"/>
        </w:rPr>
        <w:t>The Committee may amend the terms of any award subject to certain limitations, however, no such amendment may materially impair the rights of any participant under a previously granted award without the consent of the affected participant, except for amendments necessary to comply with applicable laws, stock exchange rules or any compensation recovery policy as provided in the 2019 Plan.</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Forfeiture and Clawback</w:t>
      </w:r>
    </w:p>
    <w:p>
      <w:pPr>
        <w:spacing w:after="0" w:line="180"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14202A"/>
        </w:rPr>
        <w:t xml:space="preserve">All awards under the 2019 Plan will be subject to the company’s clawback policies. In addition to our Mandatory Compensation Recovery Policy, we have a Supplemental Compensation Recovery Policy which provides that the Committee may recover any equity or equity-based award, including awards subject to time-based vesting, under certain conditions. Both clawback policies are described in the “Compensation Discussion and Analysis – Additional Compensation Policies” on page </w:t>
      </w:r>
      <w:r>
        <w:rPr>
          <w:rFonts w:ascii="Arial" w:cs="Arial" w:eastAsia="Arial" w:hAnsi="Arial"/>
          <w:sz w:val="16"/>
          <w:szCs w:val="16"/>
          <w:u w:val="single" w:color="auto"/>
          <w:color w:val="0000EE"/>
        </w:rPr>
        <w:t>49</w:t>
      </w:r>
      <w:r>
        <w:rPr>
          <w:rFonts w:ascii="Arial" w:cs="Arial" w:eastAsia="Arial" w:hAnsi="Arial"/>
          <w:sz w:val="16"/>
          <w:szCs w:val="16"/>
          <w:color w:val="14202A"/>
        </w:rPr>
        <w:t xml:space="preserve"> of this Proxy Statement.</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6"/>
          <w:szCs w:val="16"/>
          <w:color w:val="14202A"/>
        </w:rPr>
        <w:t>In addition, the Committee may specify in an award agreement that a participant’s rights, payments, and benefits under the award will be subject to reduction, cancellation, forfeiture or recovery by the Company upon the occurrence of certain other specified events, which may include termination of service for cause; violation of any material Company policy; breach of noncompetition, non-solicitation or confidentiality provisions that apply to the participant; a determination that the payment of the award was based on an incorrect determination that financial or other criteria were met or other conduct by the participant that is detrimental to the business or reputation of the Company or its affiliates.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United States Federal Income Tax Consequences</w:t>
      </w:r>
    </w:p>
    <w:p>
      <w:pPr>
        <w:spacing w:after="0" w:line="18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14202A"/>
        </w:rPr>
        <w:t>The following is a summary of the principal United States federal income tax consequences to the Company and to participants subject to United States taxation with respect to awards granted under the 2019 Plan, based on statutes, regulations and interpretations in effect as of the date of this Proxy Statement.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Non-Qualified Stock Options</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14202A"/>
        </w:rPr>
        <w:t>If a participant is granted a non-qualified stock option under the 2019 Plan, the participant will not recognize taxable income upon the grant of the option. Generally, the participant will recognize ordinary income at the time of exercise in an amount equal to the difference between the fair market value of the shares acquired at the time of exercise and the exercise price paid. The participant’s basis in the common stock for purposes of determining gain or loss on a subsequent sale or disposition of such shares generally will be the fair market value of our common stock on the date the option was exercised. Any subsequent gain or loss will be taxable as a capital gain or loss. The Company will generally be entitled to a federal income tax deduction at the time and for the same amount as the participant recognizes as ordinary income.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Incentive Stock Options</w:t>
      </w:r>
    </w:p>
    <w:p>
      <w:pPr>
        <w:spacing w:after="0" w:line="181" w:lineRule="exact"/>
        <w:rPr>
          <w:sz w:val="20"/>
          <w:szCs w:val="20"/>
          <w:color w:val="auto"/>
        </w:rPr>
      </w:pPr>
    </w:p>
    <w:p>
      <w:pPr>
        <w:spacing w:after="0" w:line="250" w:lineRule="auto"/>
        <w:rPr>
          <w:sz w:val="20"/>
          <w:szCs w:val="20"/>
          <w:color w:val="auto"/>
        </w:rPr>
      </w:pPr>
      <w:r>
        <w:rPr>
          <w:rFonts w:ascii="Arial" w:cs="Arial" w:eastAsia="Arial" w:hAnsi="Arial"/>
          <w:sz w:val="16"/>
          <w:szCs w:val="16"/>
          <w:color w:val="14202A"/>
        </w:rPr>
        <w:t>If a participant is granted an incentive stock option under the 2019 Plan, the participant will not recognize taxable income upon grant of the option. Generally, the participant will not recognize taxable income at the time of exercise. However, the excess of the fair market value of the shares acquired at the time of exercise over the aggregate exercise price is an item of tax preference income potentially subject to the alternative minimum tax. If shares acquired upon exercise of an incentive stock option satisfy applicable holding period requirements (a minimum of two years from the date of grant and one year from the date of exercise), the gain or loss (in an amount equal to the difference between the fair market value on the date of sale and the exercise price) upon disposition of the shares will be treated as a long-term capital gain or loss, and the Company will not be entitled to any deduction. Except in the event of death, if the holding period requirements are not met, the incentive stock option will be treated as one that does not meet the requirements of the Code for incentive stock options and the tax consequences described for non-qualified stock options will generally apply.</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Other Awards</w:t>
      </w:r>
    </w:p>
    <w:p>
      <w:pPr>
        <w:spacing w:after="0" w:line="18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14202A"/>
        </w:rPr>
        <w:t>The current federal income tax consequences of other awards authorized under the 2019 Plan generally follow certain basic patterns. An award of restricted stock results in income recognition by a participant in an amount equal to the fair market value of the shares received at the time the restrictions lapse and the shares vest, unless the participant elects under Code Section 83(b) to accelerate income recognition and the taxability of the award to the date of grant. Stock unit awards generally result in income recognition by a participant at the time payment of such an award is made in an amount equal to the amount paid in cash or the then-current fair market value of the shares received, as applicable. SAR awards result in income recognition by a participant at the time such an award</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14202A"/>
        </w:rPr>
        <w:t>is exercised in an amount equal to the amount of cash or the then-current fair market value of the shares received by the participant, as applicable. In each of the foregoing cases, the Company will generally have a corresponding deduction at the time the participant recognizes ordinary income, subject to Code Section 162(m) with respect to covered employees.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Section 162(m) of the Code</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14202A"/>
        </w:rPr>
        <w:t>Any awards the Company grants pursuant to the 2019 Plan to certain covered individuals are subject to a $1 million limit on the amount of annual compensation that a public company is permitted to deduct.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Section 409A of the Code</w:t>
      </w:r>
    </w:p>
    <w:p>
      <w:pPr>
        <w:spacing w:after="0" w:line="181"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14202A"/>
        </w:rPr>
        <w:t>The foregoing discussion of tax consequences of awards under the 2019 Plan assumes that the award discussed is either not considered a “deferred compensation arrangement” subject to Section 409A of the Code, or has been structured to comply with its requirements. If an award is considered a deferred compensation arrangement subject to Section 409A but fails to comply, in operation or form, with the requirements of Section 409A, the affected participant would generally be required to include in income when the award vests the amount deemed “deferred,” would be required to pay an additional 20 percent income tax on such amount, and would be required to pay interest on the tax that would have been paid but for the deferral.</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Awards Under the 2019 Plan</w:t>
      </w:r>
    </w:p>
    <w:p>
      <w:pPr>
        <w:spacing w:after="0" w:line="180"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14202A"/>
        </w:rPr>
        <w:t xml:space="preserve">Since all awards under the 2019 Plan are made in the discretion of the Committee, neither the number nor types of future 2019 Plan awards to be received by or allocated to particular participants or groups of participants is presently determinable, except with respect to restricted stock units granted to each non-employee director under the Company’s non-employee director compensation policy with a grant date value of $150,000 per year. Information regarding awards made under the 2019 Plan during Fiscal 2026 to our NEOs is provided under the caption “Grants of Plan-Based Awards Table” on page </w:t>
      </w:r>
      <w:r>
        <w:rPr>
          <w:rFonts w:ascii="Arial" w:cs="Arial" w:eastAsia="Arial" w:hAnsi="Arial"/>
          <w:sz w:val="16"/>
          <w:szCs w:val="16"/>
          <w:u w:val="single" w:color="auto"/>
          <w:color w:val="0000EE"/>
        </w:rPr>
        <w:t>55</w:t>
      </w:r>
      <w:r>
        <w:rPr>
          <w:rFonts w:ascii="Arial" w:cs="Arial" w:eastAsia="Arial" w:hAnsi="Arial"/>
          <w:sz w:val="16"/>
          <w:szCs w:val="16"/>
          <w:color w:val="14202A"/>
        </w:rPr>
        <w:t xml:space="preserve"> of this Proxy Statement and to our non-employee directors under the caption “Director Compensation” on page </w:t>
      </w:r>
      <w:r>
        <w:rPr>
          <w:rFonts w:ascii="Arial" w:cs="Arial" w:eastAsia="Arial" w:hAnsi="Arial"/>
          <w:sz w:val="16"/>
          <w:szCs w:val="16"/>
          <w:u w:val="single" w:color="auto"/>
          <w:color w:val="0000EE"/>
        </w:rPr>
        <w:t>30</w:t>
      </w:r>
      <w:r>
        <w:rPr>
          <w:rFonts w:ascii="Arial" w:cs="Arial" w:eastAsia="Arial" w:hAnsi="Arial"/>
          <w:sz w:val="16"/>
          <w:szCs w:val="16"/>
          <w:color w:val="14202A"/>
        </w:rPr>
        <w:t xml:space="preserve"> of this Proxy Statement.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14202A"/>
        </w:rPr>
        <w:t>Unless a contrary choice is specified, proxies solicited by the Board will be voted “</w:t>
      </w:r>
      <w:r>
        <w:rPr>
          <w:rFonts w:ascii="Arial" w:cs="Arial" w:eastAsia="Arial" w:hAnsi="Arial"/>
          <w:sz w:val="16"/>
          <w:szCs w:val="16"/>
          <w:b w:val="1"/>
          <w:bCs w:val="1"/>
          <w:color w:val="14202A"/>
        </w:rPr>
        <w:t>FOR</w:t>
      </w:r>
      <w:r>
        <w:rPr>
          <w:rFonts w:ascii="Arial" w:cs="Arial" w:eastAsia="Arial" w:hAnsi="Arial"/>
          <w:sz w:val="16"/>
          <w:szCs w:val="16"/>
          <w:color w:val="14202A"/>
        </w:rPr>
        <w:t>” approval of Proposal 3.</w:t>
      </w:r>
    </w:p>
    <w:p>
      <w:pPr>
        <w:spacing w:after="0" w:line="252" w:lineRule="exact"/>
        <w:rPr>
          <w:sz w:val="20"/>
          <w:szCs w:val="20"/>
          <w:color w:val="auto"/>
        </w:rPr>
      </w:pPr>
    </w:p>
    <w:p>
      <w:pPr>
        <w:ind w:left="1480" w:right="920" w:hanging="630"/>
        <w:spacing w:after="0" w:line="181" w:lineRule="auto"/>
        <w:tabs>
          <w:tab w:leader="none" w:pos="1480" w:val="left"/>
        </w:tabs>
        <w:numPr>
          <w:ilvl w:val="0"/>
          <w:numId w:val="61"/>
        </w:numPr>
        <w:rPr>
          <w:rFonts w:ascii="MS PGothic" w:cs="MS PGothic" w:eastAsia="MS PGothic" w:hAnsi="MS PGothic"/>
          <w:sz w:val="44"/>
          <w:szCs w:val="44"/>
          <w:color w:val="FFFFFF"/>
          <w:shd w:val="clear" w:color="auto" w:fill="2E3F4C"/>
        </w:rPr>
      </w:pPr>
      <w:r>
        <w:rPr>
          <w:rFonts w:ascii="Arial" w:cs="Arial" w:eastAsia="Arial" w:hAnsi="Arial"/>
          <w:sz w:val="18"/>
          <w:szCs w:val="18"/>
          <w:b w:val="1"/>
          <w:bCs w:val="1"/>
          <w:color w:val="FFFFFF"/>
          <w:shd w:val="clear" w:color="auto" w:fill="2E3F4C"/>
        </w:rPr>
        <w:t xml:space="preserve">The Board unanimously recommends that you vote FOR the approval of the </w:t>
      </w:r>
      <w:r>
        <w:rPr>
          <w:rFonts w:ascii="Arial" w:cs="Arial" w:eastAsia="Arial" w:hAnsi="Arial"/>
          <w:sz w:val="18"/>
          <w:szCs w:val="18"/>
          <w:b w:val="1"/>
          <w:bCs w:val="1"/>
          <w:color w:val="FFFFFF"/>
        </w:rPr>
        <w:t>Amended and Restated 2019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-416560</wp:posOffset>
            </wp:positionV>
            <wp:extent cx="5078730" cy="4845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078730" cy="48450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 </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ind w:right="560"/>
        <w:spacing w:after="0" w:line="287" w:lineRule="auto"/>
        <w:rPr>
          <w:sz w:val="20"/>
          <w:szCs w:val="20"/>
          <w:color w:val="auto"/>
        </w:rPr>
      </w:pPr>
      <w:r>
        <w:rPr>
          <w:rFonts w:ascii="Arial" w:cs="Arial" w:eastAsia="Arial" w:hAnsi="Arial"/>
          <w:sz w:val="27"/>
          <w:szCs w:val="27"/>
          <w:b w:val="1"/>
          <w:bCs w:val="1"/>
          <w:color w:val="14202A"/>
        </w:rPr>
        <w:t>Proposal 4 – Ratification of the Selection of Independent Registered Public Accountant for the Fiscal Year Ending August 28, 2027</w:t>
      </w:r>
    </w:p>
    <w:p>
      <w:pPr>
        <w:spacing w:after="0" w:line="8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14202A"/>
        </w:rPr>
        <w:t>The Audit and Finance Committee selected Deloitte &amp; Touche LLP (“Deloitte”) as our independent registered public accountant for the fiscal year ending August 28, 2027. We are asking our shareholders to ratify the selection of Deloitte, who has served as our independent registered public accountant for over 35 years. Representatives of Deloitte will be present at the Annual Meeting and will have the opportunity to make a statement if they so desire and will be available to respond to any shareholder questions that may be asked. For a description of the fees for services rendered by Deloitte in Fiscal 2025 and 2026, and a description of our policy regarding the approval of independent registered public accountant provision of audit and non-audit services, see “Independent Registered Public Accountant’s Fees and Services” below.</w:t>
      </w:r>
    </w:p>
    <w:p>
      <w:pPr>
        <w:spacing w:after="0" w:line="14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Although ratification by the shareholders is not required by law, the Board has determined that it is desirable to request approval of this selection by the shareholders. If our shareholders fail to ratify the selection, the Audit and Finance Committee will consider this factor when making any determination regarding Deloitte. Even if the selection is ratified, the Audit and Finance Committee in its discretion may direct the selection of a different independent registered public accountant at any time during the year if it determines that such a change would be in the Company’s best interests and those of its shareholders.</w:t>
      </w:r>
    </w:p>
    <w:p>
      <w:pPr>
        <w:spacing w:after="0" w:line="13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14202A"/>
        </w:rPr>
        <w:t>Unless a contrary choice is specified, proxies solicited by the Board will be voted “</w:t>
      </w:r>
      <w:r>
        <w:rPr>
          <w:rFonts w:ascii="Arial" w:cs="Arial" w:eastAsia="Arial" w:hAnsi="Arial"/>
          <w:sz w:val="16"/>
          <w:szCs w:val="16"/>
          <w:b w:val="1"/>
          <w:bCs w:val="1"/>
          <w:color w:val="14202A"/>
        </w:rPr>
        <w:t>FOR</w:t>
      </w:r>
      <w:r>
        <w:rPr>
          <w:rFonts w:ascii="Arial" w:cs="Arial" w:eastAsia="Arial" w:hAnsi="Arial"/>
          <w:sz w:val="16"/>
          <w:szCs w:val="16"/>
          <w:color w:val="14202A"/>
        </w:rPr>
        <w:t>” ratification of the selection of Deloitte as our independent registered public accountant for the fiscal year ending August 28,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19685</wp:posOffset>
            </wp:positionV>
            <wp:extent cx="5078730" cy="6813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078730" cy="681355"/>
                    </a:xfrm>
                    <a:prstGeom prst="rect">
                      <a:avLst/>
                    </a:prstGeom>
                    <a:noFill/>
                  </pic:spPr>
                </pic:pic>
              </a:graphicData>
            </a:graphic>
          </wp:anchor>
        </w:drawing>
      </w:r>
    </w:p>
    <w:p>
      <w:pPr>
        <w:spacing w:after="0" w:line="396" w:lineRule="exact"/>
        <w:rPr>
          <w:sz w:val="20"/>
          <w:szCs w:val="20"/>
          <w:color w:val="auto"/>
        </w:rPr>
      </w:pPr>
    </w:p>
    <w:p>
      <w:pPr>
        <w:ind w:left="1480" w:right="940" w:hanging="630"/>
        <w:spacing w:after="0" w:line="224" w:lineRule="auto"/>
        <w:tabs>
          <w:tab w:leader="none" w:pos="1480" w:val="left"/>
        </w:tabs>
        <w:numPr>
          <w:ilvl w:val="0"/>
          <w:numId w:val="62"/>
        </w:numPr>
        <w:rPr>
          <w:rFonts w:ascii="MS PGothic" w:cs="MS PGothic" w:eastAsia="MS PGothic" w:hAnsi="MS PGothic"/>
          <w:sz w:val="26"/>
          <w:szCs w:val="26"/>
          <w:color w:val="FFFFFF"/>
          <w:shd w:val="clear" w:color="auto" w:fill="2E3F4C"/>
        </w:rPr>
      </w:pPr>
      <w:r>
        <w:rPr>
          <w:rFonts w:ascii="Arial" w:cs="Arial" w:eastAsia="Arial" w:hAnsi="Arial"/>
          <w:sz w:val="14"/>
          <w:szCs w:val="14"/>
          <w:b w:val="1"/>
          <w:bCs w:val="1"/>
          <w:color w:val="FFFFFF"/>
        </w:rPr>
        <w:t xml:space="preserve">the selection of Deloitte &amp; Touche LLP as our independent registered public </w:t>
      </w:r>
      <w:r>
        <w:rPr>
          <w:rFonts w:ascii="Arial" w:cs="Arial" w:eastAsia="Arial" w:hAnsi="Arial"/>
          <w:sz w:val="22"/>
          <w:szCs w:val="22"/>
          <w:b w:val="1"/>
          <w:bCs w:val="1"/>
          <w:color w:val="FFFFFF"/>
          <w:vertAlign w:val="subscript"/>
        </w:rPr>
        <w:t>accountant for the fiscal year ending August 28, 2027.</w:t>
      </w:r>
      <w:r>
        <w:rPr>
          <w:rFonts w:ascii="Arial" w:cs="Arial" w:eastAsia="Arial" w:hAnsi="Arial"/>
          <w:sz w:val="14"/>
          <w:szCs w:val="14"/>
          <w:b w:val="1"/>
          <w:bCs w:val="1"/>
          <w:color w:val="FFFFFF"/>
        </w:rPr>
        <w:t>TheBoardunanimouslyrecommendsthatyouvoteFOR the ratification of</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 </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Report of the Audit and Finance Committee</w:t>
      </w:r>
    </w:p>
    <w:p>
      <w:pPr>
        <w:spacing w:after="0" w:line="20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14202A"/>
        </w:rPr>
        <w:t>The Audit and Finance Committee serves as the representative of the Board for general oversight of our financial accounting and reporting, systems of internal control and audit process, and monitoring compliance with laws, regulations, and standards of business conduct.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14202A"/>
        </w:rPr>
        <w:t>Management is responsible for the financial statements and the reporting process, including the system of internal controls.</w:t>
      </w:r>
    </w:p>
    <w:p>
      <w:pPr>
        <w:spacing w:after="0" w:line="18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14202A"/>
        </w:rPr>
        <w:t>We retained PricewaterhouseCoopers LLP (“PwC”) to support our internal audit function. In this role, PwC assisted management with completing its assessment of our internal control over financial reporting by testing and reviewing our internal control processes. Deloitte, our independent registered public accountant, is responsible for expressing an opinion on the conformity of the audited financial statements with accounting principles generally accepted in the United States and an assessment of our internal controls over financial reporting in accordance with the standards of the United States Public Company Accounting Oversight Board (“PCAOB”).</w:t>
      </w:r>
    </w:p>
    <w:p>
      <w:pPr>
        <w:spacing w:after="0" w:line="15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14202A"/>
        </w:rPr>
        <w:t>The Audit and Finance Committee reviews the Company’s financial reporting process on behalf of the Board. In fulfilling its responsibilities, the Audit and Finance Committee has reviewed and discussed the Company’s audited financial statements to be included in the 2026 Form 10-K with management and the independent accountants. The Audit and Finance Committee reports as follows:</w:t>
      </w:r>
    </w:p>
    <w:p>
      <w:pPr>
        <w:spacing w:after="0" w:line="137" w:lineRule="exact"/>
        <w:rPr>
          <w:sz w:val="20"/>
          <w:szCs w:val="20"/>
          <w:color w:val="auto"/>
        </w:rPr>
      </w:pPr>
    </w:p>
    <w:p>
      <w:pPr>
        <w:ind w:left="720" w:right="360"/>
        <w:spacing w:after="0" w:line="286" w:lineRule="auto"/>
        <w:rPr>
          <w:sz w:val="20"/>
          <w:szCs w:val="20"/>
          <w:color w:val="auto"/>
        </w:rPr>
      </w:pPr>
      <w:r>
        <w:rPr>
          <w:rFonts w:ascii="Arial" w:cs="Arial" w:eastAsia="Arial" w:hAnsi="Arial"/>
          <w:sz w:val="16"/>
          <w:szCs w:val="16"/>
          <w:color w:val="14202A"/>
        </w:rPr>
        <w:t>The Audit and Finance Committee has reviewed and discussed the Company’s audited financial statements for the fiscal year ended August 29, 2026 with the Company’s management.</w:t>
      </w:r>
    </w:p>
    <w:p>
      <w:pPr>
        <w:spacing w:after="0" w:line="115" w:lineRule="exact"/>
        <w:rPr>
          <w:sz w:val="20"/>
          <w:szCs w:val="20"/>
          <w:color w:val="auto"/>
        </w:rPr>
      </w:pPr>
    </w:p>
    <w:p>
      <w:pPr>
        <w:ind w:left="720" w:right="180"/>
        <w:spacing w:after="0" w:line="286" w:lineRule="auto"/>
        <w:rPr>
          <w:sz w:val="20"/>
          <w:szCs w:val="20"/>
          <w:color w:val="auto"/>
        </w:rPr>
      </w:pPr>
      <w:r>
        <w:rPr>
          <w:rFonts w:ascii="Arial" w:cs="Arial" w:eastAsia="Arial" w:hAnsi="Arial"/>
          <w:sz w:val="16"/>
          <w:szCs w:val="16"/>
          <w:color w:val="14202A"/>
        </w:rPr>
        <w:t>The Audit and Finance Committee has discussed with Deloitte the matters required to be discussed by the applicable requirements of the PCAOB and the SEC.</w:t>
      </w:r>
    </w:p>
    <w:p>
      <w:pPr>
        <w:spacing w:after="0" w:line="117" w:lineRule="exact"/>
        <w:rPr>
          <w:sz w:val="20"/>
          <w:szCs w:val="20"/>
          <w:color w:val="auto"/>
        </w:rPr>
      </w:pPr>
    </w:p>
    <w:p>
      <w:pPr>
        <w:ind w:left="720" w:right="360"/>
        <w:spacing w:after="0" w:line="266" w:lineRule="auto"/>
        <w:rPr>
          <w:sz w:val="20"/>
          <w:szCs w:val="20"/>
          <w:color w:val="auto"/>
        </w:rPr>
      </w:pPr>
      <w:r>
        <w:rPr>
          <w:rFonts w:ascii="Arial" w:cs="Arial" w:eastAsia="Arial" w:hAnsi="Arial"/>
          <w:sz w:val="16"/>
          <w:szCs w:val="16"/>
          <w:color w:val="14202A"/>
        </w:rPr>
        <w:t>The Audit and Finance Committee has received the written disclosures and the letter from Deloitte required by applicable requirements of the PCAOB regarding Deloitte’s communications with the Audit and Finance Committee concerning independence, and has discussed with Deloitte its independence.</w:t>
      </w:r>
    </w:p>
    <w:p>
      <w:pPr>
        <w:spacing w:after="0" w:line="14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14202A"/>
        </w:rPr>
        <w:t>Based on the review and discussion referred to in the bullet points above, the Audit and Finance Committee recommended to the Board that the audited financial statements be included in our 2026 Form 10-K, for filing with the SEC.</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14202A"/>
        </w:rPr>
        <w:t>The Audit and Finance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Kevin E. Bryant,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Christopher J. Braun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William C. Fisher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David W. Miles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Michael E. Pack</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Independent Registered Public Accountant’s Fees and Services</w:t>
      </w:r>
    </w:p>
    <w:p>
      <w:pPr>
        <w:spacing w:after="0" w:line="204"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14202A"/>
        </w:rPr>
        <w:t>The following table presents fees for professional audit services rendered by Deloitte for the audit of our annual financial statements for fiscal years ended August 29, 2026 and August 30, 2025, and fees billed for other services rendered by Deloitte during those periods.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20" w:type="dxa"/>
            <w:vAlign w:val="bottom"/>
            <w:shd w:val="clear" w:color="auto" w:fill="14202A"/>
          </w:tcPr>
          <w:p>
            <w:pPr>
              <w:spacing w:after="0"/>
              <w:rPr>
                <w:sz w:val="19"/>
                <w:szCs w:val="19"/>
                <w:color w:val="auto"/>
              </w:rPr>
            </w:pPr>
          </w:p>
        </w:tc>
        <w:tc>
          <w:tcPr>
            <w:tcW w:w="3780" w:type="dxa"/>
            <w:vAlign w:val="bottom"/>
            <w:shd w:val="clear" w:color="auto" w:fill="14202A"/>
          </w:tcPr>
          <w:p>
            <w:pPr>
              <w:jc w:val="right"/>
              <w:ind w:right="271"/>
              <w:spacing w:after="0"/>
              <w:rPr>
                <w:sz w:val="20"/>
                <w:szCs w:val="20"/>
                <w:color w:val="auto"/>
              </w:rPr>
            </w:pPr>
            <w:r>
              <w:rPr>
                <w:rFonts w:ascii="Arial" w:cs="Arial" w:eastAsia="Arial" w:hAnsi="Arial"/>
                <w:sz w:val="13"/>
                <w:szCs w:val="13"/>
                <w:b w:val="1"/>
                <w:bCs w:val="1"/>
                <w:color w:val="FFFFFF"/>
              </w:rPr>
              <w:t>Fiscal 2026</w:t>
            </w:r>
          </w:p>
        </w:tc>
        <w:tc>
          <w:tcPr>
            <w:tcW w:w="1180" w:type="dxa"/>
            <w:vAlign w:val="bottom"/>
            <w:shd w:val="clear" w:color="auto" w:fill="14202A"/>
          </w:tcPr>
          <w:p>
            <w:pPr>
              <w:jc w:val="right"/>
              <w:ind w:right="91"/>
              <w:spacing w:after="0"/>
              <w:rPr>
                <w:sz w:val="20"/>
                <w:szCs w:val="20"/>
                <w:color w:val="auto"/>
              </w:rPr>
            </w:pPr>
            <w:r>
              <w:rPr>
                <w:rFonts w:ascii="Arial" w:cs="Arial" w:eastAsia="Arial" w:hAnsi="Arial"/>
                <w:sz w:val="13"/>
                <w:szCs w:val="13"/>
                <w:b w:val="1"/>
                <w:bCs w:val="1"/>
                <w:color w:val="FFFFFF"/>
              </w:rPr>
              <w:t>Fiscal 2025</w:t>
            </w:r>
          </w:p>
        </w:tc>
      </w:tr>
      <w:tr>
        <w:trPr>
          <w:trHeight w:val="172"/>
        </w:trPr>
        <w:tc>
          <w:tcPr>
            <w:tcW w:w="4320" w:type="dxa"/>
            <w:vAlign w:val="bottom"/>
            <w:shd w:val="clear" w:color="auto" w:fill="14202A"/>
          </w:tcPr>
          <w:p>
            <w:pPr>
              <w:spacing w:after="0"/>
              <w:rPr>
                <w:sz w:val="14"/>
                <w:szCs w:val="14"/>
                <w:color w:val="auto"/>
              </w:rPr>
            </w:pPr>
          </w:p>
        </w:tc>
        <w:tc>
          <w:tcPr>
            <w:tcW w:w="3780" w:type="dxa"/>
            <w:vAlign w:val="bottom"/>
            <w:shd w:val="clear" w:color="auto" w:fill="14202A"/>
          </w:tcPr>
          <w:p>
            <w:pPr>
              <w:jc w:val="right"/>
              <w:ind w:right="531"/>
              <w:spacing w:after="0"/>
              <w:rPr>
                <w:sz w:val="20"/>
                <w:szCs w:val="20"/>
                <w:color w:val="auto"/>
              </w:rPr>
            </w:pPr>
            <w:r>
              <w:rPr>
                <w:rFonts w:ascii="Arial" w:cs="Arial" w:eastAsia="Arial" w:hAnsi="Arial"/>
                <w:sz w:val="13"/>
                <w:szCs w:val="13"/>
                <w:b w:val="1"/>
                <w:bCs w:val="1"/>
                <w:color w:val="FFFFFF"/>
              </w:rPr>
              <w:t>($)</w:t>
            </w:r>
          </w:p>
        </w:tc>
        <w:tc>
          <w:tcPr>
            <w:tcW w:w="1180" w:type="dxa"/>
            <w:vAlign w:val="bottom"/>
            <w:shd w:val="clear" w:color="auto" w:fill="14202A"/>
          </w:tcPr>
          <w:p>
            <w:pPr>
              <w:jc w:val="right"/>
              <w:ind w:right="331"/>
              <w:spacing w:after="0"/>
              <w:rPr>
                <w:sz w:val="20"/>
                <w:szCs w:val="20"/>
                <w:color w:val="auto"/>
              </w:rPr>
            </w:pPr>
            <w:r>
              <w:rPr>
                <w:rFonts w:ascii="Arial" w:cs="Arial" w:eastAsia="Arial" w:hAnsi="Arial"/>
                <w:sz w:val="13"/>
                <w:szCs w:val="13"/>
                <w:b w:val="1"/>
                <w:bCs w:val="1"/>
                <w:color w:val="FFFFFF"/>
              </w:rPr>
              <w:t>($)</w:t>
            </w:r>
          </w:p>
        </w:tc>
      </w:tr>
      <w:tr>
        <w:trPr>
          <w:trHeight w:val="62"/>
        </w:trPr>
        <w:tc>
          <w:tcPr>
            <w:tcW w:w="4320" w:type="dxa"/>
            <w:vAlign w:val="bottom"/>
            <w:shd w:val="clear" w:color="auto" w:fill="14202A"/>
          </w:tcPr>
          <w:p>
            <w:pPr>
              <w:spacing w:after="0"/>
              <w:rPr>
                <w:sz w:val="5"/>
                <w:szCs w:val="5"/>
                <w:color w:val="auto"/>
              </w:rPr>
            </w:pPr>
          </w:p>
        </w:tc>
        <w:tc>
          <w:tcPr>
            <w:tcW w:w="3780" w:type="dxa"/>
            <w:vAlign w:val="bottom"/>
            <w:shd w:val="clear" w:color="auto" w:fill="14202A"/>
          </w:tcPr>
          <w:p>
            <w:pPr>
              <w:spacing w:after="0"/>
              <w:rPr>
                <w:sz w:val="5"/>
                <w:szCs w:val="5"/>
                <w:color w:val="auto"/>
              </w:rPr>
            </w:pPr>
          </w:p>
        </w:tc>
        <w:tc>
          <w:tcPr>
            <w:tcW w:w="1180" w:type="dxa"/>
            <w:vAlign w:val="bottom"/>
            <w:shd w:val="clear" w:color="auto" w:fill="14202A"/>
          </w:tcPr>
          <w:p>
            <w:pPr>
              <w:spacing w:after="0"/>
              <w:rPr>
                <w:sz w:val="5"/>
                <w:szCs w:val="5"/>
                <w:color w:val="auto"/>
              </w:rPr>
            </w:pPr>
          </w:p>
        </w:tc>
      </w:tr>
      <w:tr>
        <w:trPr>
          <w:trHeight w:val="338"/>
        </w:trPr>
        <w:tc>
          <w:tcPr>
            <w:tcW w:w="432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rPr>
              <w:t>Audit Fees</w:t>
            </w:r>
            <w:r>
              <w:rPr>
                <w:rFonts w:ascii="Arial" w:cs="Arial" w:eastAsia="Arial" w:hAnsi="Arial"/>
                <w:sz w:val="23"/>
                <w:szCs w:val="23"/>
                <w:color w:val="14202A"/>
                <w:vertAlign w:val="superscript"/>
              </w:rPr>
              <w:t>(1)</w:t>
            </w:r>
          </w:p>
        </w:tc>
        <w:tc>
          <w:tcPr>
            <w:tcW w:w="3780" w:type="dxa"/>
            <w:vAlign w:val="bottom"/>
            <w:tcBorders>
              <w:bottom w:val="single" w:sz="8" w:color="14202A"/>
            </w:tcBorders>
          </w:tcPr>
          <w:p>
            <w:pPr>
              <w:jc w:val="right"/>
              <w:ind w:right="291"/>
              <w:spacing w:after="0"/>
              <w:rPr>
                <w:sz w:val="20"/>
                <w:szCs w:val="20"/>
                <w:color w:val="auto"/>
              </w:rPr>
            </w:pPr>
            <w:r>
              <w:rPr>
                <w:rFonts w:ascii="Arial" w:cs="Arial" w:eastAsia="Arial" w:hAnsi="Arial"/>
                <w:sz w:val="14"/>
                <w:szCs w:val="14"/>
                <w:color w:val="14202A"/>
              </w:rPr>
              <w:t>1,786,000</w:t>
            </w:r>
          </w:p>
        </w:tc>
        <w:tc>
          <w:tcPr>
            <w:tcW w:w="1180" w:type="dxa"/>
            <w:vAlign w:val="bottom"/>
            <w:tcBorders>
              <w:bottom w:val="single" w:sz="8" w:color="14202A"/>
            </w:tcBorders>
          </w:tcPr>
          <w:p>
            <w:pPr>
              <w:jc w:val="right"/>
              <w:ind w:right="91"/>
              <w:spacing w:after="0"/>
              <w:rPr>
                <w:sz w:val="20"/>
                <w:szCs w:val="20"/>
                <w:color w:val="auto"/>
              </w:rPr>
            </w:pPr>
            <w:r>
              <w:rPr>
                <w:rFonts w:ascii="Arial" w:cs="Arial" w:eastAsia="Arial" w:hAnsi="Arial"/>
                <w:sz w:val="14"/>
                <w:szCs w:val="14"/>
                <w:color w:val="14202A"/>
              </w:rPr>
              <w:t>1,879,000</w:t>
            </w:r>
          </w:p>
        </w:tc>
      </w:tr>
      <w:tr>
        <w:trPr>
          <w:trHeight w:val="318"/>
        </w:trPr>
        <w:tc>
          <w:tcPr>
            <w:tcW w:w="432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rPr>
              <w:t>Audit-Related Fees</w:t>
            </w:r>
            <w:r>
              <w:rPr>
                <w:rFonts w:ascii="Arial" w:cs="Arial" w:eastAsia="Arial" w:hAnsi="Arial"/>
                <w:sz w:val="23"/>
                <w:szCs w:val="23"/>
                <w:color w:val="14202A"/>
                <w:vertAlign w:val="superscript"/>
              </w:rPr>
              <w:t>(2)</w:t>
            </w:r>
          </w:p>
        </w:tc>
        <w:tc>
          <w:tcPr>
            <w:tcW w:w="3780" w:type="dxa"/>
            <w:vAlign w:val="bottom"/>
            <w:tcBorders>
              <w:bottom w:val="single" w:sz="8" w:color="14202A"/>
            </w:tcBorders>
          </w:tcPr>
          <w:p>
            <w:pPr>
              <w:jc w:val="right"/>
              <w:ind w:right="291"/>
              <w:spacing w:after="0"/>
              <w:rPr>
                <w:sz w:val="20"/>
                <w:szCs w:val="20"/>
                <w:color w:val="auto"/>
              </w:rPr>
            </w:pPr>
            <w:r>
              <w:rPr>
                <w:rFonts w:ascii="Arial" w:cs="Arial" w:eastAsia="Arial" w:hAnsi="Arial"/>
                <w:sz w:val="14"/>
                <w:szCs w:val="14"/>
                <w:color w:val="14202A"/>
              </w:rPr>
              <w:t>36,000</w:t>
            </w:r>
          </w:p>
        </w:tc>
        <w:tc>
          <w:tcPr>
            <w:tcW w:w="1180" w:type="dxa"/>
            <w:vAlign w:val="bottom"/>
            <w:tcBorders>
              <w:bottom w:val="single" w:sz="8" w:color="14202A"/>
            </w:tcBorders>
          </w:tcPr>
          <w:p>
            <w:pPr>
              <w:jc w:val="right"/>
              <w:ind w:right="91"/>
              <w:spacing w:after="0"/>
              <w:rPr>
                <w:sz w:val="20"/>
                <w:szCs w:val="20"/>
                <w:color w:val="auto"/>
              </w:rPr>
            </w:pPr>
            <w:r>
              <w:rPr>
                <w:rFonts w:ascii="Arial" w:cs="Arial" w:eastAsia="Arial" w:hAnsi="Arial"/>
                <w:sz w:val="14"/>
                <w:szCs w:val="14"/>
                <w:color w:val="14202A"/>
              </w:rPr>
              <w:t>36,000</w:t>
            </w:r>
          </w:p>
        </w:tc>
      </w:tr>
      <w:tr>
        <w:trPr>
          <w:trHeight w:val="318"/>
        </w:trPr>
        <w:tc>
          <w:tcPr>
            <w:tcW w:w="432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rPr>
              <w:t>Tax Fees</w:t>
            </w:r>
            <w:r>
              <w:rPr>
                <w:rFonts w:ascii="Arial" w:cs="Arial" w:eastAsia="Arial" w:hAnsi="Arial"/>
                <w:sz w:val="23"/>
                <w:szCs w:val="23"/>
                <w:color w:val="14202A"/>
                <w:vertAlign w:val="superscript"/>
              </w:rPr>
              <w:t>(3)</w:t>
            </w:r>
          </w:p>
        </w:tc>
        <w:tc>
          <w:tcPr>
            <w:tcW w:w="3780" w:type="dxa"/>
            <w:vAlign w:val="bottom"/>
            <w:tcBorders>
              <w:bottom w:val="single" w:sz="8" w:color="14202A"/>
            </w:tcBorders>
          </w:tcPr>
          <w:p>
            <w:pPr>
              <w:jc w:val="right"/>
              <w:ind w:right="291"/>
              <w:spacing w:after="0"/>
              <w:rPr>
                <w:sz w:val="20"/>
                <w:szCs w:val="20"/>
                <w:color w:val="auto"/>
              </w:rPr>
            </w:pPr>
            <w:r>
              <w:rPr>
                <w:rFonts w:ascii="Arial" w:cs="Arial" w:eastAsia="Arial" w:hAnsi="Arial"/>
                <w:sz w:val="14"/>
                <w:szCs w:val="14"/>
                <w:color w:val="14202A"/>
              </w:rPr>
              <w:t>102,000</w:t>
            </w:r>
          </w:p>
        </w:tc>
        <w:tc>
          <w:tcPr>
            <w:tcW w:w="1180" w:type="dxa"/>
            <w:vAlign w:val="bottom"/>
            <w:tcBorders>
              <w:bottom w:val="single" w:sz="8" w:color="14202A"/>
            </w:tcBorders>
          </w:tcPr>
          <w:p>
            <w:pPr>
              <w:jc w:val="right"/>
              <w:ind w:right="91"/>
              <w:spacing w:after="0"/>
              <w:rPr>
                <w:sz w:val="20"/>
                <w:szCs w:val="20"/>
                <w:color w:val="auto"/>
              </w:rPr>
            </w:pPr>
            <w:r>
              <w:rPr>
                <w:rFonts w:ascii="Arial" w:cs="Arial" w:eastAsia="Arial" w:hAnsi="Arial"/>
                <w:sz w:val="14"/>
                <w:szCs w:val="14"/>
                <w:color w:val="14202A"/>
              </w:rPr>
              <w:t>—</w:t>
            </w:r>
          </w:p>
        </w:tc>
      </w:tr>
      <w:tr>
        <w:trPr>
          <w:trHeight w:val="242"/>
        </w:trPr>
        <w:tc>
          <w:tcPr>
            <w:tcW w:w="4320" w:type="dxa"/>
            <w:vAlign w:val="bottom"/>
          </w:tcPr>
          <w:p>
            <w:pPr>
              <w:ind w:left="160"/>
              <w:spacing w:after="0"/>
              <w:rPr>
                <w:sz w:val="20"/>
                <w:szCs w:val="20"/>
                <w:color w:val="auto"/>
              </w:rPr>
            </w:pPr>
            <w:r>
              <w:rPr>
                <w:rFonts w:ascii="Arial" w:cs="Arial" w:eastAsia="Arial" w:hAnsi="Arial"/>
                <w:sz w:val="14"/>
                <w:szCs w:val="14"/>
                <w:color w:val="14202A"/>
              </w:rPr>
              <w:t>All Other Fees</w:t>
            </w:r>
          </w:p>
        </w:tc>
        <w:tc>
          <w:tcPr>
            <w:tcW w:w="3780" w:type="dxa"/>
            <w:vAlign w:val="bottom"/>
          </w:tcPr>
          <w:p>
            <w:pPr>
              <w:jc w:val="right"/>
              <w:ind w:right="291"/>
              <w:spacing w:after="0"/>
              <w:rPr>
                <w:sz w:val="20"/>
                <w:szCs w:val="20"/>
                <w:color w:val="auto"/>
              </w:rPr>
            </w:pPr>
            <w:r>
              <w:rPr>
                <w:rFonts w:ascii="Arial" w:cs="Arial" w:eastAsia="Arial" w:hAnsi="Arial"/>
                <w:sz w:val="14"/>
                <w:szCs w:val="14"/>
                <w:color w:val="14202A"/>
              </w:rPr>
              <w:t>—</w:t>
            </w:r>
          </w:p>
        </w:tc>
        <w:tc>
          <w:tcPr>
            <w:tcW w:w="1180" w:type="dxa"/>
            <w:vAlign w:val="bottom"/>
          </w:tcPr>
          <w:p>
            <w:pPr>
              <w:jc w:val="right"/>
              <w:ind w:right="91"/>
              <w:spacing w:after="0"/>
              <w:rPr>
                <w:sz w:val="20"/>
                <w:szCs w:val="20"/>
                <w:color w:val="auto"/>
              </w:rPr>
            </w:pPr>
            <w:r>
              <w:rPr>
                <w:rFonts w:ascii="Arial" w:cs="Arial" w:eastAsia="Arial" w:hAnsi="Arial"/>
                <w:sz w:val="14"/>
                <w:szCs w:val="14"/>
                <w:color w:val="14202A"/>
              </w:rPr>
              <w:t>—</w:t>
            </w:r>
          </w:p>
        </w:tc>
      </w:tr>
      <w:tr>
        <w:trPr>
          <w:trHeight w:val="49"/>
        </w:trPr>
        <w:tc>
          <w:tcPr>
            <w:tcW w:w="4320" w:type="dxa"/>
            <w:vAlign w:val="bottom"/>
            <w:tcBorders>
              <w:bottom w:val="single" w:sz="8" w:color="14202A"/>
            </w:tcBorders>
          </w:tcPr>
          <w:p>
            <w:pPr>
              <w:spacing w:after="0"/>
              <w:rPr>
                <w:sz w:val="4"/>
                <w:szCs w:val="4"/>
                <w:color w:val="auto"/>
              </w:rPr>
            </w:pPr>
          </w:p>
        </w:tc>
        <w:tc>
          <w:tcPr>
            <w:tcW w:w="3780" w:type="dxa"/>
            <w:vAlign w:val="bottom"/>
            <w:tcBorders>
              <w:bottom w:val="single" w:sz="8" w:color="14202A"/>
            </w:tcBorders>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r>
      <w:tr>
        <w:trPr>
          <w:trHeight w:val="242"/>
        </w:trPr>
        <w:tc>
          <w:tcPr>
            <w:tcW w:w="4320" w:type="dxa"/>
            <w:vAlign w:val="bottom"/>
          </w:tcPr>
          <w:p>
            <w:pPr>
              <w:ind w:left="160"/>
              <w:spacing w:after="0"/>
              <w:rPr>
                <w:sz w:val="20"/>
                <w:szCs w:val="20"/>
                <w:color w:val="auto"/>
              </w:rPr>
            </w:pPr>
            <w:r>
              <w:rPr>
                <w:rFonts w:ascii="Arial" w:cs="Arial" w:eastAsia="Arial" w:hAnsi="Arial"/>
                <w:sz w:val="14"/>
                <w:szCs w:val="14"/>
                <w:color w:val="14202A"/>
              </w:rPr>
              <w:t>Total</w:t>
            </w:r>
          </w:p>
        </w:tc>
        <w:tc>
          <w:tcPr>
            <w:tcW w:w="3780" w:type="dxa"/>
            <w:vAlign w:val="bottom"/>
          </w:tcPr>
          <w:p>
            <w:pPr>
              <w:jc w:val="right"/>
              <w:ind w:right="291"/>
              <w:spacing w:after="0"/>
              <w:rPr>
                <w:sz w:val="20"/>
                <w:szCs w:val="20"/>
                <w:color w:val="auto"/>
              </w:rPr>
            </w:pPr>
            <w:r>
              <w:rPr>
                <w:rFonts w:ascii="Arial" w:cs="Arial" w:eastAsia="Arial" w:hAnsi="Arial"/>
                <w:sz w:val="14"/>
                <w:szCs w:val="14"/>
                <w:color w:val="14202A"/>
              </w:rPr>
              <w:t>1,924,000</w:t>
            </w:r>
          </w:p>
        </w:tc>
        <w:tc>
          <w:tcPr>
            <w:tcW w:w="1180" w:type="dxa"/>
            <w:vAlign w:val="bottom"/>
          </w:tcPr>
          <w:p>
            <w:pPr>
              <w:jc w:val="right"/>
              <w:ind w:right="91"/>
              <w:spacing w:after="0"/>
              <w:rPr>
                <w:sz w:val="20"/>
                <w:szCs w:val="20"/>
                <w:color w:val="auto"/>
              </w:rPr>
            </w:pPr>
            <w:r>
              <w:rPr>
                <w:rFonts w:ascii="Arial" w:cs="Arial" w:eastAsia="Arial" w:hAnsi="Arial"/>
                <w:sz w:val="14"/>
                <w:szCs w:val="14"/>
                <w:color w:val="14202A"/>
              </w:rPr>
              <w:t>1,915,000</w:t>
            </w:r>
          </w:p>
        </w:tc>
      </w:tr>
      <w:tr>
        <w:trPr>
          <w:trHeight w:val="22"/>
        </w:trPr>
        <w:tc>
          <w:tcPr>
            <w:tcW w:w="4320" w:type="dxa"/>
            <w:vAlign w:val="bottom"/>
            <w:tcBorders>
              <w:bottom w:val="single" w:sz="8" w:color="14202A"/>
            </w:tcBorders>
          </w:tcPr>
          <w:p>
            <w:pPr>
              <w:spacing w:after="0" w:line="20" w:lineRule="exact"/>
              <w:rPr>
                <w:sz w:val="1"/>
                <w:szCs w:val="1"/>
                <w:color w:val="auto"/>
              </w:rPr>
            </w:pPr>
          </w:p>
        </w:tc>
        <w:tc>
          <w:tcPr>
            <w:tcW w:w="3780" w:type="dxa"/>
            <w:vAlign w:val="bottom"/>
            <w:tcBorders>
              <w:bottom w:val="single" w:sz="8" w:color="14202A"/>
            </w:tcBorders>
          </w:tcPr>
          <w:p>
            <w:pPr>
              <w:spacing w:after="0" w:line="20" w:lineRule="exact"/>
              <w:rPr>
                <w:sz w:val="1"/>
                <w:szCs w:val="1"/>
                <w:color w:val="auto"/>
              </w:rPr>
            </w:pPr>
          </w:p>
        </w:tc>
        <w:tc>
          <w:tcPr>
            <w:tcW w:w="1180" w:type="dxa"/>
            <w:vAlign w:val="bottom"/>
            <w:tcBorders>
              <w:bottom w:val="single" w:sz="8" w:color="14202A"/>
            </w:tcBorders>
          </w:tcPr>
          <w:p>
            <w:pPr>
              <w:spacing w:after="0" w:line="20" w:lineRule="exact"/>
              <w:rPr>
                <w:sz w:val="1"/>
                <w:szCs w:val="1"/>
                <w:color w:val="auto"/>
              </w:rPr>
            </w:pPr>
          </w:p>
        </w:tc>
      </w:tr>
    </w:tbl>
    <w:p>
      <w:pPr>
        <w:spacing w:after="0" w:line="90" w:lineRule="exact"/>
        <w:rPr>
          <w:sz w:val="20"/>
          <w:szCs w:val="20"/>
          <w:color w:val="auto"/>
        </w:rPr>
      </w:pPr>
    </w:p>
    <w:p>
      <w:pPr>
        <w:ind w:left="360" w:right="360" w:hanging="360"/>
        <w:spacing w:after="0" w:line="243" w:lineRule="auto"/>
        <w:tabs>
          <w:tab w:leader="none" w:pos="360" w:val="left"/>
        </w:tabs>
        <w:numPr>
          <w:ilvl w:val="0"/>
          <w:numId w:val="64"/>
        </w:numPr>
        <w:rPr>
          <w:rFonts w:ascii="Arial" w:cs="Arial" w:eastAsia="Arial" w:hAnsi="Arial"/>
          <w:sz w:val="13"/>
          <w:szCs w:val="13"/>
          <w:color w:val="14202A"/>
        </w:rPr>
      </w:pPr>
      <w:r>
        <w:rPr>
          <w:rFonts w:ascii="Arial" w:cs="Arial" w:eastAsia="Arial" w:hAnsi="Arial"/>
          <w:sz w:val="13"/>
          <w:szCs w:val="13"/>
          <w:color w:val="14202A"/>
        </w:rPr>
        <w:t>Represents fees for professional services provided for the audit of our annual financial statements, the audit of our internal control over financial reporting, review of our interim financial information, and review of other SEC filings.</w:t>
      </w:r>
    </w:p>
    <w:p>
      <w:pPr>
        <w:spacing w:after="0" w:line="21" w:lineRule="exact"/>
        <w:rPr>
          <w:rFonts w:ascii="Arial" w:cs="Arial" w:eastAsia="Arial" w:hAnsi="Arial"/>
          <w:sz w:val="13"/>
          <w:szCs w:val="13"/>
          <w:color w:val="14202A"/>
        </w:rPr>
      </w:pPr>
    </w:p>
    <w:p>
      <w:pPr>
        <w:ind w:left="360" w:hanging="360"/>
        <w:spacing w:after="0"/>
        <w:tabs>
          <w:tab w:leader="none" w:pos="360" w:val="left"/>
        </w:tabs>
        <w:numPr>
          <w:ilvl w:val="0"/>
          <w:numId w:val="64"/>
        </w:numPr>
        <w:rPr>
          <w:rFonts w:ascii="Arial" w:cs="Arial" w:eastAsia="Arial" w:hAnsi="Arial"/>
          <w:sz w:val="13"/>
          <w:szCs w:val="13"/>
          <w:color w:val="14202A"/>
        </w:rPr>
      </w:pPr>
      <w:r>
        <w:rPr>
          <w:rFonts w:ascii="Arial" w:cs="Arial" w:eastAsia="Arial" w:hAnsi="Arial"/>
          <w:sz w:val="13"/>
          <w:szCs w:val="13"/>
          <w:color w:val="14202A"/>
        </w:rPr>
        <w:t>Represents fees for professional services provided for the audit of our benefit plan.</w:t>
      </w:r>
    </w:p>
    <w:p>
      <w:pPr>
        <w:spacing w:after="0" w:line="39" w:lineRule="exact"/>
        <w:rPr>
          <w:rFonts w:ascii="Arial" w:cs="Arial" w:eastAsia="Arial" w:hAnsi="Arial"/>
          <w:sz w:val="13"/>
          <w:szCs w:val="13"/>
          <w:color w:val="14202A"/>
        </w:rPr>
      </w:pPr>
    </w:p>
    <w:p>
      <w:pPr>
        <w:ind w:left="360" w:hanging="360"/>
        <w:spacing w:after="0"/>
        <w:tabs>
          <w:tab w:leader="none" w:pos="360" w:val="left"/>
        </w:tabs>
        <w:numPr>
          <w:ilvl w:val="0"/>
          <w:numId w:val="64"/>
        </w:numPr>
        <w:rPr>
          <w:rFonts w:ascii="Arial" w:cs="Arial" w:eastAsia="Arial" w:hAnsi="Arial"/>
          <w:sz w:val="13"/>
          <w:szCs w:val="13"/>
          <w:color w:val="14202A"/>
        </w:rPr>
      </w:pPr>
      <w:r>
        <w:rPr>
          <w:rFonts w:ascii="Arial" w:cs="Arial" w:eastAsia="Arial" w:hAnsi="Arial"/>
          <w:sz w:val="13"/>
          <w:szCs w:val="13"/>
          <w:color w:val="14202A"/>
        </w:rPr>
        <w:t>Represents fees for professional services primarily related to tax compliance, consulting, and planning.</w:t>
      </w:r>
    </w:p>
    <w:p>
      <w:pPr>
        <w:spacing w:after="0" w:line="16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14202A"/>
        </w:rPr>
        <w:t>The Audit and Finance Committee considered whether the provision of tax, benefit plan audit and all other accounting services by Deloitte are compatible with maintaining its independence and concluded that the independence of Deloitte is not compromised by the provision of such services.</w:t>
      </w:r>
    </w:p>
    <w:p>
      <w:pPr>
        <w:spacing w:after="0" w:line="157" w:lineRule="exact"/>
        <w:rPr>
          <w:sz w:val="20"/>
          <w:szCs w:val="20"/>
          <w:color w:val="auto"/>
        </w:rPr>
      </w:pPr>
    </w:p>
    <w:p>
      <w:pPr>
        <w:ind w:right="80"/>
        <w:spacing w:after="0" w:line="272" w:lineRule="auto"/>
        <w:rPr>
          <w:sz w:val="20"/>
          <w:szCs w:val="20"/>
          <w:color w:val="auto"/>
        </w:rPr>
      </w:pPr>
      <w:r>
        <w:rPr>
          <w:rFonts w:ascii="Arial" w:cs="Arial" w:eastAsia="Arial" w:hAnsi="Arial"/>
          <w:sz w:val="22"/>
          <w:szCs w:val="22"/>
          <w:b w:val="1"/>
          <w:bCs w:val="1"/>
          <w:color w:val="DAD490"/>
        </w:rPr>
        <w:t>Policy Regarding the Approval of Independent Registered Public Accountant Provision of Audit and Non-Audit Services</w:t>
      </w:r>
    </w:p>
    <w:p>
      <w:pPr>
        <w:spacing w:after="0" w:line="10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14202A"/>
        </w:rPr>
        <w:t>The Audit and Finance Committee charter requires the committee to pre-approve the audit and non-audit fees and services that may be provided to us by Deloitte, our independent registered public accountant. The Audit and Finance Committee consults with management but does not delegate these responsibilities, except that pre-approvals of non-audit services may be delegated to a single member of the committee, who then informs the entire committee of the engagement of such services. The Audit and Finance Committee pre-approved under that policy all of the audit and non-audit fees and services provided by Deloitte for Fiscal 2026 and 2025.</w:t>
      </w:r>
    </w:p>
    <w:p>
      <w:pPr>
        <w:spacing w:after="0" w:line="286"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172085</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ind w:right="20"/>
        <w:spacing w:after="0" w:line="287" w:lineRule="auto"/>
        <w:rPr>
          <w:sz w:val="20"/>
          <w:szCs w:val="20"/>
          <w:color w:val="auto"/>
        </w:rPr>
      </w:pPr>
      <w:r>
        <w:rPr>
          <w:rFonts w:ascii="Arial" w:cs="Arial" w:eastAsia="Arial" w:hAnsi="Arial"/>
          <w:sz w:val="27"/>
          <w:szCs w:val="27"/>
          <w:b w:val="1"/>
          <w:bCs w:val="1"/>
          <w:color w:val="14202A"/>
        </w:rPr>
        <w:t>Proposal 5 – Approval of an Amendment to our Articles of Incorporation to Provide for the Phased Declassification of the Board</w:t>
      </w:r>
    </w:p>
    <w:p>
      <w:pPr>
        <w:spacing w:after="0" w:line="83"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14202A"/>
        </w:rPr>
        <w:t>Under the Articles of Incorporation and Bylaws, our Board is divided into three classes, as nearly equal in number as possible, with directors generally serving staggered three-year terms. As a result, approximately one-third of the Board stands for election at each annual meeting of shareholders.</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14202A"/>
        </w:rPr>
        <w:t>We are asking shareholders to approve an amendment to Article IV of our Articles to provide for the phased declassification of the Board (the “Articles Amendment”). We are separately asking shareholders to approve a conforming amendment to Section 2.1 of our Bylaws (the “Bylaw Amendment” and, together with the Articles Amendment, the “Declassification Amendments”), as described in Proposal 6. Implementation of each of the Declassification Amendments is conditioned on shareholder approval of both Proposals 5 and 6. Neither amendment will be implemented unless both Proposal 5 and Proposal 6 are approved.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Reasons for the Proposal</w:t>
      </w:r>
    </w:p>
    <w:p>
      <w:pPr>
        <w:spacing w:after="0" w:line="180"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14202A"/>
        </w:rPr>
        <w:t>In proposing the Articles Amendment, the Board considered the benefits of the existing classified Board structure, including continuity and stability in Board oversight, as well as the benefits of annual director elections, including greater accountability to shareholders. On October 22, 2026, the Board unanimously approved the Articles Amendment, declared it advisable and recommended that shareholders approve it at the Annual Meeting.</w:t>
      </w:r>
    </w:p>
    <w:p>
      <w:pPr>
        <w:spacing w:after="0" w:line="137" w:lineRule="exact"/>
        <w:rPr>
          <w:sz w:val="20"/>
          <w:szCs w:val="20"/>
          <w:color w:val="auto"/>
        </w:rPr>
      </w:pPr>
    </w:p>
    <w:p>
      <w:pPr>
        <w:jc w:val="both"/>
        <w:ind w:right="340"/>
        <w:spacing w:after="0" w:line="286" w:lineRule="auto"/>
        <w:rPr>
          <w:sz w:val="20"/>
          <w:szCs w:val="20"/>
          <w:color w:val="auto"/>
        </w:rPr>
      </w:pPr>
      <w:r>
        <w:rPr>
          <w:rFonts w:ascii="Arial" w:cs="Arial" w:eastAsia="Arial" w:hAnsi="Arial"/>
          <w:sz w:val="16"/>
          <w:szCs w:val="16"/>
          <w:color w:val="14202A"/>
        </w:rPr>
        <w:t>The Board believes that the proposed phased declassification appropriately balances these considerations by transitioning to annual director elections while preserving the existing terms of directors serving during the transition.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Effect on Existing Classes and Future Elections</w:t>
      </w:r>
    </w:p>
    <w:p>
      <w:pPr>
        <w:spacing w:after="0" w:line="193"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14202A"/>
        </w:rPr>
        <w:t>If Proposals 5 and 6 are approved by shareholders and the Declassification Amendments become effective, the Board will be declassified on a phased basis beginning with the 2027 annual meeting of shareholders, with all directors standing for annual election beginning at the 2029 annual meeting.</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14202A"/>
        </w:rPr>
        <w:t>The Class III directors elected at the 2026 Annual Meeting will continue to serve three-year terms expiring at the 2029 annual meeting, and Emily R. Silver, the Class I nominee, will serve a term expiring at the 2027 annual meeting. Directors elected before the 2027 annual meeting will serve out their existing terms, and directors elected by shareholders beginning at the 2027 annual meeting will be elected for one-year terms.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14202A"/>
        </w:rPr>
        <w:t>The transition to annual elections will occur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660" w:type="dxa"/>
            <w:vAlign w:val="bottom"/>
            <w:shd w:val="clear" w:color="auto" w:fill="14202A"/>
          </w:tcPr>
          <w:p>
            <w:pPr>
              <w:ind w:left="160"/>
              <w:spacing w:after="0"/>
              <w:rPr>
                <w:sz w:val="20"/>
                <w:szCs w:val="20"/>
                <w:color w:val="auto"/>
              </w:rPr>
            </w:pPr>
            <w:r>
              <w:rPr>
                <w:rFonts w:ascii="Arial" w:cs="Arial" w:eastAsia="Arial" w:hAnsi="Arial"/>
                <w:sz w:val="13"/>
                <w:szCs w:val="13"/>
                <w:b w:val="1"/>
                <w:bCs w:val="1"/>
                <w:color w:val="FFFFFF"/>
              </w:rPr>
              <w:t>Annual meeting</w:t>
            </w:r>
          </w:p>
        </w:tc>
        <w:tc>
          <w:tcPr>
            <w:tcW w:w="2520" w:type="dxa"/>
            <w:vAlign w:val="bottom"/>
            <w:shd w:val="clear" w:color="auto" w:fill="14202A"/>
          </w:tcPr>
          <w:p>
            <w:pPr>
              <w:ind w:left="460"/>
              <w:spacing w:after="0"/>
              <w:rPr>
                <w:sz w:val="20"/>
                <w:szCs w:val="20"/>
                <w:color w:val="auto"/>
              </w:rPr>
            </w:pPr>
            <w:r>
              <w:rPr>
                <w:rFonts w:ascii="Arial" w:cs="Arial" w:eastAsia="Arial" w:hAnsi="Arial"/>
                <w:sz w:val="13"/>
                <w:szCs w:val="13"/>
                <w:b w:val="1"/>
                <w:bCs w:val="1"/>
                <w:color w:val="FFFFFF"/>
              </w:rPr>
              <w:t>Directors standing for election</w:t>
            </w:r>
          </w:p>
        </w:tc>
        <w:tc>
          <w:tcPr>
            <w:tcW w:w="5100" w:type="dxa"/>
            <w:vAlign w:val="bottom"/>
            <w:shd w:val="clear" w:color="auto" w:fill="14202A"/>
          </w:tcPr>
          <w:p>
            <w:pPr>
              <w:ind w:left="2220"/>
              <w:spacing w:after="0"/>
              <w:rPr>
                <w:sz w:val="20"/>
                <w:szCs w:val="20"/>
                <w:color w:val="auto"/>
              </w:rPr>
            </w:pPr>
            <w:r>
              <w:rPr>
                <w:rFonts w:ascii="Arial" w:cs="Arial" w:eastAsia="Arial" w:hAnsi="Arial"/>
                <w:sz w:val="13"/>
                <w:szCs w:val="13"/>
                <w:b w:val="1"/>
                <w:bCs w:val="1"/>
                <w:color w:val="FFFFFF"/>
              </w:rPr>
              <w:t>Term of office</w:t>
            </w:r>
          </w:p>
        </w:tc>
      </w:tr>
      <w:tr>
        <w:trPr>
          <w:trHeight w:val="62"/>
        </w:trPr>
        <w:tc>
          <w:tcPr>
            <w:tcW w:w="1660" w:type="dxa"/>
            <w:vAlign w:val="bottom"/>
            <w:shd w:val="clear" w:color="auto" w:fill="14202A"/>
          </w:tcPr>
          <w:p>
            <w:pPr>
              <w:spacing w:after="0"/>
              <w:rPr>
                <w:sz w:val="5"/>
                <w:szCs w:val="5"/>
                <w:color w:val="auto"/>
              </w:rPr>
            </w:pPr>
          </w:p>
        </w:tc>
        <w:tc>
          <w:tcPr>
            <w:tcW w:w="2520" w:type="dxa"/>
            <w:vAlign w:val="bottom"/>
            <w:shd w:val="clear" w:color="auto" w:fill="14202A"/>
          </w:tcPr>
          <w:p>
            <w:pPr>
              <w:spacing w:after="0"/>
              <w:rPr>
                <w:sz w:val="5"/>
                <w:szCs w:val="5"/>
                <w:color w:val="auto"/>
              </w:rPr>
            </w:pPr>
          </w:p>
        </w:tc>
        <w:tc>
          <w:tcPr>
            <w:tcW w:w="5100" w:type="dxa"/>
            <w:vAlign w:val="bottom"/>
            <w:shd w:val="clear" w:color="auto" w:fill="14202A"/>
          </w:tcPr>
          <w:p>
            <w:pPr>
              <w:spacing w:after="0"/>
              <w:rPr>
                <w:sz w:val="5"/>
                <w:szCs w:val="5"/>
                <w:color w:val="auto"/>
              </w:rPr>
            </w:pPr>
          </w:p>
        </w:tc>
      </w:tr>
      <w:tr>
        <w:trPr>
          <w:trHeight w:val="234"/>
        </w:trPr>
        <w:tc>
          <w:tcPr>
            <w:tcW w:w="1660" w:type="dxa"/>
            <w:vAlign w:val="bottom"/>
          </w:tcPr>
          <w:p>
            <w:pPr>
              <w:ind w:left="160"/>
              <w:spacing w:after="0"/>
              <w:rPr>
                <w:sz w:val="20"/>
                <w:szCs w:val="20"/>
                <w:color w:val="auto"/>
              </w:rPr>
            </w:pPr>
            <w:r>
              <w:rPr>
                <w:rFonts w:ascii="Arial" w:cs="Arial" w:eastAsia="Arial" w:hAnsi="Arial"/>
                <w:sz w:val="14"/>
                <w:szCs w:val="14"/>
                <w:b w:val="1"/>
                <w:bCs w:val="1"/>
                <w:color w:val="14202A"/>
              </w:rPr>
              <w:t>2026</w:t>
            </w:r>
          </w:p>
        </w:tc>
        <w:tc>
          <w:tcPr>
            <w:tcW w:w="2520" w:type="dxa"/>
            <w:vAlign w:val="bottom"/>
          </w:tcPr>
          <w:p>
            <w:pPr>
              <w:ind w:left="180"/>
              <w:spacing w:after="0"/>
              <w:rPr>
                <w:sz w:val="20"/>
                <w:szCs w:val="20"/>
                <w:color w:val="auto"/>
              </w:rPr>
            </w:pPr>
            <w:r>
              <w:rPr>
                <w:rFonts w:ascii="Arial" w:cs="Arial" w:eastAsia="Arial" w:hAnsi="Arial"/>
                <w:sz w:val="14"/>
                <w:szCs w:val="14"/>
                <w:color w:val="14202A"/>
              </w:rPr>
              <w:t>Class III nominees and</w:t>
            </w:r>
          </w:p>
        </w:tc>
        <w:tc>
          <w:tcPr>
            <w:tcW w:w="5100" w:type="dxa"/>
            <w:vAlign w:val="bottom"/>
          </w:tcPr>
          <w:p>
            <w:pPr>
              <w:ind w:left="240"/>
              <w:spacing w:after="0"/>
              <w:rPr>
                <w:sz w:val="20"/>
                <w:szCs w:val="20"/>
                <w:color w:val="auto"/>
              </w:rPr>
            </w:pPr>
            <w:r>
              <w:rPr>
                <w:rFonts w:ascii="Arial" w:cs="Arial" w:eastAsia="Arial" w:hAnsi="Arial"/>
                <w:sz w:val="14"/>
                <w:szCs w:val="14"/>
                <w:color w:val="14202A"/>
              </w:rPr>
              <w:t>Class III: three years, through the 2029 annual meeting</w:t>
            </w:r>
          </w:p>
        </w:tc>
      </w:tr>
      <w:tr>
        <w:trPr>
          <w:trHeight w:val="190"/>
        </w:trPr>
        <w:tc>
          <w:tcPr>
            <w:tcW w:w="1660" w:type="dxa"/>
            <w:vAlign w:val="bottom"/>
          </w:tcPr>
          <w:p>
            <w:pPr>
              <w:spacing w:after="0"/>
              <w:rPr>
                <w:sz w:val="16"/>
                <w:szCs w:val="16"/>
                <w:color w:val="auto"/>
              </w:rPr>
            </w:pPr>
          </w:p>
        </w:tc>
        <w:tc>
          <w:tcPr>
            <w:tcW w:w="2520" w:type="dxa"/>
            <w:vAlign w:val="bottom"/>
          </w:tcPr>
          <w:p>
            <w:pPr>
              <w:ind w:left="180"/>
              <w:spacing w:after="0"/>
              <w:rPr>
                <w:sz w:val="20"/>
                <w:szCs w:val="20"/>
                <w:color w:val="auto"/>
              </w:rPr>
            </w:pPr>
            <w:r>
              <w:rPr>
                <w:rFonts w:ascii="Arial" w:cs="Arial" w:eastAsia="Arial" w:hAnsi="Arial"/>
                <w:sz w:val="14"/>
                <w:szCs w:val="14"/>
                <w:color w:val="14202A"/>
              </w:rPr>
              <w:t>one Class I nominee</w:t>
            </w:r>
          </w:p>
        </w:tc>
        <w:tc>
          <w:tcPr>
            <w:tcW w:w="5100" w:type="dxa"/>
            <w:vAlign w:val="bottom"/>
          </w:tcPr>
          <w:p>
            <w:pPr>
              <w:ind w:left="240"/>
              <w:spacing w:after="0"/>
              <w:rPr>
                <w:sz w:val="20"/>
                <w:szCs w:val="20"/>
                <w:color w:val="auto"/>
              </w:rPr>
            </w:pPr>
            <w:r>
              <w:rPr>
                <w:rFonts w:ascii="Arial" w:cs="Arial" w:eastAsia="Arial" w:hAnsi="Arial"/>
                <w:sz w:val="14"/>
                <w:szCs w:val="14"/>
                <w:color w:val="14202A"/>
              </w:rPr>
              <w:t>Class I: one year, through the 2027 annual meeting</w:t>
            </w:r>
          </w:p>
        </w:tc>
      </w:tr>
      <w:tr>
        <w:trPr>
          <w:trHeight w:val="49"/>
        </w:trPr>
        <w:tc>
          <w:tcPr>
            <w:tcW w:w="166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5100" w:type="dxa"/>
            <w:vAlign w:val="bottom"/>
            <w:tcBorders>
              <w:bottom w:val="single" w:sz="8" w:color="14202A"/>
            </w:tcBorders>
          </w:tcPr>
          <w:p>
            <w:pPr>
              <w:spacing w:after="0"/>
              <w:rPr>
                <w:sz w:val="4"/>
                <w:szCs w:val="4"/>
                <w:color w:val="auto"/>
              </w:rPr>
            </w:pPr>
          </w:p>
        </w:tc>
      </w:tr>
      <w:tr>
        <w:trPr>
          <w:trHeight w:val="248"/>
        </w:trPr>
        <w:tc>
          <w:tcPr>
            <w:tcW w:w="1660" w:type="dxa"/>
            <w:vAlign w:val="bottom"/>
          </w:tcPr>
          <w:p>
            <w:pPr>
              <w:ind w:left="160"/>
              <w:spacing w:after="0"/>
              <w:rPr>
                <w:sz w:val="20"/>
                <w:szCs w:val="20"/>
                <w:color w:val="auto"/>
              </w:rPr>
            </w:pPr>
            <w:r>
              <w:rPr>
                <w:rFonts w:ascii="Arial" w:cs="Arial" w:eastAsia="Arial" w:hAnsi="Arial"/>
                <w:sz w:val="14"/>
                <w:szCs w:val="14"/>
                <w:b w:val="1"/>
                <w:bCs w:val="1"/>
                <w:color w:val="14202A"/>
              </w:rPr>
              <w:t>2027</w:t>
            </w:r>
          </w:p>
        </w:tc>
        <w:tc>
          <w:tcPr>
            <w:tcW w:w="2520" w:type="dxa"/>
            <w:vAlign w:val="bottom"/>
          </w:tcPr>
          <w:p>
            <w:pPr>
              <w:ind w:left="180"/>
              <w:spacing w:after="0"/>
              <w:rPr>
                <w:sz w:val="20"/>
                <w:szCs w:val="20"/>
                <w:color w:val="auto"/>
              </w:rPr>
            </w:pPr>
            <w:r>
              <w:rPr>
                <w:rFonts w:ascii="Arial" w:cs="Arial" w:eastAsia="Arial" w:hAnsi="Arial"/>
                <w:sz w:val="14"/>
                <w:szCs w:val="14"/>
                <w:color w:val="14202A"/>
              </w:rPr>
              <w:t>Class I seats</w:t>
            </w:r>
          </w:p>
        </w:tc>
        <w:tc>
          <w:tcPr>
            <w:tcW w:w="5100" w:type="dxa"/>
            <w:vAlign w:val="bottom"/>
          </w:tcPr>
          <w:p>
            <w:pPr>
              <w:ind w:left="240"/>
              <w:spacing w:after="0"/>
              <w:rPr>
                <w:sz w:val="20"/>
                <w:szCs w:val="20"/>
                <w:color w:val="auto"/>
              </w:rPr>
            </w:pPr>
            <w:r>
              <w:rPr>
                <w:rFonts w:ascii="Arial" w:cs="Arial" w:eastAsia="Arial" w:hAnsi="Arial"/>
                <w:sz w:val="14"/>
                <w:szCs w:val="14"/>
                <w:color w:val="14202A"/>
              </w:rPr>
              <w:t>One year, through the 2028 annual meeting</w:t>
            </w:r>
          </w:p>
        </w:tc>
      </w:tr>
      <w:tr>
        <w:trPr>
          <w:trHeight w:val="43"/>
        </w:trPr>
        <w:tc>
          <w:tcPr>
            <w:tcW w:w="1660" w:type="dxa"/>
            <w:vAlign w:val="bottom"/>
            <w:tcBorders>
              <w:bottom w:val="single" w:sz="8" w:color="14202A"/>
            </w:tcBorders>
          </w:tcPr>
          <w:p>
            <w:pPr>
              <w:spacing w:after="0"/>
              <w:rPr>
                <w:sz w:val="3"/>
                <w:szCs w:val="3"/>
                <w:color w:val="auto"/>
              </w:rPr>
            </w:pPr>
          </w:p>
        </w:tc>
        <w:tc>
          <w:tcPr>
            <w:tcW w:w="2520" w:type="dxa"/>
            <w:vAlign w:val="bottom"/>
            <w:tcBorders>
              <w:bottom w:val="single" w:sz="8" w:color="14202A"/>
            </w:tcBorders>
          </w:tcPr>
          <w:p>
            <w:pPr>
              <w:spacing w:after="0"/>
              <w:rPr>
                <w:sz w:val="3"/>
                <w:szCs w:val="3"/>
                <w:color w:val="auto"/>
              </w:rPr>
            </w:pPr>
          </w:p>
        </w:tc>
        <w:tc>
          <w:tcPr>
            <w:tcW w:w="5100" w:type="dxa"/>
            <w:vAlign w:val="bottom"/>
            <w:tcBorders>
              <w:bottom w:val="single" w:sz="8" w:color="14202A"/>
            </w:tcBorders>
          </w:tcPr>
          <w:p>
            <w:pPr>
              <w:spacing w:after="0"/>
              <w:rPr>
                <w:sz w:val="3"/>
                <w:szCs w:val="3"/>
                <w:color w:val="auto"/>
              </w:rPr>
            </w:pPr>
          </w:p>
        </w:tc>
      </w:tr>
      <w:tr>
        <w:trPr>
          <w:trHeight w:val="248"/>
        </w:trPr>
        <w:tc>
          <w:tcPr>
            <w:tcW w:w="1660" w:type="dxa"/>
            <w:vAlign w:val="bottom"/>
          </w:tcPr>
          <w:p>
            <w:pPr>
              <w:ind w:left="160"/>
              <w:spacing w:after="0"/>
              <w:rPr>
                <w:sz w:val="20"/>
                <w:szCs w:val="20"/>
                <w:color w:val="auto"/>
              </w:rPr>
            </w:pPr>
            <w:r>
              <w:rPr>
                <w:rFonts w:ascii="Arial" w:cs="Arial" w:eastAsia="Arial" w:hAnsi="Arial"/>
                <w:sz w:val="14"/>
                <w:szCs w:val="14"/>
                <w:b w:val="1"/>
                <w:bCs w:val="1"/>
                <w:color w:val="14202A"/>
              </w:rPr>
              <w:t>2028</w:t>
            </w:r>
          </w:p>
        </w:tc>
        <w:tc>
          <w:tcPr>
            <w:tcW w:w="2520" w:type="dxa"/>
            <w:vAlign w:val="bottom"/>
          </w:tcPr>
          <w:p>
            <w:pPr>
              <w:ind w:left="180"/>
              <w:spacing w:after="0"/>
              <w:rPr>
                <w:sz w:val="20"/>
                <w:szCs w:val="20"/>
                <w:color w:val="auto"/>
              </w:rPr>
            </w:pPr>
            <w:r>
              <w:rPr>
                <w:rFonts w:ascii="Arial" w:cs="Arial" w:eastAsia="Arial" w:hAnsi="Arial"/>
                <w:sz w:val="14"/>
                <w:szCs w:val="14"/>
                <w:color w:val="14202A"/>
              </w:rPr>
              <w:t>Class I seats and Class II seats</w:t>
            </w:r>
          </w:p>
        </w:tc>
        <w:tc>
          <w:tcPr>
            <w:tcW w:w="5100" w:type="dxa"/>
            <w:vAlign w:val="bottom"/>
          </w:tcPr>
          <w:p>
            <w:pPr>
              <w:ind w:left="240"/>
              <w:spacing w:after="0"/>
              <w:rPr>
                <w:sz w:val="20"/>
                <w:szCs w:val="20"/>
                <w:color w:val="auto"/>
              </w:rPr>
            </w:pPr>
            <w:r>
              <w:rPr>
                <w:rFonts w:ascii="Arial" w:cs="Arial" w:eastAsia="Arial" w:hAnsi="Arial"/>
                <w:sz w:val="14"/>
                <w:szCs w:val="14"/>
                <w:color w:val="14202A"/>
              </w:rPr>
              <w:t>One year, through the 2029 annual meeting</w:t>
            </w:r>
          </w:p>
        </w:tc>
      </w:tr>
      <w:tr>
        <w:trPr>
          <w:trHeight w:val="43"/>
        </w:trPr>
        <w:tc>
          <w:tcPr>
            <w:tcW w:w="1660" w:type="dxa"/>
            <w:vAlign w:val="bottom"/>
            <w:tcBorders>
              <w:bottom w:val="single" w:sz="8" w:color="14202A"/>
            </w:tcBorders>
          </w:tcPr>
          <w:p>
            <w:pPr>
              <w:spacing w:after="0"/>
              <w:rPr>
                <w:sz w:val="3"/>
                <w:szCs w:val="3"/>
                <w:color w:val="auto"/>
              </w:rPr>
            </w:pPr>
          </w:p>
        </w:tc>
        <w:tc>
          <w:tcPr>
            <w:tcW w:w="2520" w:type="dxa"/>
            <w:vAlign w:val="bottom"/>
            <w:tcBorders>
              <w:bottom w:val="single" w:sz="8" w:color="14202A"/>
            </w:tcBorders>
          </w:tcPr>
          <w:p>
            <w:pPr>
              <w:spacing w:after="0"/>
              <w:rPr>
                <w:sz w:val="3"/>
                <w:szCs w:val="3"/>
                <w:color w:val="auto"/>
              </w:rPr>
            </w:pPr>
          </w:p>
        </w:tc>
        <w:tc>
          <w:tcPr>
            <w:tcW w:w="5100" w:type="dxa"/>
            <w:vAlign w:val="bottom"/>
            <w:tcBorders>
              <w:bottom w:val="single" w:sz="8" w:color="14202A"/>
            </w:tcBorders>
          </w:tcPr>
          <w:p>
            <w:pPr>
              <w:spacing w:after="0"/>
              <w:rPr>
                <w:sz w:val="3"/>
                <w:szCs w:val="3"/>
                <w:color w:val="auto"/>
              </w:rPr>
            </w:pPr>
          </w:p>
        </w:tc>
      </w:tr>
      <w:tr>
        <w:trPr>
          <w:trHeight w:val="257"/>
        </w:trPr>
        <w:tc>
          <w:tcPr>
            <w:tcW w:w="166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2029 and thereafter</w:t>
            </w:r>
          </w:p>
        </w:tc>
        <w:tc>
          <w:tcPr>
            <w:tcW w:w="2520" w:type="dxa"/>
            <w:vAlign w:val="bottom"/>
            <w:tcBorders>
              <w:bottom w:val="single" w:sz="8" w:color="14202A"/>
            </w:tcBorders>
          </w:tcPr>
          <w:p>
            <w:pPr>
              <w:ind w:left="180"/>
              <w:spacing w:after="0"/>
              <w:rPr>
                <w:sz w:val="20"/>
                <w:szCs w:val="20"/>
                <w:color w:val="auto"/>
              </w:rPr>
            </w:pPr>
            <w:r>
              <w:rPr>
                <w:rFonts w:ascii="Arial" w:cs="Arial" w:eastAsia="Arial" w:hAnsi="Arial"/>
                <w:sz w:val="14"/>
                <w:szCs w:val="14"/>
                <w:color w:val="14202A"/>
              </w:rPr>
              <w:t>All seats</w:t>
            </w:r>
          </w:p>
        </w:tc>
        <w:tc>
          <w:tcPr>
            <w:tcW w:w="510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All directors elected for one-year terms; Board fully declassified</w:t>
            </w:r>
          </w:p>
        </w:tc>
      </w:tr>
    </w:tbl>
    <w:p>
      <w:pPr>
        <w:spacing w:after="0" w:line="90" w:lineRule="exact"/>
        <w:rPr>
          <w:sz w:val="20"/>
          <w:szCs w:val="20"/>
          <w:color w:val="auto"/>
        </w:rPr>
      </w:pPr>
    </w:p>
    <w:p>
      <w:pPr>
        <w:ind w:left="360" w:right="80" w:hanging="360"/>
        <w:spacing w:after="0" w:line="233" w:lineRule="auto"/>
        <w:tabs>
          <w:tab w:leader="none" w:pos="360" w:val="left"/>
        </w:tabs>
        <w:numPr>
          <w:ilvl w:val="0"/>
          <w:numId w:val="65"/>
        </w:numPr>
        <w:rPr>
          <w:rFonts w:ascii="Arial" w:cs="Arial" w:eastAsia="Arial" w:hAnsi="Arial"/>
          <w:sz w:val="13"/>
          <w:szCs w:val="13"/>
          <w:color w:val="14202A"/>
        </w:rPr>
      </w:pPr>
      <w:r>
        <w:rPr>
          <w:rFonts w:ascii="Arial" w:cs="Arial" w:eastAsia="Arial" w:hAnsi="Arial"/>
          <w:sz w:val="13"/>
          <w:szCs w:val="13"/>
          <w:color w:val="14202A"/>
        </w:rPr>
        <w:t>The table reflects the terms of the directors currently in office and the nominees identified in Proposal 1. Directors appointed by the Board, including to newly created directorships, hold office subject to the shareholder-election provisions described below. Additional directors may therefore stand for election during the transition.</w:t>
      </w:r>
    </w:p>
    <w:p>
      <w:pPr>
        <w:spacing w:after="0" w:line="162"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14202A"/>
        </w:rPr>
        <w:t>During the transition, directors will retain their existing class designations until the classification of the Board terminates at the 2029 annual meeting. The Declassification Amendments will not shorten the unexpired term of any director elected by shareholders before the 2027 annual meeting, and no director will be required to resign or be reappointed to implement the phased declassification.</w:t>
      </w:r>
    </w:p>
    <w:p>
      <w:pPr>
        <w:spacing w:after="0" w:line="137"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14202A"/>
        </w:rPr>
        <w:t>If the Declassification Amendments are approved and implemented, all directors will stand for annual election beginning at the 2029 annual meeting, and the Board will no longer be classified.</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Effect on Other Governance Provisions</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14202A"/>
        </w:rPr>
        <w:t>The Declassification Amendments will not change the existing range of three to fifteen directors or the Board’s authority to determine the number of directors within that range. The existing prohibition against shortening an incumbent director’s term through a reduction in Board size will remain in effect. The requirement that increases or decreases in Board size be apportioned among the three classes as nearly equally as possible will cease to apply when the classification of the Board terminates in 2029.</w:t>
      </w:r>
    </w:p>
    <w:p>
      <w:pPr>
        <w:spacing w:after="0" w:line="137"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14202A"/>
        </w:rPr>
        <w:t>The Articles Amendment will also retain Article IV’s existing provisions requiring cause for the removal of directors by shareholders and the affirmative vote of holders of 75% of all issued and outstanding shares entitled to vote to amend or repeal Article IV or adopt any provision inconsistent with it. No provision of the Articles other than Article IV will be amended by Proposal 5.</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The Declassification Amendments will not change the Board’s authority to fill vacancies or newly created directorships. Under Section 302A.225 of the Minnesota Business Corporation Act, unless otherwise provided in the Articles or Bylaws, a director appointed by the Board to fill a vacancy serves until a qualified successor is elected by shareholders at the next regular or special meeting of shareholders. Accordingly, an interim Board appointment may result in an additional director standing for election during the transition to annual elections.</w:t>
      </w:r>
    </w:p>
    <w:p>
      <w:pPr>
        <w:spacing w:after="0" w:line="139" w:lineRule="exact"/>
        <w:rPr>
          <w:sz w:val="20"/>
          <w:szCs w:val="20"/>
          <w:color w:val="auto"/>
        </w:rPr>
      </w:pPr>
    </w:p>
    <w:p>
      <w:pPr>
        <w:jc w:val="both"/>
        <w:ind w:right="140"/>
        <w:spacing w:after="0" w:line="256" w:lineRule="auto"/>
        <w:rPr>
          <w:sz w:val="20"/>
          <w:szCs w:val="20"/>
          <w:color w:val="auto"/>
        </w:rPr>
      </w:pPr>
      <w:r>
        <w:rPr>
          <w:rFonts w:ascii="Arial" w:cs="Arial" w:eastAsia="Arial" w:hAnsi="Arial"/>
          <w:sz w:val="16"/>
          <w:szCs w:val="16"/>
          <w:color w:val="14202A"/>
        </w:rPr>
        <w:t>Following completion of the phased declassification, shareholders will have the opportunity to vote on the election of the entire Board annually, rather than electing approximately one-third of the Board each year. Annual elections may facilitate changes in Board composition over a shorter period and reduce the time otherwise afforded by a classified structure to evaluate unsolicited acquisition proposals. The Board considered these effects in determining that the phased declassification is in the best interests of the Company and its shareholders.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Shareholder Approval and Effectiveness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14202A"/>
        </w:rPr>
        <w:t xml:space="preserve">The full text of the proposed Articles Amendment is set forth in </w:t>
      </w:r>
      <w:r>
        <w:rPr>
          <w:rFonts w:ascii="Arial" w:cs="Arial" w:eastAsia="Arial" w:hAnsi="Arial"/>
          <w:sz w:val="16"/>
          <w:szCs w:val="16"/>
          <w:b w:val="1"/>
          <w:bCs w:val="1"/>
          <w:color w:val="14202A"/>
        </w:rPr>
        <w:t>Appendix B</w:t>
      </w:r>
      <w:r>
        <w:rPr>
          <w:rFonts w:ascii="Arial" w:cs="Arial" w:eastAsia="Arial" w:hAnsi="Arial"/>
          <w:sz w:val="16"/>
          <w:szCs w:val="16"/>
          <w:color w:val="14202A"/>
        </w:rPr>
        <w:t xml:space="preserve"> to this Proxy Statement and is described in Proposal</w:t>
      </w:r>
    </w:p>
    <w:p>
      <w:pPr>
        <w:spacing w:after="0" w:line="21" w:lineRule="exact"/>
        <w:rPr>
          <w:sz w:val="20"/>
          <w:szCs w:val="20"/>
          <w:color w:val="auto"/>
        </w:rPr>
      </w:pPr>
    </w:p>
    <w:p>
      <w:pPr>
        <w:jc w:val="both"/>
        <w:ind w:right="660"/>
        <w:spacing w:after="0" w:line="252" w:lineRule="auto"/>
        <w:tabs>
          <w:tab w:leader="none" w:pos="180" w:val="left"/>
        </w:tabs>
        <w:numPr>
          <w:ilvl w:val="0"/>
          <w:numId w:val="66"/>
        </w:numPr>
        <w:rPr>
          <w:rFonts w:ascii="Arial" w:cs="Arial" w:eastAsia="Arial" w:hAnsi="Arial"/>
          <w:sz w:val="16"/>
          <w:szCs w:val="16"/>
          <w:color w:val="14202A"/>
        </w:rPr>
      </w:pPr>
      <w:r>
        <w:rPr>
          <w:rFonts w:ascii="Arial" w:cs="Arial" w:eastAsia="Arial" w:hAnsi="Arial"/>
          <w:sz w:val="16"/>
          <w:szCs w:val="16"/>
          <w:color w:val="14202A"/>
        </w:rPr>
        <w:t xml:space="preserve">The full text of the proposed Bylaw Amendment is set forth in </w:t>
      </w:r>
      <w:r>
        <w:rPr>
          <w:rFonts w:ascii="Arial" w:cs="Arial" w:eastAsia="Arial" w:hAnsi="Arial"/>
          <w:sz w:val="16"/>
          <w:szCs w:val="16"/>
          <w:b w:val="1"/>
          <w:bCs w:val="1"/>
          <w:color w:val="14202A"/>
        </w:rPr>
        <w:t>Appendix C</w:t>
      </w:r>
      <w:r>
        <w:rPr>
          <w:rFonts w:ascii="Arial" w:cs="Arial" w:eastAsia="Arial" w:hAnsi="Arial"/>
          <w:sz w:val="16"/>
          <w:szCs w:val="16"/>
          <w:color w:val="14202A"/>
        </w:rPr>
        <w:t xml:space="preserve"> to this Proxy Statement and is described in Proposal 6. Additions to the existing provisions are indicated by blue underlining and deletions by red strikethrough. The descriptions of the Declassification Amendments in this Proxy Statement are qualified in their entirety by reference to the applicable appendices.</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6"/>
          <w:szCs w:val="16"/>
          <w:color w:val="14202A"/>
        </w:rPr>
        <w:t>If shareholders approve both Proposals 5 and 6, the Company intends to file Articles of Amendment with the Minnesota Secretary of State promptly following the Annual Meeting. The Articles Amendment will become effective upon filing with the Minnesota Secretary of State, and the Bylaw Amendment will become effective concurrently with the effectiveness of the Articles Amendment.</w:t>
      </w:r>
    </w:p>
    <w:p>
      <w:pPr>
        <w:spacing w:after="0" w:line="329"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14202A"/>
        </w:rPr>
        <w:t>Although the Declassification Amendments will become effective following the Annual Meeting, directors will continue to serve their existing terms during the transition, with annual director elections beginning in 2027 and the Board becoming fully declassified in 2029.</w:t>
      </w:r>
    </w:p>
    <w:p>
      <w:pPr>
        <w:spacing w:after="0" w:line="131"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14202A"/>
        </w:rPr>
        <w:t>If either Proposal 5 or Proposal 6 is not approved, neither amendment will be implemented, and the Board will remain classified under the existing Articles and Bylaws. Approval of Proposals 1 through 4 is not conditioned on approval of either Proposal 5 or Proposal 6.</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14202A"/>
        </w:rPr>
        <w:t>Shareholders will not be entitled to dissenters’ rights under Minnesota law in connection with the Articles Amendment.</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Vote Required</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6"/>
          <w:szCs w:val="16"/>
          <w:color w:val="14202A"/>
        </w:rPr>
        <w:t>Approval of Proposal 5 requires the affirmative vote of the holders of at least 75% of all issued and outstanding shares of the Company entitled to vote on the proposal, voting together as a single class, as required by Article IV of our Articles. Abstentions, broker non-votes and failures to vote will have the same effect as votes “AGAINST” Proposal 5. Brokers do not have discretionary authority to vote on this proposal without your voting instructions.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14202A"/>
        </w:rPr>
        <w:t>Unless a contrary choice is specified, proxies solicited by the Board will be voted “</w:t>
      </w:r>
      <w:r>
        <w:rPr>
          <w:rFonts w:ascii="Arial" w:cs="Arial" w:eastAsia="Arial" w:hAnsi="Arial"/>
          <w:sz w:val="16"/>
          <w:szCs w:val="16"/>
          <w:b w:val="1"/>
          <w:bCs w:val="1"/>
          <w:color w:val="14202A"/>
        </w:rPr>
        <w:t>FOR</w:t>
      </w:r>
      <w:r>
        <w:rPr>
          <w:rFonts w:ascii="Arial" w:cs="Arial" w:eastAsia="Arial" w:hAnsi="Arial"/>
          <w:sz w:val="16"/>
          <w:szCs w:val="16"/>
          <w:color w:val="14202A"/>
        </w:rPr>
        <w:t>” approval of Proposal 5.</w:t>
      </w:r>
    </w:p>
    <w:p>
      <w:pPr>
        <w:spacing w:after="0" w:line="39" w:lineRule="exact"/>
        <w:rPr>
          <w:sz w:val="20"/>
          <w:szCs w:val="20"/>
          <w:color w:val="auto"/>
        </w:rPr>
      </w:pPr>
    </w:p>
    <w:p>
      <w:pPr>
        <w:ind w:left="1480" w:right="940" w:hanging="634"/>
        <w:spacing w:after="0" w:line="232" w:lineRule="exact"/>
        <w:tabs>
          <w:tab w:leader="none" w:pos="1460" w:val="left"/>
        </w:tabs>
        <w:rPr>
          <w:sz w:val="20"/>
          <w:szCs w:val="20"/>
          <w:color w:val="auto"/>
        </w:rPr>
      </w:pPr>
      <w:r>
        <w:rPr>
          <w:rFonts w:ascii="MS PGothic" w:cs="MS PGothic" w:eastAsia="MS PGothic" w:hAnsi="MS PGothic"/>
          <w:sz w:val="100"/>
          <w:szCs w:val="100"/>
          <w:color w:val="FFFFFF"/>
          <w:vertAlign w:val="subscript"/>
          <w:shd w:val="clear" w:color="auto" w:fill="2E3F4C"/>
        </w:rPr>
        <w:t>✔</w:t>
      </w:r>
      <w:r>
        <w:rPr>
          <w:rFonts w:ascii="Arial" w:cs="Arial" w:eastAsia="Arial" w:hAnsi="Arial"/>
          <w:sz w:val="20"/>
          <w:szCs w:val="20"/>
          <w:b w:val="1"/>
          <w:bCs w:val="1"/>
          <w:color w:val="FFFFFF"/>
        </w:rPr>
        <w:tab/>
        <w:t>The Board unanimously recommends that shareholders vote FOR Proposal 5, approval of an amendment to our Articles to provide for the phased declassification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-403860</wp:posOffset>
            </wp:positionV>
            <wp:extent cx="5078730" cy="6216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078730" cy="62166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 </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ind w:right="400"/>
        <w:spacing w:after="0" w:line="287" w:lineRule="auto"/>
        <w:rPr>
          <w:sz w:val="20"/>
          <w:szCs w:val="20"/>
          <w:color w:val="auto"/>
        </w:rPr>
      </w:pPr>
      <w:r>
        <w:rPr>
          <w:rFonts w:ascii="Arial" w:cs="Arial" w:eastAsia="Arial" w:hAnsi="Arial"/>
          <w:sz w:val="27"/>
          <w:szCs w:val="27"/>
          <w:b w:val="1"/>
          <w:bCs w:val="1"/>
          <w:color w:val="14202A"/>
        </w:rPr>
        <w:t>Proposal 6 – Approval of an Amendment to our Bylaws to Provide for the Phased Declassification of the Board</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14202A"/>
        </w:rPr>
        <w:t>We are asking shareholders to approve the Bylaw Amendment, which would amend Section 2.1 of our Bylaws to conform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Articles Amendment described in Proposal 5 and provide for the phased declassification of the Board. As described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Proposal 5, implementation of the Declassification Amendments is conditioned on shareholder approval of both Proposals 5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6.</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Reasons for the Bylaw Amendment</w:t>
      </w:r>
    </w:p>
    <w:p>
      <w:pPr>
        <w:spacing w:after="0" w:line="193"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14202A"/>
        </w:rPr>
        <w:t>On October 22, 2026, the Board unanimously approved the Bylaw Amendment for submission to shareholders and recommended that shareholders approve it at the Annual Meeting. For the reasons described in Proposal 5, the Board believes that the proposed phased declassification is in the best interests of the Company and its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Effect of the Bylaw Amendment</w:t>
      </w:r>
    </w:p>
    <w:p>
      <w:pPr>
        <w:spacing w:after="0" w:line="193"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14202A"/>
        </w:rPr>
        <w:t>If the Declassification Amendments are approved and implemented, the Bylaw Amendment would provide for the same phased transition to annual director elections described in Proposal 5. Directors elected at the 2026 Annual Meeting would serve the terms for which they are elected, with the Class III directors’ terms expiring in 2029 and Emily R. Silver’s Class I term expiring in 2027. Beginning with the 2027 annual meeting, directors elected by shareholders would serve one-year terms as the existing classes come up for election. All directors would stand for annual election beginning at the 2029 annual meeting, at which time the classification of the Board would terminate.</w:t>
      </w:r>
    </w:p>
    <w:p>
      <w:pPr>
        <w:spacing w:after="0" w:line="14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14202A"/>
        </w:rPr>
        <w:t>The Bylaw Amendment would not shorten the unexpired term of any director elected by shareholders before the 2027 annual meeting or require any director to resign or be reappointed. It would preserve the existing provisions regarding the authorized number of directors and the prohibition against shortening an incumbent director’s term through a reduction in Board size. The requirement to apportion changes in Board size among classes would cease to apply when the Board becomes fully declassified. The Bylaw Amendment would not change the Board’s authority to fill vacancies or newly created directorships.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14202A"/>
        </w:rPr>
        <w:t>No provision of the Bylaws other than Section 2.1 would be amended.</w:t>
      </w:r>
    </w:p>
    <w:p>
      <w:pPr>
        <w:spacing w:after="0" w:line="181" w:lineRule="exact"/>
        <w:rPr>
          <w:sz w:val="20"/>
          <w:szCs w:val="20"/>
          <w:color w:val="auto"/>
        </w:rPr>
      </w:pPr>
    </w:p>
    <w:p>
      <w:pPr>
        <w:ind w:right="1120"/>
        <w:spacing w:after="0" w:line="286" w:lineRule="auto"/>
        <w:rPr>
          <w:sz w:val="20"/>
          <w:szCs w:val="20"/>
          <w:color w:val="auto"/>
        </w:rPr>
      </w:pPr>
      <w:r>
        <w:rPr>
          <w:rFonts w:ascii="Arial" w:cs="Arial" w:eastAsia="Arial" w:hAnsi="Arial"/>
          <w:sz w:val="16"/>
          <w:szCs w:val="16"/>
          <w:color w:val="14202A"/>
        </w:rPr>
        <w:t>See Proposal 5 for additional information regarding the phased transition to annual elections and the effects of the Declassification Amendments on the Company’s governance structure.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Shareholder Approval and Effectiveness</w:t>
      </w:r>
    </w:p>
    <w:p>
      <w:pPr>
        <w:spacing w:after="0" w:line="18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14202A"/>
        </w:rPr>
        <w:t>Under Section 302A.181, subdivision 2, of the Minnesota Business Corporation Act, the Board may not amend the Bylaws to change the classification or terms of office of directors. Accordingly, we are submitting the Bylaw Amendment to shareholders for approval as a separate proposal.</w:t>
      </w:r>
    </w:p>
    <w:p>
      <w:pPr>
        <w:spacing w:after="0" w:line="144"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14202A"/>
        </w:rPr>
        <w:t xml:space="preserve">The full text of the proposed Bylaw Amendment is set forth in </w:t>
      </w:r>
      <w:r>
        <w:rPr>
          <w:rFonts w:ascii="Arial" w:cs="Arial" w:eastAsia="Arial" w:hAnsi="Arial"/>
          <w:sz w:val="16"/>
          <w:szCs w:val="16"/>
          <w:b w:val="1"/>
          <w:bCs w:val="1"/>
          <w:color w:val="14202A"/>
        </w:rPr>
        <w:t>Appendix C</w:t>
      </w:r>
      <w:r>
        <w:rPr>
          <w:rFonts w:ascii="Arial" w:cs="Arial" w:eastAsia="Arial" w:hAnsi="Arial"/>
          <w:sz w:val="16"/>
          <w:szCs w:val="16"/>
          <w:color w:val="14202A"/>
        </w:rPr>
        <w:t xml:space="preserve"> to this Proxy Statement, with additions indicated by blue underlining and deletions by red strikethrough. This description is qualified in its entirety by reference to </w:t>
      </w:r>
      <w:r>
        <w:rPr>
          <w:rFonts w:ascii="Arial" w:cs="Arial" w:eastAsia="Arial" w:hAnsi="Arial"/>
          <w:sz w:val="16"/>
          <w:szCs w:val="16"/>
          <w:b w:val="1"/>
          <w:bCs w:val="1"/>
          <w:color w:val="14202A"/>
        </w:rPr>
        <w:t>Appendix C</w:t>
      </w:r>
      <w:r>
        <w:rPr>
          <w:rFonts w:ascii="Arial" w:cs="Arial" w:eastAsia="Arial" w:hAnsi="Arial"/>
          <w:sz w:val="16"/>
          <w:szCs w:val="16"/>
          <w:color w:val="14202A"/>
        </w:rPr>
        <w:t>.</w:t>
      </w:r>
    </w:p>
    <w:p>
      <w:pPr>
        <w:spacing w:after="0" w:line="10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14202A"/>
        </w:rPr>
        <w:t>Implementation of the Declassification Amendments is conditioned on shareholder approval of both Proposals 5 and 6. If both proposals are approved, the Bylaw Amendment will become effective concurrently with the Articles Amendment upon the filing of Articles of Amendment with the Minnesota Secretary of State following the Annual Meeting. If either Proposal 5 or Proposal 6 is not approved, neither amendment will be implemented, and the existing classified Board structure will remain in effect. Approval of Proposals 1 through 4 is not conditioned on approval of either Proposal 5 or Proposal 6.</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Vote Required</w:t>
      </w:r>
    </w:p>
    <w:p>
      <w:pPr>
        <w:spacing w:after="0" w:line="180"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14202A"/>
        </w:rPr>
        <w:t>Approval of Proposal 6 requires the affirmative vote of the holders of the greater of (i) a majority of the voting power of the shares present and entitled to vote on the proposal or (ii) a majority of the voting power of the minimum number of shares entitled to vote that would constitute a quorum at the Annual Meeting. Abstentions will have the same effect as votes “AGAINST” Proposal 6.</w:t>
      </w:r>
    </w:p>
    <w:p>
      <w:pPr>
        <w:spacing w:after="0" w:line="1"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14202A"/>
        </w:rPr>
        <w:t>Broker non-votes, if any, will have no effect on the outcome unless the minimum-quorum voting requirement applies, in which case they will have the same effect as votes “AGAINST” Proposal 6. Brokers do not have discretionary authority to vote on this proposal without voting instructions.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14202A"/>
        </w:rPr>
        <w:t>Unless a contrary choice is specified, proxies solicited by the Board will be voted “</w:t>
      </w:r>
      <w:r>
        <w:rPr>
          <w:rFonts w:ascii="Arial" w:cs="Arial" w:eastAsia="Arial" w:hAnsi="Arial"/>
          <w:sz w:val="16"/>
          <w:szCs w:val="16"/>
          <w:b w:val="1"/>
          <w:bCs w:val="1"/>
          <w:color w:val="14202A"/>
        </w:rPr>
        <w:t>FOR</w:t>
      </w:r>
      <w:r>
        <w:rPr>
          <w:rFonts w:ascii="Arial" w:cs="Arial" w:eastAsia="Arial" w:hAnsi="Arial"/>
          <w:sz w:val="16"/>
          <w:szCs w:val="16"/>
          <w:color w:val="14202A"/>
        </w:rPr>
        <w:t>” approval of Proposal 6.</w:t>
      </w:r>
    </w:p>
    <w:p>
      <w:pPr>
        <w:spacing w:after="0" w:line="39" w:lineRule="exact"/>
        <w:rPr>
          <w:sz w:val="20"/>
          <w:szCs w:val="20"/>
          <w:color w:val="auto"/>
        </w:rPr>
      </w:pPr>
    </w:p>
    <w:p>
      <w:pPr>
        <w:ind w:left="1480" w:right="940" w:hanging="634"/>
        <w:spacing w:after="0" w:line="232" w:lineRule="exact"/>
        <w:tabs>
          <w:tab w:leader="none" w:pos="1460" w:val="left"/>
        </w:tabs>
        <w:rPr>
          <w:sz w:val="20"/>
          <w:szCs w:val="20"/>
          <w:color w:val="auto"/>
        </w:rPr>
      </w:pPr>
      <w:r>
        <w:rPr>
          <w:rFonts w:ascii="MS PGothic" w:cs="MS PGothic" w:eastAsia="MS PGothic" w:hAnsi="MS PGothic"/>
          <w:sz w:val="100"/>
          <w:szCs w:val="100"/>
          <w:color w:val="FFFFFF"/>
          <w:vertAlign w:val="subscript"/>
          <w:shd w:val="clear" w:color="auto" w:fill="2E3F4C"/>
        </w:rPr>
        <w:t>✔</w:t>
      </w:r>
      <w:r>
        <w:rPr>
          <w:rFonts w:ascii="Arial" w:cs="Arial" w:eastAsia="Arial" w:hAnsi="Arial"/>
          <w:sz w:val="20"/>
          <w:szCs w:val="20"/>
          <w:b w:val="1"/>
          <w:bCs w:val="1"/>
          <w:color w:val="FFFFFF"/>
        </w:rPr>
        <w:tab/>
        <w:t>The Board unanimously recommends that shareholders vote FOR Proposal 6, approval of an amendment to our Bylaws to provide for the phased declassification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-403860</wp:posOffset>
            </wp:positionV>
            <wp:extent cx="5078730" cy="6210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078730" cy="62103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 </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Security Ownership of Certain Beneficial Owners and Management</w:t>
      </w:r>
    </w:p>
    <w:p>
      <w:pPr>
        <w:spacing w:after="0" w:line="20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14202A"/>
        </w:rPr>
        <w:t>The following table contains information with respect to the ownership of common stock by each person known to us who beneficially owns more than 5% of our outstanding common stock. This information is based on ownership reported as of October 20, 2026 according to SEC filings of the beneficial owners listed below unless more recent information was appropriate to be used.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0" w:type="dxa"/>
            <w:vAlign w:val="bottom"/>
            <w:shd w:val="clear" w:color="auto" w:fill="14202A"/>
          </w:tcPr>
          <w:p>
            <w:pPr>
              <w:spacing w:after="0"/>
              <w:rPr>
                <w:sz w:val="22"/>
                <w:szCs w:val="22"/>
                <w:color w:val="auto"/>
              </w:rPr>
            </w:pPr>
          </w:p>
        </w:tc>
        <w:tc>
          <w:tcPr>
            <w:tcW w:w="4400" w:type="dxa"/>
            <w:vAlign w:val="bottom"/>
            <w:shd w:val="clear" w:color="auto" w:fill="14202A"/>
          </w:tcPr>
          <w:p>
            <w:pPr>
              <w:spacing w:after="0"/>
              <w:rPr>
                <w:sz w:val="22"/>
                <w:szCs w:val="22"/>
                <w:color w:val="auto"/>
              </w:rPr>
            </w:pPr>
          </w:p>
        </w:tc>
        <w:tc>
          <w:tcPr>
            <w:tcW w:w="3680" w:type="dxa"/>
            <w:vAlign w:val="bottom"/>
            <w:shd w:val="clear" w:color="auto" w:fill="14202A"/>
          </w:tcPr>
          <w:p>
            <w:pPr>
              <w:jc w:val="center"/>
              <w:ind w:left="1494"/>
              <w:spacing w:after="0"/>
              <w:rPr>
                <w:sz w:val="20"/>
                <w:szCs w:val="20"/>
                <w:color w:val="auto"/>
              </w:rPr>
            </w:pPr>
            <w:r>
              <w:rPr>
                <w:rFonts w:ascii="Arial" w:cs="Arial" w:eastAsia="Arial" w:hAnsi="Arial"/>
                <w:sz w:val="13"/>
                <w:szCs w:val="13"/>
                <w:b w:val="1"/>
                <w:bCs w:val="1"/>
                <w:color w:val="FFFFFF"/>
                <w:w w:val="96"/>
              </w:rPr>
              <w:t>Amount and Nature</w:t>
            </w:r>
          </w:p>
        </w:tc>
        <w:tc>
          <w:tcPr>
            <w:tcW w:w="1100" w:type="dxa"/>
            <w:vAlign w:val="bottom"/>
            <w:shd w:val="clear" w:color="auto" w:fill="14202A"/>
          </w:tcPr>
          <w:p>
            <w:pPr>
              <w:jc w:val="center"/>
              <w:ind w:left="153"/>
              <w:spacing w:after="0"/>
              <w:rPr>
                <w:sz w:val="20"/>
                <w:szCs w:val="20"/>
                <w:color w:val="auto"/>
              </w:rPr>
            </w:pPr>
            <w:r>
              <w:rPr>
                <w:rFonts w:ascii="Arial" w:cs="Arial" w:eastAsia="Arial" w:hAnsi="Arial"/>
                <w:sz w:val="13"/>
                <w:szCs w:val="13"/>
                <w:b w:val="1"/>
                <w:bCs w:val="1"/>
                <w:color w:val="FFFFFF"/>
              </w:rPr>
              <w:t>% of</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440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 and Address of Beneficial Owner</w:t>
            </w:r>
          </w:p>
        </w:tc>
        <w:tc>
          <w:tcPr>
            <w:tcW w:w="3680" w:type="dxa"/>
            <w:vAlign w:val="bottom"/>
            <w:shd w:val="clear" w:color="auto" w:fill="14202A"/>
          </w:tcPr>
          <w:p>
            <w:pPr>
              <w:jc w:val="center"/>
              <w:ind w:left="1494"/>
              <w:spacing w:after="0" w:line="135" w:lineRule="exact"/>
              <w:rPr>
                <w:sz w:val="20"/>
                <w:szCs w:val="20"/>
                <w:color w:val="auto"/>
              </w:rPr>
            </w:pPr>
            <w:r>
              <w:rPr>
                <w:rFonts w:ascii="Arial" w:cs="Arial" w:eastAsia="Arial" w:hAnsi="Arial"/>
                <w:sz w:val="13"/>
                <w:szCs w:val="13"/>
                <w:b w:val="1"/>
                <w:bCs w:val="1"/>
                <w:color w:val="FFFFFF"/>
                <w:w w:val="98"/>
              </w:rPr>
              <w:t>of Beneficial</w:t>
            </w:r>
          </w:p>
        </w:tc>
        <w:tc>
          <w:tcPr>
            <w:tcW w:w="1100" w:type="dxa"/>
            <w:vAlign w:val="bottom"/>
            <w:shd w:val="clear" w:color="auto" w:fill="14202A"/>
          </w:tcPr>
          <w:p>
            <w:pPr>
              <w:jc w:val="center"/>
              <w:ind w:left="153"/>
              <w:spacing w:after="0" w:line="135" w:lineRule="exact"/>
              <w:rPr>
                <w:sz w:val="20"/>
                <w:szCs w:val="20"/>
                <w:color w:val="auto"/>
              </w:rPr>
            </w:pPr>
            <w:r>
              <w:rPr>
                <w:rFonts w:ascii="Arial" w:cs="Arial" w:eastAsia="Arial" w:hAnsi="Arial"/>
                <w:sz w:val="13"/>
                <w:szCs w:val="13"/>
                <w:b w:val="1"/>
                <w:bCs w:val="1"/>
                <w:color w:val="FFFFFF"/>
                <w:w w:val="99"/>
              </w:rPr>
              <w:t>Common</w:t>
            </w:r>
          </w:p>
        </w:tc>
        <w:tc>
          <w:tcPr>
            <w:tcW w:w="0" w:type="dxa"/>
            <w:vAlign w:val="bottom"/>
          </w:tcPr>
          <w:p>
            <w:pPr>
              <w:spacing w:after="0"/>
              <w:rPr>
                <w:sz w:val="1"/>
                <w:szCs w:val="1"/>
                <w:color w:val="auto"/>
              </w:rPr>
            </w:pPr>
          </w:p>
        </w:tc>
      </w:tr>
      <w:tr>
        <w:trPr>
          <w:trHeight w:val="243"/>
        </w:trPr>
        <w:tc>
          <w:tcPr>
            <w:tcW w:w="100" w:type="dxa"/>
            <w:vAlign w:val="bottom"/>
            <w:shd w:val="clear" w:color="auto" w:fill="14202A"/>
          </w:tcPr>
          <w:p>
            <w:pPr>
              <w:spacing w:after="0"/>
              <w:rPr>
                <w:sz w:val="21"/>
                <w:szCs w:val="21"/>
                <w:color w:val="auto"/>
              </w:rPr>
            </w:pPr>
          </w:p>
        </w:tc>
        <w:tc>
          <w:tcPr>
            <w:tcW w:w="4400" w:type="dxa"/>
            <w:vAlign w:val="bottom"/>
            <w:vMerge w:val="continue"/>
            <w:shd w:val="clear" w:color="auto" w:fill="14202A"/>
          </w:tcPr>
          <w:p>
            <w:pPr>
              <w:spacing w:after="0"/>
              <w:rPr>
                <w:sz w:val="21"/>
                <w:szCs w:val="21"/>
                <w:color w:val="auto"/>
              </w:rPr>
            </w:pPr>
          </w:p>
        </w:tc>
        <w:tc>
          <w:tcPr>
            <w:tcW w:w="3680" w:type="dxa"/>
            <w:vAlign w:val="bottom"/>
            <w:shd w:val="clear" w:color="auto" w:fill="14202A"/>
          </w:tcPr>
          <w:p>
            <w:pPr>
              <w:jc w:val="center"/>
              <w:ind w:left="1534"/>
              <w:spacing w:after="0"/>
              <w:rPr>
                <w:sz w:val="20"/>
                <w:szCs w:val="20"/>
                <w:color w:val="auto"/>
              </w:rPr>
            </w:pPr>
            <w:r>
              <w:rPr>
                <w:rFonts w:ascii="Arial" w:cs="Arial" w:eastAsia="Arial" w:hAnsi="Arial"/>
                <w:sz w:val="13"/>
                <w:szCs w:val="13"/>
                <w:b w:val="1"/>
                <w:bCs w:val="1"/>
                <w:color w:val="FFFFFF"/>
                <w:w w:val="95"/>
              </w:rPr>
              <w:t>Ownership</w:t>
            </w:r>
          </w:p>
        </w:tc>
        <w:tc>
          <w:tcPr>
            <w:tcW w:w="1100" w:type="dxa"/>
            <w:vAlign w:val="bottom"/>
            <w:shd w:val="clear" w:color="auto" w:fill="14202A"/>
          </w:tcPr>
          <w:p>
            <w:pPr>
              <w:jc w:val="center"/>
              <w:ind w:left="193"/>
              <w:spacing w:after="0"/>
              <w:rPr>
                <w:sz w:val="20"/>
                <w:szCs w:val="20"/>
                <w:color w:val="auto"/>
              </w:rPr>
            </w:pPr>
            <w:r>
              <w:rPr>
                <w:rFonts w:ascii="Arial" w:cs="Arial" w:eastAsia="Arial" w:hAnsi="Arial"/>
                <w:sz w:val="13"/>
                <w:szCs w:val="13"/>
                <w:b w:val="1"/>
                <w:bCs w:val="1"/>
                <w:color w:val="FFFFFF"/>
                <w:w w:val="92"/>
              </w:rPr>
              <w:t>Stock</w:t>
            </w:r>
            <w:r>
              <w:rPr>
                <w:rFonts w:ascii="Arial" w:cs="Arial" w:eastAsia="Arial" w:hAnsi="Arial"/>
                <w:sz w:val="20"/>
                <w:szCs w:val="20"/>
                <w:b w:val="1"/>
                <w:bCs w:val="1"/>
                <w:color w:val="FFFFFF"/>
                <w:w w:val="92"/>
                <w:vertAlign w:val="superscript"/>
              </w:rPr>
              <w:t>(1)</w:t>
            </w: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14202A"/>
              </w:rPr>
              <w:t>BlackRock, Inc.</w:t>
            </w:r>
          </w:p>
        </w:tc>
        <w:tc>
          <w:tcPr>
            <w:tcW w:w="3680" w:type="dxa"/>
            <w:vAlign w:val="bottom"/>
          </w:tcPr>
          <w:p>
            <w:pPr>
              <w:jc w:val="center"/>
              <w:ind w:left="1554"/>
              <w:spacing w:after="0"/>
              <w:rPr>
                <w:sz w:val="20"/>
                <w:szCs w:val="20"/>
                <w:color w:val="auto"/>
              </w:rPr>
            </w:pPr>
            <w:r>
              <w:rPr>
                <w:rFonts w:ascii="Arial" w:cs="Arial" w:eastAsia="Arial" w:hAnsi="Arial"/>
                <w:sz w:val="14"/>
                <w:szCs w:val="14"/>
                <w:color w:val="14202A"/>
              </w:rPr>
              <w:t>4,117,349 shares of</w:t>
            </w:r>
          </w:p>
        </w:tc>
        <w:tc>
          <w:tcPr>
            <w:tcW w:w="1100" w:type="dxa"/>
            <w:vAlign w:val="bottom"/>
          </w:tcPr>
          <w:p>
            <w:pPr>
              <w:jc w:val="right"/>
              <w:ind w:right="53"/>
              <w:spacing w:after="0"/>
              <w:rPr>
                <w:sz w:val="20"/>
                <w:szCs w:val="20"/>
                <w:color w:val="auto"/>
              </w:rPr>
            </w:pPr>
            <w:r>
              <w:rPr>
                <w:rFonts w:ascii="Arial" w:cs="Arial" w:eastAsia="Arial" w:hAnsi="Arial"/>
                <w:sz w:val="14"/>
                <w:szCs w:val="14"/>
                <w:color w:val="14202A"/>
              </w:rPr>
              <w:t>14.46%</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14202A"/>
              </w:rPr>
              <w:t>50 Hudson Yards</w:t>
            </w:r>
          </w:p>
        </w:tc>
        <w:tc>
          <w:tcPr>
            <w:tcW w:w="3680" w:type="dxa"/>
            <w:vAlign w:val="bottom"/>
          </w:tcPr>
          <w:p>
            <w:pPr>
              <w:jc w:val="center"/>
              <w:ind w:left="1534"/>
              <w:spacing w:after="0" w:line="175" w:lineRule="exact"/>
              <w:rPr>
                <w:sz w:val="20"/>
                <w:szCs w:val="20"/>
                <w:color w:val="auto"/>
              </w:rPr>
            </w:pPr>
            <w:r>
              <w:rPr>
                <w:rFonts w:ascii="Arial" w:cs="Arial" w:eastAsia="Arial" w:hAnsi="Arial"/>
                <w:sz w:val="13"/>
                <w:szCs w:val="13"/>
                <w:color w:val="14202A"/>
              </w:rPr>
              <w:t>common stock</w:t>
            </w:r>
            <w:r>
              <w:rPr>
                <w:rFonts w:ascii="Arial" w:cs="Arial" w:eastAsia="Arial" w:hAnsi="Arial"/>
                <w:sz w:val="20"/>
                <w:szCs w:val="20"/>
                <w:color w:val="14202A"/>
                <w:vertAlign w:val="superscript"/>
              </w:rPr>
              <w:t>(2)</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14202A"/>
              </w:rPr>
              <w:t>New York, NY 10001</w:t>
            </w:r>
          </w:p>
        </w:tc>
        <w:tc>
          <w:tcPr>
            <w:tcW w:w="3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14202A"/>
            </w:tcBorders>
          </w:tcPr>
          <w:p>
            <w:pPr>
              <w:spacing w:after="0"/>
              <w:rPr>
                <w:sz w:val="3"/>
                <w:szCs w:val="3"/>
                <w:color w:val="auto"/>
              </w:rPr>
            </w:pPr>
          </w:p>
        </w:tc>
        <w:tc>
          <w:tcPr>
            <w:tcW w:w="4400" w:type="dxa"/>
            <w:vAlign w:val="bottom"/>
            <w:tcBorders>
              <w:bottom w:val="single" w:sz="8" w:color="14202A"/>
            </w:tcBorders>
          </w:tcPr>
          <w:p>
            <w:pPr>
              <w:spacing w:after="0"/>
              <w:rPr>
                <w:sz w:val="3"/>
                <w:szCs w:val="3"/>
                <w:color w:val="auto"/>
              </w:rPr>
            </w:pPr>
          </w:p>
        </w:tc>
        <w:tc>
          <w:tcPr>
            <w:tcW w:w="368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14202A"/>
              </w:rPr>
              <w:t>Pzena Investment Management LLC</w:t>
            </w:r>
          </w:p>
        </w:tc>
        <w:tc>
          <w:tcPr>
            <w:tcW w:w="3680" w:type="dxa"/>
            <w:vAlign w:val="bottom"/>
          </w:tcPr>
          <w:p>
            <w:pPr>
              <w:jc w:val="center"/>
              <w:ind w:left="1534"/>
              <w:spacing w:after="0"/>
              <w:rPr>
                <w:sz w:val="20"/>
                <w:szCs w:val="20"/>
                <w:color w:val="auto"/>
              </w:rPr>
            </w:pPr>
            <w:r>
              <w:rPr>
                <w:rFonts w:ascii="Arial" w:cs="Arial" w:eastAsia="Arial" w:hAnsi="Arial"/>
                <w:sz w:val="14"/>
                <w:szCs w:val="14"/>
                <w:color w:val="14202A"/>
              </w:rPr>
              <w:t>1,709,531 shares of</w:t>
            </w:r>
          </w:p>
        </w:tc>
        <w:tc>
          <w:tcPr>
            <w:tcW w:w="1100" w:type="dxa"/>
            <w:vAlign w:val="bottom"/>
          </w:tcPr>
          <w:p>
            <w:pPr>
              <w:jc w:val="right"/>
              <w:ind w:right="53"/>
              <w:spacing w:after="0"/>
              <w:rPr>
                <w:sz w:val="20"/>
                <w:szCs w:val="20"/>
                <w:color w:val="auto"/>
              </w:rPr>
            </w:pPr>
            <w:r>
              <w:rPr>
                <w:rFonts w:ascii="Arial" w:cs="Arial" w:eastAsia="Arial" w:hAnsi="Arial"/>
                <w:sz w:val="14"/>
                <w:szCs w:val="14"/>
                <w:color w:val="14202A"/>
              </w:rPr>
              <w:t>6.00%</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14202A"/>
              </w:rPr>
              <w:t>320 Park Avenue, 8th floor</w:t>
            </w:r>
          </w:p>
        </w:tc>
        <w:tc>
          <w:tcPr>
            <w:tcW w:w="3680" w:type="dxa"/>
            <w:vAlign w:val="bottom"/>
          </w:tcPr>
          <w:p>
            <w:pPr>
              <w:jc w:val="center"/>
              <w:ind w:left="1534"/>
              <w:spacing w:after="0" w:line="175" w:lineRule="exact"/>
              <w:rPr>
                <w:sz w:val="20"/>
                <w:szCs w:val="20"/>
                <w:color w:val="auto"/>
              </w:rPr>
            </w:pPr>
            <w:r>
              <w:rPr>
                <w:rFonts w:ascii="Arial" w:cs="Arial" w:eastAsia="Arial" w:hAnsi="Arial"/>
                <w:sz w:val="13"/>
                <w:szCs w:val="13"/>
                <w:color w:val="14202A"/>
              </w:rPr>
              <w:t>common stock</w:t>
            </w:r>
            <w:r>
              <w:rPr>
                <w:rFonts w:ascii="Arial" w:cs="Arial" w:eastAsia="Arial" w:hAnsi="Arial"/>
                <w:sz w:val="20"/>
                <w:szCs w:val="20"/>
                <w:color w:val="14202A"/>
                <w:vertAlign w:val="superscript"/>
              </w:rPr>
              <w:t>(3)</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14202A"/>
              </w:rPr>
              <w:t>New York, NY 10022</w:t>
            </w:r>
          </w:p>
        </w:tc>
        <w:tc>
          <w:tcPr>
            <w:tcW w:w="3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14202A"/>
            </w:tcBorders>
          </w:tcPr>
          <w:p>
            <w:pPr>
              <w:spacing w:after="0"/>
              <w:rPr>
                <w:sz w:val="3"/>
                <w:szCs w:val="3"/>
                <w:color w:val="auto"/>
              </w:rPr>
            </w:pPr>
          </w:p>
        </w:tc>
        <w:tc>
          <w:tcPr>
            <w:tcW w:w="4400" w:type="dxa"/>
            <w:vAlign w:val="bottom"/>
            <w:tcBorders>
              <w:bottom w:val="single" w:sz="8" w:color="14202A"/>
            </w:tcBorders>
          </w:tcPr>
          <w:p>
            <w:pPr>
              <w:spacing w:after="0"/>
              <w:rPr>
                <w:sz w:val="3"/>
                <w:szCs w:val="3"/>
                <w:color w:val="auto"/>
              </w:rPr>
            </w:pPr>
          </w:p>
        </w:tc>
        <w:tc>
          <w:tcPr>
            <w:tcW w:w="368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14202A"/>
              </w:rPr>
              <w:t>Maple Rock Capital Partners Inc.</w:t>
            </w:r>
          </w:p>
        </w:tc>
        <w:tc>
          <w:tcPr>
            <w:tcW w:w="3680" w:type="dxa"/>
            <w:vAlign w:val="bottom"/>
          </w:tcPr>
          <w:p>
            <w:pPr>
              <w:jc w:val="center"/>
              <w:ind w:left="1534"/>
              <w:spacing w:after="0"/>
              <w:rPr>
                <w:sz w:val="20"/>
                <w:szCs w:val="20"/>
                <w:color w:val="auto"/>
              </w:rPr>
            </w:pPr>
            <w:r>
              <w:rPr>
                <w:rFonts w:ascii="Arial" w:cs="Arial" w:eastAsia="Arial" w:hAnsi="Arial"/>
                <w:sz w:val="14"/>
                <w:szCs w:val="14"/>
                <w:color w:val="14202A"/>
              </w:rPr>
              <w:t>1,559,231 shares of</w:t>
            </w:r>
          </w:p>
        </w:tc>
        <w:tc>
          <w:tcPr>
            <w:tcW w:w="1100" w:type="dxa"/>
            <w:vAlign w:val="bottom"/>
          </w:tcPr>
          <w:p>
            <w:pPr>
              <w:jc w:val="right"/>
              <w:ind w:right="53"/>
              <w:spacing w:after="0"/>
              <w:rPr>
                <w:sz w:val="20"/>
                <w:szCs w:val="20"/>
                <w:color w:val="auto"/>
              </w:rPr>
            </w:pPr>
            <w:r>
              <w:rPr>
                <w:rFonts w:ascii="Arial" w:cs="Arial" w:eastAsia="Arial" w:hAnsi="Arial"/>
                <w:sz w:val="14"/>
                <w:szCs w:val="14"/>
                <w:color w:val="14202A"/>
              </w:rPr>
              <w:t>5.48%</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14202A"/>
              </w:rPr>
              <w:t>21 St. Clair Avenue East, Suite 1100</w:t>
            </w:r>
          </w:p>
        </w:tc>
        <w:tc>
          <w:tcPr>
            <w:tcW w:w="3680" w:type="dxa"/>
            <w:vAlign w:val="bottom"/>
          </w:tcPr>
          <w:p>
            <w:pPr>
              <w:jc w:val="center"/>
              <w:ind w:left="1534"/>
              <w:spacing w:after="0" w:line="175" w:lineRule="exact"/>
              <w:rPr>
                <w:sz w:val="20"/>
                <w:szCs w:val="20"/>
                <w:color w:val="auto"/>
              </w:rPr>
            </w:pPr>
            <w:r>
              <w:rPr>
                <w:rFonts w:ascii="Arial" w:cs="Arial" w:eastAsia="Arial" w:hAnsi="Arial"/>
                <w:sz w:val="13"/>
                <w:szCs w:val="13"/>
                <w:color w:val="14202A"/>
              </w:rPr>
              <w:t>common stock</w:t>
            </w:r>
            <w:r>
              <w:rPr>
                <w:rFonts w:ascii="Arial" w:cs="Arial" w:eastAsia="Arial" w:hAnsi="Arial"/>
                <w:sz w:val="20"/>
                <w:szCs w:val="20"/>
                <w:color w:val="14202A"/>
                <w:vertAlign w:val="superscript"/>
              </w:rPr>
              <w:t>(4)</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4400" w:type="dxa"/>
            <w:vAlign w:val="bottom"/>
          </w:tcPr>
          <w:p>
            <w:pPr>
              <w:ind w:left="60"/>
              <w:spacing w:after="0" w:line="153" w:lineRule="exact"/>
              <w:rPr>
                <w:sz w:val="20"/>
                <w:szCs w:val="20"/>
                <w:color w:val="auto"/>
              </w:rPr>
            </w:pPr>
            <w:r>
              <w:rPr>
                <w:rFonts w:ascii="Arial" w:cs="Arial" w:eastAsia="Arial" w:hAnsi="Arial"/>
                <w:sz w:val="14"/>
                <w:szCs w:val="14"/>
                <w:color w:val="14202A"/>
              </w:rPr>
              <w:t>Toronto, Ontario, M4T 1L9</w:t>
            </w:r>
          </w:p>
        </w:tc>
        <w:tc>
          <w:tcPr>
            <w:tcW w:w="3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14202A"/>
              </w:rPr>
              <w:t>Canada</w:t>
            </w:r>
          </w:p>
        </w:tc>
        <w:tc>
          <w:tcPr>
            <w:tcW w:w="3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4400" w:type="dxa"/>
            <w:vAlign w:val="bottom"/>
            <w:tcBorders>
              <w:bottom w:val="single" w:sz="8" w:color="14202A"/>
            </w:tcBorders>
          </w:tcPr>
          <w:p>
            <w:pPr>
              <w:spacing w:after="0" w:line="20" w:lineRule="exact"/>
              <w:rPr>
                <w:sz w:val="1"/>
                <w:szCs w:val="1"/>
                <w:color w:val="auto"/>
              </w:rPr>
            </w:pPr>
          </w:p>
        </w:tc>
        <w:tc>
          <w:tcPr>
            <w:tcW w:w="3680" w:type="dxa"/>
            <w:vAlign w:val="bottom"/>
            <w:tcBorders>
              <w:bottom w:val="single" w:sz="8" w:color="14202A"/>
            </w:tcBorders>
          </w:tcPr>
          <w:p>
            <w:pPr>
              <w:spacing w:after="0" w:line="20" w:lineRule="exact"/>
              <w:rPr>
                <w:sz w:val="1"/>
                <w:szCs w:val="1"/>
                <w:color w:val="auto"/>
              </w:rPr>
            </w:pPr>
          </w:p>
        </w:tc>
        <w:tc>
          <w:tcPr>
            <w:tcW w:w="11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60"/>
        <w:spacing w:after="0"/>
        <w:tabs>
          <w:tab w:leader="none" w:pos="360" w:val="left"/>
        </w:tabs>
        <w:numPr>
          <w:ilvl w:val="0"/>
          <w:numId w:val="67"/>
        </w:numPr>
        <w:rPr>
          <w:rFonts w:ascii="Arial" w:cs="Arial" w:eastAsia="Arial" w:hAnsi="Arial"/>
          <w:sz w:val="13"/>
          <w:szCs w:val="13"/>
          <w:color w:val="14202A"/>
        </w:rPr>
      </w:pPr>
      <w:r>
        <w:rPr>
          <w:rFonts w:ascii="Arial" w:cs="Arial" w:eastAsia="Arial" w:hAnsi="Arial"/>
          <w:sz w:val="13"/>
          <w:szCs w:val="13"/>
          <w:color w:val="14202A"/>
        </w:rPr>
        <w:t>Based on 28,476,262 outstanding shares of common stock on October 20, 2026.</w:t>
      </w:r>
    </w:p>
    <w:p>
      <w:pPr>
        <w:spacing w:after="0" w:line="39" w:lineRule="exact"/>
        <w:rPr>
          <w:rFonts w:ascii="Arial" w:cs="Arial" w:eastAsia="Arial" w:hAnsi="Arial"/>
          <w:sz w:val="13"/>
          <w:szCs w:val="13"/>
          <w:color w:val="14202A"/>
        </w:rPr>
      </w:pPr>
    </w:p>
    <w:p>
      <w:pPr>
        <w:ind w:left="360" w:right="40" w:hanging="360"/>
        <w:spacing w:after="0" w:line="243" w:lineRule="auto"/>
        <w:tabs>
          <w:tab w:leader="none" w:pos="360" w:val="left"/>
        </w:tabs>
        <w:numPr>
          <w:ilvl w:val="0"/>
          <w:numId w:val="67"/>
        </w:numPr>
        <w:rPr>
          <w:rFonts w:ascii="Arial" w:cs="Arial" w:eastAsia="Arial" w:hAnsi="Arial"/>
          <w:sz w:val="13"/>
          <w:szCs w:val="13"/>
          <w:color w:val="14202A"/>
        </w:rPr>
      </w:pPr>
      <w:r>
        <w:rPr>
          <w:rFonts w:ascii="Arial" w:cs="Arial" w:eastAsia="Arial" w:hAnsi="Arial"/>
          <w:sz w:val="13"/>
          <w:szCs w:val="13"/>
          <w:color w:val="14202A"/>
        </w:rPr>
        <w:t>Based on information provided in a Schedule 13G/A filed with the SEC on July 17, 2025 by BlackRock, Inc., a parent holding company. BlackRock reported that it has sole voting power of 4,048,013 shares and sole dispositive power over 4,117,349 shares.</w:t>
      </w:r>
    </w:p>
    <w:p>
      <w:pPr>
        <w:spacing w:after="0" w:line="21" w:lineRule="exact"/>
        <w:rPr>
          <w:rFonts w:ascii="Arial" w:cs="Arial" w:eastAsia="Arial" w:hAnsi="Arial"/>
          <w:sz w:val="13"/>
          <w:szCs w:val="13"/>
          <w:color w:val="14202A"/>
        </w:rPr>
      </w:pPr>
    </w:p>
    <w:p>
      <w:pPr>
        <w:ind w:left="360" w:right="160" w:hanging="360"/>
        <w:spacing w:after="0" w:line="243" w:lineRule="auto"/>
        <w:tabs>
          <w:tab w:leader="none" w:pos="360" w:val="left"/>
        </w:tabs>
        <w:numPr>
          <w:ilvl w:val="0"/>
          <w:numId w:val="67"/>
        </w:numPr>
        <w:rPr>
          <w:rFonts w:ascii="Arial" w:cs="Arial" w:eastAsia="Arial" w:hAnsi="Arial"/>
          <w:sz w:val="13"/>
          <w:szCs w:val="13"/>
          <w:color w:val="14202A"/>
        </w:rPr>
      </w:pPr>
      <w:r>
        <w:rPr>
          <w:rFonts w:ascii="Arial" w:cs="Arial" w:eastAsia="Arial" w:hAnsi="Arial"/>
          <w:sz w:val="13"/>
          <w:szCs w:val="13"/>
          <w:color w:val="14202A"/>
        </w:rPr>
        <w:t>Based on information provided in a Schedule 13G filed with the SEC on July 17, 2026 by Pzena Investment Management, LLC, an investment adviser. Pzena Investment Management, LLC reported that it has sole voting power over 1,190,413 shares and sole dispositive power over 1,709,531 shares.</w:t>
      </w:r>
    </w:p>
    <w:p>
      <w:pPr>
        <w:spacing w:after="0" w:line="21" w:lineRule="exact"/>
        <w:rPr>
          <w:rFonts w:ascii="Arial" w:cs="Arial" w:eastAsia="Arial" w:hAnsi="Arial"/>
          <w:sz w:val="13"/>
          <w:szCs w:val="13"/>
          <w:color w:val="14202A"/>
        </w:rPr>
      </w:pPr>
    </w:p>
    <w:p>
      <w:pPr>
        <w:jc w:val="both"/>
        <w:ind w:left="360" w:right="300" w:hanging="360"/>
        <w:spacing w:after="0" w:line="259" w:lineRule="auto"/>
        <w:tabs>
          <w:tab w:leader="none" w:pos="360" w:val="left"/>
        </w:tabs>
        <w:numPr>
          <w:ilvl w:val="0"/>
          <w:numId w:val="67"/>
        </w:numPr>
        <w:rPr>
          <w:rFonts w:ascii="Arial" w:cs="Arial" w:eastAsia="Arial" w:hAnsi="Arial"/>
          <w:sz w:val="12"/>
          <w:szCs w:val="12"/>
          <w:color w:val="14202A"/>
        </w:rPr>
      </w:pPr>
      <w:r>
        <w:rPr>
          <w:rFonts w:ascii="Arial" w:cs="Arial" w:eastAsia="Arial" w:hAnsi="Arial"/>
          <w:sz w:val="12"/>
          <w:szCs w:val="12"/>
          <w:color w:val="14202A"/>
        </w:rPr>
        <w:t>Based on information provided in a Schedule 13G jointly filed with the SEC on August 14, 2026 by Maple Rock Capital Partners Inc., an investment adviser (“Maple Rock”) and Xavier Majic, Maple Rock’s Chief Investment Officer (together with Maple Rock, the “Maple Rock Reporting Persons”). The Maple Rock Reporting Persons reported that they have sole voting power over 1,559,231 shares and sole dispositive power over 1,559,231 shares.</w:t>
      </w:r>
    </w:p>
    <w:p>
      <w:pPr>
        <w:spacing w:after="0" w:line="282"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14202A"/>
        </w:rPr>
        <w:t>The following table sets forth certain information known to us with respect to beneficial ownership of our common stock, as defined in Rule 13d-3 under the Exchange Act, at October 20, 2026 for (i) each of our directors and director nominees, (ii) each NEO listed in the Summary Compensation Table, and (iii) all current executive officers, directors and director nominees as a group. Except as otherwise indicated, the named beneficial owner has sole voting and investment power with respect to the shares held by such beneficial owner.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3120" w:type="dxa"/>
            <w:vAlign w:val="bottom"/>
            <w:shd w:val="clear" w:color="auto" w:fill="14202A"/>
          </w:tcPr>
          <w:p>
            <w:pPr>
              <w:spacing w:after="0"/>
              <w:rPr>
                <w:sz w:val="19"/>
                <w:szCs w:val="19"/>
                <w:color w:val="auto"/>
              </w:rPr>
            </w:pPr>
          </w:p>
        </w:tc>
        <w:tc>
          <w:tcPr>
            <w:tcW w:w="1520" w:type="dxa"/>
            <w:vAlign w:val="bottom"/>
            <w:shd w:val="clear" w:color="auto" w:fill="14202A"/>
          </w:tcPr>
          <w:p>
            <w:pPr>
              <w:jc w:val="center"/>
              <w:ind w:left="30"/>
              <w:spacing w:after="0"/>
              <w:rPr>
                <w:sz w:val="20"/>
                <w:szCs w:val="20"/>
                <w:color w:val="auto"/>
              </w:rPr>
            </w:pPr>
            <w:r>
              <w:rPr>
                <w:rFonts w:ascii="Arial" w:cs="Arial" w:eastAsia="Arial" w:hAnsi="Arial"/>
                <w:sz w:val="13"/>
                <w:szCs w:val="13"/>
                <w:b w:val="1"/>
                <w:bCs w:val="1"/>
                <w:color w:val="FFFFFF"/>
                <w:w w:val="97"/>
              </w:rPr>
              <w:t>Shares of</w:t>
            </w:r>
          </w:p>
        </w:tc>
        <w:tc>
          <w:tcPr>
            <w:tcW w:w="11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Exercisable</w:t>
            </w:r>
          </w:p>
        </w:tc>
        <w:tc>
          <w:tcPr>
            <w:tcW w:w="11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Winnebago</w:t>
            </w:r>
          </w:p>
        </w:tc>
        <w:tc>
          <w:tcPr>
            <w:tcW w:w="12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Total Shares</w:t>
            </w:r>
          </w:p>
        </w:tc>
        <w:tc>
          <w:tcPr>
            <w:tcW w:w="940" w:type="dxa"/>
            <w:vAlign w:val="bottom"/>
            <w:vMerge w:val="restart"/>
            <w:shd w:val="clear" w:color="auto" w:fill="14202A"/>
          </w:tcPr>
          <w:p>
            <w:pPr>
              <w:jc w:val="center"/>
              <w:ind w:left="2"/>
              <w:spacing w:after="0"/>
              <w:rPr>
                <w:sz w:val="20"/>
                <w:szCs w:val="20"/>
                <w:color w:val="auto"/>
              </w:rPr>
            </w:pPr>
            <w:r>
              <w:rPr>
                <w:rFonts w:ascii="Arial" w:cs="Arial" w:eastAsia="Arial" w:hAnsi="Arial"/>
                <w:sz w:val="13"/>
                <w:szCs w:val="13"/>
                <w:b w:val="1"/>
                <w:bCs w:val="1"/>
                <w:color w:val="FFFFFF"/>
              </w:rPr>
              <w:t>% of</w:t>
            </w:r>
          </w:p>
        </w:tc>
        <w:tc>
          <w:tcPr>
            <w:tcW w:w="0" w:type="dxa"/>
            <w:vAlign w:val="bottom"/>
          </w:tcPr>
          <w:p>
            <w:pPr>
              <w:spacing w:after="0"/>
              <w:rPr>
                <w:sz w:val="1"/>
                <w:szCs w:val="1"/>
                <w:color w:val="auto"/>
              </w:rPr>
            </w:pPr>
          </w:p>
        </w:tc>
      </w:tr>
      <w:tr>
        <w:trPr>
          <w:trHeight w:val="126"/>
        </w:trPr>
        <w:tc>
          <w:tcPr>
            <w:tcW w:w="100" w:type="dxa"/>
            <w:vAlign w:val="bottom"/>
            <w:shd w:val="clear" w:color="auto" w:fill="14202A"/>
          </w:tcPr>
          <w:p>
            <w:pPr>
              <w:spacing w:after="0"/>
              <w:rPr>
                <w:sz w:val="10"/>
                <w:szCs w:val="10"/>
                <w:color w:val="auto"/>
              </w:rPr>
            </w:pPr>
          </w:p>
        </w:tc>
        <w:tc>
          <w:tcPr>
            <w:tcW w:w="3120" w:type="dxa"/>
            <w:vAlign w:val="bottom"/>
            <w:shd w:val="clear" w:color="auto" w:fill="14202A"/>
          </w:tcPr>
          <w:p>
            <w:pPr>
              <w:spacing w:after="0"/>
              <w:rPr>
                <w:sz w:val="10"/>
                <w:szCs w:val="10"/>
                <w:color w:val="auto"/>
              </w:rPr>
            </w:pPr>
          </w:p>
        </w:tc>
        <w:tc>
          <w:tcPr>
            <w:tcW w:w="1520" w:type="dxa"/>
            <w:vAlign w:val="bottom"/>
            <w:shd w:val="clear" w:color="auto" w:fill="14202A"/>
          </w:tcPr>
          <w:p>
            <w:pPr>
              <w:jc w:val="center"/>
              <w:ind w:left="70"/>
              <w:spacing w:after="0" w:line="126" w:lineRule="exact"/>
              <w:rPr>
                <w:sz w:val="20"/>
                <w:szCs w:val="20"/>
                <w:color w:val="auto"/>
              </w:rPr>
            </w:pPr>
            <w:r>
              <w:rPr>
                <w:rFonts w:ascii="Arial" w:cs="Arial" w:eastAsia="Arial" w:hAnsi="Arial"/>
                <w:sz w:val="13"/>
                <w:szCs w:val="13"/>
                <w:b w:val="1"/>
                <w:bCs w:val="1"/>
                <w:color w:val="FFFFFF"/>
                <w:w w:val="98"/>
              </w:rPr>
              <w:t>Common Stock</w:t>
            </w:r>
          </w:p>
        </w:tc>
        <w:tc>
          <w:tcPr>
            <w:tcW w:w="1160" w:type="dxa"/>
            <w:vAlign w:val="bottom"/>
            <w:vMerge w:val="continue"/>
            <w:shd w:val="clear" w:color="auto" w:fill="14202A"/>
          </w:tcPr>
          <w:p>
            <w:pPr>
              <w:spacing w:after="0"/>
              <w:rPr>
                <w:sz w:val="10"/>
                <w:szCs w:val="10"/>
                <w:color w:val="auto"/>
              </w:rPr>
            </w:pPr>
          </w:p>
        </w:tc>
        <w:tc>
          <w:tcPr>
            <w:tcW w:w="1160" w:type="dxa"/>
            <w:vAlign w:val="bottom"/>
            <w:vMerge w:val="continue"/>
            <w:shd w:val="clear" w:color="auto" w:fill="14202A"/>
          </w:tcPr>
          <w:p>
            <w:pPr>
              <w:spacing w:after="0"/>
              <w:rPr>
                <w:sz w:val="10"/>
                <w:szCs w:val="10"/>
                <w:color w:val="auto"/>
              </w:rPr>
            </w:pPr>
          </w:p>
        </w:tc>
        <w:tc>
          <w:tcPr>
            <w:tcW w:w="1280" w:type="dxa"/>
            <w:vAlign w:val="bottom"/>
            <w:shd w:val="clear" w:color="auto" w:fill="14202A"/>
          </w:tcPr>
          <w:p>
            <w:pPr>
              <w:jc w:val="center"/>
              <w:spacing w:after="0" w:line="126" w:lineRule="exact"/>
              <w:rPr>
                <w:sz w:val="20"/>
                <w:szCs w:val="20"/>
                <w:color w:val="auto"/>
              </w:rPr>
            </w:pPr>
            <w:r>
              <w:rPr>
                <w:rFonts w:ascii="Arial" w:cs="Arial" w:eastAsia="Arial" w:hAnsi="Arial"/>
                <w:sz w:val="13"/>
                <w:szCs w:val="13"/>
                <w:b w:val="1"/>
                <w:bCs w:val="1"/>
                <w:color w:val="FFFFFF"/>
                <w:w w:val="96"/>
              </w:rPr>
              <w:t>of Common</w:t>
            </w:r>
          </w:p>
        </w:tc>
        <w:tc>
          <w:tcPr>
            <w:tcW w:w="940" w:type="dxa"/>
            <w:vAlign w:val="bottom"/>
            <w:vMerge w:val="continue"/>
            <w:shd w:val="clear" w:color="auto" w:fill="14202A"/>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12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1520" w:type="dxa"/>
            <w:vAlign w:val="bottom"/>
            <w:shd w:val="clear" w:color="auto" w:fill="14202A"/>
          </w:tcPr>
          <w:p>
            <w:pPr>
              <w:jc w:val="center"/>
              <w:ind w:left="30"/>
              <w:spacing w:after="0" w:line="135" w:lineRule="exact"/>
              <w:rPr>
                <w:sz w:val="20"/>
                <w:szCs w:val="20"/>
                <w:color w:val="auto"/>
              </w:rPr>
            </w:pPr>
            <w:r>
              <w:rPr>
                <w:rFonts w:ascii="Arial" w:cs="Arial" w:eastAsia="Arial" w:hAnsi="Arial"/>
                <w:sz w:val="13"/>
                <w:szCs w:val="13"/>
                <w:b w:val="1"/>
                <w:bCs w:val="1"/>
                <w:color w:val="FFFFFF"/>
                <w:w w:val="96"/>
              </w:rPr>
              <w:t>Owned</w:t>
            </w:r>
          </w:p>
        </w:tc>
        <w:tc>
          <w:tcPr>
            <w:tcW w:w="11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rPr>
              <w:t>Stock</w:t>
            </w:r>
          </w:p>
        </w:tc>
        <w:tc>
          <w:tcPr>
            <w:tcW w:w="11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Stock</w:t>
            </w:r>
          </w:p>
        </w:tc>
        <w:tc>
          <w:tcPr>
            <w:tcW w:w="12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Stock Owned</w:t>
            </w:r>
          </w:p>
        </w:tc>
        <w:tc>
          <w:tcPr>
            <w:tcW w:w="940" w:type="dxa"/>
            <w:vAlign w:val="bottom"/>
            <w:shd w:val="clear" w:color="auto" w:fill="14202A"/>
          </w:tcPr>
          <w:p>
            <w:pPr>
              <w:jc w:val="center"/>
              <w:ind w:left="2"/>
              <w:spacing w:after="0" w:line="135" w:lineRule="exact"/>
              <w:rPr>
                <w:sz w:val="20"/>
                <w:szCs w:val="20"/>
                <w:color w:val="auto"/>
              </w:rPr>
            </w:pPr>
            <w:r>
              <w:rPr>
                <w:rFonts w:ascii="Arial" w:cs="Arial" w:eastAsia="Arial" w:hAnsi="Arial"/>
                <w:sz w:val="13"/>
                <w:szCs w:val="13"/>
                <w:b w:val="1"/>
                <w:bCs w:val="1"/>
                <w:color w:val="FFFFFF"/>
                <w:w w:val="99"/>
              </w:rPr>
              <w:t>Common</w:t>
            </w:r>
          </w:p>
        </w:tc>
        <w:tc>
          <w:tcPr>
            <w:tcW w:w="0" w:type="dxa"/>
            <w:vAlign w:val="bottom"/>
          </w:tcPr>
          <w:p>
            <w:pPr>
              <w:spacing w:after="0"/>
              <w:rPr>
                <w:sz w:val="1"/>
                <w:szCs w:val="1"/>
                <w:color w:val="auto"/>
              </w:rPr>
            </w:pPr>
          </w:p>
        </w:tc>
      </w:tr>
      <w:tr>
        <w:trPr>
          <w:trHeight w:val="243"/>
        </w:trPr>
        <w:tc>
          <w:tcPr>
            <w:tcW w:w="100" w:type="dxa"/>
            <w:vAlign w:val="bottom"/>
            <w:shd w:val="clear" w:color="auto" w:fill="14202A"/>
          </w:tcPr>
          <w:p>
            <w:pPr>
              <w:spacing w:after="0"/>
              <w:rPr>
                <w:sz w:val="21"/>
                <w:szCs w:val="21"/>
                <w:color w:val="auto"/>
              </w:rPr>
            </w:pPr>
          </w:p>
        </w:tc>
        <w:tc>
          <w:tcPr>
            <w:tcW w:w="3120" w:type="dxa"/>
            <w:vAlign w:val="bottom"/>
            <w:vMerge w:val="continue"/>
            <w:shd w:val="clear" w:color="auto" w:fill="14202A"/>
          </w:tcPr>
          <w:p>
            <w:pPr>
              <w:spacing w:after="0"/>
              <w:rPr>
                <w:sz w:val="21"/>
                <w:szCs w:val="21"/>
                <w:color w:val="auto"/>
              </w:rPr>
            </w:pPr>
          </w:p>
        </w:tc>
        <w:tc>
          <w:tcPr>
            <w:tcW w:w="1520" w:type="dxa"/>
            <w:vAlign w:val="bottom"/>
            <w:shd w:val="clear" w:color="auto" w:fill="14202A"/>
          </w:tcPr>
          <w:p>
            <w:pPr>
              <w:jc w:val="center"/>
              <w:ind w:left="70"/>
              <w:spacing w:after="0"/>
              <w:rPr>
                <w:sz w:val="20"/>
                <w:szCs w:val="20"/>
                <w:color w:val="auto"/>
              </w:rPr>
            </w:pPr>
            <w:r>
              <w:rPr>
                <w:rFonts w:ascii="Arial" w:cs="Arial" w:eastAsia="Arial" w:hAnsi="Arial"/>
                <w:sz w:val="13"/>
                <w:szCs w:val="13"/>
                <w:b w:val="1"/>
                <w:bCs w:val="1"/>
                <w:color w:val="FFFFFF"/>
                <w:w w:val="97"/>
              </w:rPr>
              <w:t>Outright</w:t>
            </w:r>
          </w:p>
        </w:tc>
        <w:tc>
          <w:tcPr>
            <w:tcW w:w="11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1"/>
              </w:rPr>
              <w:t>Options</w:t>
            </w:r>
            <w:r>
              <w:rPr>
                <w:rFonts w:ascii="Arial" w:cs="Arial" w:eastAsia="Arial" w:hAnsi="Arial"/>
                <w:sz w:val="20"/>
                <w:szCs w:val="20"/>
                <w:b w:val="1"/>
                <w:bCs w:val="1"/>
                <w:color w:val="FFFFFF"/>
                <w:w w:val="91"/>
                <w:vertAlign w:val="superscript"/>
              </w:rPr>
              <w:t>(1)</w:t>
            </w:r>
          </w:p>
        </w:tc>
        <w:tc>
          <w:tcPr>
            <w:tcW w:w="11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0"/>
              </w:rPr>
              <w:t>Units</w:t>
            </w:r>
            <w:r>
              <w:rPr>
                <w:rFonts w:ascii="Arial" w:cs="Arial" w:eastAsia="Arial" w:hAnsi="Arial"/>
                <w:sz w:val="20"/>
                <w:szCs w:val="20"/>
                <w:b w:val="1"/>
                <w:bCs w:val="1"/>
                <w:color w:val="FFFFFF"/>
                <w:w w:val="90"/>
                <w:vertAlign w:val="superscript"/>
              </w:rPr>
              <w:t>(2)</w:t>
            </w:r>
          </w:p>
        </w:tc>
        <w:tc>
          <w:tcPr>
            <w:tcW w:w="12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Beneficially</w:t>
            </w:r>
          </w:p>
        </w:tc>
        <w:tc>
          <w:tcPr>
            <w:tcW w:w="940" w:type="dxa"/>
            <w:vAlign w:val="bottom"/>
            <w:shd w:val="clear" w:color="auto" w:fill="14202A"/>
          </w:tcPr>
          <w:p>
            <w:pPr>
              <w:jc w:val="center"/>
              <w:ind w:left="42"/>
              <w:spacing w:after="0"/>
              <w:rPr>
                <w:sz w:val="20"/>
                <w:szCs w:val="20"/>
                <w:color w:val="auto"/>
              </w:rPr>
            </w:pPr>
            <w:r>
              <w:rPr>
                <w:rFonts w:ascii="Arial" w:cs="Arial" w:eastAsia="Arial" w:hAnsi="Arial"/>
                <w:sz w:val="13"/>
                <w:szCs w:val="13"/>
                <w:b w:val="1"/>
                <w:bCs w:val="1"/>
                <w:color w:val="FFFFFF"/>
                <w:w w:val="92"/>
              </w:rPr>
              <w:t>Stock</w:t>
            </w:r>
            <w:r>
              <w:rPr>
                <w:rFonts w:ascii="Arial" w:cs="Arial" w:eastAsia="Arial" w:hAnsi="Arial"/>
                <w:sz w:val="20"/>
                <w:szCs w:val="20"/>
                <w:b w:val="1"/>
                <w:bCs w:val="1"/>
                <w:color w:val="FFFFFF"/>
                <w:w w:val="92"/>
                <w:vertAlign w:val="superscript"/>
              </w:rPr>
              <w:t>(3)</w:t>
            </w: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Sara E. Armbruster</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14,426</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14,426</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Stacy L. Bogart</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47,607</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38,434</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86,041</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Christopher J. Braun</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33,568</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33,568</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Kevin E. Bryant</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18,633</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18,633</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14202A"/>
              </w:rPr>
              <w:t>Donald J. Clark</w:t>
            </w:r>
          </w:p>
        </w:tc>
        <w:tc>
          <w:tcPr>
            <w:tcW w:w="1520" w:type="dxa"/>
            <w:vAlign w:val="bottom"/>
          </w:tcPr>
          <w:p>
            <w:pPr>
              <w:jc w:val="right"/>
              <w:ind w:right="270"/>
              <w:spacing w:after="0"/>
              <w:rPr>
                <w:sz w:val="20"/>
                <w:szCs w:val="20"/>
                <w:color w:val="auto"/>
              </w:rPr>
            </w:pPr>
            <w:r>
              <w:rPr>
                <w:rFonts w:ascii="Arial" w:cs="Arial" w:eastAsia="Arial" w:hAnsi="Arial"/>
                <w:sz w:val="14"/>
                <w:szCs w:val="14"/>
                <w:color w:val="14202A"/>
              </w:rPr>
              <w:t>449,844</w:t>
            </w:r>
          </w:p>
        </w:tc>
        <w:tc>
          <w:tcPr>
            <w:tcW w:w="1160" w:type="dxa"/>
            <w:vAlign w:val="bottom"/>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tcPr>
          <w:p>
            <w:pPr>
              <w:jc w:val="right"/>
              <w:ind w:right="250"/>
              <w:spacing w:after="0"/>
              <w:rPr>
                <w:sz w:val="20"/>
                <w:szCs w:val="20"/>
                <w:color w:val="auto"/>
              </w:rPr>
            </w:pPr>
            <w:r>
              <w:rPr>
                <w:rFonts w:ascii="Arial" w:cs="Arial" w:eastAsia="Arial" w:hAnsi="Arial"/>
                <w:sz w:val="14"/>
                <w:szCs w:val="14"/>
                <w:color w:val="14202A"/>
              </w:rPr>
              <w:t>449,844</w:t>
            </w:r>
          </w:p>
        </w:tc>
        <w:tc>
          <w:tcPr>
            <w:tcW w:w="940" w:type="dxa"/>
            <w:vAlign w:val="bottom"/>
          </w:tcPr>
          <w:p>
            <w:pPr>
              <w:jc w:val="right"/>
              <w:ind w:right="102"/>
              <w:spacing w:after="0"/>
              <w:rPr>
                <w:sz w:val="20"/>
                <w:szCs w:val="20"/>
                <w:color w:val="auto"/>
              </w:rPr>
            </w:pPr>
            <w:r>
              <w:rPr>
                <w:rFonts w:ascii="Arial" w:cs="Arial" w:eastAsia="Arial" w:hAnsi="Arial"/>
                <w:sz w:val="14"/>
                <w:szCs w:val="14"/>
                <w:color w:val="14202A"/>
              </w:rPr>
              <w:t>1.58%</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William C. Fisher</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36,145</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6,327</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42,472</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14202A"/>
              </w:rPr>
              <w:t>Michael J. Happe</w:t>
            </w:r>
          </w:p>
        </w:tc>
        <w:tc>
          <w:tcPr>
            <w:tcW w:w="1520" w:type="dxa"/>
            <w:vAlign w:val="bottom"/>
          </w:tcPr>
          <w:p>
            <w:pPr>
              <w:jc w:val="right"/>
              <w:ind w:right="270"/>
              <w:spacing w:after="0"/>
              <w:rPr>
                <w:sz w:val="20"/>
                <w:szCs w:val="20"/>
                <w:color w:val="auto"/>
              </w:rPr>
            </w:pPr>
            <w:r>
              <w:rPr>
                <w:rFonts w:ascii="Arial" w:cs="Arial" w:eastAsia="Arial" w:hAnsi="Arial"/>
                <w:sz w:val="14"/>
                <w:szCs w:val="14"/>
                <w:color w:val="14202A"/>
              </w:rPr>
              <w:t>274,143</w:t>
            </w:r>
          </w:p>
        </w:tc>
        <w:tc>
          <w:tcPr>
            <w:tcW w:w="1160" w:type="dxa"/>
            <w:vAlign w:val="bottom"/>
          </w:tcPr>
          <w:p>
            <w:pPr>
              <w:jc w:val="right"/>
              <w:ind w:right="269"/>
              <w:spacing w:after="0"/>
              <w:rPr>
                <w:sz w:val="20"/>
                <w:szCs w:val="20"/>
                <w:color w:val="auto"/>
              </w:rPr>
            </w:pPr>
            <w:r>
              <w:rPr>
                <w:rFonts w:ascii="Arial" w:cs="Arial" w:eastAsia="Arial" w:hAnsi="Arial"/>
                <w:sz w:val="14"/>
                <w:szCs w:val="14"/>
                <w:color w:val="14202A"/>
              </w:rPr>
              <w:t>281,761</w:t>
            </w:r>
          </w:p>
        </w:tc>
        <w:tc>
          <w:tcPr>
            <w:tcW w:w="1160" w:type="dxa"/>
            <w:vAlign w:val="bottom"/>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tcPr>
          <w:p>
            <w:pPr>
              <w:jc w:val="right"/>
              <w:ind w:right="250"/>
              <w:spacing w:after="0"/>
              <w:rPr>
                <w:sz w:val="20"/>
                <w:szCs w:val="20"/>
                <w:color w:val="auto"/>
              </w:rPr>
            </w:pPr>
            <w:r>
              <w:rPr>
                <w:rFonts w:ascii="Arial" w:cs="Arial" w:eastAsia="Arial" w:hAnsi="Arial"/>
                <w:sz w:val="14"/>
                <w:szCs w:val="14"/>
                <w:color w:val="14202A"/>
              </w:rPr>
              <w:t>555,904</w:t>
            </w:r>
          </w:p>
        </w:tc>
        <w:tc>
          <w:tcPr>
            <w:tcW w:w="940" w:type="dxa"/>
            <w:vAlign w:val="bottom"/>
          </w:tcPr>
          <w:p>
            <w:pPr>
              <w:jc w:val="right"/>
              <w:ind w:right="102"/>
              <w:spacing w:after="0"/>
              <w:rPr>
                <w:sz w:val="20"/>
                <w:szCs w:val="20"/>
                <w:color w:val="auto"/>
              </w:rPr>
            </w:pPr>
            <w:r>
              <w:rPr>
                <w:rFonts w:ascii="Arial" w:cs="Arial" w:eastAsia="Arial" w:hAnsi="Arial"/>
                <w:sz w:val="14"/>
                <w:szCs w:val="14"/>
                <w:color w:val="14202A"/>
              </w:rPr>
              <w:t>1.93%</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Bryan L. Hughes</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68,570</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57,965</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vMerge w:val="restart"/>
          </w:tcPr>
          <w:p>
            <w:pPr>
              <w:jc w:val="right"/>
              <w:ind w:right="250"/>
              <w:spacing w:after="0"/>
              <w:rPr>
                <w:sz w:val="20"/>
                <w:szCs w:val="20"/>
                <w:color w:val="auto"/>
              </w:rPr>
            </w:pPr>
            <w:r>
              <w:rPr>
                <w:rFonts w:ascii="Arial" w:cs="Arial" w:eastAsia="Arial" w:hAnsi="Arial"/>
                <w:sz w:val="14"/>
                <w:szCs w:val="14"/>
                <w:color w:val="14202A"/>
              </w:rPr>
              <w:t>126,535</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Jay L. Johnson</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Staci L. Kroon</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9,991</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9,991</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David W. Miles</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32,909</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13,355</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46,264</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John M. Murabito</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25,668</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25,668</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Michael E. Pack</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6,873</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4,310</w:t>
            </w:r>
          </w:p>
        </w:tc>
        <w:tc>
          <w:tcPr>
            <w:tcW w:w="1280" w:type="dxa"/>
            <w:vAlign w:val="bottom"/>
            <w:vMerge w:val="restart"/>
          </w:tcPr>
          <w:p>
            <w:pPr>
              <w:jc w:val="right"/>
              <w:ind w:right="250"/>
              <w:spacing w:after="0"/>
              <w:rPr>
                <w:sz w:val="20"/>
                <w:szCs w:val="20"/>
                <w:color w:val="auto"/>
              </w:rPr>
            </w:pPr>
            <w:r>
              <w:rPr>
                <w:rFonts w:ascii="Arial" w:cs="Arial" w:eastAsia="Arial" w:hAnsi="Arial"/>
                <w:sz w:val="14"/>
                <w:szCs w:val="14"/>
                <w:color w:val="14202A"/>
              </w:rPr>
              <w:t>11,183</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Emily R. Silver</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Casey J. Tubman</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19,352</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14,112</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33,464</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14202A"/>
              </w:rPr>
              <w:t>Current directors, director nominees and</w:t>
            </w:r>
          </w:p>
        </w:tc>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14202A"/>
              </w:rPr>
              <w:t>executive officers as a group (17 persons)</w:t>
            </w:r>
          </w:p>
        </w:tc>
        <w:tc>
          <w:tcPr>
            <w:tcW w:w="1520" w:type="dxa"/>
            <w:vAlign w:val="bottom"/>
          </w:tcPr>
          <w:p>
            <w:pPr>
              <w:jc w:val="right"/>
              <w:ind w:right="270"/>
              <w:spacing w:after="0"/>
              <w:rPr>
                <w:sz w:val="20"/>
                <w:szCs w:val="20"/>
                <w:color w:val="auto"/>
              </w:rPr>
            </w:pPr>
            <w:r>
              <w:rPr>
                <w:rFonts w:ascii="Arial" w:cs="Arial" w:eastAsia="Arial" w:hAnsi="Arial"/>
                <w:sz w:val="14"/>
                <w:szCs w:val="14"/>
                <w:color w:val="14202A"/>
              </w:rPr>
              <w:t>1,091,767</w:t>
            </w:r>
          </w:p>
        </w:tc>
        <w:tc>
          <w:tcPr>
            <w:tcW w:w="1160" w:type="dxa"/>
            <w:vAlign w:val="bottom"/>
          </w:tcPr>
          <w:p>
            <w:pPr>
              <w:jc w:val="right"/>
              <w:ind w:right="269"/>
              <w:spacing w:after="0"/>
              <w:rPr>
                <w:sz w:val="20"/>
                <w:szCs w:val="20"/>
                <w:color w:val="auto"/>
              </w:rPr>
            </w:pPr>
            <w:r>
              <w:rPr>
                <w:rFonts w:ascii="Arial" w:cs="Arial" w:eastAsia="Arial" w:hAnsi="Arial"/>
                <w:sz w:val="14"/>
                <w:szCs w:val="14"/>
                <w:color w:val="14202A"/>
              </w:rPr>
              <w:t>453,948</w:t>
            </w:r>
          </w:p>
        </w:tc>
        <w:tc>
          <w:tcPr>
            <w:tcW w:w="1160" w:type="dxa"/>
            <w:vAlign w:val="bottom"/>
          </w:tcPr>
          <w:p>
            <w:pPr>
              <w:jc w:val="right"/>
              <w:ind w:right="309"/>
              <w:spacing w:after="0"/>
              <w:rPr>
                <w:sz w:val="20"/>
                <w:szCs w:val="20"/>
                <w:color w:val="auto"/>
              </w:rPr>
            </w:pPr>
            <w:r>
              <w:rPr>
                <w:rFonts w:ascii="Arial" w:cs="Arial" w:eastAsia="Arial" w:hAnsi="Arial"/>
                <w:sz w:val="14"/>
                <w:szCs w:val="14"/>
                <w:color w:val="14202A"/>
              </w:rPr>
              <w:t>23,992</w:t>
            </w:r>
          </w:p>
        </w:tc>
        <w:tc>
          <w:tcPr>
            <w:tcW w:w="1280" w:type="dxa"/>
            <w:vAlign w:val="bottom"/>
          </w:tcPr>
          <w:p>
            <w:pPr>
              <w:jc w:val="right"/>
              <w:ind w:right="250"/>
              <w:spacing w:after="0"/>
              <w:rPr>
                <w:sz w:val="20"/>
                <w:szCs w:val="20"/>
                <w:color w:val="auto"/>
              </w:rPr>
            </w:pPr>
            <w:r>
              <w:rPr>
                <w:rFonts w:ascii="Arial" w:cs="Arial" w:eastAsia="Arial" w:hAnsi="Arial"/>
                <w:sz w:val="14"/>
                <w:szCs w:val="14"/>
                <w:color w:val="14202A"/>
              </w:rPr>
              <w:t>1,569,707</w:t>
            </w:r>
          </w:p>
        </w:tc>
        <w:tc>
          <w:tcPr>
            <w:tcW w:w="940" w:type="dxa"/>
            <w:vAlign w:val="bottom"/>
          </w:tcPr>
          <w:p>
            <w:pPr>
              <w:jc w:val="right"/>
              <w:ind w:right="102"/>
              <w:spacing w:after="0"/>
              <w:rPr>
                <w:sz w:val="20"/>
                <w:szCs w:val="20"/>
                <w:color w:val="auto"/>
              </w:rPr>
            </w:pPr>
            <w:r>
              <w:rPr>
                <w:rFonts w:ascii="Arial" w:cs="Arial" w:eastAsia="Arial" w:hAnsi="Arial"/>
                <w:sz w:val="14"/>
                <w:szCs w:val="14"/>
                <w:color w:val="14202A"/>
              </w:rPr>
              <w:t>5.42%</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120" w:type="dxa"/>
            <w:vAlign w:val="bottom"/>
            <w:tcBorders>
              <w:bottom w:val="single" w:sz="8" w:color="14202A"/>
            </w:tcBorders>
          </w:tcPr>
          <w:p>
            <w:pPr>
              <w:spacing w:after="0" w:line="20" w:lineRule="exact"/>
              <w:rPr>
                <w:sz w:val="1"/>
                <w:szCs w:val="1"/>
                <w:color w:val="auto"/>
              </w:rPr>
            </w:pPr>
          </w:p>
        </w:tc>
        <w:tc>
          <w:tcPr>
            <w:tcW w:w="1520" w:type="dxa"/>
            <w:vAlign w:val="bottom"/>
            <w:tcBorders>
              <w:bottom w:val="single" w:sz="8" w:color="14202A"/>
            </w:tcBorders>
          </w:tcPr>
          <w:p>
            <w:pPr>
              <w:spacing w:after="0" w:line="20" w:lineRule="exact"/>
              <w:rPr>
                <w:sz w:val="1"/>
                <w:szCs w:val="1"/>
                <w:color w:val="auto"/>
              </w:rPr>
            </w:pPr>
          </w:p>
        </w:tc>
        <w:tc>
          <w:tcPr>
            <w:tcW w:w="1160" w:type="dxa"/>
            <w:vAlign w:val="bottom"/>
            <w:tcBorders>
              <w:bottom w:val="single" w:sz="8" w:color="14202A"/>
            </w:tcBorders>
          </w:tcPr>
          <w:p>
            <w:pPr>
              <w:spacing w:after="0" w:line="20" w:lineRule="exact"/>
              <w:rPr>
                <w:sz w:val="1"/>
                <w:szCs w:val="1"/>
                <w:color w:val="auto"/>
              </w:rPr>
            </w:pPr>
          </w:p>
        </w:tc>
        <w:tc>
          <w:tcPr>
            <w:tcW w:w="1160" w:type="dxa"/>
            <w:vAlign w:val="bottom"/>
            <w:tcBorders>
              <w:bottom w:val="single" w:sz="8" w:color="14202A"/>
            </w:tcBorders>
          </w:tcPr>
          <w:p>
            <w:pPr>
              <w:spacing w:after="0" w:line="20" w:lineRule="exact"/>
              <w:rPr>
                <w:sz w:val="1"/>
                <w:szCs w:val="1"/>
                <w:color w:val="auto"/>
              </w:rPr>
            </w:pPr>
          </w:p>
        </w:tc>
        <w:tc>
          <w:tcPr>
            <w:tcW w:w="1280" w:type="dxa"/>
            <w:vAlign w:val="bottom"/>
            <w:tcBorders>
              <w:bottom w:val="single" w:sz="8" w:color="14202A"/>
            </w:tcBorders>
          </w:tcPr>
          <w:p>
            <w:pPr>
              <w:spacing w:after="0" w:line="20" w:lineRule="exact"/>
              <w:rPr>
                <w:sz w:val="1"/>
                <w:szCs w:val="1"/>
                <w:color w:val="auto"/>
              </w:rPr>
            </w:pPr>
          </w:p>
        </w:tc>
        <w:tc>
          <w:tcPr>
            <w:tcW w:w="94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60"/>
        <w:spacing w:after="0"/>
        <w:tabs>
          <w:tab w:leader="none" w:pos="360" w:val="left"/>
        </w:tabs>
        <w:numPr>
          <w:ilvl w:val="0"/>
          <w:numId w:val="68"/>
        </w:numPr>
        <w:rPr>
          <w:rFonts w:ascii="Arial" w:cs="Arial" w:eastAsia="Arial" w:hAnsi="Arial"/>
          <w:sz w:val="13"/>
          <w:szCs w:val="13"/>
          <w:color w:val="14202A"/>
        </w:rPr>
      </w:pPr>
      <w:r>
        <w:rPr>
          <w:rFonts w:ascii="Arial" w:cs="Arial" w:eastAsia="Arial" w:hAnsi="Arial"/>
          <w:sz w:val="13"/>
          <w:szCs w:val="13"/>
          <w:color w:val="14202A"/>
        </w:rPr>
        <w:t>Includes shares underlying stock options that are currently exercisable or become exercisable within 60 days.</w:t>
      </w:r>
    </w:p>
    <w:p>
      <w:pPr>
        <w:spacing w:after="0" w:line="39" w:lineRule="exact"/>
        <w:rPr>
          <w:rFonts w:ascii="Arial" w:cs="Arial" w:eastAsia="Arial" w:hAnsi="Arial"/>
          <w:sz w:val="13"/>
          <w:szCs w:val="13"/>
          <w:color w:val="14202A"/>
        </w:rPr>
      </w:pPr>
    </w:p>
    <w:p>
      <w:pPr>
        <w:ind w:left="360" w:right="380" w:hanging="360"/>
        <w:spacing w:after="0" w:line="233" w:lineRule="auto"/>
        <w:tabs>
          <w:tab w:leader="none" w:pos="360" w:val="left"/>
        </w:tabs>
        <w:numPr>
          <w:ilvl w:val="0"/>
          <w:numId w:val="68"/>
        </w:numPr>
        <w:rPr>
          <w:rFonts w:ascii="Arial" w:cs="Arial" w:eastAsia="Arial" w:hAnsi="Arial"/>
          <w:sz w:val="13"/>
          <w:szCs w:val="13"/>
          <w:color w:val="14202A"/>
        </w:rPr>
      </w:pPr>
      <w:r>
        <w:rPr>
          <w:rFonts w:ascii="Arial" w:cs="Arial" w:eastAsia="Arial" w:hAnsi="Arial"/>
          <w:sz w:val="13"/>
          <w:szCs w:val="13"/>
          <w:color w:val="14202A"/>
        </w:rPr>
        <w:t>Winnebago Stock Units held under our Directors’ Deferred Plan as of October 20, 2026 (see further discussion of the plan in the Director Compensation section). These units are vested and will be settled 100% in common stock upon the earliest of the following events: a date designated by the director, the director’s termination of service, death or disability or a change in control of the Company, as defined in the plan.</w:t>
      </w:r>
    </w:p>
    <w:p>
      <w:pPr>
        <w:spacing w:after="0" w:line="23" w:lineRule="exact"/>
        <w:rPr>
          <w:rFonts w:ascii="Arial" w:cs="Arial" w:eastAsia="Arial" w:hAnsi="Arial"/>
          <w:sz w:val="13"/>
          <w:szCs w:val="13"/>
          <w:color w:val="14202A"/>
        </w:rPr>
      </w:pPr>
    </w:p>
    <w:p>
      <w:pPr>
        <w:ind w:left="360" w:hanging="360"/>
        <w:spacing w:after="0"/>
        <w:tabs>
          <w:tab w:leader="none" w:pos="360" w:val="left"/>
        </w:tabs>
        <w:numPr>
          <w:ilvl w:val="0"/>
          <w:numId w:val="68"/>
        </w:numPr>
        <w:rPr>
          <w:rFonts w:ascii="Arial" w:cs="Arial" w:eastAsia="Arial" w:hAnsi="Arial"/>
          <w:sz w:val="13"/>
          <w:szCs w:val="13"/>
          <w:color w:val="14202A"/>
        </w:rPr>
      </w:pPr>
      <w:r>
        <w:rPr>
          <w:rFonts w:ascii="Arial" w:cs="Arial" w:eastAsia="Arial" w:hAnsi="Arial"/>
          <w:sz w:val="13"/>
          <w:szCs w:val="13"/>
          <w:color w:val="14202A"/>
        </w:rPr>
        <w:t>Based on 28,476,262 outstanding shares of common stock on October 20, 2026.</w:t>
      </w:r>
    </w:p>
    <w:p>
      <w:pPr>
        <w:spacing w:after="0" w:line="39" w:lineRule="exact"/>
        <w:rPr>
          <w:rFonts w:ascii="Arial" w:cs="Arial" w:eastAsia="Arial" w:hAnsi="Arial"/>
          <w:sz w:val="13"/>
          <w:szCs w:val="13"/>
          <w:color w:val="14202A"/>
        </w:rPr>
      </w:pPr>
    </w:p>
    <w:p>
      <w:pPr>
        <w:ind w:left="360" w:hanging="360"/>
        <w:spacing w:after="0"/>
        <w:tabs>
          <w:tab w:leader="none" w:pos="360" w:val="left"/>
        </w:tabs>
        <w:numPr>
          <w:ilvl w:val="0"/>
          <w:numId w:val="68"/>
        </w:numPr>
        <w:rPr>
          <w:rFonts w:ascii="Arial" w:cs="Arial" w:eastAsia="Arial" w:hAnsi="Arial"/>
          <w:sz w:val="13"/>
          <w:szCs w:val="13"/>
          <w:color w:val="14202A"/>
        </w:rPr>
      </w:pPr>
      <w:r>
        <w:rPr>
          <w:rFonts w:ascii="Arial" w:cs="Arial" w:eastAsia="Arial" w:hAnsi="Arial"/>
          <w:sz w:val="13"/>
          <w:szCs w:val="13"/>
          <w:color w:val="14202A"/>
        </w:rPr>
        <w:t>Less than 1%.</w:t>
      </w:r>
    </w:p>
    <w:p>
      <w:pPr>
        <w:spacing w:after="0" w:line="310"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Voting Information</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Internet Availability of Proxy Materials</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As permitted by “Notice and Access” rules adopted by the SEC, our proxy materials are furnished to shareholders on the internet, rather than mailing paper copies to each shareholder. If you received a Notice of Internet Availability of Proxy Materials (the “Notice”) by mail, you will not receive a paper copy of the proxy materials unless you specifically request one. Instead, the Notice instructs you how to access and review the proxy materials and vote your shares. If you would like to receive a paper copy of our proxy materials, follow the instructions in the Notice. The Notice will be mailed to shareholders on or about November 3, 2026.</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Shareholders Entitled to Vote</w:t>
      </w:r>
    </w:p>
    <w:p>
      <w:pPr>
        <w:spacing w:after="0" w:line="180"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14202A"/>
        </w:rPr>
        <w:t>The Board set October 20, 2026 as the record date for the Annual Meeting. This means that our shareholders as of the close of business on that date are entitled to notice of and to vote at the Annual Meeting. On the record date, 28,476,262 shares of our common stock were outstanding. The common stock is the only class of securities entitled to vote at the Annual Meeting. Each outstanding share entitles its holder to one vote on each matter submitted for a vote, and shareholders do not have cumulative voting rights.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Quorum for the Annual Meeting</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14202A"/>
        </w:rPr>
        <w:t>A majority of the outstanding shares entitled to vote is necessary to constitute a quorum for the transaction of business at the Annual Meeting. Shares represented by a valid proxy or by a shareholder participating in the Annual Meeting in accordance with the applicable procedures will be counted for quorum purposes, including shares for which votes are withheld, shares voted to abstain and shares represented by broker non-votes.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14202A"/>
        </w:rPr>
        <w:t>A representative of Broadridge Financial Solutions, Inc. will serve as the independent inspector of election at the Annual Meeting.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The inspector will determine whether a quorum is present and tabulate and certify the voting results.</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Attending the Virtual Annual Meeting</w:t>
      </w:r>
    </w:p>
    <w:p>
      <w:pPr>
        <w:spacing w:after="0" w:line="180"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14202A"/>
        </w:rPr>
        <w:t>The Annual Meeting will be held online at www.virtualshareholdermeeting.com/WGO2026. You may participate, vote and submit questions during the meeting by entering the 16-digit control number included in your Notice, proxy card or voting instruction form. If your shares are held through a broker, bank or other nominee, follow its instructions for participation and voting. Online check-in will begin at 3:45 p.m. Central Standard Time. Technical assistance will be available through the contact information provided on the virtual meeting website.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How to Vote</w:t>
      </w:r>
    </w:p>
    <w:p>
      <w:pPr>
        <w:spacing w:after="0" w:line="180"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14202A"/>
        </w:rPr>
        <w:t>Whether or not you expect to attend the Annual Meeting, please carefully review the proxy materials and follow the instructions below to cast your vote.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Shares Registered in Your Name</w:t>
      </w:r>
    </w:p>
    <w:p>
      <w:pPr>
        <w:spacing w:after="0" w:line="180"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14202A"/>
        </w:rPr>
        <w:t>By submitting voting instructions for shares registered in your name before the Annual Meeting, you are appointing a proxy to vote these shares. You may vote in one of the following ways:</w:t>
      </w:r>
    </w:p>
    <w:p>
      <w:pPr>
        <w:spacing w:after="0" w:line="118" w:lineRule="exact"/>
        <w:rPr>
          <w:sz w:val="20"/>
          <w:szCs w:val="20"/>
          <w:color w:val="auto"/>
        </w:rPr>
      </w:pPr>
    </w:p>
    <w:p>
      <w:pPr>
        <w:ind w:left="720" w:right="360"/>
        <w:spacing w:after="0" w:line="259" w:lineRule="auto"/>
        <w:rPr>
          <w:sz w:val="20"/>
          <w:szCs w:val="20"/>
          <w:color w:val="auto"/>
        </w:rPr>
      </w:pPr>
      <w:r>
        <w:rPr>
          <w:rFonts w:ascii="Arial" w:cs="Arial" w:eastAsia="Arial" w:hAnsi="Arial"/>
          <w:sz w:val="16"/>
          <w:szCs w:val="16"/>
          <w:b w:val="1"/>
          <w:bCs w:val="1"/>
          <w:i w:val="1"/>
          <w:iCs w:val="1"/>
          <w:color w:val="14202A"/>
        </w:rPr>
        <w:t>Voting by Internet or Telephone</w:t>
      </w:r>
      <w:r>
        <w:rPr>
          <w:rFonts w:ascii="Arial" w:cs="Arial" w:eastAsia="Arial" w:hAnsi="Arial"/>
          <w:sz w:val="16"/>
          <w:szCs w:val="16"/>
          <w:color w:val="14202A"/>
        </w:rPr>
        <w:t>. You may vote using the internet or telephone by following the instructions in the</w:t>
      </w:r>
      <w:r>
        <w:rPr>
          <w:rFonts w:ascii="Arial" w:cs="Arial" w:eastAsia="Arial" w:hAnsi="Arial"/>
          <w:sz w:val="16"/>
          <w:szCs w:val="16"/>
          <w:b w:val="1"/>
          <w:bCs w:val="1"/>
          <w:i w:val="1"/>
          <w:iCs w:val="1"/>
          <w:color w:val="14202A"/>
        </w:rPr>
        <w:t xml:space="preserve"> </w:t>
      </w:r>
      <w:r>
        <w:rPr>
          <w:rFonts w:ascii="Arial" w:cs="Arial" w:eastAsia="Arial" w:hAnsi="Arial"/>
          <w:sz w:val="16"/>
          <w:szCs w:val="16"/>
          <w:color w:val="14202A"/>
        </w:rPr>
        <w:t>Notice. To vote by the internet, go to www.proxyvote.com and follow the instructions to record your vote. To vote by telephone, call 1-800-690-6903. To vote by the internet or telephone, you will need your 16-digit control number included with the Notice.</w:t>
      </w:r>
    </w:p>
    <w:p>
      <w:pPr>
        <w:spacing w:after="0" w:line="147" w:lineRule="exact"/>
        <w:rPr>
          <w:sz w:val="20"/>
          <w:szCs w:val="20"/>
          <w:color w:val="auto"/>
        </w:rPr>
      </w:pPr>
    </w:p>
    <w:p>
      <w:pPr>
        <w:ind w:left="720" w:right="460"/>
        <w:spacing w:after="0" w:line="286" w:lineRule="auto"/>
        <w:rPr>
          <w:sz w:val="20"/>
          <w:szCs w:val="20"/>
          <w:color w:val="auto"/>
        </w:rPr>
      </w:pPr>
      <w:r>
        <w:rPr>
          <w:rFonts w:ascii="Arial" w:cs="Arial" w:eastAsia="Arial" w:hAnsi="Arial"/>
          <w:sz w:val="16"/>
          <w:szCs w:val="16"/>
          <w:b w:val="1"/>
          <w:bCs w:val="1"/>
          <w:i w:val="1"/>
          <w:iCs w:val="1"/>
          <w:color w:val="14202A"/>
        </w:rPr>
        <w:t>Voting by Proxy Card</w:t>
      </w:r>
      <w:r>
        <w:rPr>
          <w:rFonts w:ascii="Arial" w:cs="Arial" w:eastAsia="Arial" w:hAnsi="Arial"/>
          <w:sz w:val="16"/>
          <w:szCs w:val="16"/>
          <w:color w:val="14202A"/>
        </w:rPr>
        <w:t>. If you obtained a paper copy of the proxy materials, you may vote by completing, signing,</w:t>
      </w:r>
      <w:r>
        <w:rPr>
          <w:rFonts w:ascii="Arial" w:cs="Arial" w:eastAsia="Arial" w:hAnsi="Arial"/>
          <w:sz w:val="16"/>
          <w:szCs w:val="16"/>
          <w:b w:val="1"/>
          <w:bCs w:val="1"/>
          <w:i w:val="1"/>
          <w:iCs w:val="1"/>
          <w:color w:val="14202A"/>
        </w:rPr>
        <w:t xml:space="preserve"> </w:t>
      </w:r>
      <w:r>
        <w:rPr>
          <w:rFonts w:ascii="Arial" w:cs="Arial" w:eastAsia="Arial" w:hAnsi="Arial"/>
          <w:sz w:val="16"/>
          <w:szCs w:val="16"/>
          <w:color w:val="14202A"/>
        </w:rPr>
        <w:t>dating and returning the proxy card in the enclosed postage pre-paid envelope.</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7" w:lineRule="exact"/>
        <w:rPr>
          <w:sz w:val="20"/>
          <w:szCs w:val="20"/>
          <w:color w:val="auto"/>
        </w:rPr>
      </w:pPr>
    </w:p>
    <w:p>
      <w:pPr>
        <w:ind w:left="720" w:right="260"/>
        <w:spacing w:after="0" w:line="266" w:lineRule="auto"/>
        <w:rPr>
          <w:sz w:val="20"/>
          <w:szCs w:val="20"/>
          <w:color w:val="auto"/>
        </w:rPr>
      </w:pPr>
      <w:r>
        <w:rPr>
          <w:rFonts w:ascii="Arial" w:cs="Arial" w:eastAsia="Arial" w:hAnsi="Arial"/>
          <w:sz w:val="16"/>
          <w:szCs w:val="16"/>
          <w:b w:val="1"/>
          <w:bCs w:val="1"/>
          <w:i w:val="1"/>
          <w:iCs w:val="1"/>
          <w:color w:val="14202A"/>
        </w:rPr>
        <w:t>Voting during the Annual Meeting</w:t>
      </w:r>
      <w:r>
        <w:rPr>
          <w:rFonts w:ascii="Arial" w:cs="Arial" w:eastAsia="Arial" w:hAnsi="Arial"/>
          <w:sz w:val="16"/>
          <w:szCs w:val="16"/>
          <w:color w:val="14202A"/>
        </w:rPr>
        <w:t>. You may also vote by attending the Annual Meeting and voting via the online</w:t>
      </w:r>
      <w:r>
        <w:rPr>
          <w:rFonts w:ascii="Arial" w:cs="Arial" w:eastAsia="Arial" w:hAnsi="Arial"/>
          <w:sz w:val="16"/>
          <w:szCs w:val="16"/>
          <w:b w:val="1"/>
          <w:bCs w:val="1"/>
          <w:i w:val="1"/>
          <w:iCs w:val="1"/>
          <w:color w:val="14202A"/>
        </w:rPr>
        <w:t xml:space="preserve"> </w:t>
      </w:r>
      <w:r>
        <w:rPr>
          <w:rFonts w:ascii="Arial" w:cs="Arial" w:eastAsia="Arial" w:hAnsi="Arial"/>
          <w:sz w:val="16"/>
          <w:szCs w:val="16"/>
          <w:color w:val="14202A"/>
        </w:rPr>
        <w:t>meeting platform. To vote online during the Annual Meeting, you will need your 16-digit control number included with the Notice.</w:t>
      </w:r>
    </w:p>
    <w:p>
      <w:pPr>
        <w:spacing w:after="0" w:line="14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14202A"/>
        </w:rPr>
        <w:t>Whichever voting method you choose, all properly submitted voting instructions will be voted at the Annual Meeting according to the instructions given, provided they are received prior to the applicable deadlines. If you submit a proxy card without voting instructions, your shares will be voted in accordance with the Board’s recommendations described in this Proxy Statement.</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Shares Held in Street Name; Broker Non-Votes</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14202A"/>
        </w:rPr>
        <w:t>If you hold your common shares in “street name” (that is, through a broker, bank, or other holder of record), you are considered a “beneficial owner” of shares held in street name. As the beneficial owner, you have the right to direct your broker, bank, or other holder of record on how to vote your shares by using the voting instruction form included in the mailing or by following their instructions for voting via the Internet or by telephone. If you are a street name holder and your shares are registered in the name of a broker, the NYSE rules applicable to brokers who have record ownership of listed Company stock determine whether your broker may vote your shares in its discretion, even if it does not receive voting instructions from you (so-called “discretionary voting authority”).</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6"/>
          <w:szCs w:val="16"/>
          <w:color w:val="14202A"/>
        </w:rPr>
        <w:t>A “broker non-vote” occurs when a broker submits a proxy on behalf of a beneficial owner for a shareholder meeting, but does not vote on a particular proposal because such broker does not have discretionary voting authority with respect to that proposal and has not received voting instructions from the beneficial owner. Broker non-votes, if any, will be included in the calculation of the number of votes considered to be present for the purpose of determining a quorum.</w:t>
      </w:r>
    </w:p>
    <w:p>
      <w:pPr>
        <w:spacing w:after="0" w:line="15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14202A"/>
        </w:rPr>
        <w:t>Under the NYSE rules, the election of directors (Proposal 1), advisory vote on executive compensation (Proposal 2), incentive plan proposal (Proposal 3), Articles amendment proposal (Proposal 5) and Bylaw amendment proposal (Proposal 6) are considered “non-routine” matters for which brokers may not exercise discretionary voting authority. In contrast, ratification of the selection of the independent registered public accountant (Proposal 4) is a “routine” matter as to which a broker may have discretionary authority to vote shares if it has not received voting instructions.</w:t>
      </w:r>
    </w:p>
    <w:p>
      <w:pPr>
        <w:spacing w:after="0" w:line="139"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14202A"/>
        </w:rPr>
        <w:t>Your broker, bank or other nominee may be entitled to vote your shares on Proposal 4 without instructions from you, but may not on the other proposals. If your shares are voted on Proposal 4 without instructions, they will constitute broker non-votes on the non-routine proposals. Your broker, bank or other nominee may elect not to exercise any available discretionary authority.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14202A"/>
        </w:rPr>
        <w:t>We urge you to instruct your broker, bank, or other nominee how you wish your shares to be voted.</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Revoking a Proxy or Voting Instructions</w:t>
      </w:r>
    </w:p>
    <w:p>
      <w:pPr>
        <w:spacing w:after="0" w:line="180"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14202A"/>
        </w:rPr>
        <w:t>If your shares are registered directly in your name, you may change your vote or revoke your proxy at any time before it is exercised by:</w:t>
      </w:r>
    </w:p>
    <w:p>
      <w:pPr>
        <w:spacing w:after="0" w:line="115" w:lineRule="exact"/>
        <w:rPr>
          <w:sz w:val="20"/>
          <w:szCs w:val="20"/>
          <w:color w:val="auto"/>
        </w:rPr>
      </w:pPr>
    </w:p>
    <w:p>
      <w:pPr>
        <w:ind w:left="720" w:right="380"/>
        <w:spacing w:after="0" w:line="286" w:lineRule="auto"/>
        <w:rPr>
          <w:sz w:val="20"/>
          <w:szCs w:val="20"/>
          <w:color w:val="auto"/>
        </w:rPr>
      </w:pPr>
      <w:r>
        <w:rPr>
          <w:rFonts w:ascii="Arial" w:cs="Arial" w:eastAsia="Arial" w:hAnsi="Arial"/>
          <w:sz w:val="16"/>
          <w:szCs w:val="16"/>
          <w:color w:val="14202A"/>
        </w:rPr>
        <w:t>Delivering written notice of revocation to the Corporate Secretary, Winnebago Industries, Inc., 13200 Pioneer Trail, Eden Prairie, Minnesota 55347, before the proxy is exercised;</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Delivering a properly executed proxy card bearing a later date than the proxy that you wish to revoke;</w:t>
      </w:r>
    </w:p>
    <w:p>
      <w:pPr>
        <w:spacing w:after="0" w:line="272" w:lineRule="exact"/>
        <w:rPr>
          <w:sz w:val="20"/>
          <w:szCs w:val="20"/>
          <w:color w:val="auto"/>
        </w:rPr>
      </w:pPr>
    </w:p>
    <w:p>
      <w:pPr>
        <w:ind w:left="720" w:right="420"/>
        <w:spacing w:after="0" w:line="589" w:lineRule="auto"/>
        <w:rPr>
          <w:sz w:val="20"/>
          <w:szCs w:val="20"/>
          <w:color w:val="auto"/>
        </w:rPr>
      </w:pPr>
      <w:r>
        <w:rPr>
          <w:rFonts w:ascii="Arial" w:cs="Arial" w:eastAsia="Arial" w:hAnsi="Arial"/>
          <w:sz w:val="16"/>
          <w:szCs w:val="16"/>
          <w:color w:val="14202A"/>
        </w:rPr>
        <w:t>Submitting a later proxy over the Internet or by telephone in accordance with the instructions on the proxy card; or Voting your shares electronically during the Annual Meeting.</w:t>
      </w:r>
    </w:p>
    <w:p>
      <w:pPr>
        <w:spacing w:after="0" w:line="1"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14202A"/>
        </w:rPr>
        <w:t>If you are the beneficial owner of shares held through a broker, bank, or other nominee, then you must follow the specific instructions, including applicable deadlines, provided to you by your broker, bank, or other nominee to change or revoke any instructions you have already provided to your broker, bank, or other nominee. If you have</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14202A"/>
        </w:rPr>
        <w:t>obtained a voting instruction form from your broker, bank, or other nominee that holds your shares giving you the right to vote the shares, you may change your vote by attending the virtual Annual Meeting and voting electronically if you attach to your ballot a legal proxy from your broker, bank, or other nominee saved as a PDF or image file.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14202A"/>
        </w:rPr>
        <w:t>Attendance at the Annual Meeting, in and of itself, will not constitute a revocation of a proxy.</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Votes Necessary to Act on Proposals and Board Recommendation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2240" w:type="dxa"/>
            <w:vAlign w:val="bottom"/>
            <w:shd w:val="clear" w:color="auto" w:fill="14202A"/>
          </w:tcPr>
          <w:p>
            <w:pPr>
              <w:spacing w:after="0"/>
              <w:rPr>
                <w:sz w:val="19"/>
                <w:szCs w:val="19"/>
                <w:color w:val="auto"/>
              </w:rPr>
            </w:pPr>
          </w:p>
        </w:tc>
        <w:tc>
          <w:tcPr>
            <w:tcW w:w="2400" w:type="dxa"/>
            <w:vAlign w:val="bottom"/>
            <w:shd w:val="clear" w:color="auto" w:fill="14202A"/>
          </w:tcPr>
          <w:p>
            <w:pPr>
              <w:spacing w:after="0"/>
              <w:rPr>
                <w:sz w:val="19"/>
                <w:szCs w:val="19"/>
                <w:color w:val="auto"/>
              </w:rPr>
            </w:pPr>
          </w:p>
        </w:tc>
        <w:tc>
          <w:tcPr>
            <w:tcW w:w="960" w:type="dxa"/>
            <w:vAlign w:val="bottom"/>
            <w:shd w:val="clear" w:color="auto" w:fill="14202A"/>
          </w:tcPr>
          <w:p>
            <w:pPr>
              <w:spacing w:after="0"/>
              <w:rPr>
                <w:sz w:val="19"/>
                <w:szCs w:val="19"/>
                <w:color w:val="auto"/>
              </w:rPr>
            </w:pPr>
          </w:p>
        </w:tc>
        <w:tc>
          <w:tcPr>
            <w:tcW w:w="11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Broker</w:t>
            </w:r>
          </w:p>
        </w:tc>
        <w:tc>
          <w:tcPr>
            <w:tcW w:w="920" w:type="dxa"/>
            <w:vAlign w:val="bottom"/>
            <w:shd w:val="clear" w:color="auto" w:fill="14202A"/>
          </w:tcPr>
          <w:p>
            <w:pPr>
              <w:spacing w:after="0"/>
              <w:rPr>
                <w:sz w:val="19"/>
                <w:szCs w:val="19"/>
                <w:color w:val="auto"/>
              </w:rPr>
            </w:pPr>
          </w:p>
        </w:tc>
        <w:tc>
          <w:tcPr>
            <w:tcW w:w="1500" w:type="dxa"/>
            <w:vAlign w:val="bottom"/>
            <w:shd w:val="clear" w:color="auto" w:fill="14202A"/>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2240" w:type="dxa"/>
            <w:vAlign w:val="bottom"/>
            <w:shd w:val="clear" w:color="auto" w:fill="14202A"/>
          </w:tcPr>
          <w:p>
            <w:pPr>
              <w:spacing w:after="0"/>
              <w:rPr>
                <w:sz w:val="11"/>
                <w:szCs w:val="11"/>
                <w:color w:val="auto"/>
              </w:rPr>
            </w:pPr>
          </w:p>
        </w:tc>
        <w:tc>
          <w:tcPr>
            <w:tcW w:w="2400" w:type="dxa"/>
            <w:vAlign w:val="bottom"/>
            <w:shd w:val="clear" w:color="auto" w:fill="14202A"/>
          </w:tcPr>
          <w:p>
            <w:pPr>
              <w:spacing w:after="0"/>
              <w:rPr>
                <w:sz w:val="11"/>
                <w:szCs w:val="11"/>
                <w:color w:val="auto"/>
              </w:rPr>
            </w:pPr>
          </w:p>
        </w:tc>
        <w:tc>
          <w:tcPr>
            <w:tcW w:w="960" w:type="dxa"/>
            <w:vAlign w:val="bottom"/>
            <w:shd w:val="clear" w:color="auto" w:fill="14202A"/>
          </w:tcPr>
          <w:p>
            <w:pPr>
              <w:spacing w:after="0"/>
              <w:rPr>
                <w:sz w:val="11"/>
                <w:szCs w:val="11"/>
                <w:color w:val="auto"/>
              </w:rPr>
            </w:pPr>
          </w:p>
        </w:tc>
        <w:tc>
          <w:tcPr>
            <w:tcW w:w="11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Discretionary</w:t>
            </w:r>
          </w:p>
        </w:tc>
        <w:tc>
          <w:tcPr>
            <w:tcW w:w="920" w:type="dxa"/>
            <w:vAlign w:val="bottom"/>
            <w:shd w:val="clear" w:color="auto" w:fill="14202A"/>
          </w:tcPr>
          <w:p>
            <w:pPr>
              <w:spacing w:after="0"/>
              <w:rPr>
                <w:sz w:val="11"/>
                <w:szCs w:val="11"/>
                <w:color w:val="auto"/>
              </w:rPr>
            </w:pPr>
          </w:p>
        </w:tc>
        <w:tc>
          <w:tcPr>
            <w:tcW w:w="150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 w:type="dxa"/>
            <w:vAlign w:val="bottom"/>
            <w:shd w:val="clear" w:color="auto" w:fill="14202A"/>
          </w:tcPr>
          <w:p>
            <w:pPr>
              <w:spacing w:after="0"/>
              <w:rPr>
                <w:sz w:val="14"/>
                <w:szCs w:val="14"/>
                <w:color w:val="auto"/>
              </w:rPr>
            </w:pPr>
          </w:p>
        </w:tc>
        <w:tc>
          <w:tcPr>
            <w:tcW w:w="224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Proposals</w:t>
            </w:r>
          </w:p>
        </w:tc>
        <w:tc>
          <w:tcPr>
            <w:tcW w:w="2400" w:type="dxa"/>
            <w:vAlign w:val="bottom"/>
            <w:shd w:val="clear" w:color="auto" w:fill="14202A"/>
          </w:tcPr>
          <w:p>
            <w:pPr>
              <w:jc w:val="center"/>
              <w:ind w:left="1257"/>
              <w:spacing w:after="0"/>
              <w:rPr>
                <w:sz w:val="20"/>
                <w:szCs w:val="20"/>
                <w:color w:val="auto"/>
              </w:rPr>
            </w:pPr>
            <w:r>
              <w:rPr>
                <w:rFonts w:ascii="Arial" w:cs="Arial" w:eastAsia="Arial" w:hAnsi="Arial"/>
                <w:sz w:val="13"/>
                <w:szCs w:val="13"/>
                <w:b w:val="1"/>
                <w:bCs w:val="1"/>
                <w:color w:val="FFFFFF"/>
                <w:w w:val="99"/>
              </w:rPr>
              <w:t>Vote</w:t>
            </w:r>
          </w:p>
        </w:tc>
        <w:tc>
          <w:tcPr>
            <w:tcW w:w="9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3"/>
              </w:rPr>
              <w:t>Voting</w:t>
            </w:r>
          </w:p>
        </w:tc>
        <w:tc>
          <w:tcPr>
            <w:tcW w:w="11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3"/>
              </w:rPr>
              <w:t>Voting</w:t>
            </w:r>
          </w:p>
        </w:tc>
        <w:tc>
          <w:tcPr>
            <w:tcW w:w="920" w:type="dxa"/>
            <w:vAlign w:val="bottom"/>
            <w:shd w:val="clear" w:color="auto" w:fill="14202A"/>
          </w:tcPr>
          <w:p>
            <w:pPr>
              <w:jc w:val="center"/>
              <w:ind w:left="17"/>
              <w:spacing w:after="0"/>
              <w:rPr>
                <w:sz w:val="20"/>
                <w:szCs w:val="20"/>
                <w:color w:val="auto"/>
              </w:rPr>
            </w:pPr>
            <w:r>
              <w:rPr>
                <w:rFonts w:ascii="Arial" w:cs="Arial" w:eastAsia="Arial" w:hAnsi="Arial"/>
                <w:sz w:val="13"/>
                <w:szCs w:val="13"/>
                <w:b w:val="1"/>
                <w:bCs w:val="1"/>
                <w:color w:val="FFFFFF"/>
                <w:w w:val="96"/>
              </w:rPr>
              <w:t>Impact of</w:t>
            </w:r>
          </w:p>
        </w:tc>
        <w:tc>
          <w:tcPr>
            <w:tcW w:w="1500" w:type="dxa"/>
            <w:vAlign w:val="bottom"/>
            <w:shd w:val="clear" w:color="auto" w:fill="14202A"/>
          </w:tcPr>
          <w:p>
            <w:pPr>
              <w:ind w:left="620"/>
              <w:spacing w:after="0"/>
              <w:rPr>
                <w:sz w:val="20"/>
                <w:szCs w:val="20"/>
                <w:color w:val="auto"/>
              </w:rPr>
            </w:pPr>
            <w:r>
              <w:rPr>
                <w:rFonts w:ascii="Arial" w:cs="Arial" w:eastAsia="Arial" w:hAnsi="Arial"/>
                <w:sz w:val="13"/>
                <w:szCs w:val="13"/>
                <w:b w:val="1"/>
                <w:bCs w:val="1"/>
                <w:color w:val="FFFFFF"/>
              </w:rPr>
              <w:t>Board</w:t>
            </w:r>
          </w:p>
        </w:tc>
        <w:tc>
          <w:tcPr>
            <w:tcW w:w="0" w:type="dxa"/>
            <w:vAlign w:val="bottom"/>
          </w:tcPr>
          <w:p>
            <w:pPr>
              <w:spacing w:after="0"/>
              <w:rPr>
                <w:sz w:val="1"/>
                <w:szCs w:val="1"/>
                <w:color w:val="auto"/>
              </w:rPr>
            </w:pPr>
          </w:p>
        </w:tc>
      </w:tr>
      <w:tr>
        <w:trPr>
          <w:trHeight w:val="243"/>
        </w:trPr>
        <w:tc>
          <w:tcPr>
            <w:tcW w:w="100" w:type="dxa"/>
            <w:vAlign w:val="bottom"/>
            <w:shd w:val="clear" w:color="auto" w:fill="14202A"/>
          </w:tcPr>
          <w:p>
            <w:pPr>
              <w:spacing w:after="0"/>
              <w:rPr>
                <w:sz w:val="21"/>
                <w:szCs w:val="21"/>
                <w:color w:val="auto"/>
              </w:rPr>
            </w:pPr>
          </w:p>
        </w:tc>
        <w:tc>
          <w:tcPr>
            <w:tcW w:w="2240" w:type="dxa"/>
            <w:vAlign w:val="bottom"/>
            <w:vMerge w:val="continue"/>
            <w:shd w:val="clear" w:color="auto" w:fill="14202A"/>
          </w:tcPr>
          <w:p>
            <w:pPr>
              <w:spacing w:after="0"/>
              <w:rPr>
                <w:sz w:val="21"/>
                <w:szCs w:val="21"/>
                <w:color w:val="auto"/>
              </w:rPr>
            </w:pPr>
          </w:p>
        </w:tc>
        <w:tc>
          <w:tcPr>
            <w:tcW w:w="2400" w:type="dxa"/>
            <w:vAlign w:val="bottom"/>
            <w:shd w:val="clear" w:color="auto" w:fill="14202A"/>
          </w:tcPr>
          <w:p>
            <w:pPr>
              <w:jc w:val="center"/>
              <w:ind w:left="1257"/>
              <w:spacing w:after="0"/>
              <w:rPr>
                <w:sz w:val="20"/>
                <w:szCs w:val="20"/>
                <w:color w:val="auto"/>
              </w:rPr>
            </w:pPr>
            <w:r>
              <w:rPr>
                <w:rFonts w:ascii="Arial" w:cs="Arial" w:eastAsia="Arial" w:hAnsi="Arial"/>
                <w:sz w:val="13"/>
                <w:szCs w:val="13"/>
                <w:b w:val="1"/>
                <w:bCs w:val="1"/>
                <w:color w:val="FFFFFF"/>
                <w:w w:val="99"/>
              </w:rPr>
              <w:t>Required</w:t>
            </w:r>
          </w:p>
        </w:tc>
        <w:tc>
          <w:tcPr>
            <w:tcW w:w="9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3"/>
              </w:rPr>
              <w:t>Options</w:t>
            </w:r>
          </w:p>
        </w:tc>
        <w:tc>
          <w:tcPr>
            <w:tcW w:w="11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0"/>
              </w:rPr>
              <w:t>Allowed</w:t>
            </w:r>
            <w:r>
              <w:rPr>
                <w:rFonts w:ascii="Arial" w:cs="Arial" w:eastAsia="Arial" w:hAnsi="Arial"/>
                <w:sz w:val="20"/>
                <w:szCs w:val="20"/>
                <w:b w:val="1"/>
                <w:bCs w:val="1"/>
                <w:color w:val="FFFFFF"/>
                <w:w w:val="90"/>
                <w:vertAlign w:val="superscript"/>
              </w:rPr>
              <w:t>(1)</w:t>
            </w:r>
          </w:p>
        </w:tc>
        <w:tc>
          <w:tcPr>
            <w:tcW w:w="9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Abstention</w:t>
            </w:r>
          </w:p>
        </w:tc>
        <w:tc>
          <w:tcPr>
            <w:tcW w:w="1500" w:type="dxa"/>
            <w:vAlign w:val="bottom"/>
            <w:shd w:val="clear" w:color="auto" w:fill="14202A"/>
          </w:tcPr>
          <w:p>
            <w:pPr>
              <w:ind w:left="80"/>
              <w:spacing w:after="0"/>
              <w:rPr>
                <w:sz w:val="20"/>
                <w:szCs w:val="20"/>
                <w:color w:val="auto"/>
              </w:rPr>
            </w:pPr>
            <w:r>
              <w:rPr>
                <w:rFonts w:ascii="Arial" w:cs="Arial" w:eastAsia="Arial" w:hAnsi="Arial"/>
                <w:sz w:val="13"/>
                <w:szCs w:val="13"/>
                <w:b w:val="1"/>
                <w:bCs w:val="1"/>
                <w:color w:val="FFFFFF"/>
              </w:rPr>
              <w:t>Recommendation</w:t>
            </w:r>
            <w:r>
              <w:rPr>
                <w:rFonts w:ascii="Arial" w:cs="Arial" w:eastAsia="Arial" w:hAnsi="Arial"/>
                <w:sz w:val="20"/>
                <w:szCs w:val="20"/>
                <w:b w:val="1"/>
                <w:bCs w:val="1"/>
                <w:color w:val="FFFFFF"/>
                <w:vertAlign w:val="superscript"/>
              </w:rPr>
              <w:t>(2)</w:t>
            </w: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1">
            <w:col w:w="9280"/>
          </w:cols>
          <w:pgMar w:left="1300" w:top="114" w:right="1319" w:bottom="1440" w:gutter="0" w:footer="0" w:header="0"/>
        </w:sectPr>
      </w:pPr>
    </w:p>
    <w:p>
      <w:pPr>
        <w:ind w:left="540" w:hanging="378"/>
        <w:spacing w:after="0" w:line="263" w:lineRule="auto"/>
        <w:tabs>
          <w:tab w:leader="none" w:pos="540" w:val="left"/>
        </w:tabs>
        <w:numPr>
          <w:ilvl w:val="0"/>
          <w:numId w:val="72"/>
        </w:numPr>
        <w:rPr>
          <w:rFonts w:ascii="Arial" w:cs="Arial" w:eastAsia="Arial" w:hAnsi="Arial"/>
          <w:sz w:val="14"/>
          <w:szCs w:val="14"/>
          <w:b w:val="1"/>
          <w:bCs w:val="1"/>
          <w:color w:val="14202A"/>
        </w:rPr>
      </w:pPr>
      <w:r>
        <w:rPr>
          <w:rFonts w:ascii="Arial" w:cs="Arial" w:eastAsia="Arial" w:hAnsi="Arial"/>
          <w:sz w:val="14"/>
          <w:szCs w:val="14"/>
          <w:color w:val="14202A"/>
        </w:rPr>
        <w:t>Elect four Class III directors to hold office for a three-year term and one Class I director to hold office for a one-year term</w:t>
      </w:r>
    </w:p>
    <w:p>
      <w:pPr>
        <w:spacing w:after="0" w:line="20" w:lineRule="exact"/>
        <w:rPr>
          <w:sz w:val="20"/>
          <w:szCs w:val="20"/>
          <w:color w:val="auto"/>
        </w:rPr>
      </w:pPr>
      <w:r>
        <w:rPr>
          <w:sz w:val="20"/>
          <w:szCs w:val="20"/>
          <w:color w:val="auto"/>
        </w:rPr>
        <w:br w:type="column"/>
      </w:r>
    </w:p>
    <w:p>
      <w:pPr>
        <w:spacing w:after="0"/>
        <w:tabs>
          <w:tab w:leader="none" w:pos="1200" w:val="left"/>
          <w:tab w:leader="none" w:pos="2340" w:val="left"/>
          <w:tab w:leader="none" w:pos="3300" w:val="left"/>
          <w:tab w:leader="none" w:pos="4540" w:val="left"/>
        </w:tabs>
        <w:rPr>
          <w:sz w:val="20"/>
          <w:szCs w:val="20"/>
          <w:color w:val="auto"/>
        </w:rPr>
      </w:pPr>
      <w:r>
        <w:rPr>
          <w:rFonts w:ascii="Arial" w:cs="Arial" w:eastAsia="Arial" w:hAnsi="Arial"/>
          <w:sz w:val="14"/>
          <w:szCs w:val="14"/>
          <w:color w:val="14202A"/>
        </w:rPr>
        <w:t>Plurality of</w:t>
      </w:r>
      <w:r>
        <w:rPr>
          <w:sz w:val="20"/>
          <w:szCs w:val="20"/>
          <w:color w:val="auto"/>
        </w:rPr>
        <w:tab/>
      </w:r>
      <w:r>
        <w:rPr>
          <w:rFonts w:ascii="Arial" w:cs="Arial" w:eastAsia="Arial" w:hAnsi="Arial"/>
          <w:sz w:val="14"/>
          <w:szCs w:val="14"/>
          <w:color w:val="14202A"/>
        </w:rPr>
        <w:t>FOR</w:t>
      </w:r>
      <w:r>
        <w:rPr>
          <w:sz w:val="20"/>
          <w:szCs w:val="20"/>
          <w:color w:val="auto"/>
        </w:rPr>
        <w:tab/>
      </w:r>
      <w:r>
        <w:rPr>
          <w:rFonts w:ascii="Arial" w:cs="Arial" w:eastAsia="Arial" w:hAnsi="Arial"/>
          <w:sz w:val="14"/>
          <w:szCs w:val="14"/>
          <w:color w:val="14202A"/>
        </w:rPr>
        <w:t>No</w:t>
      </w:r>
      <w:r>
        <w:rPr>
          <w:sz w:val="20"/>
          <w:szCs w:val="20"/>
          <w:color w:val="auto"/>
        </w:rPr>
        <w:tab/>
      </w:r>
      <w:r>
        <w:rPr>
          <w:rFonts w:ascii="Arial" w:cs="Arial" w:eastAsia="Arial" w:hAnsi="Arial"/>
          <w:sz w:val="14"/>
          <w:szCs w:val="14"/>
          <w:color w:val="14202A"/>
        </w:rPr>
        <w:t>None</w:t>
      </w:r>
      <w:r>
        <w:rPr>
          <w:sz w:val="20"/>
          <w:szCs w:val="20"/>
          <w:color w:val="auto"/>
        </w:rPr>
        <w:tab/>
      </w:r>
      <w:r>
        <w:rPr>
          <w:rFonts w:ascii="Arial" w:cs="Arial" w:eastAsia="Arial" w:hAnsi="Arial"/>
          <w:sz w:val="14"/>
          <w:szCs w:val="14"/>
          <w:b w:val="1"/>
          <w:bCs w:val="1"/>
          <w:color w:val="14202A"/>
        </w:rPr>
        <w:t>FOR</w:t>
      </w:r>
    </w:p>
    <w:p>
      <w:pPr>
        <w:spacing w:after="0" w:line="11"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4"/>
          <w:szCs w:val="14"/>
          <w:color w:val="14202A"/>
        </w:rPr>
        <w:t>the votes</w:t>
      </w:r>
      <w:r>
        <w:rPr>
          <w:sz w:val="20"/>
          <w:szCs w:val="20"/>
          <w:color w:val="auto"/>
        </w:rPr>
        <w:tab/>
      </w:r>
      <w:r>
        <w:rPr>
          <w:rFonts w:ascii="Arial" w:cs="Arial" w:eastAsia="Arial" w:hAnsi="Arial"/>
          <w:sz w:val="14"/>
          <w:szCs w:val="14"/>
          <w:color w:val="14202A"/>
        </w:rPr>
        <w:t>WITHHOLD</w:t>
      </w:r>
    </w:p>
    <w:p>
      <w:pPr>
        <w:ind w:left="140"/>
        <w:spacing w:after="0"/>
        <w:rPr>
          <w:sz w:val="20"/>
          <w:szCs w:val="20"/>
          <w:color w:val="auto"/>
        </w:rPr>
      </w:pPr>
      <w:r>
        <w:rPr>
          <w:rFonts w:ascii="Arial" w:cs="Arial" w:eastAsia="Arial" w:hAnsi="Arial"/>
          <w:sz w:val="14"/>
          <w:szCs w:val="14"/>
          <w:color w:val="14202A"/>
        </w:rPr>
        <w:t>cast</w:t>
      </w:r>
      <w:r>
        <w:rPr>
          <w:rFonts w:ascii="Arial" w:cs="Arial" w:eastAsia="Arial" w:hAnsi="Arial"/>
          <w:sz w:val="23"/>
          <w:szCs w:val="23"/>
          <w:color w:val="14202A"/>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-3810</wp:posOffset>
            </wp:positionV>
            <wp:extent cx="58978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3560" w:space="300"/>
            <w:col w:w="5420"/>
          </w:cols>
          <w:pgMar w:left="1300" w:top="114" w:right="131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420" w:type="dxa"/>
            <w:vAlign w:val="bottom"/>
          </w:tcPr>
          <w:p>
            <w:pPr>
              <w:jc w:val="right"/>
              <w:ind w:right="68"/>
              <w:spacing w:after="0"/>
              <w:rPr>
                <w:sz w:val="20"/>
                <w:szCs w:val="20"/>
                <w:color w:val="auto"/>
              </w:rPr>
            </w:pPr>
            <w:r>
              <w:rPr>
                <w:rFonts w:ascii="Arial" w:cs="Arial" w:eastAsia="Arial" w:hAnsi="Arial"/>
                <w:sz w:val="14"/>
                <w:szCs w:val="14"/>
                <w:b w:val="1"/>
                <w:bCs w:val="1"/>
                <w:color w:val="14202A"/>
              </w:rPr>
              <w:t>2.</w:t>
            </w:r>
          </w:p>
        </w:tc>
        <w:tc>
          <w:tcPr>
            <w:tcW w:w="3220" w:type="dxa"/>
            <w:vAlign w:val="bottom"/>
          </w:tcPr>
          <w:p>
            <w:pPr>
              <w:ind w:left="120"/>
              <w:spacing w:after="0"/>
              <w:rPr>
                <w:sz w:val="20"/>
                <w:szCs w:val="20"/>
                <w:color w:val="auto"/>
              </w:rPr>
            </w:pPr>
            <w:r>
              <w:rPr>
                <w:rFonts w:ascii="Arial" w:cs="Arial" w:eastAsia="Arial" w:hAnsi="Arial"/>
                <w:sz w:val="14"/>
                <w:szCs w:val="14"/>
                <w:color w:val="14202A"/>
              </w:rPr>
              <w:t>Approve, on an advisory basis, the</w:t>
            </w:r>
          </w:p>
        </w:tc>
        <w:tc>
          <w:tcPr>
            <w:tcW w:w="1120" w:type="dxa"/>
            <w:vAlign w:val="bottom"/>
          </w:tcPr>
          <w:p>
            <w:pPr>
              <w:jc w:val="center"/>
              <w:spacing w:after="0"/>
              <w:rPr>
                <w:sz w:val="20"/>
                <w:szCs w:val="20"/>
                <w:color w:val="auto"/>
              </w:rPr>
            </w:pPr>
            <w:r>
              <w:rPr>
                <w:rFonts w:ascii="Arial" w:cs="Arial" w:eastAsia="Arial" w:hAnsi="Arial"/>
                <w:sz w:val="14"/>
                <w:szCs w:val="14"/>
                <w:color w:val="14202A"/>
              </w:rPr>
              <w:t>Majority of</w:t>
            </w:r>
          </w:p>
        </w:tc>
        <w:tc>
          <w:tcPr>
            <w:tcW w:w="1120" w:type="dxa"/>
            <w:vAlign w:val="bottom"/>
          </w:tcPr>
          <w:p>
            <w:pPr>
              <w:jc w:val="center"/>
              <w:ind w:right="68"/>
              <w:spacing w:after="0"/>
              <w:rPr>
                <w:sz w:val="20"/>
                <w:szCs w:val="20"/>
                <w:color w:val="auto"/>
              </w:rPr>
            </w:pPr>
            <w:r>
              <w:rPr>
                <w:rFonts w:ascii="Arial" w:cs="Arial" w:eastAsia="Arial" w:hAnsi="Arial"/>
                <w:sz w:val="14"/>
                <w:szCs w:val="14"/>
                <w:color w:val="14202A"/>
              </w:rPr>
              <w:t>FOR</w:t>
            </w:r>
          </w:p>
        </w:tc>
        <w:tc>
          <w:tcPr>
            <w:tcW w:w="880" w:type="dxa"/>
            <w:vAlign w:val="bottom"/>
          </w:tcPr>
          <w:p>
            <w:pPr>
              <w:jc w:val="center"/>
              <w:spacing w:after="0"/>
              <w:rPr>
                <w:sz w:val="20"/>
                <w:szCs w:val="20"/>
                <w:color w:val="auto"/>
              </w:rPr>
            </w:pPr>
            <w:r>
              <w:rPr>
                <w:rFonts w:ascii="Arial" w:cs="Arial" w:eastAsia="Arial" w:hAnsi="Arial"/>
                <w:sz w:val="14"/>
                <w:szCs w:val="14"/>
                <w:color w:val="14202A"/>
              </w:rPr>
              <w:t>No</w:t>
            </w:r>
          </w:p>
        </w:tc>
        <w:tc>
          <w:tcPr>
            <w:tcW w:w="1260" w:type="dxa"/>
            <w:vAlign w:val="bottom"/>
          </w:tcPr>
          <w:p>
            <w:pPr>
              <w:jc w:val="center"/>
              <w:ind w:right="8"/>
              <w:spacing w:after="0"/>
              <w:rPr>
                <w:sz w:val="20"/>
                <w:szCs w:val="20"/>
                <w:color w:val="auto"/>
              </w:rPr>
            </w:pPr>
            <w:r>
              <w:rPr>
                <w:rFonts w:ascii="Arial" w:cs="Arial" w:eastAsia="Arial" w:hAnsi="Arial"/>
                <w:sz w:val="14"/>
                <w:szCs w:val="14"/>
                <w:color w:val="14202A"/>
              </w:rPr>
              <w:t>None</w:t>
            </w:r>
          </w:p>
        </w:tc>
        <w:tc>
          <w:tcPr>
            <w:tcW w:w="1260" w:type="dxa"/>
            <w:vAlign w:val="bottom"/>
          </w:tcPr>
          <w:p>
            <w:pPr>
              <w:ind w:left="400"/>
              <w:spacing w:after="0"/>
              <w:rPr>
                <w:sz w:val="20"/>
                <w:szCs w:val="20"/>
                <w:color w:val="auto"/>
              </w:rPr>
            </w:pPr>
            <w:r>
              <w:rPr>
                <w:rFonts w:ascii="Arial" w:cs="Arial" w:eastAsia="Arial" w:hAnsi="Arial"/>
                <w:sz w:val="14"/>
                <w:szCs w:val="14"/>
                <w:b w:val="1"/>
                <w:bCs w:val="1"/>
                <w:color w:val="14202A"/>
              </w:rPr>
              <w:t>FOR</w:t>
            </w:r>
          </w:p>
        </w:tc>
      </w:tr>
      <w:tr>
        <w:trPr>
          <w:trHeight w:val="159"/>
        </w:trPr>
        <w:tc>
          <w:tcPr>
            <w:tcW w:w="420" w:type="dxa"/>
            <w:vAlign w:val="bottom"/>
          </w:tcPr>
          <w:p>
            <w:pPr>
              <w:spacing w:after="0"/>
              <w:rPr>
                <w:sz w:val="13"/>
                <w:szCs w:val="13"/>
                <w:color w:val="auto"/>
              </w:rPr>
            </w:pPr>
          </w:p>
        </w:tc>
        <w:tc>
          <w:tcPr>
            <w:tcW w:w="3220" w:type="dxa"/>
            <w:vAlign w:val="bottom"/>
          </w:tcPr>
          <w:p>
            <w:pPr>
              <w:ind w:left="120"/>
              <w:spacing w:after="0" w:line="159" w:lineRule="exact"/>
              <w:rPr>
                <w:sz w:val="20"/>
                <w:szCs w:val="20"/>
                <w:color w:val="auto"/>
              </w:rPr>
            </w:pPr>
            <w:r>
              <w:rPr>
                <w:rFonts w:ascii="Arial" w:cs="Arial" w:eastAsia="Arial" w:hAnsi="Arial"/>
                <w:sz w:val="14"/>
                <w:szCs w:val="14"/>
                <w:color w:val="14202A"/>
              </w:rPr>
              <w:t>compensation of our named executive officers</w:t>
            </w: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14202A"/>
              </w:rPr>
              <w:t>the votes</w:t>
            </w:r>
          </w:p>
        </w:tc>
        <w:tc>
          <w:tcPr>
            <w:tcW w:w="1120" w:type="dxa"/>
            <w:vAlign w:val="bottom"/>
          </w:tcPr>
          <w:p>
            <w:pPr>
              <w:jc w:val="center"/>
              <w:ind w:right="68"/>
              <w:spacing w:after="0" w:line="159" w:lineRule="exact"/>
              <w:rPr>
                <w:sz w:val="20"/>
                <w:szCs w:val="20"/>
                <w:color w:val="auto"/>
              </w:rPr>
            </w:pPr>
            <w:r>
              <w:rPr>
                <w:rFonts w:ascii="Arial" w:cs="Arial" w:eastAsia="Arial" w:hAnsi="Arial"/>
                <w:sz w:val="14"/>
                <w:szCs w:val="14"/>
                <w:color w:val="14202A"/>
              </w:rPr>
              <w:t>AGAINST</w:t>
            </w: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69"/>
        </w:trPr>
        <w:tc>
          <w:tcPr>
            <w:tcW w:w="420" w:type="dxa"/>
            <w:vAlign w:val="bottom"/>
            <w:tcBorders>
              <w:bottom w:val="single" w:sz="8" w:color="14202A"/>
            </w:tcBorders>
          </w:tcPr>
          <w:p>
            <w:pPr>
              <w:spacing w:after="0"/>
              <w:rPr>
                <w:sz w:val="23"/>
                <w:szCs w:val="23"/>
                <w:color w:val="auto"/>
              </w:rPr>
            </w:pPr>
          </w:p>
        </w:tc>
        <w:tc>
          <w:tcPr>
            <w:tcW w:w="3220" w:type="dxa"/>
            <w:vAlign w:val="bottom"/>
            <w:tcBorders>
              <w:bottom w:val="single" w:sz="8" w:color="14202A"/>
            </w:tcBorders>
          </w:tcPr>
          <w:p>
            <w:pPr>
              <w:spacing w:after="0"/>
              <w:rPr>
                <w:sz w:val="23"/>
                <w:szCs w:val="23"/>
                <w:color w:val="auto"/>
              </w:rPr>
            </w:pPr>
          </w:p>
        </w:tc>
        <w:tc>
          <w:tcPr>
            <w:tcW w:w="112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w w:val="89"/>
              </w:rPr>
              <w:t>cast</w:t>
            </w:r>
            <w:r>
              <w:rPr>
                <w:rFonts w:ascii="Arial" w:cs="Arial" w:eastAsia="Arial" w:hAnsi="Arial"/>
                <w:sz w:val="23"/>
                <w:szCs w:val="23"/>
                <w:color w:val="14202A"/>
                <w:w w:val="89"/>
                <w:vertAlign w:val="superscript"/>
              </w:rPr>
              <w:t>(4)</w:t>
            </w:r>
          </w:p>
        </w:tc>
        <w:tc>
          <w:tcPr>
            <w:tcW w:w="1120" w:type="dxa"/>
            <w:vAlign w:val="bottom"/>
            <w:tcBorders>
              <w:bottom w:val="single" w:sz="8" w:color="14202A"/>
            </w:tcBorders>
          </w:tcPr>
          <w:p>
            <w:pPr>
              <w:jc w:val="center"/>
              <w:ind w:right="68"/>
              <w:spacing w:after="0"/>
              <w:rPr>
                <w:sz w:val="20"/>
                <w:szCs w:val="20"/>
                <w:color w:val="auto"/>
              </w:rPr>
            </w:pPr>
            <w:r>
              <w:rPr>
                <w:rFonts w:ascii="Arial" w:cs="Arial" w:eastAsia="Arial" w:hAnsi="Arial"/>
                <w:sz w:val="14"/>
                <w:szCs w:val="14"/>
                <w:color w:val="14202A"/>
              </w:rPr>
              <w:t>ABSTAIN</w:t>
            </w:r>
          </w:p>
        </w:tc>
        <w:tc>
          <w:tcPr>
            <w:tcW w:w="880" w:type="dxa"/>
            <w:vAlign w:val="bottom"/>
            <w:tcBorders>
              <w:bottom w:val="single" w:sz="8" w:color="14202A"/>
            </w:tcBorders>
          </w:tcPr>
          <w:p>
            <w:pPr>
              <w:spacing w:after="0"/>
              <w:rPr>
                <w:sz w:val="23"/>
                <w:szCs w:val="23"/>
                <w:color w:val="auto"/>
              </w:rPr>
            </w:pPr>
          </w:p>
        </w:tc>
        <w:tc>
          <w:tcPr>
            <w:tcW w:w="1260" w:type="dxa"/>
            <w:vAlign w:val="bottom"/>
            <w:tcBorders>
              <w:bottom w:val="single" w:sz="8" w:color="14202A"/>
            </w:tcBorders>
          </w:tcPr>
          <w:p>
            <w:pPr>
              <w:spacing w:after="0"/>
              <w:rPr>
                <w:sz w:val="23"/>
                <w:szCs w:val="23"/>
                <w:color w:val="auto"/>
              </w:rPr>
            </w:pPr>
          </w:p>
        </w:tc>
        <w:tc>
          <w:tcPr>
            <w:tcW w:w="1260" w:type="dxa"/>
            <w:vAlign w:val="bottom"/>
            <w:tcBorders>
              <w:bottom w:val="single" w:sz="8" w:color="14202A"/>
            </w:tcBorders>
          </w:tcPr>
          <w:p>
            <w:pPr>
              <w:spacing w:after="0"/>
              <w:rPr>
                <w:sz w:val="23"/>
                <w:szCs w:val="23"/>
                <w:color w:val="auto"/>
              </w:rPr>
            </w:pPr>
          </w:p>
        </w:tc>
      </w:tr>
      <w:tr>
        <w:trPr>
          <w:trHeight w:val="214"/>
        </w:trPr>
        <w:tc>
          <w:tcPr>
            <w:tcW w:w="420" w:type="dxa"/>
            <w:vAlign w:val="bottom"/>
          </w:tcPr>
          <w:p>
            <w:pPr>
              <w:jc w:val="right"/>
              <w:ind w:right="68"/>
              <w:spacing w:after="0"/>
              <w:rPr>
                <w:sz w:val="20"/>
                <w:szCs w:val="20"/>
                <w:color w:val="auto"/>
              </w:rPr>
            </w:pPr>
            <w:r>
              <w:rPr>
                <w:rFonts w:ascii="Arial" w:cs="Arial" w:eastAsia="Arial" w:hAnsi="Arial"/>
                <w:sz w:val="14"/>
                <w:szCs w:val="14"/>
                <w:b w:val="1"/>
                <w:bCs w:val="1"/>
                <w:color w:val="14202A"/>
              </w:rPr>
              <w:t>3.</w:t>
            </w:r>
          </w:p>
        </w:tc>
        <w:tc>
          <w:tcPr>
            <w:tcW w:w="3220" w:type="dxa"/>
            <w:vAlign w:val="bottom"/>
          </w:tcPr>
          <w:p>
            <w:pPr>
              <w:ind w:left="120"/>
              <w:spacing w:after="0"/>
              <w:rPr>
                <w:sz w:val="20"/>
                <w:szCs w:val="20"/>
                <w:color w:val="auto"/>
              </w:rPr>
            </w:pPr>
            <w:r>
              <w:rPr>
                <w:rFonts w:ascii="Arial" w:cs="Arial" w:eastAsia="Arial" w:hAnsi="Arial"/>
                <w:sz w:val="14"/>
                <w:szCs w:val="14"/>
                <w:color w:val="14202A"/>
              </w:rPr>
              <w:t>Approve our amended and restated 2019</w:t>
            </w:r>
          </w:p>
        </w:tc>
        <w:tc>
          <w:tcPr>
            <w:tcW w:w="1120" w:type="dxa"/>
            <w:vAlign w:val="bottom"/>
          </w:tcPr>
          <w:p>
            <w:pPr>
              <w:jc w:val="center"/>
              <w:spacing w:after="0"/>
              <w:rPr>
                <w:sz w:val="20"/>
                <w:szCs w:val="20"/>
                <w:color w:val="auto"/>
              </w:rPr>
            </w:pPr>
            <w:r>
              <w:rPr>
                <w:rFonts w:ascii="Arial" w:cs="Arial" w:eastAsia="Arial" w:hAnsi="Arial"/>
                <w:sz w:val="14"/>
                <w:szCs w:val="14"/>
                <w:color w:val="14202A"/>
              </w:rPr>
              <w:t>Majority of</w:t>
            </w:r>
          </w:p>
        </w:tc>
        <w:tc>
          <w:tcPr>
            <w:tcW w:w="1120" w:type="dxa"/>
            <w:vAlign w:val="bottom"/>
          </w:tcPr>
          <w:p>
            <w:pPr>
              <w:jc w:val="center"/>
              <w:ind w:right="68"/>
              <w:spacing w:after="0"/>
              <w:rPr>
                <w:sz w:val="20"/>
                <w:szCs w:val="20"/>
                <w:color w:val="auto"/>
              </w:rPr>
            </w:pPr>
            <w:r>
              <w:rPr>
                <w:rFonts w:ascii="Arial" w:cs="Arial" w:eastAsia="Arial" w:hAnsi="Arial"/>
                <w:sz w:val="14"/>
                <w:szCs w:val="14"/>
                <w:color w:val="14202A"/>
              </w:rPr>
              <w:t>FOR</w:t>
            </w:r>
          </w:p>
        </w:tc>
        <w:tc>
          <w:tcPr>
            <w:tcW w:w="880" w:type="dxa"/>
            <w:vAlign w:val="bottom"/>
          </w:tcPr>
          <w:p>
            <w:pPr>
              <w:jc w:val="center"/>
              <w:spacing w:after="0"/>
              <w:rPr>
                <w:sz w:val="20"/>
                <w:szCs w:val="20"/>
                <w:color w:val="auto"/>
              </w:rPr>
            </w:pPr>
            <w:r>
              <w:rPr>
                <w:rFonts w:ascii="Arial" w:cs="Arial" w:eastAsia="Arial" w:hAnsi="Arial"/>
                <w:sz w:val="14"/>
                <w:szCs w:val="14"/>
                <w:color w:val="14202A"/>
              </w:rPr>
              <w:t>No</w:t>
            </w:r>
          </w:p>
        </w:tc>
        <w:tc>
          <w:tcPr>
            <w:tcW w:w="1260" w:type="dxa"/>
            <w:vAlign w:val="bottom"/>
          </w:tcPr>
          <w:p>
            <w:pPr>
              <w:jc w:val="center"/>
              <w:spacing w:after="0"/>
              <w:rPr>
                <w:sz w:val="20"/>
                <w:szCs w:val="20"/>
                <w:color w:val="auto"/>
              </w:rPr>
            </w:pPr>
            <w:r>
              <w:rPr>
                <w:rFonts w:ascii="Arial" w:cs="Arial" w:eastAsia="Arial" w:hAnsi="Arial"/>
                <w:sz w:val="14"/>
                <w:szCs w:val="14"/>
                <w:color w:val="14202A"/>
              </w:rPr>
              <w:t>Against</w:t>
            </w:r>
          </w:p>
        </w:tc>
        <w:tc>
          <w:tcPr>
            <w:tcW w:w="1260" w:type="dxa"/>
            <w:vAlign w:val="bottom"/>
          </w:tcPr>
          <w:p>
            <w:pPr>
              <w:ind w:left="400"/>
              <w:spacing w:after="0"/>
              <w:rPr>
                <w:sz w:val="20"/>
                <w:szCs w:val="20"/>
                <w:color w:val="auto"/>
              </w:rPr>
            </w:pPr>
            <w:r>
              <w:rPr>
                <w:rFonts w:ascii="Arial" w:cs="Arial" w:eastAsia="Arial" w:hAnsi="Arial"/>
                <w:sz w:val="14"/>
                <w:szCs w:val="14"/>
                <w:b w:val="1"/>
                <w:bCs w:val="1"/>
                <w:color w:val="14202A"/>
              </w:rPr>
              <w:t>FOR</w:t>
            </w:r>
          </w:p>
        </w:tc>
      </w:tr>
      <w:tr>
        <w:trPr>
          <w:trHeight w:val="159"/>
        </w:trPr>
        <w:tc>
          <w:tcPr>
            <w:tcW w:w="420" w:type="dxa"/>
            <w:vAlign w:val="bottom"/>
          </w:tcPr>
          <w:p>
            <w:pPr>
              <w:spacing w:after="0"/>
              <w:rPr>
                <w:sz w:val="13"/>
                <w:szCs w:val="13"/>
                <w:color w:val="auto"/>
              </w:rPr>
            </w:pPr>
          </w:p>
        </w:tc>
        <w:tc>
          <w:tcPr>
            <w:tcW w:w="3220" w:type="dxa"/>
            <w:vAlign w:val="bottom"/>
          </w:tcPr>
          <w:p>
            <w:pPr>
              <w:ind w:left="120"/>
              <w:spacing w:after="0" w:line="159" w:lineRule="exact"/>
              <w:rPr>
                <w:sz w:val="20"/>
                <w:szCs w:val="20"/>
                <w:color w:val="auto"/>
              </w:rPr>
            </w:pPr>
            <w:r>
              <w:rPr>
                <w:rFonts w:ascii="Arial" w:cs="Arial" w:eastAsia="Arial" w:hAnsi="Arial"/>
                <w:sz w:val="14"/>
                <w:szCs w:val="14"/>
                <w:color w:val="14202A"/>
              </w:rPr>
              <w:t>Omnibus Incentive Plan</w:t>
            </w: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14202A"/>
              </w:rPr>
              <w:t>the shares</w:t>
            </w:r>
          </w:p>
        </w:tc>
        <w:tc>
          <w:tcPr>
            <w:tcW w:w="1120" w:type="dxa"/>
            <w:vAlign w:val="bottom"/>
          </w:tcPr>
          <w:p>
            <w:pPr>
              <w:jc w:val="center"/>
              <w:ind w:right="68"/>
              <w:spacing w:after="0" w:line="159" w:lineRule="exact"/>
              <w:rPr>
                <w:sz w:val="20"/>
                <w:szCs w:val="20"/>
                <w:color w:val="auto"/>
              </w:rPr>
            </w:pPr>
            <w:r>
              <w:rPr>
                <w:rFonts w:ascii="Arial" w:cs="Arial" w:eastAsia="Arial" w:hAnsi="Arial"/>
                <w:sz w:val="14"/>
                <w:szCs w:val="14"/>
                <w:color w:val="14202A"/>
              </w:rPr>
              <w:t>AGAINST</w:t>
            </w: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69"/>
        </w:trPr>
        <w:tc>
          <w:tcPr>
            <w:tcW w:w="420" w:type="dxa"/>
            <w:vAlign w:val="bottom"/>
            <w:tcBorders>
              <w:bottom w:val="single" w:sz="8" w:color="14202A"/>
            </w:tcBorders>
          </w:tcPr>
          <w:p>
            <w:pPr>
              <w:spacing w:after="0"/>
              <w:rPr>
                <w:sz w:val="23"/>
                <w:szCs w:val="23"/>
                <w:color w:val="auto"/>
              </w:rPr>
            </w:pPr>
          </w:p>
        </w:tc>
        <w:tc>
          <w:tcPr>
            <w:tcW w:w="3220" w:type="dxa"/>
            <w:vAlign w:val="bottom"/>
            <w:tcBorders>
              <w:bottom w:val="single" w:sz="8" w:color="14202A"/>
            </w:tcBorders>
          </w:tcPr>
          <w:p>
            <w:pPr>
              <w:spacing w:after="0"/>
              <w:rPr>
                <w:sz w:val="23"/>
                <w:szCs w:val="23"/>
                <w:color w:val="auto"/>
              </w:rPr>
            </w:pPr>
          </w:p>
        </w:tc>
        <w:tc>
          <w:tcPr>
            <w:tcW w:w="112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w w:val="97"/>
              </w:rPr>
              <w:t>present</w:t>
            </w:r>
            <w:r>
              <w:rPr>
                <w:rFonts w:ascii="Arial" w:cs="Arial" w:eastAsia="Arial" w:hAnsi="Arial"/>
                <w:sz w:val="23"/>
                <w:szCs w:val="23"/>
                <w:color w:val="14202A"/>
                <w:w w:val="97"/>
                <w:vertAlign w:val="superscript"/>
              </w:rPr>
              <w:t>(5)</w:t>
            </w:r>
          </w:p>
        </w:tc>
        <w:tc>
          <w:tcPr>
            <w:tcW w:w="1120" w:type="dxa"/>
            <w:vAlign w:val="bottom"/>
            <w:tcBorders>
              <w:bottom w:val="single" w:sz="8" w:color="14202A"/>
            </w:tcBorders>
          </w:tcPr>
          <w:p>
            <w:pPr>
              <w:jc w:val="center"/>
              <w:ind w:right="68"/>
              <w:spacing w:after="0"/>
              <w:rPr>
                <w:sz w:val="20"/>
                <w:szCs w:val="20"/>
                <w:color w:val="auto"/>
              </w:rPr>
            </w:pPr>
            <w:r>
              <w:rPr>
                <w:rFonts w:ascii="Arial" w:cs="Arial" w:eastAsia="Arial" w:hAnsi="Arial"/>
                <w:sz w:val="14"/>
                <w:szCs w:val="14"/>
                <w:color w:val="14202A"/>
              </w:rPr>
              <w:t>ABSTAIN</w:t>
            </w:r>
          </w:p>
        </w:tc>
        <w:tc>
          <w:tcPr>
            <w:tcW w:w="880" w:type="dxa"/>
            <w:vAlign w:val="bottom"/>
            <w:tcBorders>
              <w:bottom w:val="single" w:sz="8" w:color="14202A"/>
            </w:tcBorders>
          </w:tcPr>
          <w:p>
            <w:pPr>
              <w:spacing w:after="0"/>
              <w:rPr>
                <w:sz w:val="23"/>
                <w:szCs w:val="23"/>
                <w:color w:val="auto"/>
              </w:rPr>
            </w:pPr>
          </w:p>
        </w:tc>
        <w:tc>
          <w:tcPr>
            <w:tcW w:w="1260" w:type="dxa"/>
            <w:vAlign w:val="bottom"/>
            <w:tcBorders>
              <w:bottom w:val="single" w:sz="8" w:color="14202A"/>
            </w:tcBorders>
          </w:tcPr>
          <w:p>
            <w:pPr>
              <w:spacing w:after="0"/>
              <w:rPr>
                <w:sz w:val="23"/>
                <w:szCs w:val="23"/>
                <w:color w:val="auto"/>
              </w:rPr>
            </w:pPr>
          </w:p>
        </w:tc>
        <w:tc>
          <w:tcPr>
            <w:tcW w:w="1260" w:type="dxa"/>
            <w:vAlign w:val="bottom"/>
            <w:tcBorders>
              <w:bottom w:val="single" w:sz="8" w:color="14202A"/>
            </w:tcBorders>
          </w:tcPr>
          <w:p>
            <w:pPr>
              <w:spacing w:after="0"/>
              <w:rPr>
                <w:sz w:val="23"/>
                <w:szCs w:val="23"/>
                <w:color w:val="auto"/>
              </w:rPr>
            </w:pPr>
          </w:p>
        </w:tc>
      </w:tr>
      <w:tr>
        <w:trPr>
          <w:trHeight w:val="214"/>
        </w:trPr>
        <w:tc>
          <w:tcPr>
            <w:tcW w:w="420" w:type="dxa"/>
            <w:vAlign w:val="bottom"/>
          </w:tcPr>
          <w:p>
            <w:pPr>
              <w:jc w:val="right"/>
              <w:ind w:right="68"/>
              <w:spacing w:after="0"/>
              <w:rPr>
                <w:sz w:val="20"/>
                <w:szCs w:val="20"/>
                <w:color w:val="auto"/>
              </w:rPr>
            </w:pPr>
            <w:r>
              <w:rPr>
                <w:rFonts w:ascii="Arial" w:cs="Arial" w:eastAsia="Arial" w:hAnsi="Arial"/>
                <w:sz w:val="14"/>
                <w:szCs w:val="14"/>
                <w:b w:val="1"/>
                <w:bCs w:val="1"/>
                <w:color w:val="14202A"/>
              </w:rPr>
              <w:t>4.</w:t>
            </w:r>
          </w:p>
        </w:tc>
        <w:tc>
          <w:tcPr>
            <w:tcW w:w="3220" w:type="dxa"/>
            <w:vAlign w:val="bottom"/>
          </w:tcPr>
          <w:p>
            <w:pPr>
              <w:ind w:left="120"/>
              <w:spacing w:after="0"/>
              <w:rPr>
                <w:sz w:val="20"/>
                <w:szCs w:val="20"/>
                <w:color w:val="auto"/>
              </w:rPr>
            </w:pPr>
            <w:r>
              <w:rPr>
                <w:rFonts w:ascii="Arial" w:cs="Arial" w:eastAsia="Arial" w:hAnsi="Arial"/>
                <w:sz w:val="14"/>
                <w:szCs w:val="14"/>
                <w:color w:val="14202A"/>
              </w:rPr>
              <w:t>Ratify the selection of Deloitte &amp; Touche LLP</w:t>
            </w:r>
          </w:p>
        </w:tc>
        <w:tc>
          <w:tcPr>
            <w:tcW w:w="1120" w:type="dxa"/>
            <w:vAlign w:val="bottom"/>
          </w:tcPr>
          <w:p>
            <w:pPr>
              <w:jc w:val="center"/>
              <w:spacing w:after="0"/>
              <w:rPr>
                <w:sz w:val="20"/>
                <w:szCs w:val="20"/>
                <w:color w:val="auto"/>
              </w:rPr>
            </w:pPr>
            <w:r>
              <w:rPr>
                <w:rFonts w:ascii="Arial" w:cs="Arial" w:eastAsia="Arial" w:hAnsi="Arial"/>
                <w:sz w:val="14"/>
                <w:szCs w:val="14"/>
                <w:color w:val="14202A"/>
              </w:rPr>
              <w:t>Majority of</w:t>
            </w:r>
          </w:p>
        </w:tc>
        <w:tc>
          <w:tcPr>
            <w:tcW w:w="1120" w:type="dxa"/>
            <w:vAlign w:val="bottom"/>
          </w:tcPr>
          <w:p>
            <w:pPr>
              <w:jc w:val="center"/>
              <w:ind w:right="68"/>
              <w:spacing w:after="0"/>
              <w:rPr>
                <w:sz w:val="20"/>
                <w:szCs w:val="20"/>
                <w:color w:val="auto"/>
              </w:rPr>
            </w:pPr>
            <w:r>
              <w:rPr>
                <w:rFonts w:ascii="Arial" w:cs="Arial" w:eastAsia="Arial" w:hAnsi="Arial"/>
                <w:sz w:val="14"/>
                <w:szCs w:val="14"/>
                <w:color w:val="14202A"/>
              </w:rPr>
              <w:t>FOR</w:t>
            </w:r>
          </w:p>
        </w:tc>
        <w:tc>
          <w:tcPr>
            <w:tcW w:w="88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260" w:type="dxa"/>
            <w:vAlign w:val="bottom"/>
          </w:tcPr>
          <w:p>
            <w:pPr>
              <w:jc w:val="center"/>
              <w:spacing w:after="0"/>
              <w:rPr>
                <w:sz w:val="20"/>
                <w:szCs w:val="20"/>
                <w:color w:val="auto"/>
              </w:rPr>
            </w:pPr>
            <w:r>
              <w:rPr>
                <w:rFonts w:ascii="Arial" w:cs="Arial" w:eastAsia="Arial" w:hAnsi="Arial"/>
                <w:sz w:val="14"/>
                <w:szCs w:val="14"/>
                <w:color w:val="14202A"/>
              </w:rPr>
              <w:t>Against</w:t>
            </w:r>
          </w:p>
        </w:tc>
        <w:tc>
          <w:tcPr>
            <w:tcW w:w="1260" w:type="dxa"/>
            <w:vAlign w:val="bottom"/>
          </w:tcPr>
          <w:p>
            <w:pPr>
              <w:ind w:left="400"/>
              <w:spacing w:after="0"/>
              <w:rPr>
                <w:sz w:val="20"/>
                <w:szCs w:val="20"/>
                <w:color w:val="auto"/>
              </w:rPr>
            </w:pPr>
            <w:r>
              <w:rPr>
                <w:rFonts w:ascii="Arial" w:cs="Arial" w:eastAsia="Arial" w:hAnsi="Arial"/>
                <w:sz w:val="14"/>
                <w:szCs w:val="14"/>
                <w:b w:val="1"/>
                <w:bCs w:val="1"/>
                <w:color w:val="14202A"/>
              </w:rPr>
              <w:t>FOR</w:t>
            </w:r>
          </w:p>
        </w:tc>
      </w:tr>
      <w:tr>
        <w:trPr>
          <w:trHeight w:val="159"/>
        </w:trPr>
        <w:tc>
          <w:tcPr>
            <w:tcW w:w="420" w:type="dxa"/>
            <w:vAlign w:val="bottom"/>
          </w:tcPr>
          <w:p>
            <w:pPr>
              <w:spacing w:after="0"/>
              <w:rPr>
                <w:sz w:val="13"/>
                <w:szCs w:val="13"/>
                <w:color w:val="auto"/>
              </w:rPr>
            </w:pPr>
          </w:p>
        </w:tc>
        <w:tc>
          <w:tcPr>
            <w:tcW w:w="3220" w:type="dxa"/>
            <w:vAlign w:val="bottom"/>
          </w:tcPr>
          <w:p>
            <w:pPr>
              <w:ind w:left="120"/>
              <w:spacing w:after="0" w:line="159" w:lineRule="exact"/>
              <w:rPr>
                <w:sz w:val="20"/>
                <w:szCs w:val="20"/>
                <w:color w:val="auto"/>
              </w:rPr>
            </w:pPr>
            <w:r>
              <w:rPr>
                <w:rFonts w:ascii="Arial" w:cs="Arial" w:eastAsia="Arial" w:hAnsi="Arial"/>
                <w:sz w:val="14"/>
                <w:szCs w:val="14"/>
                <w:color w:val="14202A"/>
              </w:rPr>
              <w:t>as our independent registered public</w:t>
            </w: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14202A"/>
              </w:rPr>
              <w:t>the shares</w:t>
            </w:r>
          </w:p>
        </w:tc>
        <w:tc>
          <w:tcPr>
            <w:tcW w:w="1120" w:type="dxa"/>
            <w:vAlign w:val="bottom"/>
          </w:tcPr>
          <w:p>
            <w:pPr>
              <w:jc w:val="center"/>
              <w:ind w:right="68"/>
              <w:spacing w:after="0" w:line="159" w:lineRule="exact"/>
              <w:rPr>
                <w:sz w:val="20"/>
                <w:szCs w:val="20"/>
                <w:color w:val="auto"/>
              </w:rPr>
            </w:pPr>
            <w:r>
              <w:rPr>
                <w:rFonts w:ascii="Arial" w:cs="Arial" w:eastAsia="Arial" w:hAnsi="Arial"/>
                <w:sz w:val="14"/>
                <w:szCs w:val="14"/>
                <w:color w:val="14202A"/>
              </w:rPr>
              <w:t>AGAINST</w:t>
            </w: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69"/>
        </w:trPr>
        <w:tc>
          <w:tcPr>
            <w:tcW w:w="420" w:type="dxa"/>
            <w:vAlign w:val="bottom"/>
            <w:tcBorders>
              <w:bottom w:val="single" w:sz="8" w:color="14202A"/>
            </w:tcBorders>
          </w:tcPr>
          <w:p>
            <w:pPr>
              <w:spacing w:after="0"/>
              <w:rPr>
                <w:sz w:val="23"/>
                <w:szCs w:val="23"/>
                <w:color w:val="auto"/>
              </w:rPr>
            </w:pPr>
          </w:p>
        </w:tc>
        <w:tc>
          <w:tcPr>
            <w:tcW w:w="3220" w:type="dxa"/>
            <w:vAlign w:val="bottom"/>
            <w:tcBorders>
              <w:bottom w:val="single" w:sz="8" w:color="14202A"/>
            </w:tcBorders>
          </w:tcPr>
          <w:p>
            <w:pPr>
              <w:ind w:left="120"/>
              <w:spacing w:after="0"/>
              <w:rPr>
                <w:sz w:val="20"/>
                <w:szCs w:val="20"/>
                <w:color w:val="auto"/>
              </w:rPr>
            </w:pPr>
            <w:r>
              <w:rPr>
                <w:rFonts w:ascii="Arial" w:cs="Arial" w:eastAsia="Arial" w:hAnsi="Arial"/>
                <w:sz w:val="14"/>
                <w:szCs w:val="14"/>
                <w:color w:val="14202A"/>
              </w:rPr>
              <w:t>accountant for Fiscal 2027</w:t>
            </w:r>
          </w:p>
        </w:tc>
        <w:tc>
          <w:tcPr>
            <w:tcW w:w="112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w w:val="97"/>
              </w:rPr>
              <w:t>present</w:t>
            </w:r>
            <w:r>
              <w:rPr>
                <w:rFonts w:ascii="Arial" w:cs="Arial" w:eastAsia="Arial" w:hAnsi="Arial"/>
                <w:sz w:val="23"/>
                <w:szCs w:val="23"/>
                <w:color w:val="14202A"/>
                <w:w w:val="97"/>
                <w:vertAlign w:val="superscript"/>
              </w:rPr>
              <w:t>(5)</w:t>
            </w:r>
          </w:p>
        </w:tc>
        <w:tc>
          <w:tcPr>
            <w:tcW w:w="1120" w:type="dxa"/>
            <w:vAlign w:val="bottom"/>
            <w:tcBorders>
              <w:bottom w:val="single" w:sz="8" w:color="14202A"/>
            </w:tcBorders>
          </w:tcPr>
          <w:p>
            <w:pPr>
              <w:jc w:val="center"/>
              <w:ind w:right="68"/>
              <w:spacing w:after="0"/>
              <w:rPr>
                <w:sz w:val="20"/>
                <w:szCs w:val="20"/>
                <w:color w:val="auto"/>
              </w:rPr>
            </w:pPr>
            <w:r>
              <w:rPr>
                <w:rFonts w:ascii="Arial" w:cs="Arial" w:eastAsia="Arial" w:hAnsi="Arial"/>
                <w:sz w:val="14"/>
                <w:szCs w:val="14"/>
                <w:color w:val="14202A"/>
              </w:rPr>
              <w:t>ABSTAIN</w:t>
            </w:r>
          </w:p>
        </w:tc>
        <w:tc>
          <w:tcPr>
            <w:tcW w:w="880" w:type="dxa"/>
            <w:vAlign w:val="bottom"/>
            <w:tcBorders>
              <w:bottom w:val="single" w:sz="8" w:color="14202A"/>
            </w:tcBorders>
          </w:tcPr>
          <w:p>
            <w:pPr>
              <w:spacing w:after="0"/>
              <w:rPr>
                <w:sz w:val="23"/>
                <w:szCs w:val="23"/>
                <w:color w:val="auto"/>
              </w:rPr>
            </w:pPr>
          </w:p>
        </w:tc>
        <w:tc>
          <w:tcPr>
            <w:tcW w:w="1260" w:type="dxa"/>
            <w:vAlign w:val="bottom"/>
            <w:tcBorders>
              <w:bottom w:val="single" w:sz="8" w:color="14202A"/>
            </w:tcBorders>
          </w:tcPr>
          <w:p>
            <w:pPr>
              <w:spacing w:after="0"/>
              <w:rPr>
                <w:sz w:val="23"/>
                <w:szCs w:val="23"/>
                <w:color w:val="auto"/>
              </w:rPr>
            </w:pPr>
          </w:p>
        </w:tc>
        <w:tc>
          <w:tcPr>
            <w:tcW w:w="1260" w:type="dxa"/>
            <w:vAlign w:val="bottom"/>
            <w:tcBorders>
              <w:bottom w:val="single" w:sz="8" w:color="14202A"/>
            </w:tcBorders>
          </w:tcPr>
          <w:p>
            <w:pPr>
              <w:spacing w:after="0"/>
              <w:rPr>
                <w:sz w:val="23"/>
                <w:szCs w:val="23"/>
                <w:color w:val="auto"/>
              </w:rPr>
            </w:pPr>
          </w:p>
        </w:tc>
      </w:tr>
      <w:tr>
        <w:trPr>
          <w:trHeight w:val="214"/>
        </w:trPr>
        <w:tc>
          <w:tcPr>
            <w:tcW w:w="420" w:type="dxa"/>
            <w:vAlign w:val="bottom"/>
          </w:tcPr>
          <w:p>
            <w:pPr>
              <w:jc w:val="right"/>
              <w:ind w:right="68"/>
              <w:spacing w:after="0"/>
              <w:rPr>
                <w:sz w:val="20"/>
                <w:szCs w:val="20"/>
                <w:color w:val="auto"/>
              </w:rPr>
            </w:pPr>
            <w:r>
              <w:rPr>
                <w:rFonts w:ascii="Arial" w:cs="Arial" w:eastAsia="Arial" w:hAnsi="Arial"/>
                <w:sz w:val="14"/>
                <w:szCs w:val="14"/>
                <w:b w:val="1"/>
                <w:bCs w:val="1"/>
                <w:color w:val="14202A"/>
              </w:rPr>
              <w:t>5.</w:t>
            </w:r>
          </w:p>
        </w:tc>
        <w:tc>
          <w:tcPr>
            <w:tcW w:w="3220" w:type="dxa"/>
            <w:vAlign w:val="bottom"/>
          </w:tcPr>
          <w:p>
            <w:pPr>
              <w:ind w:left="120"/>
              <w:spacing w:after="0"/>
              <w:rPr>
                <w:sz w:val="20"/>
                <w:szCs w:val="20"/>
                <w:color w:val="auto"/>
              </w:rPr>
            </w:pPr>
            <w:r>
              <w:rPr>
                <w:rFonts w:ascii="Arial" w:cs="Arial" w:eastAsia="Arial" w:hAnsi="Arial"/>
                <w:sz w:val="14"/>
                <w:szCs w:val="14"/>
                <w:color w:val="14202A"/>
              </w:rPr>
              <w:t>Approve an amendment to our Articles of</w:t>
            </w:r>
          </w:p>
        </w:tc>
        <w:tc>
          <w:tcPr>
            <w:tcW w:w="1120" w:type="dxa"/>
            <w:vAlign w:val="bottom"/>
          </w:tcPr>
          <w:p>
            <w:pPr>
              <w:jc w:val="center"/>
              <w:spacing w:after="0"/>
              <w:rPr>
                <w:sz w:val="20"/>
                <w:szCs w:val="20"/>
                <w:color w:val="auto"/>
              </w:rPr>
            </w:pPr>
            <w:r>
              <w:rPr>
                <w:rFonts w:ascii="Arial" w:cs="Arial" w:eastAsia="Arial" w:hAnsi="Arial"/>
                <w:sz w:val="14"/>
                <w:szCs w:val="14"/>
                <w:color w:val="14202A"/>
              </w:rPr>
              <w:t>75% of all</w:t>
            </w:r>
          </w:p>
        </w:tc>
        <w:tc>
          <w:tcPr>
            <w:tcW w:w="1120" w:type="dxa"/>
            <w:vAlign w:val="bottom"/>
          </w:tcPr>
          <w:p>
            <w:pPr>
              <w:jc w:val="center"/>
              <w:ind w:right="68"/>
              <w:spacing w:after="0"/>
              <w:rPr>
                <w:sz w:val="20"/>
                <w:szCs w:val="20"/>
                <w:color w:val="auto"/>
              </w:rPr>
            </w:pPr>
            <w:r>
              <w:rPr>
                <w:rFonts w:ascii="Arial" w:cs="Arial" w:eastAsia="Arial" w:hAnsi="Arial"/>
                <w:sz w:val="14"/>
                <w:szCs w:val="14"/>
                <w:color w:val="14202A"/>
              </w:rPr>
              <w:t>FOR</w:t>
            </w:r>
          </w:p>
        </w:tc>
        <w:tc>
          <w:tcPr>
            <w:tcW w:w="880" w:type="dxa"/>
            <w:vAlign w:val="bottom"/>
          </w:tcPr>
          <w:p>
            <w:pPr>
              <w:jc w:val="center"/>
              <w:spacing w:after="0"/>
              <w:rPr>
                <w:sz w:val="20"/>
                <w:szCs w:val="20"/>
                <w:color w:val="auto"/>
              </w:rPr>
            </w:pPr>
            <w:r>
              <w:rPr>
                <w:rFonts w:ascii="Arial" w:cs="Arial" w:eastAsia="Arial" w:hAnsi="Arial"/>
                <w:sz w:val="14"/>
                <w:szCs w:val="14"/>
                <w:color w:val="14202A"/>
              </w:rPr>
              <w:t>No</w:t>
            </w:r>
          </w:p>
        </w:tc>
        <w:tc>
          <w:tcPr>
            <w:tcW w:w="1260" w:type="dxa"/>
            <w:vAlign w:val="bottom"/>
          </w:tcPr>
          <w:p>
            <w:pPr>
              <w:jc w:val="center"/>
              <w:spacing w:after="0"/>
              <w:rPr>
                <w:sz w:val="20"/>
                <w:szCs w:val="20"/>
                <w:color w:val="auto"/>
              </w:rPr>
            </w:pPr>
            <w:r>
              <w:rPr>
                <w:rFonts w:ascii="Arial" w:cs="Arial" w:eastAsia="Arial" w:hAnsi="Arial"/>
                <w:sz w:val="14"/>
                <w:szCs w:val="14"/>
                <w:color w:val="14202A"/>
              </w:rPr>
              <w:t>Against</w:t>
            </w:r>
          </w:p>
        </w:tc>
        <w:tc>
          <w:tcPr>
            <w:tcW w:w="1260" w:type="dxa"/>
            <w:vAlign w:val="bottom"/>
          </w:tcPr>
          <w:p>
            <w:pPr>
              <w:ind w:left="400"/>
              <w:spacing w:after="0"/>
              <w:rPr>
                <w:sz w:val="20"/>
                <w:szCs w:val="20"/>
                <w:color w:val="auto"/>
              </w:rPr>
            </w:pPr>
            <w:r>
              <w:rPr>
                <w:rFonts w:ascii="Arial" w:cs="Arial" w:eastAsia="Arial" w:hAnsi="Arial"/>
                <w:sz w:val="14"/>
                <w:szCs w:val="14"/>
                <w:b w:val="1"/>
                <w:bCs w:val="1"/>
                <w:color w:val="14202A"/>
              </w:rPr>
              <w:t>FOR</w:t>
            </w:r>
          </w:p>
        </w:tc>
      </w:tr>
      <w:tr>
        <w:trPr>
          <w:trHeight w:val="162"/>
        </w:trPr>
        <w:tc>
          <w:tcPr>
            <w:tcW w:w="420" w:type="dxa"/>
            <w:vAlign w:val="bottom"/>
          </w:tcPr>
          <w:p>
            <w:pPr>
              <w:spacing w:after="0"/>
              <w:rPr>
                <w:sz w:val="14"/>
                <w:szCs w:val="14"/>
                <w:color w:val="auto"/>
              </w:rPr>
            </w:pPr>
          </w:p>
        </w:tc>
        <w:tc>
          <w:tcPr>
            <w:tcW w:w="3220" w:type="dxa"/>
            <w:vAlign w:val="bottom"/>
          </w:tcPr>
          <w:p>
            <w:pPr>
              <w:ind w:left="120"/>
              <w:spacing w:after="0"/>
              <w:rPr>
                <w:sz w:val="20"/>
                <w:szCs w:val="20"/>
                <w:color w:val="auto"/>
              </w:rPr>
            </w:pPr>
            <w:r>
              <w:rPr>
                <w:rFonts w:ascii="Arial" w:cs="Arial" w:eastAsia="Arial" w:hAnsi="Arial"/>
                <w:sz w:val="14"/>
                <w:szCs w:val="14"/>
                <w:color w:val="14202A"/>
              </w:rPr>
              <w:t>Incorporation to provide for the phased</w:t>
            </w:r>
          </w:p>
        </w:tc>
        <w:tc>
          <w:tcPr>
            <w:tcW w:w="1120" w:type="dxa"/>
            <w:vAlign w:val="bottom"/>
          </w:tcPr>
          <w:p>
            <w:pPr>
              <w:jc w:val="center"/>
              <w:spacing w:after="0"/>
              <w:rPr>
                <w:sz w:val="20"/>
                <w:szCs w:val="20"/>
                <w:color w:val="auto"/>
              </w:rPr>
            </w:pPr>
            <w:r>
              <w:rPr>
                <w:rFonts w:ascii="Arial" w:cs="Arial" w:eastAsia="Arial" w:hAnsi="Arial"/>
                <w:sz w:val="14"/>
                <w:szCs w:val="14"/>
                <w:color w:val="14202A"/>
              </w:rPr>
              <w:t>issued and</w:t>
            </w:r>
          </w:p>
        </w:tc>
        <w:tc>
          <w:tcPr>
            <w:tcW w:w="1120" w:type="dxa"/>
            <w:vAlign w:val="bottom"/>
          </w:tcPr>
          <w:p>
            <w:pPr>
              <w:jc w:val="center"/>
              <w:ind w:right="68"/>
              <w:spacing w:after="0"/>
              <w:rPr>
                <w:sz w:val="20"/>
                <w:szCs w:val="20"/>
                <w:color w:val="auto"/>
              </w:rPr>
            </w:pPr>
            <w:r>
              <w:rPr>
                <w:rFonts w:ascii="Arial" w:cs="Arial" w:eastAsia="Arial" w:hAnsi="Arial"/>
                <w:sz w:val="14"/>
                <w:szCs w:val="14"/>
                <w:color w:val="14202A"/>
              </w:rPr>
              <w:t>AGAINST</w:t>
            </w: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220" w:type="dxa"/>
            <w:vAlign w:val="bottom"/>
          </w:tcPr>
          <w:p>
            <w:pPr>
              <w:ind w:left="120"/>
              <w:spacing w:after="0"/>
              <w:rPr>
                <w:sz w:val="20"/>
                <w:szCs w:val="20"/>
                <w:color w:val="auto"/>
              </w:rPr>
            </w:pPr>
            <w:r>
              <w:rPr>
                <w:rFonts w:ascii="Arial" w:cs="Arial" w:eastAsia="Arial" w:hAnsi="Arial"/>
                <w:sz w:val="14"/>
                <w:szCs w:val="14"/>
                <w:color w:val="14202A"/>
              </w:rPr>
              <w:t>declassification of the Board</w:t>
            </w:r>
          </w:p>
        </w:tc>
        <w:tc>
          <w:tcPr>
            <w:tcW w:w="1120" w:type="dxa"/>
            <w:vAlign w:val="bottom"/>
          </w:tcPr>
          <w:p>
            <w:pPr>
              <w:jc w:val="center"/>
              <w:spacing w:after="0"/>
              <w:rPr>
                <w:sz w:val="20"/>
                <w:szCs w:val="20"/>
                <w:color w:val="auto"/>
              </w:rPr>
            </w:pPr>
            <w:r>
              <w:rPr>
                <w:rFonts w:ascii="Arial" w:cs="Arial" w:eastAsia="Arial" w:hAnsi="Arial"/>
                <w:sz w:val="14"/>
                <w:szCs w:val="14"/>
                <w:color w:val="14202A"/>
              </w:rPr>
              <w:t>outstanding</w:t>
            </w:r>
          </w:p>
        </w:tc>
        <w:tc>
          <w:tcPr>
            <w:tcW w:w="1120" w:type="dxa"/>
            <w:vAlign w:val="bottom"/>
          </w:tcPr>
          <w:p>
            <w:pPr>
              <w:jc w:val="center"/>
              <w:ind w:right="68"/>
              <w:spacing w:after="0"/>
              <w:rPr>
                <w:sz w:val="20"/>
                <w:szCs w:val="20"/>
                <w:color w:val="auto"/>
              </w:rPr>
            </w:pPr>
            <w:r>
              <w:rPr>
                <w:rFonts w:ascii="Arial" w:cs="Arial" w:eastAsia="Arial" w:hAnsi="Arial"/>
                <w:sz w:val="14"/>
                <w:szCs w:val="14"/>
                <w:color w:val="14202A"/>
              </w:rPr>
              <w:t>ABSTAIN</w:t>
            </w: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14202A"/>
              </w:rPr>
              <w:t>shares</w:t>
            </w: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59"/>
        </w:trPr>
        <w:tc>
          <w:tcPr>
            <w:tcW w:w="4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14202A"/>
              </w:rPr>
              <w:t>entitled to</w:t>
            </w: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69"/>
        </w:trPr>
        <w:tc>
          <w:tcPr>
            <w:tcW w:w="420" w:type="dxa"/>
            <w:vAlign w:val="bottom"/>
            <w:tcBorders>
              <w:bottom w:val="single" w:sz="8" w:color="14202A"/>
            </w:tcBorders>
          </w:tcPr>
          <w:p>
            <w:pPr>
              <w:spacing w:after="0"/>
              <w:rPr>
                <w:sz w:val="23"/>
                <w:szCs w:val="23"/>
                <w:color w:val="auto"/>
              </w:rPr>
            </w:pPr>
          </w:p>
        </w:tc>
        <w:tc>
          <w:tcPr>
            <w:tcW w:w="3220" w:type="dxa"/>
            <w:vAlign w:val="bottom"/>
            <w:tcBorders>
              <w:bottom w:val="single" w:sz="8" w:color="14202A"/>
            </w:tcBorders>
          </w:tcPr>
          <w:p>
            <w:pPr>
              <w:spacing w:after="0"/>
              <w:rPr>
                <w:sz w:val="23"/>
                <w:szCs w:val="23"/>
                <w:color w:val="auto"/>
              </w:rPr>
            </w:pPr>
          </w:p>
        </w:tc>
        <w:tc>
          <w:tcPr>
            <w:tcW w:w="112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w w:val="92"/>
              </w:rPr>
              <w:t>vote</w:t>
            </w:r>
            <w:r>
              <w:rPr>
                <w:rFonts w:ascii="Arial" w:cs="Arial" w:eastAsia="Arial" w:hAnsi="Arial"/>
                <w:sz w:val="23"/>
                <w:szCs w:val="23"/>
                <w:color w:val="14202A"/>
                <w:w w:val="92"/>
                <w:vertAlign w:val="superscript"/>
              </w:rPr>
              <w:t>(6)</w:t>
            </w:r>
          </w:p>
        </w:tc>
        <w:tc>
          <w:tcPr>
            <w:tcW w:w="1120" w:type="dxa"/>
            <w:vAlign w:val="bottom"/>
            <w:tcBorders>
              <w:bottom w:val="single" w:sz="8" w:color="14202A"/>
            </w:tcBorders>
          </w:tcPr>
          <w:p>
            <w:pPr>
              <w:spacing w:after="0"/>
              <w:rPr>
                <w:sz w:val="23"/>
                <w:szCs w:val="23"/>
                <w:color w:val="auto"/>
              </w:rPr>
            </w:pPr>
          </w:p>
        </w:tc>
        <w:tc>
          <w:tcPr>
            <w:tcW w:w="880" w:type="dxa"/>
            <w:vAlign w:val="bottom"/>
            <w:tcBorders>
              <w:bottom w:val="single" w:sz="8" w:color="14202A"/>
            </w:tcBorders>
          </w:tcPr>
          <w:p>
            <w:pPr>
              <w:spacing w:after="0"/>
              <w:rPr>
                <w:sz w:val="23"/>
                <w:szCs w:val="23"/>
                <w:color w:val="auto"/>
              </w:rPr>
            </w:pPr>
          </w:p>
        </w:tc>
        <w:tc>
          <w:tcPr>
            <w:tcW w:w="1260" w:type="dxa"/>
            <w:vAlign w:val="bottom"/>
            <w:tcBorders>
              <w:bottom w:val="single" w:sz="8" w:color="14202A"/>
            </w:tcBorders>
          </w:tcPr>
          <w:p>
            <w:pPr>
              <w:spacing w:after="0"/>
              <w:rPr>
                <w:sz w:val="23"/>
                <w:szCs w:val="23"/>
                <w:color w:val="auto"/>
              </w:rPr>
            </w:pPr>
          </w:p>
        </w:tc>
        <w:tc>
          <w:tcPr>
            <w:tcW w:w="1260" w:type="dxa"/>
            <w:vAlign w:val="bottom"/>
            <w:tcBorders>
              <w:bottom w:val="single" w:sz="8" w:color="14202A"/>
            </w:tcBorders>
          </w:tcPr>
          <w:p>
            <w:pPr>
              <w:spacing w:after="0"/>
              <w:rPr>
                <w:sz w:val="23"/>
                <w:szCs w:val="23"/>
                <w:color w:val="auto"/>
              </w:rPr>
            </w:pPr>
          </w:p>
        </w:tc>
      </w:tr>
      <w:tr>
        <w:trPr>
          <w:trHeight w:val="214"/>
        </w:trPr>
        <w:tc>
          <w:tcPr>
            <w:tcW w:w="420" w:type="dxa"/>
            <w:vAlign w:val="bottom"/>
          </w:tcPr>
          <w:p>
            <w:pPr>
              <w:jc w:val="right"/>
              <w:ind w:right="68"/>
              <w:spacing w:after="0"/>
              <w:rPr>
                <w:sz w:val="20"/>
                <w:szCs w:val="20"/>
                <w:color w:val="auto"/>
              </w:rPr>
            </w:pPr>
            <w:r>
              <w:rPr>
                <w:rFonts w:ascii="Arial" w:cs="Arial" w:eastAsia="Arial" w:hAnsi="Arial"/>
                <w:sz w:val="14"/>
                <w:szCs w:val="14"/>
                <w:b w:val="1"/>
                <w:bCs w:val="1"/>
                <w:color w:val="14202A"/>
              </w:rPr>
              <w:t>6.</w:t>
            </w:r>
          </w:p>
        </w:tc>
        <w:tc>
          <w:tcPr>
            <w:tcW w:w="3220" w:type="dxa"/>
            <w:vAlign w:val="bottom"/>
          </w:tcPr>
          <w:p>
            <w:pPr>
              <w:ind w:left="120"/>
              <w:spacing w:after="0"/>
              <w:rPr>
                <w:sz w:val="20"/>
                <w:szCs w:val="20"/>
                <w:color w:val="auto"/>
              </w:rPr>
            </w:pPr>
            <w:r>
              <w:rPr>
                <w:rFonts w:ascii="Arial" w:cs="Arial" w:eastAsia="Arial" w:hAnsi="Arial"/>
                <w:sz w:val="14"/>
                <w:szCs w:val="14"/>
                <w:color w:val="14202A"/>
              </w:rPr>
              <w:t>Approve an amendment to our Bylaws to</w:t>
            </w:r>
          </w:p>
        </w:tc>
        <w:tc>
          <w:tcPr>
            <w:tcW w:w="1120" w:type="dxa"/>
            <w:vAlign w:val="bottom"/>
          </w:tcPr>
          <w:p>
            <w:pPr>
              <w:jc w:val="center"/>
              <w:spacing w:after="0"/>
              <w:rPr>
                <w:sz w:val="20"/>
                <w:szCs w:val="20"/>
                <w:color w:val="auto"/>
              </w:rPr>
            </w:pPr>
            <w:r>
              <w:rPr>
                <w:rFonts w:ascii="Arial" w:cs="Arial" w:eastAsia="Arial" w:hAnsi="Arial"/>
                <w:sz w:val="14"/>
                <w:szCs w:val="14"/>
                <w:color w:val="14202A"/>
              </w:rPr>
              <w:t>Majority of</w:t>
            </w:r>
          </w:p>
        </w:tc>
        <w:tc>
          <w:tcPr>
            <w:tcW w:w="1120" w:type="dxa"/>
            <w:vAlign w:val="bottom"/>
          </w:tcPr>
          <w:p>
            <w:pPr>
              <w:jc w:val="center"/>
              <w:ind w:right="68"/>
              <w:spacing w:after="0"/>
              <w:rPr>
                <w:sz w:val="20"/>
                <w:szCs w:val="20"/>
                <w:color w:val="auto"/>
              </w:rPr>
            </w:pPr>
            <w:r>
              <w:rPr>
                <w:rFonts w:ascii="Arial" w:cs="Arial" w:eastAsia="Arial" w:hAnsi="Arial"/>
                <w:sz w:val="14"/>
                <w:szCs w:val="14"/>
                <w:color w:val="14202A"/>
              </w:rPr>
              <w:t>FOR</w:t>
            </w:r>
          </w:p>
        </w:tc>
        <w:tc>
          <w:tcPr>
            <w:tcW w:w="880" w:type="dxa"/>
            <w:vAlign w:val="bottom"/>
          </w:tcPr>
          <w:p>
            <w:pPr>
              <w:jc w:val="center"/>
              <w:spacing w:after="0"/>
              <w:rPr>
                <w:sz w:val="20"/>
                <w:szCs w:val="20"/>
                <w:color w:val="auto"/>
              </w:rPr>
            </w:pPr>
            <w:r>
              <w:rPr>
                <w:rFonts w:ascii="Arial" w:cs="Arial" w:eastAsia="Arial" w:hAnsi="Arial"/>
                <w:sz w:val="14"/>
                <w:szCs w:val="14"/>
                <w:color w:val="14202A"/>
              </w:rPr>
              <w:t>No</w:t>
            </w:r>
          </w:p>
        </w:tc>
        <w:tc>
          <w:tcPr>
            <w:tcW w:w="1260" w:type="dxa"/>
            <w:vAlign w:val="bottom"/>
          </w:tcPr>
          <w:p>
            <w:pPr>
              <w:jc w:val="center"/>
              <w:spacing w:after="0"/>
              <w:rPr>
                <w:sz w:val="20"/>
                <w:szCs w:val="20"/>
                <w:color w:val="auto"/>
              </w:rPr>
            </w:pPr>
            <w:r>
              <w:rPr>
                <w:rFonts w:ascii="Arial" w:cs="Arial" w:eastAsia="Arial" w:hAnsi="Arial"/>
                <w:sz w:val="14"/>
                <w:szCs w:val="14"/>
                <w:color w:val="14202A"/>
              </w:rPr>
              <w:t>Against</w:t>
            </w:r>
          </w:p>
        </w:tc>
        <w:tc>
          <w:tcPr>
            <w:tcW w:w="1260" w:type="dxa"/>
            <w:vAlign w:val="bottom"/>
          </w:tcPr>
          <w:p>
            <w:pPr>
              <w:ind w:left="400"/>
              <w:spacing w:after="0"/>
              <w:rPr>
                <w:sz w:val="20"/>
                <w:szCs w:val="20"/>
                <w:color w:val="auto"/>
              </w:rPr>
            </w:pPr>
            <w:r>
              <w:rPr>
                <w:rFonts w:ascii="Arial" w:cs="Arial" w:eastAsia="Arial" w:hAnsi="Arial"/>
                <w:sz w:val="14"/>
                <w:szCs w:val="14"/>
                <w:b w:val="1"/>
                <w:bCs w:val="1"/>
                <w:color w:val="14202A"/>
              </w:rPr>
              <w:t>FOR</w:t>
            </w:r>
          </w:p>
        </w:tc>
      </w:tr>
      <w:tr>
        <w:trPr>
          <w:trHeight w:val="159"/>
        </w:trPr>
        <w:tc>
          <w:tcPr>
            <w:tcW w:w="420" w:type="dxa"/>
            <w:vAlign w:val="bottom"/>
          </w:tcPr>
          <w:p>
            <w:pPr>
              <w:spacing w:after="0"/>
              <w:rPr>
                <w:sz w:val="13"/>
                <w:szCs w:val="13"/>
                <w:color w:val="auto"/>
              </w:rPr>
            </w:pPr>
          </w:p>
        </w:tc>
        <w:tc>
          <w:tcPr>
            <w:tcW w:w="3220" w:type="dxa"/>
            <w:vAlign w:val="bottom"/>
          </w:tcPr>
          <w:p>
            <w:pPr>
              <w:ind w:left="120"/>
              <w:spacing w:after="0" w:line="159" w:lineRule="exact"/>
              <w:rPr>
                <w:sz w:val="20"/>
                <w:szCs w:val="20"/>
                <w:color w:val="auto"/>
              </w:rPr>
            </w:pPr>
            <w:r>
              <w:rPr>
                <w:rFonts w:ascii="Arial" w:cs="Arial" w:eastAsia="Arial" w:hAnsi="Arial"/>
                <w:sz w:val="14"/>
                <w:szCs w:val="14"/>
                <w:color w:val="14202A"/>
              </w:rPr>
              <w:t>provide for the phased declassification of the</w:t>
            </w: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14202A"/>
              </w:rPr>
              <w:t>the shares</w:t>
            </w:r>
          </w:p>
        </w:tc>
        <w:tc>
          <w:tcPr>
            <w:tcW w:w="1120" w:type="dxa"/>
            <w:vAlign w:val="bottom"/>
          </w:tcPr>
          <w:p>
            <w:pPr>
              <w:jc w:val="center"/>
              <w:ind w:right="68"/>
              <w:spacing w:after="0" w:line="159" w:lineRule="exact"/>
              <w:rPr>
                <w:sz w:val="20"/>
                <w:szCs w:val="20"/>
                <w:color w:val="auto"/>
              </w:rPr>
            </w:pPr>
            <w:r>
              <w:rPr>
                <w:rFonts w:ascii="Arial" w:cs="Arial" w:eastAsia="Arial" w:hAnsi="Arial"/>
                <w:sz w:val="14"/>
                <w:szCs w:val="14"/>
                <w:color w:val="14202A"/>
              </w:rPr>
              <w:t>AGAINST</w:t>
            </w: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42"/>
        </w:trPr>
        <w:tc>
          <w:tcPr>
            <w:tcW w:w="420" w:type="dxa"/>
            <w:vAlign w:val="bottom"/>
            <w:tcBorders>
              <w:bottom w:val="single" w:sz="8" w:color="14202A"/>
            </w:tcBorders>
          </w:tcPr>
          <w:p>
            <w:pPr>
              <w:spacing w:after="0"/>
              <w:rPr>
                <w:sz w:val="21"/>
                <w:szCs w:val="21"/>
                <w:color w:val="auto"/>
              </w:rPr>
            </w:pPr>
          </w:p>
        </w:tc>
        <w:tc>
          <w:tcPr>
            <w:tcW w:w="3220" w:type="dxa"/>
            <w:vAlign w:val="bottom"/>
            <w:tcBorders>
              <w:bottom w:val="single" w:sz="8" w:color="14202A"/>
            </w:tcBorders>
          </w:tcPr>
          <w:p>
            <w:pPr>
              <w:ind w:left="120"/>
              <w:spacing w:after="0"/>
              <w:rPr>
                <w:sz w:val="20"/>
                <w:szCs w:val="20"/>
                <w:color w:val="auto"/>
              </w:rPr>
            </w:pPr>
            <w:r>
              <w:rPr>
                <w:rFonts w:ascii="Arial" w:cs="Arial" w:eastAsia="Arial" w:hAnsi="Arial"/>
                <w:sz w:val="14"/>
                <w:szCs w:val="14"/>
                <w:color w:val="14202A"/>
              </w:rPr>
              <w:t>Board</w:t>
            </w:r>
          </w:p>
        </w:tc>
        <w:tc>
          <w:tcPr>
            <w:tcW w:w="1120" w:type="dxa"/>
            <w:vAlign w:val="bottom"/>
            <w:tcBorders>
              <w:bottom w:val="single" w:sz="8" w:color="14202A"/>
            </w:tcBorders>
          </w:tcPr>
          <w:p>
            <w:pPr>
              <w:jc w:val="center"/>
              <w:spacing w:after="0" w:line="242" w:lineRule="exact"/>
              <w:rPr>
                <w:sz w:val="20"/>
                <w:szCs w:val="20"/>
                <w:color w:val="auto"/>
              </w:rPr>
            </w:pPr>
            <w:r>
              <w:rPr>
                <w:rFonts w:ascii="Arial" w:cs="Arial" w:eastAsia="Arial" w:hAnsi="Arial"/>
                <w:sz w:val="14"/>
                <w:szCs w:val="14"/>
                <w:color w:val="14202A"/>
                <w:w w:val="97"/>
              </w:rPr>
              <w:t>present</w:t>
            </w:r>
            <w:r>
              <w:rPr>
                <w:rFonts w:ascii="Arial" w:cs="Arial" w:eastAsia="Arial" w:hAnsi="Arial"/>
                <w:sz w:val="23"/>
                <w:szCs w:val="23"/>
                <w:color w:val="14202A"/>
                <w:w w:val="97"/>
                <w:vertAlign w:val="superscript"/>
              </w:rPr>
              <w:t>(5)</w:t>
            </w:r>
          </w:p>
        </w:tc>
        <w:tc>
          <w:tcPr>
            <w:tcW w:w="1120" w:type="dxa"/>
            <w:vAlign w:val="bottom"/>
            <w:tcBorders>
              <w:bottom w:val="single" w:sz="8" w:color="14202A"/>
            </w:tcBorders>
          </w:tcPr>
          <w:p>
            <w:pPr>
              <w:jc w:val="center"/>
              <w:ind w:right="68"/>
              <w:spacing w:after="0"/>
              <w:rPr>
                <w:sz w:val="20"/>
                <w:szCs w:val="20"/>
                <w:color w:val="auto"/>
              </w:rPr>
            </w:pPr>
            <w:r>
              <w:rPr>
                <w:rFonts w:ascii="Arial" w:cs="Arial" w:eastAsia="Arial" w:hAnsi="Arial"/>
                <w:sz w:val="14"/>
                <w:szCs w:val="14"/>
                <w:color w:val="14202A"/>
              </w:rPr>
              <w:t>ABSTAIN</w:t>
            </w:r>
          </w:p>
        </w:tc>
        <w:tc>
          <w:tcPr>
            <w:tcW w:w="880" w:type="dxa"/>
            <w:vAlign w:val="bottom"/>
            <w:tcBorders>
              <w:bottom w:val="single" w:sz="8" w:color="14202A"/>
            </w:tcBorders>
          </w:tcPr>
          <w:p>
            <w:pPr>
              <w:spacing w:after="0"/>
              <w:rPr>
                <w:sz w:val="21"/>
                <w:szCs w:val="21"/>
                <w:color w:val="auto"/>
              </w:rPr>
            </w:pPr>
          </w:p>
        </w:tc>
        <w:tc>
          <w:tcPr>
            <w:tcW w:w="1260" w:type="dxa"/>
            <w:vAlign w:val="bottom"/>
            <w:tcBorders>
              <w:bottom w:val="single" w:sz="8" w:color="14202A"/>
            </w:tcBorders>
          </w:tcPr>
          <w:p>
            <w:pPr>
              <w:spacing w:after="0"/>
              <w:rPr>
                <w:sz w:val="21"/>
                <w:szCs w:val="21"/>
                <w:color w:val="auto"/>
              </w:rPr>
            </w:pPr>
          </w:p>
        </w:tc>
        <w:tc>
          <w:tcPr>
            <w:tcW w:w="1260" w:type="dxa"/>
            <w:vAlign w:val="bottom"/>
            <w:tcBorders>
              <w:bottom w:val="single" w:sz="8" w:color="14202A"/>
            </w:tcBorders>
          </w:tcPr>
          <w:p>
            <w:pPr>
              <w:spacing w:after="0"/>
              <w:rPr>
                <w:sz w:val="21"/>
                <w:szCs w:val="21"/>
                <w:color w:val="auto"/>
              </w:rPr>
            </w:pPr>
          </w:p>
        </w:tc>
      </w:tr>
    </w:tbl>
    <w:p>
      <w:pPr>
        <w:spacing w:after="0" w:line="90" w:lineRule="exact"/>
        <w:rPr>
          <w:sz w:val="20"/>
          <w:szCs w:val="20"/>
          <w:color w:val="auto"/>
        </w:rPr>
      </w:pPr>
    </w:p>
    <w:p>
      <w:pPr>
        <w:ind w:left="360" w:hanging="360"/>
        <w:spacing w:after="0" w:line="251" w:lineRule="auto"/>
        <w:tabs>
          <w:tab w:leader="none" w:pos="360" w:val="left"/>
        </w:tabs>
        <w:numPr>
          <w:ilvl w:val="0"/>
          <w:numId w:val="73"/>
        </w:numPr>
        <w:rPr>
          <w:rFonts w:ascii="Arial" w:cs="Arial" w:eastAsia="Arial" w:hAnsi="Arial"/>
          <w:sz w:val="12"/>
          <w:szCs w:val="12"/>
          <w:color w:val="14202A"/>
        </w:rPr>
      </w:pPr>
      <w:r>
        <w:rPr>
          <w:rFonts w:ascii="Arial" w:cs="Arial" w:eastAsia="Arial" w:hAnsi="Arial"/>
          <w:sz w:val="12"/>
          <w:szCs w:val="12"/>
          <w:color w:val="14202A"/>
        </w:rPr>
        <w:t>If broker discretionary voting is not allowed, your broker will not be able to vote your shares on these matters unless your broker receives voting instructions from you. Broker non-votes, if any, will have no effect on the outcome of Proposals 1 and 2. For Proposals 3, 4 and 6, broker non-votes, if any, will have no effect unless the minimum-quorum voting requirement described in footnote 5 applies, in which case they will have the same effect as votes “AGAINST” the applicable proposal. Broker non-votes will have the same effect as votes “AGAINST” Proposal 5. Broker discretionary voting is generally permitted on Proposal 4.</w:t>
      </w:r>
    </w:p>
    <w:p>
      <w:pPr>
        <w:spacing w:after="0" w:line="16" w:lineRule="exact"/>
        <w:rPr>
          <w:rFonts w:ascii="Arial" w:cs="Arial" w:eastAsia="Arial" w:hAnsi="Arial"/>
          <w:sz w:val="12"/>
          <w:szCs w:val="12"/>
          <w:color w:val="14202A"/>
        </w:rPr>
      </w:pPr>
    </w:p>
    <w:p>
      <w:pPr>
        <w:ind w:left="360" w:hanging="360"/>
        <w:spacing w:after="0"/>
        <w:tabs>
          <w:tab w:leader="none" w:pos="360" w:val="left"/>
        </w:tabs>
        <w:numPr>
          <w:ilvl w:val="0"/>
          <w:numId w:val="73"/>
        </w:numPr>
        <w:rPr>
          <w:rFonts w:ascii="Arial" w:cs="Arial" w:eastAsia="Arial" w:hAnsi="Arial"/>
          <w:sz w:val="13"/>
          <w:szCs w:val="13"/>
          <w:color w:val="14202A"/>
        </w:rPr>
      </w:pPr>
      <w:r>
        <w:rPr>
          <w:rFonts w:ascii="Arial" w:cs="Arial" w:eastAsia="Arial" w:hAnsi="Arial"/>
          <w:sz w:val="13"/>
          <w:szCs w:val="13"/>
          <w:color w:val="14202A"/>
        </w:rPr>
        <w:t>All properly submitted proxy cards not containing specific voting instructions will be voted in accordance with the Board’s recommendations.</w:t>
      </w:r>
    </w:p>
    <w:p>
      <w:pPr>
        <w:spacing w:after="0" w:line="39" w:lineRule="exact"/>
        <w:rPr>
          <w:rFonts w:ascii="Arial" w:cs="Arial" w:eastAsia="Arial" w:hAnsi="Arial"/>
          <w:sz w:val="13"/>
          <w:szCs w:val="13"/>
          <w:color w:val="14202A"/>
        </w:rPr>
      </w:pPr>
    </w:p>
    <w:p>
      <w:pPr>
        <w:ind w:left="360" w:hanging="360"/>
        <w:spacing w:after="0" w:line="222" w:lineRule="auto"/>
        <w:tabs>
          <w:tab w:leader="none" w:pos="360" w:val="left"/>
        </w:tabs>
        <w:numPr>
          <w:ilvl w:val="0"/>
          <w:numId w:val="73"/>
        </w:numPr>
        <w:rPr>
          <w:rFonts w:ascii="Arial" w:cs="Arial" w:eastAsia="Arial" w:hAnsi="Arial"/>
          <w:sz w:val="13"/>
          <w:szCs w:val="13"/>
          <w:color w:val="14202A"/>
        </w:rPr>
      </w:pPr>
      <w:r>
        <w:rPr>
          <w:rFonts w:ascii="Arial" w:cs="Arial" w:eastAsia="Arial" w:hAnsi="Arial"/>
          <w:sz w:val="13"/>
          <w:szCs w:val="13"/>
          <w:color w:val="14202A"/>
        </w:rPr>
        <w:t>For Proposal 1 regarding the election of directors, a plurality of votes of our common stock cast is required to elect a director, separately by class. This means that the four Class III nominees receiving the highest number of “FOR” votes will be elected to the Class III seats, and the Class I nominee receiving the highest number of “FOR” votes will be elected to the Class I seat. Shareholders may vote “FOR” or “WITHHOLD” authority for each nominee. Withheld votes and broker non-votes, if any, will have no effect on the outcome of the election. Our Board has adopted a majority voting policy for the election of directors in uncontested elections. Under this policy, if a nominee in an uncontested election receives less than a majority of the votes cast for the nominee, the nominee will nonetheless be elected under the plurality voting standard but must tender a resignation to the Board for consideration at its next regularly scheduled meeting. The Board will only not accept the tendered resignation for, in its judgment, a compelling reason. Under our Articles of Incorporation, shareholders are not entitled to cumulative voting in the election of directors.</w:t>
      </w:r>
    </w:p>
    <w:p>
      <w:pPr>
        <w:spacing w:after="0" w:line="27" w:lineRule="exact"/>
        <w:rPr>
          <w:rFonts w:ascii="Arial" w:cs="Arial" w:eastAsia="Arial" w:hAnsi="Arial"/>
          <w:sz w:val="13"/>
          <w:szCs w:val="13"/>
          <w:color w:val="14202A"/>
        </w:rPr>
      </w:pPr>
    </w:p>
    <w:p>
      <w:pPr>
        <w:ind w:left="360" w:right="100" w:hanging="360"/>
        <w:spacing w:after="0" w:line="229" w:lineRule="auto"/>
        <w:tabs>
          <w:tab w:leader="none" w:pos="360" w:val="left"/>
        </w:tabs>
        <w:numPr>
          <w:ilvl w:val="0"/>
          <w:numId w:val="73"/>
        </w:numPr>
        <w:rPr>
          <w:rFonts w:ascii="Arial" w:cs="Arial" w:eastAsia="Arial" w:hAnsi="Arial"/>
          <w:sz w:val="13"/>
          <w:szCs w:val="13"/>
          <w:color w:val="14202A"/>
        </w:rPr>
      </w:pPr>
      <w:r>
        <w:rPr>
          <w:rFonts w:ascii="Arial" w:cs="Arial" w:eastAsia="Arial" w:hAnsi="Arial"/>
          <w:sz w:val="13"/>
          <w:szCs w:val="13"/>
          <w:color w:val="14202A"/>
        </w:rPr>
        <w:t>For Proposal 2 regarding the advisory (non-binding) vote to approve the compensation paid to our named executive officers, the Board will consider shareholders to have approved the compensation if more shares are voted “FOR” than “AGAINST” the proposal. Abstentions and broker non-votes, if any, will have no effect on the outcome. Because the vote is advisory and not binding, the Board will review the voting result and take it into consideration when making future decisions regarding executive compensation.</w:t>
      </w:r>
    </w:p>
    <w:p>
      <w:pPr>
        <w:spacing w:after="0" w:line="23" w:lineRule="exact"/>
        <w:rPr>
          <w:rFonts w:ascii="Arial" w:cs="Arial" w:eastAsia="Arial" w:hAnsi="Arial"/>
          <w:sz w:val="13"/>
          <w:szCs w:val="13"/>
          <w:color w:val="14202A"/>
        </w:rPr>
      </w:pPr>
    </w:p>
    <w:p>
      <w:pPr>
        <w:ind w:left="360" w:right="40" w:hanging="360"/>
        <w:spacing w:after="0" w:line="229" w:lineRule="auto"/>
        <w:tabs>
          <w:tab w:leader="none" w:pos="360" w:val="left"/>
        </w:tabs>
        <w:numPr>
          <w:ilvl w:val="0"/>
          <w:numId w:val="73"/>
        </w:numPr>
        <w:rPr>
          <w:rFonts w:ascii="Arial" w:cs="Arial" w:eastAsia="Arial" w:hAnsi="Arial"/>
          <w:sz w:val="13"/>
          <w:szCs w:val="13"/>
          <w:color w:val="14202A"/>
        </w:rPr>
      </w:pPr>
      <w:r>
        <w:rPr>
          <w:rFonts w:ascii="Arial" w:cs="Arial" w:eastAsia="Arial" w:hAnsi="Arial"/>
          <w:sz w:val="13"/>
          <w:szCs w:val="13"/>
          <w:color w:val="14202A"/>
        </w:rPr>
        <w:t>For Proposals 3, 4 and 6, the affirmative vote of a majority of the shares present and entitled to vote on the matter or, if greater, a majority of the voting power of the minimum number of shares entitled to vote that would constitute a quorum at the Annual Meeting is required. Abstentions have the same effect as votes “AGAINST” the applicable proposal. Broker non-votes, if any, have no effect unless the minimum-quorum voting requirement applies, in which case they have the same effect as votes “AGAINST” the applicable proposal.</w:t>
      </w:r>
    </w:p>
    <w:p>
      <w:pPr>
        <w:spacing w:after="0" w:line="23" w:lineRule="exact"/>
        <w:rPr>
          <w:rFonts w:ascii="Arial" w:cs="Arial" w:eastAsia="Arial" w:hAnsi="Arial"/>
          <w:sz w:val="13"/>
          <w:szCs w:val="13"/>
          <w:color w:val="14202A"/>
        </w:rPr>
      </w:pPr>
    </w:p>
    <w:p>
      <w:pPr>
        <w:ind w:left="360" w:right="200" w:hanging="360"/>
        <w:spacing w:after="0" w:line="229" w:lineRule="auto"/>
        <w:tabs>
          <w:tab w:leader="none" w:pos="360" w:val="left"/>
        </w:tabs>
        <w:numPr>
          <w:ilvl w:val="0"/>
          <w:numId w:val="73"/>
        </w:numPr>
        <w:rPr>
          <w:rFonts w:ascii="Arial" w:cs="Arial" w:eastAsia="Arial" w:hAnsi="Arial"/>
          <w:sz w:val="13"/>
          <w:szCs w:val="13"/>
          <w:color w:val="14202A"/>
        </w:rPr>
      </w:pPr>
      <w:r>
        <w:rPr>
          <w:rFonts w:ascii="Arial" w:cs="Arial" w:eastAsia="Arial" w:hAnsi="Arial"/>
          <w:sz w:val="13"/>
          <w:szCs w:val="13"/>
          <w:color w:val="14202A"/>
        </w:rPr>
        <w:t>Approval of Proposal 5 requires the affirmative vote of the holders of at least 75% of all issued and outstanding shares entitled to vote on the proposal, voting together as a single class. Abstentions, broker non-votes and any other failure to vote have the same effect as votes “AGAINST” Proposal 5. Proposal 6 is subject to the voting standard described in footnote 5. Implementation of Proposals 5 and 6 is conditioned on approval of both proposals; neither amendment will become effective unless both are approved.</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WHAT HAPPENS IF THE ANNUAL MEETING IS ADJOURNED?</w:t>
      </w:r>
    </w:p>
    <w:p>
      <w:pPr>
        <w:spacing w:after="0" w:line="180"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14202A"/>
        </w:rPr>
        <w:t>Unless a new record date is fixed, your proxy will still be valid and may be used to vote shares of our common stock at the adjourned Annual Meeting. You will still be able to change or revoke your proxy until it is used to vote your shares.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WHO WILL COUNT THE VOTES?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14202A"/>
        </w:rPr>
        <w:t>The Company will retain an independent inspector of election to count, tabulate and certify votes at the Annual Meeting.</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WHERE CAN I FIND THE RESULTS OF THE VOTING?</w:t>
      </w:r>
    </w:p>
    <w:p>
      <w:pPr>
        <w:spacing w:after="0" w:line="18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14202A"/>
        </w:rPr>
        <w:t>We intend to announce preliminary voting results at or shortly after the Annual Meeting and will publish final results through a Current Report on Form 8-K to be filed with the SEC within four business days after the Annual Meeting.</w:t>
      </w:r>
    </w:p>
    <w:p>
      <w:pPr>
        <w:spacing w:after="0" w:line="141" w:lineRule="exact"/>
        <w:rPr>
          <w:sz w:val="20"/>
          <w:szCs w:val="20"/>
          <w:color w:val="auto"/>
        </w:rPr>
      </w:pPr>
    </w:p>
    <w:p>
      <w:pPr>
        <w:ind w:right="560"/>
        <w:spacing w:after="0" w:line="272" w:lineRule="auto"/>
        <w:rPr>
          <w:sz w:val="20"/>
          <w:szCs w:val="20"/>
          <w:color w:val="auto"/>
        </w:rPr>
      </w:pPr>
      <w:r>
        <w:rPr>
          <w:rFonts w:ascii="Arial" w:cs="Arial" w:eastAsia="Arial" w:hAnsi="Arial"/>
          <w:sz w:val="22"/>
          <w:szCs w:val="22"/>
          <w:b w:val="1"/>
          <w:bCs w:val="1"/>
          <w:color w:val="DAD490"/>
        </w:rPr>
        <w:t>WHAT IF I HAVE SHARES REGISTERED IN MY NAME AND ALSO HAVE SHARES IN A BROKERAGE ACCOUNT?</w:t>
      </w:r>
    </w:p>
    <w:p>
      <w:pPr>
        <w:spacing w:after="0" w:line="10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14202A"/>
        </w:rPr>
        <w:t>Shares that you hold in street name are not included in the total number of shares set forth on your proxy card. Your broker, bank, or other nominee will send you instructions on how to vote those shares.</w:t>
      </w:r>
    </w:p>
    <w:p>
      <w:pPr>
        <w:spacing w:after="0" w:line="141" w:lineRule="exact"/>
        <w:rPr>
          <w:sz w:val="20"/>
          <w:szCs w:val="20"/>
          <w:color w:val="auto"/>
        </w:rPr>
      </w:pPr>
    </w:p>
    <w:p>
      <w:pPr>
        <w:ind w:right="200"/>
        <w:spacing w:after="0" w:line="272" w:lineRule="auto"/>
        <w:rPr>
          <w:sz w:val="20"/>
          <w:szCs w:val="20"/>
          <w:color w:val="auto"/>
        </w:rPr>
      </w:pPr>
      <w:r>
        <w:rPr>
          <w:rFonts w:ascii="Arial" w:cs="Arial" w:eastAsia="Arial" w:hAnsi="Arial"/>
          <w:sz w:val="22"/>
          <w:szCs w:val="22"/>
          <w:b w:val="1"/>
          <w:bCs w:val="1"/>
          <w:color w:val="DAD490"/>
        </w:rPr>
        <w:t>DO I HAVE ANY DISSENTERS’ OR APPRAISAL RIGHTS WITH RESPECT TO ANY OF THE MATTERS TO BE VOTED ON AT THE ANNUAL MEETING?</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14202A"/>
        </w:rPr>
        <w:t>No. Shareholders do not have dissenters’ or appraisal rights with respect to the matters to be voted on at the Annual Meeting.</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HOW DO I OBTAIN A PAPER OR ELECTRONIC COPY OF THE PROXY MATERIALS?</w:t>
      </w:r>
    </w:p>
    <w:p>
      <w:pPr>
        <w:spacing w:after="0" w:line="19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14202A"/>
        </w:rPr>
        <w:t>Shareholders may request copies by writing to Winnebago Industries, Inc., Attn: Senior Vice President - Chief Legal Officer, Corporate Secretary and Corporate Responsibility, 13200 Pioneer Trail, Eden Prairie, Minnesota 55347. Beneficial owners should follow the instructions provided by their broker, bank or other nominee.</w:t>
      </w:r>
    </w:p>
    <w:p>
      <w:pPr>
        <w:spacing w:after="0" w:line="13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14202A"/>
        </w:rPr>
        <w:t>Our proxy materials may also be accessed free of charge, when available, at www.proxyvote.com, at www.winnebagoind.com in the Investors section and free of charge on the SEC’s website at www.sec.gov.</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WHY IS THE ANNUAL MEETING A VIRTUAL MEETING?</w:t>
      </w:r>
    </w:p>
    <w:p>
      <w:pPr>
        <w:spacing w:after="0" w:line="18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14202A"/>
        </w:rPr>
        <w:t>To enable broad access to our Annual Meeting, our Annual Meeting will be a virtual meeting of shareholders where shareholders will participate by accessing a website using the Internet. We believe that hosting a virtual Annual Meeting will facilitate shareholder attendance and participation by enabling shareholders to participate remotely from any location around the world. We have designed the virtual Annual Meeting to provide the same rights and opportunities to participate as shareholders would have at an in-person meeting, including the right to vote and ask questions through the virtual meeting platform.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HOW MAY I PARTICIPATE IN THE VIRTUAL ANNUAL MEETING?</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14202A"/>
        </w:rPr>
        <w:t>The Annual Meeting will be conducted completely online at www.virtualshareholdermeeting.com/WGO2026. Please have the 16-digit control number from your Notice of Internet Availability of Proxy Materials, proxy card or voting instruction form available and follow the instructions on the meeting website. Beneficial owners should follow the instructions provided by their broker, bank or other nominee, including obtaining a legal proxy if required to vote during the Annual Meeting.</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14202A"/>
        </w:rPr>
        <w:t>We encourage you to access the Annual Meeting before the start time of 4:00 p.m. Central Standard Time on December 15, 2026. Please allow ample time for online check-in, which is expected to begin at 3:45 p.m. Central Standard Time.</w:t>
      </w:r>
    </w:p>
    <w:p>
      <w:pPr>
        <w:spacing w:after="0" w:line="115"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14202A"/>
        </w:rPr>
        <w:t>Shareholders of record who participate through the virtual meeting platform will be considered present at the Annual Meeting, including for purposes of determining a quorum and counting votes.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WILL I BE ABLE TO ASK QUESTIONS DURING THE VIRTUAL ANNUAL MEETING?</w:t>
      </w:r>
    </w:p>
    <w:p>
      <w:pPr>
        <w:spacing w:after="0" w:line="180"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14202A"/>
        </w:rPr>
        <w:t>Yes. We expect that members of the Board and management, as well as representatives of our independent registered public accounting firm, will attend the Annual Meeting, be available to answer shareholder questions, and be permitted to make a statement if they desire to do so. We will provide our shareholders the opportunity to ask questions. Questions submitted during the meeting pertinent to meeting matters will be answered during the meeting, subject to time and procedural constraints. Instructions for submitting questions and making statements will be posted on the virtual meeting website. This question and answer session will be conducted in accordance with certain rules of conduct that will be posted on our Annual Meeting website.</w:t>
      </w:r>
    </w:p>
    <w:p>
      <w:pPr>
        <w:spacing w:after="0" w:line="167" w:lineRule="exact"/>
        <w:rPr>
          <w:sz w:val="20"/>
          <w:szCs w:val="20"/>
          <w:color w:val="auto"/>
        </w:rPr>
      </w:pPr>
    </w:p>
    <w:p>
      <w:pPr>
        <w:ind w:right="880"/>
        <w:spacing w:after="0" w:line="272" w:lineRule="auto"/>
        <w:rPr>
          <w:sz w:val="20"/>
          <w:szCs w:val="20"/>
          <w:color w:val="auto"/>
        </w:rPr>
      </w:pPr>
      <w:r>
        <w:rPr>
          <w:rFonts w:ascii="Arial" w:cs="Arial" w:eastAsia="Arial" w:hAnsi="Arial"/>
          <w:sz w:val="22"/>
          <w:szCs w:val="22"/>
          <w:b w:val="1"/>
          <w:bCs w:val="1"/>
          <w:color w:val="DAD490"/>
        </w:rPr>
        <w:t>HOW CAN I REQUEST TECHNICAL ASSISTANCE DURING THE VIRTUAL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14202A"/>
        </w:rPr>
        <w:t>Technical assistance will be available through the contact information provided on the virtual meeting website.</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DAD490"/>
        </w:rPr>
        <w:t>MAY I SEE A LIST OF SHAREHOLDERS ENTITLED TO VOTE AS OF THE RECORD DATE?</w:t>
      </w:r>
    </w:p>
    <w:p>
      <w:pPr>
        <w:spacing w:after="0" w:line="19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14202A"/>
        </w:rPr>
        <w:t>Shareholders may request access to the Company’s share register for a proper purpose in accordance with Minnesota law. Any request should be made in writing, state the purpose of the examination, describe with reasonable particularity the records requested and be acknowledged or verified as required by law. Requests should be directed to the Corporate Secretary at Winnebago Industries, Inc., 13200 Pioneer Trail, Eden Prairie, Minnesota 55347.</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Other Information</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Other Matters</w:t>
      </w:r>
    </w:p>
    <w:p>
      <w:pPr>
        <w:spacing w:after="0" w:line="180"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14202A"/>
        </w:rPr>
        <w:t>The Board is not aware of any matters expected to come before the Annual Meeting other than those described in this Proxy Statement. If any other matter properly comes before the Annual Meeting, the proxies received will be voted with the best judgment of the persons designated to vote the proxies.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Delinquent Section 16(a) Reports</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6"/>
          <w:szCs w:val="16"/>
          <w:color w:val="14202A"/>
        </w:rPr>
        <w:t>Section 16(a) of the Exchange Act requires our directors, executive officers and persons who own more than 10% of our common stock to file reports of ownership and changes in ownership with the SEC. Such directors, executive officers and shareholders are also required by SEC rules to provide us with copies of all Section 16(a) forms that they file. Based solely on our review of the copies of such forms provided to us and written representations that no reports were required to be filed during Fiscal 2026, we believe that for Fiscal 2026, all required reports were filed on a timely basis under Section 16(a).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Fiscal 2027 Shareholder Proposals</w:t>
      </w:r>
    </w:p>
    <w:p>
      <w:pPr>
        <w:spacing w:after="0" w:line="180"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14202A"/>
        </w:rPr>
        <w:t>To be considered for inclusion in our proxy statement for the 2027 annual meeting of shareholders, shareholder proposals other than a director nomination must comply with Rule 14a-8 under the Exchange Act and must be submitted in writing and received by us no later than July 6, 2027 at our principal executive offices, addressed to the Corporate Secretary.</w:t>
      </w:r>
    </w:p>
    <w:p>
      <w:pPr>
        <w:spacing w:after="0" w:line="13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14202A"/>
        </w:rPr>
        <w:t>A shareholder proposal that is not intended for inclusion in our proxy statement under Rule 14a-8 or a shareholder nomination of a director candidate may be brought before the 2027 annual meeting of shareholders so long as we receive information and notice of the proposal in compliance with the requirements of our Bylaws. Notice of such proposal or nomination must be addressed to the Corporate Secretary at our principal executive offices and received no later than September 16, 2027 and no earlier than August 17, 2027.</w:t>
      </w:r>
    </w:p>
    <w:p>
      <w:pPr>
        <w:spacing w:after="0" w:line="15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14202A"/>
        </w:rPr>
        <w:t>In addition, to comply with the SEC’s universal proxy rules, a shareholder who intends to solicit proxies in support of director nominees other than the Company’s nominees must provide notice that sets forth the information required by Rule 14a-19 of the Exchange Act no later than October 18, 2027. However, this date does not supersede any of the requirements or timing required by our Bylaws.</w:t>
      </w:r>
    </w:p>
    <w:p>
      <w:pPr>
        <w:spacing w:after="0" w:line="137"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14202A"/>
        </w:rPr>
        <w:t>It is also possible that certain other deadlines would apply under either the Exchange Act rules or our Bylaws if, for example, the date of our 2027 annual meeting of shareholders differs from the anniversary of the 2026 Annual Meeting by more than the number of days specified in the Exchange Act rules or our Bylaws, as applicable.</w:t>
      </w:r>
    </w:p>
    <w:p>
      <w:pPr>
        <w:spacing w:after="0" w:line="131"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14202A"/>
        </w:rPr>
        <w:t>A copy of our Bylaws may be obtained by written request to: Winnebago Industries, Inc., Attn: Senior Vice President — Chief Legal Officer, Corporate Secretary and Corporate Responsibility, 13200 Pioneer Trail, Eden Prairie, Minnesota 55347.</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Proxy Solicitation Costs</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14202A"/>
        </w:rPr>
        <w:t>We will pay the cost of soliciting proxies. The Company will solicit proxies primarily through the internet and the use of mail. The solicitation of proxies may also be supplemented by telephone, email or personal solicitation by our directors, officers and employees and by MacKenzie Partners, Inc. (“MacKenzie Partners”). We have retained MacKenzie Partners to assist in soliciting proxies for a fixed fee of $30,000, plus reimbursement of reasonable and documented out-of-pocket expenses. No additional compensation will be paid to our directors, officers or employees for their services in soliciting proxies. We will reimburse brokers, banks and other custodians, nominees and fiduciaries for their reasonable expenses in forwarding proxy materials to the beneficial owners of our common stock.</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Annual Report</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6"/>
          <w:szCs w:val="16"/>
          <w:color w:val="14202A"/>
        </w:rPr>
        <w:t>Our Annual Report on Form 10-K for the fiscal year ended August 29, 2026 will be made available with the definitive proxy materials at www.proxyvote.com and on our website at www.winnebagoind.com. The financial statements contained in the Annual Report on Form 10-K are not incorporated by reference into this Proxy Statement. You may request a free copy of the Annual Report on Form 10-K and this Proxy Statement by writing to Winnebago Industries, Inc., Attn: Corporate Secretary, 13200 Pioneer Trail, Eden Prairie, Minnesota 55347.</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Forward-looking Information</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Statements made in this Proxy Statement that are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forward-looking statements include (without limitation) statements as to future expectations, beliefs, plans, strategies, objectives, events, conditions and financial performance.</w:t>
      </w:r>
    </w:p>
    <w:p>
      <w:pPr>
        <w:spacing w:after="0" w:line="153"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14202A"/>
        </w:rPr>
        <w:t>These statements are intended to constitute “forward-looking” statements in connection with the “safe harbor” provisions of the Private Securities Litigation Reform Act of 1995. The Company is providing this cautionary statement to disclose that there are important factors that could cause actual results to differ materially from those anticipated. Reference is made to our Annual Report on Form 10-K for the fiscal year ended August 29, 2026 filed with the SEC for a list of such factors. The Company undertakes no obligation to update them as a result of new information, future events or otherwise, except as required by applicable law.</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Website References</w:t>
      </w:r>
    </w:p>
    <w:p>
      <w:pPr>
        <w:spacing w:after="0" w:line="18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14202A"/>
        </w:rPr>
        <w:t>Website references throughout this Proxy Statement are provided for convenience only and the content on the referenced websites, including but not limited to the content contained in our Corporate Responsibility Report, is not incorporated herein by reference into this Proxy Statement, nor does it constitute a part of this Proxy Statement.</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6"/>
          <w:szCs w:val="16"/>
          <w:color w:val="14202A"/>
        </w:rPr>
        <w:t>By Order of the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14202A"/>
        </w:rPr>
        <w:t>November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-107315</wp:posOffset>
            </wp:positionV>
            <wp:extent cx="1431290" cy="3086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431290" cy="308610"/>
                    </a:xfrm>
                    <a:prstGeom prst="rect">
                      <a:avLst/>
                    </a:prstGeom>
                    <a:noFill/>
                  </pic:spPr>
                </pic:pic>
              </a:graphicData>
            </a:graphic>
          </wp:anchor>
        </w:drawing>
      </w:r>
    </w:p>
    <w:p>
      <w:pPr>
        <w:spacing w:after="0" w:line="282" w:lineRule="exact"/>
        <w:rPr>
          <w:sz w:val="20"/>
          <w:szCs w:val="20"/>
          <w:color w:val="auto"/>
        </w:rPr>
      </w:pPr>
    </w:p>
    <w:p>
      <w:pPr>
        <w:ind w:left="4760"/>
        <w:spacing w:after="0"/>
        <w:rPr>
          <w:sz w:val="20"/>
          <w:szCs w:val="20"/>
          <w:color w:val="auto"/>
        </w:rPr>
      </w:pPr>
      <w:r>
        <w:rPr>
          <w:rFonts w:ascii="Arial" w:cs="Arial" w:eastAsia="Arial" w:hAnsi="Arial"/>
          <w:sz w:val="16"/>
          <w:szCs w:val="16"/>
          <w:color w:val="14202A"/>
        </w:rPr>
        <w:t xml:space="preserve">  </w:t>
      </w:r>
    </w:p>
    <w:p>
      <w:pPr>
        <w:spacing w:after="0" w:line="32" w:lineRule="exact"/>
        <w:rPr>
          <w:sz w:val="20"/>
          <w:szCs w:val="20"/>
          <w:color w:val="auto"/>
        </w:rPr>
      </w:pPr>
    </w:p>
    <w:p>
      <w:pPr>
        <w:ind w:left="4760"/>
        <w:spacing w:after="0"/>
        <w:rPr>
          <w:sz w:val="20"/>
          <w:szCs w:val="20"/>
          <w:color w:val="auto"/>
        </w:rPr>
      </w:pPr>
      <w:r>
        <w:rPr>
          <w:rFonts w:ascii="Arial" w:cs="Arial" w:eastAsia="Arial" w:hAnsi="Arial"/>
          <w:sz w:val="16"/>
          <w:szCs w:val="16"/>
          <w:color w:val="14202A"/>
        </w:rPr>
        <w:t>Stacy L. Bogart</w:t>
      </w:r>
    </w:p>
    <w:p>
      <w:pPr>
        <w:spacing w:after="0" w:line="32" w:lineRule="exact"/>
        <w:rPr>
          <w:sz w:val="20"/>
          <w:szCs w:val="20"/>
          <w:color w:val="auto"/>
        </w:rPr>
      </w:pPr>
    </w:p>
    <w:p>
      <w:pPr>
        <w:ind w:left="4760"/>
        <w:spacing w:after="0"/>
        <w:rPr>
          <w:sz w:val="20"/>
          <w:szCs w:val="20"/>
          <w:color w:val="auto"/>
        </w:rPr>
      </w:pPr>
      <w:r>
        <w:rPr>
          <w:rFonts w:ascii="Arial" w:cs="Arial" w:eastAsia="Arial" w:hAnsi="Arial"/>
          <w:sz w:val="16"/>
          <w:szCs w:val="16"/>
          <w:color w:val="14202A"/>
        </w:rPr>
        <w:t>Senior Vice President – Chief Legal Officer, Corporate</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6"/>
          <w:szCs w:val="16"/>
          <w:color w:val="14202A"/>
        </w:rPr>
        <w:t>Secretary and Corporate Responsibility</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8400"/>
        <w:spacing w:after="0"/>
        <w:rPr>
          <w:sz w:val="20"/>
          <w:szCs w:val="20"/>
          <w:color w:val="auto"/>
        </w:rPr>
      </w:pPr>
      <w:r>
        <w:rPr>
          <w:rFonts w:ascii="Arial" w:cs="Arial" w:eastAsia="Arial" w:hAnsi="Arial"/>
          <w:sz w:val="15"/>
          <w:szCs w:val="15"/>
          <w:b w:val="1"/>
          <w:bCs w:val="1"/>
          <w:color w:val="14202A"/>
        </w:rPr>
        <w:t>Appendix A</w:t>
      </w:r>
    </w:p>
    <w:p>
      <w:pPr>
        <w:spacing w:after="0" w:line="244"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WINNEBAGO INDUSTRIES, INC.</w:t>
      </w:r>
    </w:p>
    <w:p>
      <w:pPr>
        <w:spacing w:after="0" w:line="28"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AMENDED AND RESTATED 2019 OMNIBUS INCENTIVE PLAN</w:t>
      </w:r>
    </w:p>
    <w:p>
      <w:pPr>
        <w:spacing w:after="0" w:line="163"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color w:val="14202A"/>
        </w:rPr>
        <w:t xml:space="preserve">1.  </w:t>
      </w:r>
      <w:r>
        <w:rPr>
          <w:rFonts w:ascii="Arial" w:cs="Arial" w:eastAsia="Arial" w:hAnsi="Arial"/>
          <w:sz w:val="16"/>
          <w:szCs w:val="16"/>
          <w:b w:val="1"/>
          <w:bCs w:val="1"/>
          <w:u w:val="single" w:color="auto"/>
          <w:color w:val="14202A"/>
        </w:rPr>
        <w:t>Purpose</w:t>
      </w:r>
      <w:r>
        <w:rPr>
          <w:rFonts w:ascii="Arial" w:cs="Arial" w:eastAsia="Arial" w:hAnsi="Arial"/>
          <w:sz w:val="16"/>
          <w:szCs w:val="16"/>
          <w:b w:val="1"/>
          <w:bCs w:val="1"/>
          <w:color w:val="14202A"/>
        </w:rPr>
        <w:t xml:space="preserve">. </w:t>
      </w:r>
      <w:r>
        <w:rPr>
          <w:rFonts w:ascii="Arial" w:cs="Arial" w:eastAsia="Arial" w:hAnsi="Arial"/>
          <w:sz w:val="16"/>
          <w:szCs w:val="16"/>
          <w:color w:val="14202A"/>
        </w:rPr>
        <w:t>The Company previously adopted the 2019 Omnibus Incentive Plan, which was initially adopted by the Board on</w:t>
      </w:r>
      <w:r>
        <w:rPr>
          <w:rFonts w:ascii="Arial" w:cs="Arial" w:eastAsia="Arial" w:hAnsi="Arial"/>
          <w:sz w:val="16"/>
          <w:szCs w:val="16"/>
          <w:b w:val="1"/>
          <w:bCs w:val="1"/>
          <w:color w:val="14202A"/>
        </w:rPr>
        <w:t xml:space="preserve"> </w:t>
      </w:r>
      <w:r>
        <w:rPr>
          <w:rFonts w:ascii="Arial" w:cs="Arial" w:eastAsia="Arial" w:hAnsi="Arial"/>
          <w:sz w:val="16"/>
          <w:szCs w:val="16"/>
          <w:color w:val="14202A"/>
        </w:rPr>
        <w:t>October 16, 2018, and approved by the shareholders of the Company on December 11, 2018 (the “Effective Date”). The 2019 Plan was first amended and restated effective as of December 14, 2023, and again amended and restated effective as of December 16, 2025. The Board approved this third amendment and restatement of the Plan on October 15, 2026, which will be effective on the date it is approved by the Company’s shareholders (the “Restatement Date”). The purpose of the Plan is to attract and retain the best available personnel for positions of responsibility with the Company, to provide additional incentives to them and align their interests with those of the Company’s shareholders, and to thereby promote the Company’s long-term business success. The terms of this third Amended and Restated Plan shall apply to Awards granted on and after the Restatement Date.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2.   </w:t>
      </w:r>
      <w:r>
        <w:rPr>
          <w:rFonts w:ascii="Arial" w:cs="Arial" w:eastAsia="Arial" w:hAnsi="Arial"/>
          <w:sz w:val="16"/>
          <w:szCs w:val="16"/>
          <w:b w:val="1"/>
          <w:bCs w:val="1"/>
          <w:u w:val="single" w:color="auto"/>
          <w:color w:val="14202A"/>
        </w:rPr>
        <w:t>Definitions</w:t>
      </w:r>
      <w:r>
        <w:rPr>
          <w:rFonts w:ascii="Arial" w:cs="Arial" w:eastAsia="Arial" w:hAnsi="Arial"/>
          <w:sz w:val="16"/>
          <w:szCs w:val="16"/>
          <w:b w:val="1"/>
          <w:bCs w:val="1"/>
          <w:color w:val="14202A"/>
        </w:rPr>
        <w:t xml:space="preserve">. </w:t>
      </w:r>
      <w:r>
        <w:rPr>
          <w:rFonts w:ascii="Arial" w:cs="Arial" w:eastAsia="Arial" w:hAnsi="Arial"/>
          <w:sz w:val="16"/>
          <w:szCs w:val="16"/>
          <w:color w:val="14202A"/>
        </w:rPr>
        <w:t>In this Plan, the following definitions will apply.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(a)   “Affiliate” means any entity that is a Subsidiary of the Company.</w:t>
      </w:r>
    </w:p>
    <w:p>
      <w:pPr>
        <w:spacing w:after="0" w:line="181" w:lineRule="exact"/>
        <w:rPr>
          <w:sz w:val="20"/>
          <w:szCs w:val="20"/>
          <w:color w:val="auto"/>
        </w:rPr>
      </w:pPr>
    </w:p>
    <w:p>
      <w:pPr>
        <w:ind w:left="360" w:right="120"/>
        <w:spacing w:after="0" w:line="266" w:lineRule="auto"/>
        <w:rPr>
          <w:sz w:val="20"/>
          <w:szCs w:val="20"/>
          <w:color w:val="auto"/>
        </w:rPr>
      </w:pPr>
      <w:r>
        <w:rPr>
          <w:rFonts w:ascii="Arial" w:cs="Arial" w:eastAsia="Arial" w:hAnsi="Arial"/>
          <w:sz w:val="16"/>
          <w:szCs w:val="16"/>
          <w:color w:val="14202A"/>
        </w:rPr>
        <w:t>(b)  “Agreement” means the written or electronic agreement, notice or other document containing the terms and conditions applicable to each Award granted under the Plan, including all amendments thereto. An Agreement is subject to the terms and conditions of the Plan.</w:t>
      </w:r>
    </w:p>
    <w:p>
      <w:pPr>
        <w:spacing w:after="0" w:line="144" w:lineRule="exact"/>
        <w:rPr>
          <w:sz w:val="20"/>
          <w:szCs w:val="20"/>
          <w:color w:val="auto"/>
        </w:rPr>
      </w:pPr>
    </w:p>
    <w:p>
      <w:pPr>
        <w:ind w:left="360" w:right="80"/>
        <w:spacing w:after="0" w:line="286" w:lineRule="auto"/>
        <w:rPr>
          <w:sz w:val="20"/>
          <w:szCs w:val="20"/>
          <w:color w:val="auto"/>
        </w:rPr>
      </w:pPr>
      <w:r>
        <w:rPr>
          <w:rFonts w:ascii="Arial" w:cs="Arial" w:eastAsia="Arial" w:hAnsi="Arial"/>
          <w:sz w:val="16"/>
          <w:szCs w:val="16"/>
          <w:color w:val="14202A"/>
        </w:rPr>
        <w:t>(c)  “Award” means a grant made under the Plan in the form of Options, Stock Appreciation Rights, Restricted Stock, Stock Units or an Other Stock-Based Award.</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(d)   “Board” means the Board of Directors of the Company.</w:t>
      </w:r>
    </w:p>
    <w:p>
      <w:pPr>
        <w:spacing w:after="0" w:line="181" w:lineRule="exact"/>
        <w:rPr>
          <w:sz w:val="20"/>
          <w:szCs w:val="20"/>
          <w:color w:val="auto"/>
        </w:rPr>
      </w:pPr>
    </w:p>
    <w:p>
      <w:pPr>
        <w:ind w:left="360" w:right="20"/>
        <w:spacing w:after="0" w:line="250" w:lineRule="auto"/>
        <w:rPr>
          <w:sz w:val="20"/>
          <w:szCs w:val="20"/>
          <w:color w:val="auto"/>
        </w:rPr>
      </w:pPr>
      <w:r>
        <w:rPr>
          <w:rFonts w:ascii="Arial" w:cs="Arial" w:eastAsia="Arial" w:hAnsi="Arial"/>
          <w:sz w:val="16"/>
          <w:szCs w:val="16"/>
          <w:color w:val="14202A"/>
        </w:rPr>
        <w:t>(e)  “Cause” means, unless otherwise defined in a then-effective written agreement (including an Agreement) between a Participant and the Company or any Affiliate, a Participant’s (i) material failure to perform satisfactorily the duties reasonably required of the Participant by the Company (other than by reason of Disability); (ii) material violation of any law, rule, regulation, court order or regulatory directive (other than traffic violations, misdemeanors or other minor offenses); (iii) material breach of the Company’s business conduct or ethics code or of any fiduciary duty or nondisclosure, non-solicitation, non-competition or similar obligation owed to the Company or any Affiliate; (iv) engaging in any act or practice that involves personal dishonesty on the part of the Participant or demonstrates a willful and continuing disregard for the best interests of the Company and its Affiliates; or (v) engaging in dishonorable or disruptive behavior, practices or acts which would be reasonably expected to harm or bring disrepute to the Company or any of its Affiliates, their business or any of their customers, employees or vendors.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(f)   “Change in Control” means, unless otherwise defined in a then-effective written agreement (including an Agreement)</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between a Participant and the Company or any Affiliate, one of the following:</w:t>
      </w:r>
    </w:p>
    <w:p>
      <w:pPr>
        <w:spacing w:after="0" w:line="178" w:lineRule="exact"/>
        <w:rPr>
          <w:sz w:val="20"/>
          <w:szCs w:val="20"/>
          <w:color w:val="auto"/>
        </w:rPr>
      </w:pPr>
    </w:p>
    <w:p>
      <w:pPr>
        <w:ind w:left="720" w:right="260"/>
        <w:spacing w:after="0" w:line="266" w:lineRule="auto"/>
        <w:rPr>
          <w:sz w:val="20"/>
          <w:szCs w:val="20"/>
          <w:color w:val="auto"/>
        </w:rPr>
      </w:pPr>
      <w:r>
        <w:rPr>
          <w:rFonts w:ascii="Arial" w:cs="Arial" w:eastAsia="Arial" w:hAnsi="Arial"/>
          <w:sz w:val="16"/>
          <w:szCs w:val="16"/>
          <w:color w:val="14202A"/>
        </w:rPr>
        <w:t>(1)  An Exchange Act Person becomes the beneficial owner (within the meaning of Rule 13d-3 under the Exchange Act) of securities of the Company representing 30% or more of the combined voting power of the Company’s then outstanding Voting Securities, except that the following will not constitute a Change in Control:</w:t>
      </w:r>
    </w:p>
    <w:p>
      <w:pPr>
        <w:spacing w:after="0" w:line="131" w:lineRule="exact"/>
        <w:rPr>
          <w:sz w:val="20"/>
          <w:szCs w:val="20"/>
          <w:color w:val="auto"/>
        </w:rPr>
      </w:pPr>
    </w:p>
    <w:p>
      <w:pPr>
        <w:ind w:left="1080" w:right="100"/>
        <w:spacing w:after="0" w:line="286" w:lineRule="auto"/>
        <w:rPr>
          <w:sz w:val="20"/>
          <w:szCs w:val="20"/>
          <w:color w:val="auto"/>
        </w:rPr>
      </w:pPr>
      <w:r>
        <w:rPr>
          <w:rFonts w:ascii="Arial" w:cs="Arial" w:eastAsia="Arial" w:hAnsi="Arial"/>
          <w:sz w:val="16"/>
          <w:szCs w:val="16"/>
          <w:color w:val="14202A"/>
        </w:rPr>
        <w:t>(A)  any acquisition of securities of the Company by an Exchange Act Person from the Company for the purpose of providing financing to the Company;</w:t>
      </w:r>
    </w:p>
    <w:p>
      <w:pPr>
        <w:spacing w:after="0" w:line="115" w:lineRule="exact"/>
        <w:rPr>
          <w:sz w:val="20"/>
          <w:szCs w:val="20"/>
          <w:color w:val="auto"/>
        </w:rPr>
      </w:pPr>
    </w:p>
    <w:p>
      <w:pPr>
        <w:ind w:left="1080" w:right="100"/>
        <w:spacing w:after="0" w:line="286" w:lineRule="auto"/>
        <w:rPr>
          <w:sz w:val="20"/>
          <w:szCs w:val="20"/>
          <w:color w:val="auto"/>
        </w:rPr>
      </w:pPr>
      <w:r>
        <w:rPr>
          <w:rFonts w:ascii="Arial" w:cs="Arial" w:eastAsia="Arial" w:hAnsi="Arial"/>
          <w:sz w:val="16"/>
          <w:szCs w:val="16"/>
          <w:color w:val="14202A"/>
        </w:rPr>
        <w:t>(B)  any formation of a Group consisting solely of beneficial owners of the Company’s Voting Securities as of the Effective Date; or</w:t>
      </w:r>
    </w:p>
    <w:p>
      <w:pPr>
        <w:spacing w:after="0" w:line="129" w:lineRule="exact"/>
        <w:rPr>
          <w:sz w:val="20"/>
          <w:szCs w:val="20"/>
          <w:color w:val="auto"/>
        </w:rPr>
      </w:pPr>
    </w:p>
    <w:p>
      <w:pPr>
        <w:ind w:left="1080" w:right="200"/>
        <w:spacing w:after="0" w:line="286" w:lineRule="auto"/>
        <w:rPr>
          <w:sz w:val="20"/>
          <w:szCs w:val="20"/>
          <w:color w:val="auto"/>
        </w:rPr>
      </w:pPr>
      <w:r>
        <w:rPr>
          <w:rFonts w:ascii="Arial" w:cs="Arial" w:eastAsia="Arial" w:hAnsi="Arial"/>
          <w:sz w:val="16"/>
          <w:szCs w:val="16"/>
          <w:color w:val="14202A"/>
        </w:rPr>
        <w:t>(C)  any repurchase or other acquisition by the Company of its Voting Securities that causes any Exchange Act Person to become the beneficial owner of 30% or more of the Company’s Voting Securities.</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right="80"/>
        <w:spacing w:after="0" w:line="259" w:lineRule="auto"/>
        <w:rPr>
          <w:sz w:val="20"/>
          <w:szCs w:val="20"/>
          <w:color w:val="auto"/>
        </w:rPr>
      </w:pPr>
      <w:r>
        <w:rPr>
          <w:rFonts w:ascii="Arial" w:cs="Arial" w:eastAsia="Arial" w:hAnsi="Arial"/>
          <w:sz w:val="16"/>
          <w:szCs w:val="16"/>
          <w:color w:val="14202A"/>
        </w:rPr>
        <w:t>If, however, an Exchange Act Person or Group referenced in clause (A), (B) or (C) above acquires beneficial ownership of additional Company Voting Securities after initially becoming the beneficial owner of 30% or more of the combined voting power of the Company’s Voting Securities by one of the means described in those clauses, then a Change in Control will be deemed to have occurred.</w:t>
      </w:r>
    </w:p>
    <w:p>
      <w:pPr>
        <w:spacing w:after="0" w:line="137" w:lineRule="exact"/>
        <w:rPr>
          <w:sz w:val="20"/>
          <w:szCs w:val="20"/>
          <w:color w:val="auto"/>
        </w:rPr>
      </w:pPr>
    </w:p>
    <w:p>
      <w:pPr>
        <w:ind w:left="720" w:right="460"/>
        <w:spacing w:after="0" w:line="286" w:lineRule="auto"/>
        <w:rPr>
          <w:sz w:val="20"/>
          <w:szCs w:val="20"/>
          <w:color w:val="auto"/>
        </w:rPr>
      </w:pPr>
      <w:r>
        <w:rPr>
          <w:rFonts w:ascii="Arial" w:cs="Arial" w:eastAsia="Arial" w:hAnsi="Arial"/>
          <w:sz w:val="16"/>
          <w:szCs w:val="16"/>
          <w:color w:val="14202A"/>
        </w:rPr>
        <w:t>(2)  Individuals who are Continuing Directors cease for any reason to constitute a majority of the members of the Board.</w:t>
      </w:r>
    </w:p>
    <w:p>
      <w:pPr>
        <w:spacing w:after="0" w:line="115" w:lineRule="exact"/>
        <w:rPr>
          <w:sz w:val="20"/>
          <w:szCs w:val="20"/>
          <w:color w:val="auto"/>
        </w:rPr>
      </w:pPr>
    </w:p>
    <w:p>
      <w:pPr>
        <w:ind w:left="720" w:right="60"/>
        <w:spacing w:after="0" w:line="254" w:lineRule="auto"/>
        <w:rPr>
          <w:sz w:val="20"/>
          <w:szCs w:val="20"/>
          <w:color w:val="auto"/>
        </w:rPr>
      </w:pPr>
      <w:r>
        <w:rPr>
          <w:rFonts w:ascii="Arial" w:cs="Arial" w:eastAsia="Arial" w:hAnsi="Arial"/>
          <w:sz w:val="16"/>
          <w:szCs w:val="16"/>
          <w:color w:val="14202A"/>
        </w:rPr>
        <w:t>(3)  A Corporate Transaction is consummated, unless, immediately following such Corporate Transaction, all or substantially all of the individuals and entities who were the beneficial owners of the Company’s Voting Securities immediately prior to such Corporate Transaction beneficially own, directly or indirectly, more than 50% of the combined voting power of the then outstanding Voting Securities of the surviving or acquiring entity resulting from such Corporate Transaction (including beneficial ownership through any Parent of such entity) in substantially the same proportions as their ownership, immediately prior to such Corporate Transaction, of the Company’s Voting Securities.</w:t>
      </w:r>
    </w:p>
    <w:p>
      <w:pPr>
        <w:spacing w:after="0" w:line="155" w:lineRule="exact"/>
        <w:rPr>
          <w:sz w:val="20"/>
          <w:szCs w:val="20"/>
          <w:color w:val="auto"/>
        </w:rPr>
      </w:pPr>
    </w:p>
    <w:p>
      <w:pPr>
        <w:ind w:left="360" w:right="280"/>
        <w:spacing w:after="0" w:line="256" w:lineRule="auto"/>
        <w:rPr>
          <w:sz w:val="20"/>
          <w:szCs w:val="20"/>
          <w:color w:val="auto"/>
        </w:rPr>
      </w:pPr>
      <w:r>
        <w:rPr>
          <w:rFonts w:ascii="Arial" w:cs="Arial" w:eastAsia="Arial" w:hAnsi="Arial"/>
          <w:sz w:val="16"/>
          <w:szCs w:val="16"/>
          <w:color w:val="14202A"/>
        </w:rPr>
        <w:t>Notwithstanding the foregoing, to the extent that any Award constitutes a deferral of compensation subject to Code Section 409A, and if that Award provides for a change in the time or form of payment upon a Change in Control, then no Change in Control shall be deemed to have occurred upon an event described in this Section 2(f) unless the event would also constitute a change in ownership or effective control of, or a change in the ownership of a substantial portion of the assets of, the Company under Code Section 409A.</w:t>
      </w:r>
    </w:p>
    <w:p>
      <w:pPr>
        <w:spacing w:after="0" w:line="139" w:lineRule="exact"/>
        <w:rPr>
          <w:sz w:val="20"/>
          <w:szCs w:val="20"/>
          <w:color w:val="auto"/>
        </w:rPr>
      </w:pPr>
    </w:p>
    <w:p>
      <w:pPr>
        <w:jc w:val="both"/>
        <w:ind w:left="360" w:right="300"/>
        <w:spacing w:after="0" w:line="266" w:lineRule="auto"/>
        <w:rPr>
          <w:sz w:val="20"/>
          <w:szCs w:val="20"/>
          <w:color w:val="auto"/>
        </w:rPr>
      </w:pPr>
      <w:r>
        <w:rPr>
          <w:rFonts w:ascii="Arial" w:cs="Arial" w:eastAsia="Arial" w:hAnsi="Arial"/>
          <w:sz w:val="16"/>
          <w:szCs w:val="16"/>
          <w:color w:val="14202A"/>
        </w:rPr>
        <w:t>(g)  “Code” means the Internal Revenue Code of 1986, as amended and in effect from time to time. For purposes of the Plan, references to sections of the Code shall be deemed to include any applicable regulations and guidance thereunder and any successor or similar statutory provisions.</w:t>
      </w:r>
    </w:p>
    <w:p>
      <w:pPr>
        <w:spacing w:after="0" w:line="131" w:lineRule="exact"/>
        <w:rPr>
          <w:sz w:val="20"/>
          <w:szCs w:val="20"/>
          <w:color w:val="auto"/>
        </w:rPr>
      </w:pPr>
    </w:p>
    <w:p>
      <w:pPr>
        <w:ind w:left="360" w:right="60"/>
        <w:spacing w:after="0" w:line="259" w:lineRule="auto"/>
        <w:rPr>
          <w:sz w:val="20"/>
          <w:szCs w:val="20"/>
          <w:color w:val="auto"/>
        </w:rPr>
      </w:pPr>
      <w:r>
        <w:rPr>
          <w:rFonts w:ascii="Arial" w:cs="Arial" w:eastAsia="Arial" w:hAnsi="Arial"/>
          <w:sz w:val="16"/>
          <w:szCs w:val="16"/>
          <w:color w:val="14202A"/>
        </w:rPr>
        <w:t>(h)  “Committee” means two or more Non-Employee Directors designated by the Board to administer the Plan under Section 3, each member of which shall be (i) an independent director within the meaning of applicable stock exchange rules and regulations and (ii) a non-employee director within the meaning of Exchange Act Rule 16b-3. The Committee shall be the Human Resources Committee of the Board unless otherwise specified by the Board.</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(i)   “Company” means Winnebago Industries, Inc., a Minnesota corporation, and any successor thereto.</w:t>
      </w:r>
    </w:p>
    <w:p>
      <w:pPr>
        <w:spacing w:after="0" w:line="194" w:lineRule="exact"/>
        <w:rPr>
          <w:sz w:val="20"/>
          <w:szCs w:val="20"/>
          <w:color w:val="auto"/>
        </w:rPr>
      </w:pPr>
    </w:p>
    <w:p>
      <w:pPr>
        <w:ind w:left="360" w:right="520"/>
        <w:spacing w:after="0" w:line="266" w:lineRule="auto"/>
        <w:rPr>
          <w:sz w:val="20"/>
          <w:szCs w:val="20"/>
          <w:color w:val="auto"/>
        </w:rPr>
      </w:pPr>
      <w:r>
        <w:rPr>
          <w:rFonts w:ascii="Arial" w:cs="Arial" w:eastAsia="Arial" w:hAnsi="Arial"/>
          <w:sz w:val="16"/>
          <w:szCs w:val="16"/>
          <w:color w:val="14202A"/>
        </w:rPr>
        <w:t>(j)  “Consultant” means any natural person who is a consultant or advisor, or is employed by a consultant or advisor retained by the Company or any Affiliate, and who provides services (other than in connection with (i) a capital-raising transaction or (ii) promoting or maintaining a market in Company securities) to the Company or any Affiliate.</w:t>
      </w:r>
    </w:p>
    <w:p>
      <w:pPr>
        <w:spacing w:after="0" w:line="131" w:lineRule="exact"/>
        <w:rPr>
          <w:sz w:val="20"/>
          <w:szCs w:val="20"/>
          <w:color w:val="auto"/>
        </w:rPr>
      </w:pPr>
    </w:p>
    <w:p>
      <w:pPr>
        <w:ind w:left="360"/>
        <w:spacing w:after="0" w:line="254" w:lineRule="auto"/>
        <w:rPr>
          <w:sz w:val="20"/>
          <w:szCs w:val="20"/>
          <w:color w:val="auto"/>
        </w:rPr>
      </w:pPr>
      <w:r>
        <w:rPr>
          <w:rFonts w:ascii="Arial" w:cs="Arial" w:eastAsia="Arial" w:hAnsi="Arial"/>
          <w:sz w:val="16"/>
          <w:szCs w:val="16"/>
          <w:color w:val="14202A"/>
        </w:rPr>
        <w:t>(k)  “Continuing Director” means an individual (i) who is, as of the Effective Date, a director of the Company, or (ii) who becomes a director of the Company after the Effective Date and whose initial election, or nomination for election by the Company’s shareholders, was approved by at least a majority of the then Continuing Directors, but excluding, for purposes of this clause (ii), an individual whose initial assumption of office occurs as the result of an actual or threatened proxy contest involving the solicitation of proxies or consents by a person or Group other than the Board, or by reason of an agreement intended to avoid or settle an actual or threatened proxy contest.</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(l)   “Corporate Transaction” means (i) a sale or other disposition of all or substantially all of the assets of the Company, or</w:t>
      </w:r>
    </w:p>
    <w:p>
      <w:pPr>
        <w:spacing w:after="0" w:line="21" w:lineRule="exact"/>
        <w:rPr>
          <w:sz w:val="20"/>
          <w:szCs w:val="20"/>
          <w:color w:val="auto"/>
        </w:rPr>
      </w:pPr>
    </w:p>
    <w:p>
      <w:pPr>
        <w:ind w:left="360" w:right="640"/>
        <w:spacing w:after="0" w:line="265" w:lineRule="auto"/>
        <w:tabs>
          <w:tab w:leader="none" w:pos="585" w:val="left"/>
        </w:tabs>
        <w:numPr>
          <w:ilvl w:val="0"/>
          <w:numId w:val="74"/>
        </w:numPr>
        <w:rPr>
          <w:rFonts w:ascii="Arial" w:cs="Arial" w:eastAsia="Arial" w:hAnsi="Arial"/>
          <w:sz w:val="16"/>
          <w:szCs w:val="16"/>
          <w:color w:val="14202A"/>
        </w:rPr>
      </w:pPr>
      <w:r>
        <w:rPr>
          <w:rFonts w:ascii="Arial" w:cs="Arial" w:eastAsia="Arial" w:hAnsi="Arial"/>
          <w:sz w:val="16"/>
          <w:szCs w:val="16"/>
          <w:color w:val="14202A"/>
        </w:rPr>
        <w:t>a merger, consolidation, share exchange or similar transaction involving the Company, regardless of whether the Company is the surviving entity.</w:t>
      </w:r>
    </w:p>
    <w:p>
      <w:pPr>
        <w:spacing w:after="0" w:line="145" w:lineRule="exact"/>
        <w:rPr>
          <w:sz w:val="20"/>
          <w:szCs w:val="20"/>
          <w:color w:val="auto"/>
        </w:rPr>
      </w:pPr>
    </w:p>
    <w:p>
      <w:pPr>
        <w:jc w:val="both"/>
        <w:ind w:left="360" w:right="160"/>
        <w:spacing w:after="0" w:line="266" w:lineRule="auto"/>
        <w:rPr>
          <w:sz w:val="20"/>
          <w:szCs w:val="20"/>
          <w:color w:val="auto"/>
        </w:rPr>
      </w:pPr>
      <w:r>
        <w:rPr>
          <w:rFonts w:ascii="Arial" w:cs="Arial" w:eastAsia="Arial" w:hAnsi="Arial"/>
          <w:sz w:val="16"/>
          <w:szCs w:val="16"/>
          <w:color w:val="14202A"/>
        </w:rPr>
        <w:t>(m)  “Disability” means (A) any permanent and total disability under any long-term disability plan or policy of the Company or its Affiliates that covers the Participant, or (B) if there is no such long-term disability plan or policy, “total and permanent disability” within the meaning of Code Section 22(e)(3).</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(n)   “Effective Date” means December 11, 2018.</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(o)   “Employee” means an employee of the Company or an Affiliate.</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(p)   “Exchange Act” means the Securities Exchange Act of 1934, as amended and in effect from time to time.</w:t>
      </w:r>
    </w:p>
    <w:p>
      <w:pPr>
        <w:spacing w:after="0" w:line="181" w:lineRule="exact"/>
        <w:rPr>
          <w:sz w:val="20"/>
          <w:szCs w:val="20"/>
          <w:color w:val="auto"/>
        </w:rPr>
      </w:pPr>
    </w:p>
    <w:p>
      <w:pPr>
        <w:ind w:left="360" w:right="80"/>
        <w:spacing w:after="0" w:line="256" w:lineRule="auto"/>
        <w:rPr>
          <w:sz w:val="20"/>
          <w:szCs w:val="20"/>
          <w:color w:val="auto"/>
        </w:rPr>
      </w:pPr>
      <w:r>
        <w:rPr>
          <w:rFonts w:ascii="Arial" w:cs="Arial" w:eastAsia="Arial" w:hAnsi="Arial"/>
          <w:sz w:val="16"/>
          <w:szCs w:val="16"/>
          <w:color w:val="14202A"/>
        </w:rPr>
        <w:t>(q)  “Exchange Act Person” means any natural person, entity or Group other than (i) the Company or any Affiliate; (ii) any employee benefit plan (or related trust) sponsored or maintained by the Company or any Affiliate; (iii) an underwriter temporarily holding securities in connection with a registered public offering of such securities; or (iv) an entity whose Voting Securities are beneficially owned by the beneficial owners of the Company’s Voting Securities in substantially the same proportions as their beneficial ownership of the Company’s Voting Securities.</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(r)   “Fair Market Value” means the fair market value of a Share determined as follows:</w:t>
      </w:r>
    </w:p>
    <w:p>
      <w:pPr>
        <w:spacing w:after="0" w:line="181" w:lineRule="exact"/>
        <w:rPr>
          <w:sz w:val="20"/>
          <w:szCs w:val="20"/>
          <w:color w:val="auto"/>
        </w:rPr>
      </w:pPr>
    </w:p>
    <w:p>
      <w:pPr>
        <w:ind w:left="720"/>
        <w:spacing w:after="0" w:line="256" w:lineRule="auto"/>
        <w:rPr>
          <w:sz w:val="20"/>
          <w:szCs w:val="20"/>
          <w:color w:val="auto"/>
        </w:rPr>
      </w:pPr>
      <w:r>
        <w:rPr>
          <w:rFonts w:ascii="Arial" w:cs="Arial" w:eastAsia="Arial" w:hAnsi="Arial"/>
          <w:sz w:val="16"/>
          <w:szCs w:val="16"/>
          <w:color w:val="14202A"/>
        </w:rPr>
        <w:t xml:space="preserve">(1)  If the Shares are readily tradable on an established securities market (as determined under Code Section 409A), then Fair Market Value will be the closing sales price for a Share on the principal securities market on which it trades on the date for which it is being determined, or if no sale of Shares occurred on that date, on the next preceding date on which a sale of Shares occurred, as reported in </w:t>
      </w:r>
      <w:r>
        <w:rPr>
          <w:rFonts w:ascii="Arial" w:cs="Arial" w:eastAsia="Arial" w:hAnsi="Arial"/>
          <w:sz w:val="16"/>
          <w:szCs w:val="16"/>
          <w:i w:val="1"/>
          <w:iCs w:val="1"/>
          <w:color w:val="14202A"/>
        </w:rPr>
        <w:t>The Wall Street Journal</w:t>
      </w:r>
      <w:r>
        <w:rPr>
          <w:rFonts w:ascii="Arial" w:cs="Arial" w:eastAsia="Arial" w:hAnsi="Arial"/>
          <w:sz w:val="16"/>
          <w:szCs w:val="16"/>
          <w:color w:val="14202A"/>
        </w:rPr>
        <w:t xml:space="preserve"> or such other source as the Committee deems reliable; or</w:t>
      </w:r>
    </w:p>
    <w:p>
      <w:pPr>
        <w:spacing w:after="0" w:line="153" w:lineRule="exact"/>
        <w:rPr>
          <w:sz w:val="20"/>
          <w:szCs w:val="20"/>
          <w:color w:val="auto"/>
        </w:rPr>
      </w:pPr>
    </w:p>
    <w:p>
      <w:pPr>
        <w:ind w:left="720" w:right="80"/>
        <w:spacing w:after="0" w:line="266" w:lineRule="auto"/>
        <w:rPr>
          <w:sz w:val="20"/>
          <w:szCs w:val="20"/>
          <w:color w:val="auto"/>
        </w:rPr>
      </w:pPr>
      <w:r>
        <w:rPr>
          <w:rFonts w:ascii="Arial" w:cs="Arial" w:eastAsia="Arial" w:hAnsi="Arial"/>
          <w:sz w:val="16"/>
          <w:szCs w:val="16"/>
          <w:color w:val="14202A"/>
        </w:rPr>
        <w:t>(2)  If the Shares are not then readily tradable on an established securities market (as determined under Code Section 409A), then Fair Market Value will be determined by the Committee as the result of a reasonable application of a reasonable valuation method that satisfies the requirements of Code Section 409A.</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(s)   “Full Value Award” means an Award other than an Option Award or Stock Appreciation Right Award.</w:t>
      </w:r>
    </w:p>
    <w:p>
      <w:pPr>
        <w:spacing w:after="0" w:line="181" w:lineRule="exact"/>
        <w:rPr>
          <w:sz w:val="20"/>
          <w:szCs w:val="20"/>
          <w:color w:val="auto"/>
        </w:rPr>
      </w:pPr>
    </w:p>
    <w:p>
      <w:pPr>
        <w:ind w:left="360" w:right="20"/>
        <w:spacing w:after="0" w:line="286" w:lineRule="auto"/>
        <w:rPr>
          <w:sz w:val="20"/>
          <w:szCs w:val="20"/>
          <w:color w:val="auto"/>
        </w:rPr>
      </w:pPr>
      <w:r>
        <w:rPr>
          <w:rFonts w:ascii="Arial" w:cs="Arial" w:eastAsia="Arial" w:hAnsi="Arial"/>
          <w:sz w:val="16"/>
          <w:szCs w:val="16"/>
          <w:color w:val="14202A"/>
        </w:rPr>
        <w:t>(t)  “Grant Date” means the date on which the Committee approves the grant of an Award under the Plan, or such later date as may be specified by the Committee on the date the Committee approves the Award.</w:t>
      </w:r>
    </w:p>
    <w:p>
      <w:pPr>
        <w:spacing w:after="0" w:line="129" w:lineRule="exact"/>
        <w:rPr>
          <w:sz w:val="20"/>
          <w:szCs w:val="20"/>
          <w:color w:val="auto"/>
        </w:rPr>
      </w:pPr>
    </w:p>
    <w:p>
      <w:pPr>
        <w:ind w:left="360" w:right="140"/>
        <w:spacing w:after="0" w:line="286" w:lineRule="auto"/>
        <w:rPr>
          <w:sz w:val="20"/>
          <w:szCs w:val="20"/>
          <w:color w:val="auto"/>
        </w:rPr>
      </w:pPr>
      <w:r>
        <w:rPr>
          <w:rFonts w:ascii="Arial" w:cs="Arial" w:eastAsia="Arial" w:hAnsi="Arial"/>
          <w:sz w:val="16"/>
          <w:szCs w:val="16"/>
          <w:color w:val="14202A"/>
        </w:rPr>
        <w:t>(u)  “Group” means two or more persons who act, or agree to act together, as a partnership, limited partnership, syndicate or other group for the purpose of acquiring, holding, voting or disposing of securities of the Company.</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(v)   “Non-Employee Director” means a member of the Board who is not an Employee.</w:t>
      </w:r>
    </w:p>
    <w:p>
      <w:pPr>
        <w:spacing w:after="0" w:line="181" w:lineRule="exact"/>
        <w:rPr>
          <w:sz w:val="20"/>
          <w:szCs w:val="20"/>
          <w:color w:val="auto"/>
        </w:rPr>
      </w:pPr>
    </w:p>
    <w:p>
      <w:pPr>
        <w:ind w:left="360" w:right="40"/>
        <w:spacing w:after="0" w:line="266" w:lineRule="auto"/>
        <w:rPr>
          <w:sz w:val="20"/>
          <w:szCs w:val="20"/>
          <w:color w:val="auto"/>
        </w:rPr>
      </w:pPr>
      <w:r>
        <w:rPr>
          <w:rFonts w:ascii="Arial" w:cs="Arial" w:eastAsia="Arial" w:hAnsi="Arial"/>
          <w:sz w:val="16"/>
          <w:szCs w:val="16"/>
          <w:color w:val="14202A"/>
        </w:rPr>
        <w:t>(w)  “Option” means a right granted under the Plan to purchase a specified number of Shares at a specified price. An “Incentive Stock Option” or “ISO” means any Option designated as such and granted in accordance with the requirements of Code Section 422. A “Non-Qualified Stock Option” or “NQSO” means an Option other than an Incentive Stock Option.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(x)   “Other Stock-Based Award” means an Award described in Section 11 of this Plan.</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(y)   “Parent” means a “parent corporation,” as defined in Code Section 424(e).</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(z)   “Participant” means a Service Provider to whom a then-outstanding Award has been granted under the Plan.</w:t>
      </w:r>
    </w:p>
    <w:p>
      <w:pPr>
        <w:spacing w:after="0" w:line="194" w:lineRule="exact"/>
        <w:rPr>
          <w:sz w:val="20"/>
          <w:szCs w:val="20"/>
          <w:color w:val="auto"/>
        </w:rPr>
      </w:pPr>
    </w:p>
    <w:p>
      <w:pPr>
        <w:ind w:left="360" w:right="60"/>
        <w:spacing w:after="0" w:line="249" w:lineRule="auto"/>
        <w:rPr>
          <w:sz w:val="20"/>
          <w:szCs w:val="20"/>
          <w:color w:val="auto"/>
        </w:rPr>
      </w:pPr>
      <w:r>
        <w:rPr>
          <w:rFonts w:ascii="Arial" w:cs="Arial" w:eastAsia="Arial" w:hAnsi="Arial"/>
          <w:sz w:val="16"/>
          <w:szCs w:val="16"/>
          <w:color w:val="14202A"/>
        </w:rPr>
        <w:t>(aa)  “Performance Measure” is a metric selected by the Committee, which may, but is not required to, include one or more of the following: (i) stock price measures (including but not limited to growth measures and total shareholder return); (ii) earnings per share (actual or targeted growth); (iii) earnings before interest, taxes, depreciation, and amortization (“EBITDA”); (iv) economic value added (“EVA”); (v) net income measures (including but not limited to income after capital costs and income before or after taxes); (vi) revenue and/or sales (gross or net) and margins; (vii) operating income; (viii) cash flow and working capital measures; (ix) return measures (including but not limited to return on assets, equity and/or invested capital); (x) growth measures (including revenue or sales growth); (xi) market share; (xii) product quality and customer satisfaction measures; (xiii) corporate values and strategic measures (including but not limited to ethics compliance, environmental, safety, strategic and succession planning); and (xiv) any other financial, operational or strategic measure approved by the Committee. Any performance goal based on one or more of the foregoing performance measures may be expressed in absolute amounts, on a per share basis (basic or diluted), relative to one or more other performance measures, as a growth rate or change from preceding periods, or as a comparison to the performance of specified companies, indices or other external measures, and may relate to one or any combination of Company, Affiliate, division, business segments, business units or individual performance.</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right="40"/>
        <w:spacing w:after="0" w:line="286" w:lineRule="auto"/>
        <w:rPr>
          <w:sz w:val="20"/>
          <w:szCs w:val="20"/>
          <w:color w:val="auto"/>
        </w:rPr>
      </w:pPr>
      <w:r>
        <w:rPr>
          <w:rFonts w:ascii="Arial" w:cs="Arial" w:eastAsia="Arial" w:hAnsi="Arial"/>
          <w:sz w:val="16"/>
          <w:szCs w:val="16"/>
          <w:color w:val="14202A"/>
        </w:rPr>
        <w:t>(bb)  “Plan” means this Winnebago Industries, Inc. Amended and Restated 2019 Omnibus Incentive Plan, as amended and in effect from time to time.</w:t>
      </w:r>
    </w:p>
    <w:p>
      <w:pPr>
        <w:spacing w:after="0" w:line="115" w:lineRule="exact"/>
        <w:rPr>
          <w:sz w:val="20"/>
          <w:szCs w:val="20"/>
          <w:color w:val="auto"/>
        </w:rPr>
      </w:pPr>
    </w:p>
    <w:p>
      <w:pPr>
        <w:ind w:left="360" w:right="800"/>
        <w:spacing w:after="0" w:line="286" w:lineRule="auto"/>
        <w:rPr>
          <w:sz w:val="20"/>
          <w:szCs w:val="20"/>
          <w:color w:val="auto"/>
        </w:rPr>
      </w:pPr>
      <w:r>
        <w:rPr>
          <w:rFonts w:ascii="Arial" w:cs="Arial" w:eastAsia="Arial" w:hAnsi="Arial"/>
          <w:sz w:val="16"/>
          <w:szCs w:val="16"/>
          <w:color w:val="14202A"/>
        </w:rPr>
        <w:t>(cc)  “Prior Plan” means the Winnebago Industries, Inc. 2014 Omnibus Equity, Performance Award and Incentive Compensation Plan.</w:t>
      </w:r>
    </w:p>
    <w:p>
      <w:pPr>
        <w:spacing w:after="0" w:line="115" w:lineRule="exact"/>
        <w:rPr>
          <w:sz w:val="20"/>
          <w:szCs w:val="20"/>
          <w:color w:val="auto"/>
        </w:rPr>
      </w:pPr>
    </w:p>
    <w:p>
      <w:pPr>
        <w:ind w:left="360" w:right="500"/>
        <w:spacing w:after="0" w:line="286" w:lineRule="auto"/>
        <w:rPr>
          <w:sz w:val="20"/>
          <w:szCs w:val="20"/>
          <w:color w:val="auto"/>
        </w:rPr>
      </w:pPr>
      <w:r>
        <w:rPr>
          <w:rFonts w:ascii="Arial" w:cs="Arial" w:eastAsia="Arial" w:hAnsi="Arial"/>
          <w:sz w:val="16"/>
          <w:szCs w:val="16"/>
          <w:color w:val="14202A"/>
        </w:rPr>
        <w:t>(dd)  “Restricted Stock” means Shares issued to a Participant that are subject to such restrictions on transfer, vesting conditions and other restrictions or limitations as may be set forth in this Plan and the applicable Agreement.</w:t>
      </w:r>
    </w:p>
    <w:p>
      <w:pPr>
        <w:spacing w:after="0" w:line="129" w:lineRule="exact"/>
        <w:rPr>
          <w:sz w:val="20"/>
          <w:szCs w:val="20"/>
          <w:color w:val="auto"/>
        </w:rPr>
      </w:pPr>
    </w:p>
    <w:p>
      <w:pPr>
        <w:ind w:left="360" w:right="860"/>
        <w:spacing w:after="0" w:line="286" w:lineRule="auto"/>
        <w:rPr>
          <w:sz w:val="20"/>
          <w:szCs w:val="20"/>
          <w:color w:val="auto"/>
        </w:rPr>
      </w:pPr>
      <w:r>
        <w:rPr>
          <w:rFonts w:ascii="Arial" w:cs="Arial" w:eastAsia="Arial" w:hAnsi="Arial"/>
          <w:sz w:val="16"/>
          <w:szCs w:val="16"/>
          <w:color w:val="14202A"/>
        </w:rPr>
        <w:t>(ee)  “Separation from Service” means a “separation from service” as such term is defined for purposes of Code Section 409A.</w:t>
      </w:r>
    </w:p>
    <w:p>
      <w:pPr>
        <w:spacing w:after="0" w:line="115" w:lineRule="exact"/>
        <w:rPr>
          <w:sz w:val="20"/>
          <w:szCs w:val="20"/>
          <w:color w:val="auto"/>
        </w:rPr>
      </w:pPr>
    </w:p>
    <w:p>
      <w:pPr>
        <w:ind w:left="360" w:right="60"/>
        <w:spacing w:after="0" w:line="251" w:lineRule="auto"/>
        <w:rPr>
          <w:sz w:val="20"/>
          <w:szCs w:val="20"/>
          <w:color w:val="auto"/>
        </w:rPr>
      </w:pPr>
      <w:r>
        <w:rPr>
          <w:rFonts w:ascii="Arial" w:cs="Arial" w:eastAsia="Arial" w:hAnsi="Arial"/>
          <w:sz w:val="16"/>
          <w:szCs w:val="16"/>
          <w:color w:val="14202A"/>
        </w:rPr>
        <w:t>(ff)  “Service” means the provision of services by a Participant to the Company or any Affiliate in any Service Provider capacity. A Service Provider’s Service shall be deemed to have terminated either upon an actual cessation of providing services to the Company or any Affiliate or upon the entity to which the Service Provider provides services ceasing to be an Affiliate. Except as otherwise provided in this Plan or any Agreement, Service shall not be deemed terminated in the case of</w:t>
      </w:r>
    </w:p>
    <w:p>
      <w:pPr>
        <w:spacing w:after="0" w:line="2" w:lineRule="exact"/>
        <w:rPr>
          <w:sz w:val="20"/>
          <w:szCs w:val="20"/>
          <w:color w:val="auto"/>
        </w:rPr>
      </w:pPr>
    </w:p>
    <w:p>
      <w:pPr>
        <w:ind w:left="540" w:hanging="180"/>
        <w:spacing w:after="0"/>
        <w:tabs>
          <w:tab w:leader="none" w:pos="540" w:val="left"/>
        </w:tabs>
        <w:numPr>
          <w:ilvl w:val="0"/>
          <w:numId w:val="75"/>
        </w:numPr>
        <w:rPr>
          <w:rFonts w:ascii="Arial" w:cs="Arial" w:eastAsia="Arial" w:hAnsi="Arial"/>
          <w:sz w:val="16"/>
          <w:szCs w:val="16"/>
          <w:color w:val="14202A"/>
        </w:rPr>
      </w:pPr>
      <w:r>
        <w:rPr>
          <w:rFonts w:ascii="Arial" w:cs="Arial" w:eastAsia="Arial" w:hAnsi="Arial"/>
          <w:sz w:val="16"/>
          <w:szCs w:val="16"/>
          <w:color w:val="14202A"/>
        </w:rPr>
        <w:t>any approved leave of absence; (ii) transfers among the Company and any Affiliates in any Service Provider capacity; or</w:t>
      </w:r>
    </w:p>
    <w:p>
      <w:pPr>
        <w:spacing w:after="0" w:line="5" w:lineRule="exact"/>
        <w:rPr>
          <w:rFonts w:ascii="Arial" w:cs="Arial" w:eastAsia="Arial" w:hAnsi="Arial"/>
          <w:sz w:val="16"/>
          <w:szCs w:val="16"/>
          <w:color w:val="14202A"/>
        </w:rPr>
      </w:pPr>
    </w:p>
    <w:p>
      <w:pPr>
        <w:ind w:left="360" w:right="460"/>
        <w:spacing w:after="0" w:line="265" w:lineRule="auto"/>
        <w:tabs>
          <w:tab w:leader="none" w:pos="621" w:val="left"/>
        </w:tabs>
        <w:numPr>
          <w:ilvl w:val="0"/>
          <w:numId w:val="76"/>
        </w:numPr>
        <w:rPr>
          <w:rFonts w:ascii="Arial" w:cs="Arial" w:eastAsia="Arial" w:hAnsi="Arial"/>
          <w:sz w:val="16"/>
          <w:szCs w:val="16"/>
          <w:color w:val="14202A"/>
        </w:rPr>
      </w:pPr>
      <w:r>
        <w:rPr>
          <w:rFonts w:ascii="Arial" w:cs="Arial" w:eastAsia="Arial" w:hAnsi="Arial"/>
          <w:sz w:val="16"/>
          <w:szCs w:val="16"/>
          <w:color w:val="14202A"/>
        </w:rPr>
        <w:t>any change in status so long as the individual remains in the service of the Company or any Affiliate in any Service Provider capacity.</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(gg)   “Service Provider” means an Employee, a Non-Employee Director, or Consultant.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(hh)   “Share” means a share of Stock.</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(ii)   “Stock” means the common stock, $0.50 par value per Share, of the Company.</w:t>
      </w:r>
    </w:p>
    <w:p>
      <w:pPr>
        <w:spacing w:after="0" w:line="181" w:lineRule="exact"/>
        <w:rPr>
          <w:sz w:val="20"/>
          <w:szCs w:val="20"/>
          <w:color w:val="auto"/>
        </w:rPr>
      </w:pPr>
    </w:p>
    <w:p>
      <w:pPr>
        <w:ind w:left="360" w:right="20"/>
        <w:spacing w:after="0" w:line="266" w:lineRule="auto"/>
        <w:rPr>
          <w:sz w:val="20"/>
          <w:szCs w:val="20"/>
          <w:color w:val="auto"/>
        </w:rPr>
      </w:pPr>
      <w:r>
        <w:rPr>
          <w:rFonts w:ascii="Arial" w:cs="Arial" w:eastAsia="Arial" w:hAnsi="Arial"/>
          <w:sz w:val="16"/>
          <w:szCs w:val="16"/>
          <w:color w:val="14202A"/>
        </w:rPr>
        <w:t>(jj)  “Stock Appreciation Right” or “SAR” means the right to receive, in cash and/or Shares as determined by the Committee, an amount equal to the appreciation in value of a specified number of Shares between the Grant Date of the SAR and its exercise date.</w:t>
      </w:r>
    </w:p>
    <w:p>
      <w:pPr>
        <w:spacing w:after="0" w:line="144" w:lineRule="exact"/>
        <w:rPr>
          <w:sz w:val="20"/>
          <w:szCs w:val="20"/>
          <w:color w:val="auto"/>
        </w:rPr>
      </w:pPr>
    </w:p>
    <w:p>
      <w:pPr>
        <w:jc w:val="both"/>
        <w:ind w:left="360"/>
        <w:spacing w:after="0" w:line="266" w:lineRule="auto"/>
        <w:rPr>
          <w:sz w:val="20"/>
          <w:szCs w:val="20"/>
          <w:color w:val="auto"/>
        </w:rPr>
      </w:pPr>
      <w:r>
        <w:rPr>
          <w:rFonts w:ascii="Arial" w:cs="Arial" w:eastAsia="Arial" w:hAnsi="Arial"/>
          <w:sz w:val="16"/>
          <w:szCs w:val="16"/>
          <w:color w:val="14202A"/>
        </w:rPr>
        <w:t>(kk)  “Stock Unit” means a right to receive, in cash and/or Shares as determined by the Committee, the Fair Market Value of a Share, subject to such restrictions on transfer, vesting conditions and other restrictions or limitations as may be set forth in this Plan and the applicable Agreement.</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(ll)   “Subsidiary” means a “subsidiary corporation,” as defined in Code Section 424(f), of the Company.</w:t>
      </w:r>
    </w:p>
    <w:p>
      <w:pPr>
        <w:spacing w:after="0" w:line="181" w:lineRule="exact"/>
        <w:rPr>
          <w:sz w:val="20"/>
          <w:szCs w:val="20"/>
          <w:color w:val="auto"/>
        </w:rPr>
      </w:pPr>
    </w:p>
    <w:p>
      <w:pPr>
        <w:ind w:left="360" w:right="120"/>
        <w:spacing w:after="0" w:line="256" w:lineRule="auto"/>
        <w:rPr>
          <w:sz w:val="20"/>
          <w:szCs w:val="20"/>
          <w:color w:val="auto"/>
        </w:rPr>
      </w:pPr>
      <w:r>
        <w:rPr>
          <w:rFonts w:ascii="Arial" w:cs="Arial" w:eastAsia="Arial" w:hAnsi="Arial"/>
          <w:sz w:val="16"/>
          <w:szCs w:val="16"/>
          <w:color w:val="14202A"/>
        </w:rPr>
        <w:t>(mm)  “Substitute Award” means an Award granted upon the assumption of, or in substitution or exchange for, outstanding awards granted by a company or other entity acquired by the Company or any Affiliate or with which the Company or any Affiliate combines. The terms and conditions of a Substitute Award may vary from the terms and conditions set forth in the Plan to the extent that the Committee at the time of the grant may deem appropriate to conform, in whole or in part, to the provisions of the award in substitution for which it has been granted.</w:t>
      </w:r>
    </w:p>
    <w:p>
      <w:pPr>
        <w:spacing w:after="0" w:line="139" w:lineRule="exact"/>
        <w:rPr>
          <w:sz w:val="20"/>
          <w:szCs w:val="20"/>
          <w:color w:val="auto"/>
        </w:rPr>
      </w:pPr>
    </w:p>
    <w:p>
      <w:pPr>
        <w:ind w:left="360"/>
        <w:spacing w:after="0" w:line="286" w:lineRule="auto"/>
        <w:rPr>
          <w:sz w:val="20"/>
          <w:szCs w:val="20"/>
          <w:color w:val="auto"/>
        </w:rPr>
      </w:pPr>
      <w:r>
        <w:rPr>
          <w:rFonts w:ascii="Arial" w:cs="Arial" w:eastAsia="Arial" w:hAnsi="Arial"/>
          <w:sz w:val="16"/>
          <w:szCs w:val="16"/>
          <w:color w:val="14202A"/>
        </w:rPr>
        <w:t>(nn)  “Voting Securities” of an entity means the outstanding equity securities (or comparable equity interests) entitled to vote generally in the election of directors of such entity.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3.   </w:t>
      </w:r>
      <w:r>
        <w:rPr>
          <w:rFonts w:ascii="Arial" w:cs="Arial" w:eastAsia="Arial" w:hAnsi="Arial"/>
          <w:sz w:val="16"/>
          <w:szCs w:val="16"/>
          <w:b w:val="1"/>
          <w:bCs w:val="1"/>
          <w:u w:val="single" w:color="auto"/>
          <w:color w:val="14202A"/>
        </w:rPr>
        <w:t>Administration of the Plan</w:t>
      </w:r>
      <w:r>
        <w:rPr>
          <w:rFonts w:ascii="Arial" w:cs="Arial" w:eastAsia="Arial" w:hAnsi="Arial"/>
          <w:sz w:val="16"/>
          <w:szCs w:val="16"/>
          <w:b w:val="1"/>
          <w:bCs w:val="1"/>
          <w:color w:val="14202A"/>
        </w:rPr>
        <w:t>.</w:t>
      </w:r>
    </w:p>
    <w:p>
      <w:pPr>
        <w:spacing w:after="0" w:line="194" w:lineRule="exact"/>
        <w:rPr>
          <w:sz w:val="20"/>
          <w:szCs w:val="20"/>
          <w:color w:val="auto"/>
        </w:rPr>
      </w:pPr>
    </w:p>
    <w:p>
      <w:pPr>
        <w:ind w:left="360" w:right="20"/>
        <w:spacing w:after="0" w:line="286" w:lineRule="auto"/>
        <w:rPr>
          <w:sz w:val="20"/>
          <w:szCs w:val="20"/>
          <w:color w:val="auto"/>
        </w:rPr>
      </w:pPr>
      <w:r>
        <w:rPr>
          <w:rFonts w:ascii="Arial" w:cs="Arial" w:eastAsia="Arial" w:hAnsi="Arial"/>
          <w:sz w:val="16"/>
          <w:szCs w:val="16"/>
          <w:color w:val="14202A"/>
        </w:rPr>
        <w:t xml:space="preserve">(a)  </w:t>
      </w:r>
      <w:r>
        <w:rPr>
          <w:rFonts w:ascii="Arial" w:cs="Arial" w:eastAsia="Arial" w:hAnsi="Arial"/>
          <w:sz w:val="16"/>
          <w:szCs w:val="16"/>
          <w:u w:val="single" w:color="auto"/>
          <w:color w:val="14202A"/>
        </w:rPr>
        <w:t>Administration</w:t>
      </w:r>
      <w:r>
        <w:rPr>
          <w:rFonts w:ascii="Arial" w:cs="Arial" w:eastAsia="Arial" w:hAnsi="Arial"/>
          <w:sz w:val="16"/>
          <w:szCs w:val="16"/>
          <w:color w:val="14202A"/>
        </w:rPr>
        <w:t>. The authority to control and manage the operations and administration of the Plan shall be vested in the Committee in accordance with this Section 3.</w:t>
      </w:r>
    </w:p>
    <w:p>
      <w:pPr>
        <w:spacing w:after="0" w:line="115" w:lineRule="exact"/>
        <w:rPr>
          <w:sz w:val="20"/>
          <w:szCs w:val="20"/>
          <w:color w:val="auto"/>
        </w:rPr>
      </w:pPr>
    </w:p>
    <w:p>
      <w:pPr>
        <w:ind w:left="360" w:right="300"/>
        <w:spacing w:after="0" w:line="286" w:lineRule="auto"/>
        <w:rPr>
          <w:sz w:val="20"/>
          <w:szCs w:val="20"/>
          <w:color w:val="auto"/>
        </w:rPr>
      </w:pPr>
      <w:r>
        <w:rPr>
          <w:rFonts w:ascii="Arial" w:cs="Arial" w:eastAsia="Arial" w:hAnsi="Arial"/>
          <w:sz w:val="16"/>
          <w:szCs w:val="16"/>
          <w:color w:val="14202A"/>
        </w:rPr>
        <w:t xml:space="preserve">(b)  </w:t>
      </w:r>
      <w:r>
        <w:rPr>
          <w:rFonts w:ascii="Arial" w:cs="Arial" w:eastAsia="Arial" w:hAnsi="Arial"/>
          <w:sz w:val="16"/>
          <w:szCs w:val="16"/>
          <w:u w:val="single" w:color="auto"/>
          <w:color w:val="14202A"/>
        </w:rPr>
        <w:t>Scope of Authority</w:t>
      </w:r>
      <w:r>
        <w:rPr>
          <w:rFonts w:ascii="Arial" w:cs="Arial" w:eastAsia="Arial" w:hAnsi="Arial"/>
          <w:sz w:val="16"/>
          <w:szCs w:val="16"/>
          <w:color w:val="14202A"/>
        </w:rPr>
        <w:t>. Subject to the terms of the Plan, the Committee shall have the authority, in its discretion, to take such actions as it deems necessary or advisable to administer the Plan, including:</w:t>
      </w:r>
    </w:p>
    <w:p>
      <w:pPr>
        <w:spacing w:after="0" w:line="115" w:lineRule="exact"/>
        <w:rPr>
          <w:sz w:val="20"/>
          <w:szCs w:val="20"/>
          <w:color w:val="auto"/>
        </w:rPr>
      </w:pPr>
    </w:p>
    <w:p>
      <w:pPr>
        <w:ind w:left="720" w:right="20"/>
        <w:spacing w:after="0" w:line="266" w:lineRule="auto"/>
        <w:rPr>
          <w:sz w:val="20"/>
          <w:szCs w:val="20"/>
          <w:color w:val="auto"/>
        </w:rPr>
      </w:pPr>
      <w:r>
        <w:rPr>
          <w:rFonts w:ascii="Arial" w:cs="Arial" w:eastAsia="Arial" w:hAnsi="Arial"/>
          <w:sz w:val="16"/>
          <w:szCs w:val="16"/>
          <w:color w:val="14202A"/>
        </w:rPr>
        <w:t>(1)  determining the Service Providers to whom Awards will be granted, the timing of each such Award, the type of and the number of Shares covered by each Award, the terms, conditions, performance criteria, restrictions and other provisions of Awards, and the manner in which Awards are paid or settled;</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right="160"/>
        <w:spacing w:after="0" w:line="266" w:lineRule="auto"/>
        <w:rPr>
          <w:sz w:val="20"/>
          <w:szCs w:val="20"/>
          <w:color w:val="auto"/>
        </w:rPr>
      </w:pPr>
      <w:r>
        <w:rPr>
          <w:rFonts w:ascii="Arial" w:cs="Arial" w:eastAsia="Arial" w:hAnsi="Arial"/>
          <w:sz w:val="16"/>
          <w:szCs w:val="16"/>
          <w:color w:val="14202A"/>
        </w:rPr>
        <w:t>(2)  cancelling or suspending an Award, accelerating the vesting or extending the exercise period of an Award, or otherwise amending the terms and conditions of any outstanding Award, subject to the requirements of Sections 6(b), 15(d) and 15(e);</w:t>
      </w:r>
    </w:p>
    <w:p>
      <w:pPr>
        <w:spacing w:after="0" w:line="131" w:lineRule="exact"/>
        <w:rPr>
          <w:sz w:val="20"/>
          <w:szCs w:val="20"/>
          <w:color w:val="auto"/>
        </w:rPr>
      </w:pPr>
    </w:p>
    <w:p>
      <w:pPr>
        <w:ind w:left="720" w:right="200"/>
        <w:spacing w:after="0" w:line="259" w:lineRule="auto"/>
        <w:rPr>
          <w:sz w:val="20"/>
          <w:szCs w:val="20"/>
          <w:color w:val="auto"/>
        </w:rPr>
      </w:pPr>
      <w:r>
        <w:rPr>
          <w:rFonts w:ascii="Arial" w:cs="Arial" w:eastAsia="Arial" w:hAnsi="Arial"/>
          <w:sz w:val="16"/>
          <w:szCs w:val="16"/>
          <w:color w:val="14202A"/>
        </w:rPr>
        <w:t>(3)  adopting sub-plans or special provisions applicable to Awards, establishing, amending or rescinding rules to administer the Plan, interpreting the Plan and any Award or Agreement, reconciling any inconsistency, correcting any defect or supplying an omission in the Plan or any Agreement, and making all other determinations necessary or desirable for the administration of the Plan;</w:t>
      </w:r>
    </w:p>
    <w:p>
      <w:pPr>
        <w:spacing w:after="0" w:line="191" w:lineRule="exact"/>
        <w:rPr>
          <w:sz w:val="20"/>
          <w:szCs w:val="20"/>
          <w:color w:val="auto"/>
        </w:rPr>
      </w:pPr>
    </w:p>
    <w:p>
      <w:pPr>
        <w:ind w:left="720"/>
        <w:spacing w:after="0"/>
        <w:rPr>
          <w:sz w:val="20"/>
          <w:szCs w:val="20"/>
          <w:color w:val="auto"/>
        </w:rPr>
      </w:pPr>
      <w:r>
        <w:rPr>
          <w:rFonts w:ascii="Arial" w:cs="Arial" w:eastAsia="Arial" w:hAnsi="Arial"/>
          <w:sz w:val="16"/>
          <w:szCs w:val="16"/>
          <w:color w:val="14202A"/>
        </w:rPr>
        <w:t>(4)   granting Substitute Awards under the Plan;</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6"/>
          <w:szCs w:val="16"/>
          <w:color w:val="14202A"/>
        </w:rPr>
        <w:t>(5)   taking such actions as are provided in Section 3(c) with respect to Awards to foreign Service Providers; and</w:t>
      </w:r>
    </w:p>
    <w:p>
      <w:pPr>
        <w:spacing w:after="0" w:line="181" w:lineRule="exact"/>
        <w:rPr>
          <w:sz w:val="20"/>
          <w:szCs w:val="20"/>
          <w:color w:val="auto"/>
        </w:rPr>
      </w:pPr>
    </w:p>
    <w:p>
      <w:pPr>
        <w:ind w:left="720" w:right="60"/>
        <w:spacing w:after="0" w:line="286" w:lineRule="auto"/>
        <w:rPr>
          <w:sz w:val="20"/>
          <w:szCs w:val="20"/>
          <w:color w:val="auto"/>
        </w:rPr>
      </w:pPr>
      <w:r>
        <w:rPr>
          <w:rFonts w:ascii="Arial" w:cs="Arial" w:eastAsia="Arial" w:hAnsi="Arial"/>
          <w:sz w:val="16"/>
          <w:szCs w:val="16"/>
          <w:color w:val="14202A"/>
        </w:rPr>
        <w:t>(6)  requiring or permitting the deferral of the settlement of an Award, and establishing the terms and conditions of any such deferral.</w:t>
      </w:r>
    </w:p>
    <w:p>
      <w:pPr>
        <w:spacing w:after="0" w:line="115" w:lineRule="exact"/>
        <w:rPr>
          <w:sz w:val="20"/>
          <w:szCs w:val="20"/>
          <w:color w:val="auto"/>
        </w:rPr>
      </w:pPr>
    </w:p>
    <w:p>
      <w:pPr>
        <w:ind w:left="360" w:right="560"/>
        <w:spacing w:after="0" w:line="286" w:lineRule="auto"/>
        <w:rPr>
          <w:sz w:val="20"/>
          <w:szCs w:val="20"/>
          <w:color w:val="auto"/>
        </w:rPr>
      </w:pPr>
      <w:r>
        <w:rPr>
          <w:rFonts w:ascii="Arial" w:cs="Arial" w:eastAsia="Arial" w:hAnsi="Arial"/>
          <w:sz w:val="16"/>
          <w:szCs w:val="16"/>
          <w:color w:val="14202A"/>
        </w:rPr>
        <w:t>Notwithstanding the foregoing, the Board shall perform the duties and have the responsibilities of the Committee with respect to Awards made to Non-Employee Directors.</w:t>
      </w:r>
    </w:p>
    <w:p>
      <w:pPr>
        <w:spacing w:after="0" w:line="129" w:lineRule="exact"/>
        <w:rPr>
          <w:sz w:val="20"/>
          <w:szCs w:val="20"/>
          <w:color w:val="auto"/>
        </w:rPr>
      </w:pPr>
    </w:p>
    <w:p>
      <w:pPr>
        <w:ind w:left="360"/>
        <w:spacing w:after="0" w:line="251" w:lineRule="auto"/>
        <w:rPr>
          <w:sz w:val="20"/>
          <w:szCs w:val="20"/>
          <w:color w:val="auto"/>
        </w:rPr>
      </w:pPr>
      <w:r>
        <w:rPr>
          <w:rFonts w:ascii="Arial" w:cs="Arial" w:eastAsia="Arial" w:hAnsi="Arial"/>
          <w:sz w:val="16"/>
          <w:szCs w:val="16"/>
          <w:color w:val="14202A"/>
        </w:rPr>
        <w:t xml:space="preserve">(c)  </w:t>
      </w:r>
      <w:r>
        <w:rPr>
          <w:rFonts w:ascii="Arial" w:cs="Arial" w:eastAsia="Arial" w:hAnsi="Arial"/>
          <w:sz w:val="16"/>
          <w:szCs w:val="16"/>
          <w:u w:val="single" w:color="auto"/>
          <w:color w:val="14202A"/>
        </w:rPr>
        <w:t>Awards to Foreign Service Providers</w:t>
      </w:r>
      <w:r>
        <w:rPr>
          <w:rFonts w:ascii="Arial" w:cs="Arial" w:eastAsia="Arial" w:hAnsi="Arial"/>
          <w:sz w:val="16"/>
          <w:szCs w:val="16"/>
          <w:color w:val="14202A"/>
        </w:rPr>
        <w:t>. The Committee may grant Awards to Service Providers who are foreign nationals, who are located outside of the United States or who are not compensated from a payroll maintained in the United States, or who are otherwise subject to (or could cause the Company to be subject to) legal or regulatory requirements of countries outside of the United States, on such terms and conditions different from those specified in the Plan as may, in the judgment of the Committee, be necessary or desirable to comply with applicable foreign laws and regulatory requirements and to promote achievement of the purposes of the Plan. In connection therewith, the Committee may establish such subplans or annexes to Award Agreements and modify exercise procedures and other Plan rules and procedures to the extent such actions are deemed necessary or desirable and may take any other action that it deems advisable to obtain local regulatory approvals or to comply with any necessary local governmental regulatory exemptions.</w:t>
      </w:r>
    </w:p>
    <w:p>
      <w:pPr>
        <w:spacing w:after="0" w:line="145" w:lineRule="exact"/>
        <w:rPr>
          <w:sz w:val="20"/>
          <w:szCs w:val="20"/>
          <w:color w:val="auto"/>
        </w:rPr>
      </w:pPr>
    </w:p>
    <w:p>
      <w:pPr>
        <w:ind w:left="360" w:right="20"/>
        <w:spacing w:after="0" w:line="250" w:lineRule="auto"/>
        <w:rPr>
          <w:sz w:val="20"/>
          <w:szCs w:val="20"/>
          <w:color w:val="auto"/>
        </w:rPr>
      </w:pPr>
      <w:r>
        <w:rPr>
          <w:rFonts w:ascii="Arial" w:cs="Arial" w:eastAsia="Arial" w:hAnsi="Arial"/>
          <w:sz w:val="16"/>
          <w:szCs w:val="16"/>
          <w:color w:val="14202A"/>
        </w:rPr>
        <w:t xml:space="preserve">(d)  </w:t>
      </w:r>
      <w:r>
        <w:rPr>
          <w:rFonts w:ascii="Arial" w:cs="Arial" w:eastAsia="Arial" w:hAnsi="Arial"/>
          <w:sz w:val="16"/>
          <w:szCs w:val="16"/>
          <w:u w:val="single" w:color="auto"/>
          <w:color w:val="14202A"/>
        </w:rPr>
        <w:t>Acts of the Committee; Delegation</w:t>
      </w:r>
      <w:r>
        <w:rPr>
          <w:rFonts w:ascii="Arial" w:cs="Arial" w:eastAsia="Arial" w:hAnsi="Arial"/>
          <w:sz w:val="16"/>
          <w:szCs w:val="16"/>
          <w:color w:val="14202A"/>
        </w:rPr>
        <w:t>. A majority of the members of the Committee shall constitute a quorum for any meeting of the Committee, and any act of a majority of the members present at any meeting at which a quorum is present or any act unanimously approved in writing by all members of the Committee shall be the act of the Committee. Any such action of the Committee shall be valid and effective even if one or more members of the Committee at the time of such action are later determined not to have satisfied all of the criteria for membership in clauses (i) and (ii) of Section 2(h). To the extent not inconsistent with applicable law or stock exchange rules, the Committee may delegate all or any portion of its authority under the Plan to any one or more of its members or, as to Awards to Participants who are not subject to Section 16 of the Exchange Act, to one or more directors or executive officers of the Company or to a committee of the Board comprised of one or more directors of the Company. The Committee may also delegate non-discretionary administrative responsibilities in connection with the Plan to such other persons as it deems advisable.</w:t>
      </w:r>
    </w:p>
    <w:p>
      <w:pPr>
        <w:spacing w:after="0" w:line="149" w:lineRule="exact"/>
        <w:rPr>
          <w:sz w:val="20"/>
          <w:szCs w:val="20"/>
          <w:color w:val="auto"/>
        </w:rPr>
      </w:pPr>
    </w:p>
    <w:p>
      <w:pPr>
        <w:ind w:left="360" w:right="120"/>
        <w:spacing w:after="0" w:line="266" w:lineRule="auto"/>
        <w:rPr>
          <w:sz w:val="20"/>
          <w:szCs w:val="20"/>
          <w:color w:val="auto"/>
        </w:rPr>
      </w:pPr>
      <w:r>
        <w:rPr>
          <w:rFonts w:ascii="Arial" w:cs="Arial" w:eastAsia="Arial" w:hAnsi="Arial"/>
          <w:sz w:val="16"/>
          <w:szCs w:val="16"/>
          <w:color w:val="14202A"/>
        </w:rPr>
        <w:t xml:space="preserve">(e)  </w:t>
      </w:r>
      <w:r>
        <w:rPr>
          <w:rFonts w:ascii="Arial" w:cs="Arial" w:eastAsia="Arial" w:hAnsi="Arial"/>
          <w:sz w:val="16"/>
          <w:szCs w:val="16"/>
          <w:u w:val="single" w:color="auto"/>
          <w:color w:val="14202A"/>
        </w:rPr>
        <w:t>Finality of Decisions</w:t>
      </w:r>
      <w:r>
        <w:rPr>
          <w:rFonts w:ascii="Arial" w:cs="Arial" w:eastAsia="Arial" w:hAnsi="Arial"/>
          <w:sz w:val="16"/>
          <w:szCs w:val="16"/>
          <w:color w:val="14202A"/>
        </w:rPr>
        <w:t>. The Committee’s interpretation of the Plan and of any Award or Agreement made under the Plan and all related decisions or resolutions of the Board or Committee shall be final and binding on all parties with an interest therein.</w:t>
      </w:r>
    </w:p>
    <w:p>
      <w:pPr>
        <w:spacing w:after="0" w:line="144" w:lineRule="exact"/>
        <w:rPr>
          <w:sz w:val="20"/>
          <w:szCs w:val="20"/>
          <w:color w:val="auto"/>
        </w:rPr>
      </w:pPr>
    </w:p>
    <w:p>
      <w:pPr>
        <w:ind w:left="360" w:right="40"/>
        <w:spacing w:after="0" w:line="252" w:lineRule="auto"/>
        <w:rPr>
          <w:sz w:val="20"/>
          <w:szCs w:val="20"/>
          <w:color w:val="auto"/>
        </w:rPr>
      </w:pPr>
      <w:r>
        <w:rPr>
          <w:rFonts w:ascii="Arial" w:cs="Arial" w:eastAsia="Arial" w:hAnsi="Arial"/>
          <w:sz w:val="16"/>
          <w:szCs w:val="16"/>
          <w:color w:val="14202A"/>
        </w:rPr>
        <w:t xml:space="preserve">(f)  </w:t>
      </w:r>
      <w:r>
        <w:rPr>
          <w:rFonts w:ascii="Arial" w:cs="Arial" w:eastAsia="Arial" w:hAnsi="Arial"/>
          <w:sz w:val="16"/>
          <w:szCs w:val="16"/>
          <w:u w:val="single" w:color="auto"/>
          <w:color w:val="14202A"/>
        </w:rPr>
        <w:t>Indemnification</w:t>
      </w:r>
      <w:r>
        <w:rPr>
          <w:rFonts w:ascii="Arial" w:cs="Arial" w:eastAsia="Arial" w:hAnsi="Arial"/>
          <w:sz w:val="16"/>
          <w:szCs w:val="16"/>
          <w:color w:val="14202A"/>
        </w:rPr>
        <w:t>. Each person who is or has been a member of the Committee or of the Board, and any other person to whom the Committee delegates authority under the Plan, shall be indemnified by the Company, to the maximum extent permitted by law, against liabilities and expenses imposed upon or reasonably incurred by such person in connection with or resulting from any claims against such person by reason of the performance of the individual’s duties under the Plan. This right to indemnification is conditioned upon such person providing the Company an opportunity, at the Company’s expense, to handle and defend the claims before such person undertakes to handle and defend them on such person’s own behalf. The Company will not be required to indemnify any person for any amount paid in settlement of a claim unless the Company has first consented in writing to the settlement.</w:t>
      </w:r>
    </w:p>
    <w:p>
      <w:pPr>
        <w:spacing w:after="0" w:line="142" w:lineRule="exact"/>
        <w:rPr>
          <w:sz w:val="20"/>
          <w:szCs w:val="20"/>
          <w:color w:val="auto"/>
        </w:rPr>
      </w:pPr>
    </w:p>
    <w:p>
      <w:pPr>
        <w:ind w:left="360" w:right="260"/>
        <w:spacing w:after="0" w:line="286" w:lineRule="auto"/>
        <w:rPr>
          <w:sz w:val="20"/>
          <w:szCs w:val="20"/>
          <w:color w:val="auto"/>
        </w:rPr>
      </w:pPr>
      <w:r>
        <w:rPr>
          <w:rFonts w:ascii="Arial" w:cs="Arial" w:eastAsia="Arial" w:hAnsi="Arial"/>
          <w:sz w:val="16"/>
          <w:szCs w:val="16"/>
          <w:color w:val="14202A"/>
        </w:rPr>
        <w:t>The foregoing right of indemnification shall not be exclusive of any other rights of indemnification to which such person or persons may be entitled under the Company’s Articles of Incorporation or Bylaws, as a matter of law, or otherwise.</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4.   </w:t>
      </w:r>
      <w:r>
        <w:rPr>
          <w:rFonts w:ascii="Arial" w:cs="Arial" w:eastAsia="Arial" w:hAnsi="Arial"/>
          <w:sz w:val="16"/>
          <w:szCs w:val="16"/>
          <w:b w:val="1"/>
          <w:bCs w:val="1"/>
          <w:u w:val="single" w:color="auto"/>
          <w:color w:val="14202A"/>
        </w:rPr>
        <w:t>Shares Available Under the Plan</w:t>
      </w:r>
      <w:r>
        <w:rPr>
          <w:rFonts w:ascii="Arial" w:cs="Arial" w:eastAsia="Arial" w:hAnsi="Arial"/>
          <w:sz w:val="16"/>
          <w:szCs w:val="16"/>
          <w:b w:val="1"/>
          <w:bCs w:val="1"/>
          <w:color w:val="14202A"/>
        </w:rPr>
        <w:t>.</w:t>
      </w:r>
    </w:p>
    <w:p>
      <w:pPr>
        <w:spacing w:after="0" w:line="181" w:lineRule="exact"/>
        <w:rPr>
          <w:sz w:val="20"/>
          <w:szCs w:val="20"/>
          <w:color w:val="auto"/>
        </w:rPr>
      </w:pPr>
    </w:p>
    <w:p>
      <w:pPr>
        <w:ind w:left="360" w:right="220"/>
        <w:spacing w:after="0" w:line="256" w:lineRule="auto"/>
        <w:rPr>
          <w:sz w:val="20"/>
          <w:szCs w:val="20"/>
          <w:color w:val="auto"/>
        </w:rPr>
      </w:pPr>
      <w:r>
        <w:rPr>
          <w:rFonts w:ascii="Arial" w:cs="Arial" w:eastAsia="Arial" w:hAnsi="Arial"/>
          <w:sz w:val="16"/>
          <w:szCs w:val="16"/>
          <w:color w:val="14202A"/>
        </w:rPr>
        <w:t xml:space="preserve">(a)  </w:t>
      </w:r>
      <w:r>
        <w:rPr>
          <w:rFonts w:ascii="Arial" w:cs="Arial" w:eastAsia="Arial" w:hAnsi="Arial"/>
          <w:sz w:val="16"/>
          <w:szCs w:val="16"/>
          <w:u w:val="single" w:color="auto"/>
          <w:color w:val="14202A"/>
        </w:rPr>
        <w:t>Maximum Shares Available</w:t>
      </w:r>
      <w:r>
        <w:rPr>
          <w:rFonts w:ascii="Arial" w:cs="Arial" w:eastAsia="Arial" w:hAnsi="Arial"/>
          <w:sz w:val="16"/>
          <w:szCs w:val="16"/>
          <w:color w:val="14202A"/>
        </w:rPr>
        <w:t>. Subject to Section 4(b) and to adjustment as provided in Section 12(a), the number of Shares that may be the subject of Awards and issued under the Plan shall be 9,520,000. No further awards may be made under the Prior Plan after the Effective Date of this Plan. Shares issued under the Plan may come from authorized and unissued shares or treasury shares. In determining the number of Shares to be counted against this share reserve in connection with any Award, the following rules shall apply:</w:t>
      </w:r>
    </w:p>
    <w:p>
      <w:pPr>
        <w:spacing w:after="0" w:line="139" w:lineRule="exact"/>
        <w:rPr>
          <w:sz w:val="20"/>
          <w:szCs w:val="20"/>
          <w:color w:val="auto"/>
        </w:rPr>
      </w:pPr>
    </w:p>
    <w:p>
      <w:pPr>
        <w:ind w:left="720" w:right="380"/>
        <w:spacing w:after="0" w:line="286" w:lineRule="auto"/>
        <w:rPr>
          <w:sz w:val="20"/>
          <w:szCs w:val="20"/>
          <w:color w:val="auto"/>
        </w:rPr>
      </w:pPr>
      <w:r>
        <w:rPr>
          <w:rFonts w:ascii="Arial" w:cs="Arial" w:eastAsia="Arial" w:hAnsi="Arial"/>
          <w:sz w:val="16"/>
          <w:szCs w:val="16"/>
          <w:color w:val="14202A"/>
        </w:rPr>
        <w:t>(1)  Shares that are subject to Awards of Options or Stock Appreciation Rights shall be counted against the share reserve as one Share for every one Share granted.</w:t>
      </w:r>
    </w:p>
    <w:p>
      <w:pPr>
        <w:spacing w:after="0" w:line="129" w:lineRule="exact"/>
        <w:rPr>
          <w:sz w:val="20"/>
          <w:szCs w:val="20"/>
          <w:color w:val="auto"/>
        </w:rPr>
      </w:pPr>
    </w:p>
    <w:p>
      <w:pPr>
        <w:ind w:left="720" w:right="200"/>
        <w:spacing w:after="0" w:line="286" w:lineRule="auto"/>
        <w:rPr>
          <w:sz w:val="20"/>
          <w:szCs w:val="20"/>
          <w:color w:val="auto"/>
        </w:rPr>
      </w:pPr>
      <w:r>
        <w:rPr>
          <w:rFonts w:ascii="Arial" w:cs="Arial" w:eastAsia="Arial" w:hAnsi="Arial"/>
          <w:sz w:val="16"/>
          <w:szCs w:val="16"/>
          <w:color w:val="14202A"/>
        </w:rPr>
        <w:t>(2)  Shares that are subject to Full Value Awards shall be counted against the share reserve as 2.0 Shares for every one Share granted.</w:t>
      </w:r>
    </w:p>
    <w:p>
      <w:pPr>
        <w:spacing w:after="0" w:line="115" w:lineRule="exact"/>
        <w:rPr>
          <w:sz w:val="20"/>
          <w:szCs w:val="20"/>
          <w:color w:val="auto"/>
        </w:rPr>
      </w:pPr>
    </w:p>
    <w:p>
      <w:pPr>
        <w:ind w:left="720" w:right="40"/>
        <w:spacing w:after="0" w:line="266" w:lineRule="auto"/>
        <w:rPr>
          <w:sz w:val="20"/>
          <w:szCs w:val="20"/>
          <w:color w:val="auto"/>
        </w:rPr>
      </w:pPr>
      <w:r>
        <w:rPr>
          <w:rFonts w:ascii="Arial" w:cs="Arial" w:eastAsia="Arial" w:hAnsi="Arial"/>
          <w:sz w:val="16"/>
          <w:szCs w:val="16"/>
          <w:color w:val="14202A"/>
        </w:rPr>
        <w:t>(3)  Where the number of Shares subject to an Award is variable on the Grant Date, the number of Shares to be counted against the share reserve shall be the maximum number of Shares that could be received under that particular Award, until such time as it can be determined that only a lesser number of shares could be received.</w:t>
      </w:r>
    </w:p>
    <w:p>
      <w:pPr>
        <w:spacing w:after="0" w:line="131" w:lineRule="exact"/>
        <w:rPr>
          <w:sz w:val="20"/>
          <w:szCs w:val="20"/>
          <w:color w:val="auto"/>
        </w:rPr>
      </w:pPr>
    </w:p>
    <w:p>
      <w:pPr>
        <w:ind w:left="720"/>
        <w:spacing w:after="0" w:line="259" w:lineRule="auto"/>
        <w:rPr>
          <w:sz w:val="20"/>
          <w:szCs w:val="20"/>
          <w:color w:val="auto"/>
        </w:rPr>
      </w:pPr>
      <w:r>
        <w:rPr>
          <w:rFonts w:ascii="Arial" w:cs="Arial" w:eastAsia="Arial" w:hAnsi="Arial"/>
          <w:sz w:val="16"/>
          <w:szCs w:val="16"/>
          <w:color w:val="14202A"/>
        </w:rPr>
        <w:t>(4)  Where two or more types of Awards are granted to a Participant in tandem with each other, such that the exercise of one type of Award with respect to a number of Shares cancels at least an equal number of Shares of the other, the number of Shares to be counted against the share reserve shall be the largest number of Shares that would be counted against the share reserve under either of the Awards.</w:t>
      </w:r>
    </w:p>
    <w:p>
      <w:pPr>
        <w:spacing w:after="0" w:line="151" w:lineRule="exact"/>
        <w:rPr>
          <w:sz w:val="20"/>
          <w:szCs w:val="20"/>
          <w:color w:val="auto"/>
        </w:rPr>
      </w:pPr>
    </w:p>
    <w:p>
      <w:pPr>
        <w:ind w:left="720" w:right="360"/>
        <w:spacing w:after="0" w:line="286" w:lineRule="auto"/>
        <w:rPr>
          <w:sz w:val="20"/>
          <w:szCs w:val="20"/>
          <w:color w:val="auto"/>
        </w:rPr>
      </w:pPr>
      <w:r>
        <w:rPr>
          <w:rFonts w:ascii="Arial" w:cs="Arial" w:eastAsia="Arial" w:hAnsi="Arial"/>
          <w:sz w:val="16"/>
          <w:szCs w:val="16"/>
          <w:color w:val="14202A"/>
        </w:rPr>
        <w:t>(5)  Shares subject to Substitute Awards shall not be counted against the share reserve, nor shall they reduce the Shares authorized for grant to a Participant in any calendar year.</w:t>
      </w:r>
    </w:p>
    <w:p>
      <w:pPr>
        <w:spacing w:after="0" w:line="115" w:lineRule="exact"/>
        <w:rPr>
          <w:sz w:val="20"/>
          <w:szCs w:val="20"/>
          <w:color w:val="auto"/>
        </w:rPr>
      </w:pPr>
    </w:p>
    <w:p>
      <w:pPr>
        <w:ind w:left="720"/>
        <w:spacing w:after="0" w:line="286" w:lineRule="auto"/>
        <w:rPr>
          <w:sz w:val="20"/>
          <w:szCs w:val="20"/>
          <w:color w:val="auto"/>
        </w:rPr>
      </w:pPr>
      <w:r>
        <w:rPr>
          <w:rFonts w:ascii="Arial" w:cs="Arial" w:eastAsia="Arial" w:hAnsi="Arial"/>
          <w:sz w:val="16"/>
          <w:szCs w:val="16"/>
          <w:color w:val="14202A"/>
        </w:rPr>
        <w:t>(6)  Awards that may be settled solely in cash shall not be counted against the share reserve, nor shall they reduce the Shares authorized for grant to a Participant in any calendar year.</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 xml:space="preserve">(b)   </w:t>
      </w:r>
      <w:r>
        <w:rPr>
          <w:rFonts w:ascii="Arial" w:cs="Arial" w:eastAsia="Arial" w:hAnsi="Arial"/>
          <w:sz w:val="16"/>
          <w:szCs w:val="16"/>
          <w:u w:val="single" w:color="auto"/>
          <w:color w:val="14202A"/>
        </w:rPr>
        <w:t>Effect of Forfeitures and Other Actions</w:t>
      </w:r>
      <w:r>
        <w:rPr>
          <w:rFonts w:ascii="Arial" w:cs="Arial" w:eastAsia="Arial" w:hAnsi="Arial"/>
          <w:sz w:val="16"/>
          <w:szCs w:val="16"/>
          <w:color w:val="14202A"/>
        </w:rPr>
        <w:t>. Any Shares subject to an Award, or to an award granted under the Prior Plan</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that is outstanding on the Effective Date (a “Prior Plan Award”), that expires, is cancelled or forfeited or is settled for cash</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shall, to the extent of such cancellation, forfeiture, expiration or cash settlement, again become available for Awards under</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this Plan, and the share reserve under Section 4(a) shall be correspondingly replenished as provided in Section 4(c) below.</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The following Shares shall not, however, again become available for Awards or replenish the share reserve under</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Section 4(a): (i) Shares tendered (either actually or by attestation) by the Participant or withheld by the Company in payment</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of the exercise price of a stock option issued under this Plan or the Prior Plan, (ii) Shares tendered (either actually or by</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attestation) by the Participant or withheld by the Company to satisfy any tax withholding obligation with respect to an award</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under this Plan or the Prior Plan, (iii) Shares repurchased by the Company with proceeds received from the exercise of a</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stock option issued under this Plan or the Prior Plan, and (iv) Shares subject to a stock appreciation right award issued</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under this Plan or the Prior Plan that are not issued in connection with the stock settlement of that award upon its exercise.</w:t>
      </w:r>
    </w:p>
    <w:p>
      <w:pPr>
        <w:spacing w:after="0" w:line="178" w:lineRule="exact"/>
        <w:rPr>
          <w:sz w:val="20"/>
          <w:szCs w:val="20"/>
          <w:color w:val="auto"/>
        </w:rPr>
      </w:pPr>
    </w:p>
    <w:p>
      <w:pPr>
        <w:ind w:left="360" w:right="40"/>
        <w:spacing w:after="0" w:line="259" w:lineRule="auto"/>
        <w:rPr>
          <w:sz w:val="20"/>
          <w:szCs w:val="20"/>
          <w:color w:val="auto"/>
        </w:rPr>
      </w:pPr>
      <w:r>
        <w:rPr>
          <w:rFonts w:ascii="Arial" w:cs="Arial" w:eastAsia="Arial" w:hAnsi="Arial"/>
          <w:sz w:val="16"/>
          <w:szCs w:val="16"/>
          <w:color w:val="14202A"/>
        </w:rPr>
        <w:t xml:space="preserve">(c)  </w:t>
      </w:r>
      <w:r>
        <w:rPr>
          <w:rFonts w:ascii="Arial" w:cs="Arial" w:eastAsia="Arial" w:hAnsi="Arial"/>
          <w:sz w:val="16"/>
          <w:szCs w:val="16"/>
          <w:u w:val="single" w:color="auto"/>
          <w:color w:val="14202A"/>
        </w:rPr>
        <w:t>Counting Shares Again Available</w:t>
      </w:r>
      <w:r>
        <w:rPr>
          <w:rFonts w:ascii="Arial" w:cs="Arial" w:eastAsia="Arial" w:hAnsi="Arial"/>
          <w:sz w:val="16"/>
          <w:szCs w:val="16"/>
          <w:color w:val="14202A"/>
        </w:rPr>
        <w:t>. Each Share that again becomes available for Awards as provided in Section 4(b) shall correspondingly increase the share reserve under Section 4(a) by (i) one Share if such Share was subject to an Option or Stock Appreciation Right Award under the Plan, and (ii) 2.0 Shares if such Share was subject to a Full Value Award under the Plan.</w:t>
      </w:r>
    </w:p>
    <w:p>
      <w:pPr>
        <w:spacing w:after="0" w:line="137" w:lineRule="exact"/>
        <w:rPr>
          <w:sz w:val="20"/>
          <w:szCs w:val="20"/>
          <w:color w:val="auto"/>
        </w:rPr>
      </w:pPr>
    </w:p>
    <w:p>
      <w:pPr>
        <w:ind w:left="360"/>
        <w:spacing w:after="0" w:line="254" w:lineRule="auto"/>
        <w:rPr>
          <w:sz w:val="20"/>
          <w:szCs w:val="20"/>
          <w:color w:val="auto"/>
        </w:rPr>
      </w:pPr>
      <w:r>
        <w:rPr>
          <w:rFonts w:ascii="Arial" w:cs="Arial" w:eastAsia="Arial" w:hAnsi="Arial"/>
          <w:sz w:val="16"/>
          <w:szCs w:val="16"/>
          <w:color w:val="14202A"/>
        </w:rPr>
        <w:t xml:space="preserve">(d)  </w:t>
      </w:r>
      <w:r>
        <w:rPr>
          <w:rFonts w:ascii="Arial" w:cs="Arial" w:eastAsia="Arial" w:hAnsi="Arial"/>
          <w:sz w:val="16"/>
          <w:szCs w:val="16"/>
          <w:u w:val="single" w:color="auto"/>
          <w:color w:val="14202A"/>
        </w:rPr>
        <w:t>Effect of Plans Operated by Acquired Companies</w:t>
      </w:r>
      <w:r>
        <w:rPr>
          <w:rFonts w:ascii="Arial" w:cs="Arial" w:eastAsia="Arial" w:hAnsi="Arial"/>
          <w:sz w:val="16"/>
          <w:szCs w:val="16"/>
          <w:color w:val="14202A"/>
        </w:rPr>
        <w:t>. If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right="140"/>
        <w:spacing w:after="0" w:line="259" w:lineRule="auto"/>
        <w:rPr>
          <w:sz w:val="20"/>
          <w:szCs w:val="20"/>
          <w:color w:val="auto"/>
        </w:rPr>
      </w:pPr>
      <w:r>
        <w:rPr>
          <w:rFonts w:ascii="Arial" w:cs="Arial" w:eastAsia="Arial" w:hAnsi="Arial"/>
          <w:sz w:val="16"/>
          <w:szCs w:val="16"/>
          <w:color w:val="14202A"/>
        </w:rPr>
        <w:t>supplement the Share reserve under Section 4(a). Awards using such available shares shall not be made after the date awards or grants could have been made under the terms of the pre-existing plan absent the acquisition or combination and shall only be made to individuals who were not Employees or Non-Employee Directors prior to such acquisition or combination.</w:t>
      </w:r>
    </w:p>
    <w:p>
      <w:pPr>
        <w:spacing w:after="0" w:line="137" w:lineRule="exact"/>
        <w:rPr>
          <w:sz w:val="20"/>
          <w:szCs w:val="20"/>
          <w:color w:val="auto"/>
        </w:rPr>
      </w:pPr>
    </w:p>
    <w:p>
      <w:pPr>
        <w:ind w:left="360" w:right="60"/>
        <w:spacing w:after="0" w:line="266" w:lineRule="auto"/>
        <w:rPr>
          <w:sz w:val="20"/>
          <w:szCs w:val="20"/>
          <w:color w:val="auto"/>
        </w:rPr>
      </w:pPr>
      <w:r>
        <w:rPr>
          <w:rFonts w:ascii="Arial" w:cs="Arial" w:eastAsia="Arial" w:hAnsi="Arial"/>
          <w:sz w:val="16"/>
          <w:szCs w:val="16"/>
          <w:color w:val="14202A"/>
        </w:rPr>
        <w:t xml:space="preserve">(e)  </w:t>
      </w:r>
      <w:r>
        <w:rPr>
          <w:rFonts w:ascii="Arial" w:cs="Arial" w:eastAsia="Arial" w:hAnsi="Arial"/>
          <w:sz w:val="16"/>
          <w:szCs w:val="16"/>
          <w:u w:val="single" w:color="auto"/>
          <w:color w:val="14202A"/>
        </w:rPr>
        <w:t>No Fractional Shares</w:t>
      </w:r>
      <w:r>
        <w:rPr>
          <w:rFonts w:ascii="Arial" w:cs="Arial" w:eastAsia="Arial" w:hAnsi="Arial"/>
          <w:sz w:val="16"/>
          <w:szCs w:val="16"/>
          <w:color w:val="14202A"/>
        </w:rPr>
        <w:t>. Unless otherwise determined by the Committee, the number of Shares subject to an Award shall always be a whole number. No fractional Shares may be issued under the Plan, but the Committee may, in its discretion, adopt any rounding convention it deems suitable or pay cash in lieu of any fractional Share in settlement of an Award.</w:t>
      </w:r>
    </w:p>
    <w:p>
      <w:pPr>
        <w:spacing w:after="0" w:line="131" w:lineRule="exact"/>
        <w:rPr>
          <w:sz w:val="20"/>
          <w:szCs w:val="20"/>
          <w:color w:val="auto"/>
        </w:rPr>
      </w:pPr>
    </w:p>
    <w:p>
      <w:pPr>
        <w:ind w:left="360" w:right="140"/>
        <w:spacing w:after="0" w:line="256" w:lineRule="auto"/>
        <w:rPr>
          <w:sz w:val="20"/>
          <w:szCs w:val="20"/>
          <w:color w:val="auto"/>
        </w:rPr>
      </w:pPr>
      <w:r>
        <w:rPr>
          <w:rFonts w:ascii="Arial" w:cs="Arial" w:eastAsia="Arial" w:hAnsi="Arial"/>
          <w:sz w:val="16"/>
          <w:szCs w:val="16"/>
          <w:color w:val="14202A"/>
        </w:rPr>
        <w:t xml:space="preserve">(f)  </w:t>
      </w:r>
      <w:r>
        <w:rPr>
          <w:rFonts w:ascii="Arial" w:cs="Arial" w:eastAsia="Arial" w:hAnsi="Arial"/>
          <w:sz w:val="16"/>
          <w:szCs w:val="16"/>
          <w:u w:val="single" w:color="auto"/>
          <w:color w:val="14202A"/>
        </w:rPr>
        <w:t>Limits on Awards to Non-Employee Directors</w:t>
      </w:r>
      <w:r>
        <w:rPr>
          <w:rFonts w:ascii="Arial" w:cs="Arial" w:eastAsia="Arial" w:hAnsi="Arial"/>
          <w:sz w:val="16"/>
          <w:szCs w:val="16"/>
          <w:color w:val="14202A"/>
        </w:rPr>
        <w:t>. The aggregate grant date fair value (as determined in accordance with generally accepted accounting principles applicable in the United States) of all Awards granted during any calendar year to any Non-Employee Director (excluding any Awards granted at the election of a Non-Employee Director in lieu of all or any portion of retainers or fees otherwise payable to Non-Employee Directors in cash) with respect to such individual’s Service as a Non-Employee Director shall not exceed $400,000.</w:t>
      </w:r>
    </w:p>
    <w:p>
      <w:pPr>
        <w:spacing w:after="0" w:line="153" w:lineRule="exact"/>
        <w:rPr>
          <w:sz w:val="20"/>
          <w:szCs w:val="20"/>
          <w:color w:val="auto"/>
        </w:rPr>
      </w:pPr>
    </w:p>
    <w:p>
      <w:pPr>
        <w:ind w:right="820"/>
        <w:spacing w:after="0" w:line="286" w:lineRule="auto"/>
        <w:rPr>
          <w:sz w:val="20"/>
          <w:szCs w:val="20"/>
          <w:color w:val="auto"/>
        </w:rPr>
      </w:pPr>
      <w:r>
        <w:rPr>
          <w:rFonts w:ascii="Arial" w:cs="Arial" w:eastAsia="Arial" w:hAnsi="Arial"/>
          <w:sz w:val="16"/>
          <w:szCs w:val="16"/>
          <w:b w:val="1"/>
          <w:bCs w:val="1"/>
          <w:color w:val="14202A"/>
        </w:rPr>
        <w:t xml:space="preserve">5.  </w:t>
      </w:r>
      <w:r>
        <w:rPr>
          <w:rFonts w:ascii="Arial" w:cs="Arial" w:eastAsia="Arial" w:hAnsi="Arial"/>
          <w:sz w:val="16"/>
          <w:szCs w:val="16"/>
          <w:b w:val="1"/>
          <w:bCs w:val="1"/>
          <w:u w:val="single" w:color="auto"/>
          <w:color w:val="14202A"/>
        </w:rPr>
        <w:t>Eligibility</w:t>
      </w:r>
      <w:r>
        <w:rPr>
          <w:rFonts w:ascii="Arial" w:cs="Arial" w:eastAsia="Arial" w:hAnsi="Arial"/>
          <w:sz w:val="16"/>
          <w:szCs w:val="16"/>
          <w:b w:val="1"/>
          <w:bCs w:val="1"/>
          <w:color w:val="14202A"/>
        </w:rPr>
        <w:t xml:space="preserve">. </w:t>
      </w:r>
      <w:r>
        <w:rPr>
          <w:rFonts w:ascii="Arial" w:cs="Arial" w:eastAsia="Arial" w:hAnsi="Arial"/>
          <w:sz w:val="16"/>
          <w:szCs w:val="16"/>
          <w:color w:val="14202A"/>
        </w:rPr>
        <w:t>Participation in the Plan is limited to Service Providers. Incentive Stock Options may only be granted to</w:t>
      </w:r>
      <w:r>
        <w:rPr>
          <w:rFonts w:ascii="Arial" w:cs="Arial" w:eastAsia="Arial" w:hAnsi="Arial"/>
          <w:sz w:val="16"/>
          <w:szCs w:val="16"/>
          <w:b w:val="1"/>
          <w:bCs w:val="1"/>
          <w:color w:val="14202A"/>
        </w:rPr>
        <w:t xml:space="preserve"> </w:t>
      </w:r>
      <w:r>
        <w:rPr>
          <w:rFonts w:ascii="Arial" w:cs="Arial" w:eastAsia="Arial" w:hAnsi="Arial"/>
          <w:sz w:val="16"/>
          <w:szCs w:val="16"/>
          <w:color w:val="14202A"/>
        </w:rPr>
        <w:t>Employees who are subject to income taxes imposed by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6.   </w:t>
      </w:r>
      <w:r>
        <w:rPr>
          <w:rFonts w:ascii="Arial" w:cs="Arial" w:eastAsia="Arial" w:hAnsi="Arial"/>
          <w:sz w:val="16"/>
          <w:szCs w:val="16"/>
          <w:b w:val="1"/>
          <w:bCs w:val="1"/>
          <w:u w:val="single" w:color="auto"/>
          <w:color w:val="14202A"/>
        </w:rPr>
        <w:t>General Terms of Awards</w:t>
      </w:r>
      <w:r>
        <w:rPr>
          <w:rFonts w:ascii="Arial" w:cs="Arial" w:eastAsia="Arial" w:hAnsi="Arial"/>
          <w:sz w:val="16"/>
          <w:szCs w:val="16"/>
          <w:b w:val="1"/>
          <w:bCs w:val="1"/>
          <w:color w:val="14202A"/>
        </w:rPr>
        <w:t>.</w:t>
      </w:r>
    </w:p>
    <w:p>
      <w:pPr>
        <w:spacing w:after="0" w:line="181" w:lineRule="exact"/>
        <w:rPr>
          <w:sz w:val="20"/>
          <w:szCs w:val="20"/>
          <w:color w:val="auto"/>
        </w:rPr>
      </w:pPr>
    </w:p>
    <w:p>
      <w:pPr>
        <w:ind w:left="360" w:right="180"/>
        <w:spacing w:after="0" w:line="256" w:lineRule="auto"/>
        <w:rPr>
          <w:sz w:val="20"/>
          <w:szCs w:val="20"/>
          <w:color w:val="auto"/>
        </w:rPr>
      </w:pPr>
      <w:r>
        <w:rPr>
          <w:rFonts w:ascii="Arial" w:cs="Arial" w:eastAsia="Arial" w:hAnsi="Arial"/>
          <w:sz w:val="16"/>
          <w:szCs w:val="16"/>
          <w:color w:val="14202A"/>
        </w:rPr>
        <w:t xml:space="preserve">(a)  </w:t>
      </w:r>
      <w:r>
        <w:rPr>
          <w:rFonts w:ascii="Arial" w:cs="Arial" w:eastAsia="Arial" w:hAnsi="Arial"/>
          <w:sz w:val="16"/>
          <w:szCs w:val="16"/>
          <w:u w:val="single" w:color="auto"/>
          <w:color w:val="14202A"/>
        </w:rPr>
        <w:t>Award Agreement</w:t>
      </w:r>
      <w:r>
        <w:rPr>
          <w:rFonts w:ascii="Arial" w:cs="Arial" w:eastAsia="Arial" w:hAnsi="Arial"/>
          <w:sz w:val="16"/>
          <w:szCs w:val="16"/>
          <w:color w:val="14202A"/>
        </w:rPr>
        <w:t>. Each Award shall be evidenced by an Agreement setting forth the amount of the Award together with such other terms and conditions applicable to the Award (and not inconsistent with the Plan) as determined by the Committee. An Award to a Participant may be made singly or in combination with any form of Award. Two types of Awards may be made in tandem with each other such that the exercise of one type of Award with respect to a number of Shares reduces the number of Shares subject to the related Award by at least an equal amount.</w:t>
      </w:r>
    </w:p>
    <w:p>
      <w:pPr>
        <w:spacing w:after="0" w:line="139" w:lineRule="exact"/>
        <w:rPr>
          <w:sz w:val="20"/>
          <w:szCs w:val="20"/>
          <w:color w:val="auto"/>
        </w:rPr>
      </w:pPr>
    </w:p>
    <w:p>
      <w:pPr>
        <w:ind w:left="360"/>
        <w:spacing w:after="0" w:line="248" w:lineRule="auto"/>
        <w:rPr>
          <w:sz w:val="20"/>
          <w:szCs w:val="20"/>
          <w:color w:val="auto"/>
        </w:rPr>
      </w:pPr>
      <w:r>
        <w:rPr>
          <w:rFonts w:ascii="Arial" w:cs="Arial" w:eastAsia="Arial" w:hAnsi="Arial"/>
          <w:sz w:val="16"/>
          <w:szCs w:val="16"/>
          <w:color w:val="14202A"/>
        </w:rPr>
        <w:t xml:space="preserve">(b)  </w:t>
      </w:r>
      <w:r>
        <w:rPr>
          <w:rFonts w:ascii="Arial" w:cs="Arial" w:eastAsia="Arial" w:hAnsi="Arial"/>
          <w:sz w:val="16"/>
          <w:szCs w:val="16"/>
          <w:u w:val="single" w:color="auto"/>
          <w:color w:val="14202A"/>
        </w:rPr>
        <w:t>Vesting and Term</w:t>
      </w:r>
      <w:r>
        <w:rPr>
          <w:rFonts w:ascii="Arial" w:cs="Arial" w:eastAsia="Arial" w:hAnsi="Arial"/>
          <w:sz w:val="16"/>
          <w:szCs w:val="16"/>
          <w:color w:val="14202A"/>
        </w:rPr>
        <w:t>. Each Agreement shall set forth the period until the applicable Award is scheduled to vest and, if applicable, expire (which shall not be more than ten years from the Grant Date), and, consistent with the requirements of this Section 6(b), the applicable vesting conditions and any applicable performance period. Awards that vest based solely on the satisfaction by the Participant of service-based vesting conditions shall be subject to a vesting period of not less than one year from the applicable Grant Date (during which no portion of the award may be scheduled to vest), and Awards whose grant or vesting is subject to the satisfaction of performance goals over a performance period shall be subject to a performance period of not less than one year. The foregoing minimum vesting and performance periods will not, however, apply in connection with: (i) a Change in Control as provided in Section 12(b)(2), 12(b)(4) or 12(c), (ii) a Separation from Service due to death, Disability, (iii) to a Substitute Award that does not reduce the vesting period of the award being replaced, (iv) Awards made in payment of or exchange for other compensation already earned and payable, and</w:t>
      </w:r>
    </w:p>
    <w:p>
      <w:pPr>
        <w:spacing w:after="0" w:line="5" w:lineRule="exact"/>
        <w:rPr>
          <w:sz w:val="20"/>
          <w:szCs w:val="20"/>
          <w:color w:val="auto"/>
        </w:rPr>
      </w:pPr>
    </w:p>
    <w:p>
      <w:pPr>
        <w:ind w:left="360"/>
        <w:spacing w:after="0" w:line="252" w:lineRule="auto"/>
        <w:tabs>
          <w:tab w:leader="none" w:pos="594" w:val="left"/>
        </w:tabs>
        <w:numPr>
          <w:ilvl w:val="0"/>
          <w:numId w:val="77"/>
        </w:numPr>
        <w:rPr>
          <w:rFonts w:ascii="Arial" w:cs="Arial" w:eastAsia="Arial" w:hAnsi="Arial"/>
          <w:sz w:val="16"/>
          <w:szCs w:val="16"/>
          <w:color w:val="14202A"/>
        </w:rPr>
      </w:pPr>
      <w:r>
        <w:rPr>
          <w:rFonts w:ascii="Arial" w:cs="Arial" w:eastAsia="Arial" w:hAnsi="Arial"/>
          <w:sz w:val="16"/>
          <w:szCs w:val="16"/>
          <w:color w:val="14202A"/>
        </w:rPr>
        <w:t>outstanding, exercised and settled Awards involving an aggregate number of Shares not in excess of 5% of the Plan’s share reserve specified in Section 4(a). For purposes of Awards to Non-Employee Directors, a vesting period will be deemed to be one year if it runs from the date of one annual meeting of the Company’s shareholders to the date of the next annual meeting of the Company’s shareholders, provided that such period lasts at least fifty (50) weeks.</w:t>
      </w:r>
    </w:p>
    <w:p>
      <w:pPr>
        <w:spacing w:after="0" w:line="156" w:lineRule="exact"/>
        <w:rPr>
          <w:sz w:val="20"/>
          <w:szCs w:val="20"/>
          <w:color w:val="auto"/>
        </w:rPr>
      </w:pPr>
    </w:p>
    <w:p>
      <w:pPr>
        <w:ind w:left="360" w:right="100"/>
        <w:spacing w:after="0" w:line="250" w:lineRule="auto"/>
        <w:rPr>
          <w:sz w:val="20"/>
          <w:szCs w:val="20"/>
          <w:color w:val="auto"/>
        </w:rPr>
      </w:pPr>
      <w:r>
        <w:rPr>
          <w:rFonts w:ascii="Arial" w:cs="Arial" w:eastAsia="Arial" w:hAnsi="Arial"/>
          <w:sz w:val="16"/>
          <w:szCs w:val="16"/>
          <w:color w:val="14202A"/>
        </w:rPr>
        <w:t xml:space="preserve">(c)  </w:t>
      </w:r>
      <w:r>
        <w:rPr>
          <w:rFonts w:ascii="Arial" w:cs="Arial" w:eastAsia="Arial" w:hAnsi="Arial"/>
          <w:sz w:val="16"/>
          <w:szCs w:val="16"/>
          <w:u w:val="single" w:color="auto"/>
          <w:color w:val="14202A"/>
        </w:rPr>
        <w:t>Transferability</w:t>
      </w:r>
      <w:r>
        <w:rPr>
          <w:rFonts w:ascii="Arial" w:cs="Arial" w:eastAsia="Arial" w:hAnsi="Arial"/>
          <w:sz w:val="16"/>
          <w:szCs w:val="16"/>
          <w:color w:val="14202A"/>
        </w:rPr>
        <w:t>. Except as provided in this Section 6(c), (i) during the lifetime of a Participant, only the Participant or the Participant’s guardian or legal representative may exercise an Option or SAR, or receive payment with respect to any other Award; and (ii) no Award may be sold, assigned, transferred, exchanged or encumbered, voluntarily or involuntarily, other than by will or the laws of descent and distribution. Any attempted transfer in violation of this Section 6(c) shall be of no effect. The Committee may, however, provide in an Agreement or otherwise that an Award (other than an Incentive Stock Option) may be transferred pursuant to a domestic relations order or may be transferable by gift to any “family member” (as defined in General Instruction A.1(a)(5) to Form S-8 under the Securities Act of 1933) of the Participant. Any Award held by a transferee shall continue to be subject to the same terms and conditions that were applicable to that Award immediately before the transfer thereof. For purposes of any provision of the Plan relating to notice to a Participant or to acceleration or termination of an Award upon the death or Separation from Service of a Participant, the references to “Participant” shall mean the original grantee of an Award and not any transferee.</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right="360"/>
        <w:spacing w:after="0" w:line="259" w:lineRule="auto"/>
        <w:rPr>
          <w:sz w:val="20"/>
          <w:szCs w:val="20"/>
          <w:color w:val="auto"/>
        </w:rPr>
      </w:pPr>
      <w:r>
        <w:rPr>
          <w:rFonts w:ascii="Arial" w:cs="Arial" w:eastAsia="Arial" w:hAnsi="Arial"/>
          <w:sz w:val="16"/>
          <w:szCs w:val="16"/>
          <w:color w:val="14202A"/>
        </w:rPr>
        <w:t xml:space="preserve">(d)  </w:t>
      </w:r>
      <w:r>
        <w:rPr>
          <w:rFonts w:ascii="Arial" w:cs="Arial" w:eastAsia="Arial" w:hAnsi="Arial"/>
          <w:sz w:val="16"/>
          <w:szCs w:val="16"/>
          <w:u w:val="single" w:color="auto"/>
          <w:color w:val="14202A"/>
        </w:rPr>
        <w:t>Designation of Beneficiary</w:t>
      </w:r>
      <w:r>
        <w:rPr>
          <w:rFonts w:ascii="Arial" w:cs="Arial" w:eastAsia="Arial" w:hAnsi="Arial"/>
          <w:sz w:val="16"/>
          <w:szCs w:val="16"/>
          <w:color w:val="14202A"/>
        </w:rPr>
        <w:t>. To the extent permitted by the Committee, a Participant may designate a beneficiary or beneficiaries to exercise any Award or receive a payment under any Award that is exercisable or payable on or after the Participant’s death. Any such designation shall be on a form approved by the Company and shall be effective upon its receipt by the Company.</w:t>
      </w:r>
    </w:p>
    <w:p>
      <w:pPr>
        <w:spacing w:after="0" w:line="137" w:lineRule="exact"/>
        <w:rPr>
          <w:sz w:val="20"/>
          <w:szCs w:val="20"/>
          <w:color w:val="auto"/>
        </w:rPr>
      </w:pPr>
    </w:p>
    <w:p>
      <w:pPr>
        <w:ind w:left="360" w:right="60"/>
        <w:spacing w:after="0" w:line="259" w:lineRule="auto"/>
        <w:rPr>
          <w:sz w:val="20"/>
          <w:szCs w:val="20"/>
          <w:color w:val="auto"/>
        </w:rPr>
      </w:pPr>
      <w:r>
        <w:rPr>
          <w:rFonts w:ascii="Arial" w:cs="Arial" w:eastAsia="Arial" w:hAnsi="Arial"/>
          <w:sz w:val="16"/>
          <w:szCs w:val="16"/>
          <w:color w:val="14202A"/>
        </w:rPr>
        <w:t xml:space="preserve">(e)  </w:t>
      </w:r>
      <w:r>
        <w:rPr>
          <w:rFonts w:ascii="Arial" w:cs="Arial" w:eastAsia="Arial" w:hAnsi="Arial"/>
          <w:sz w:val="16"/>
          <w:szCs w:val="16"/>
          <w:u w:val="single" w:color="auto"/>
          <w:color w:val="14202A"/>
        </w:rPr>
        <w:t>Termination of Service</w:t>
      </w:r>
      <w:r>
        <w:rPr>
          <w:rFonts w:ascii="Arial" w:cs="Arial" w:eastAsia="Arial" w:hAnsi="Arial"/>
          <w:sz w:val="16"/>
          <w:szCs w:val="16"/>
          <w:color w:val="14202A"/>
        </w:rPr>
        <w:t>. Unless otherwise provided in an applicable Agreement or another then-effective written agreement between a Participant and the Company, and subject to Section 12 of this Plan, if a Participant’s Service with the Company and all of its Affiliates terminates, the following provisions shall apply (in all cases subject to the scheduled expiration of an Option or SAR Award, as applicable):</w:t>
      </w:r>
    </w:p>
    <w:p>
      <w:pPr>
        <w:spacing w:after="0" w:line="137" w:lineRule="exact"/>
        <w:rPr>
          <w:sz w:val="20"/>
          <w:szCs w:val="20"/>
          <w:color w:val="auto"/>
        </w:rPr>
      </w:pPr>
    </w:p>
    <w:p>
      <w:pPr>
        <w:ind w:left="720" w:right="180"/>
        <w:spacing w:after="0" w:line="266" w:lineRule="auto"/>
        <w:rPr>
          <w:sz w:val="20"/>
          <w:szCs w:val="20"/>
          <w:color w:val="auto"/>
        </w:rPr>
      </w:pPr>
      <w:r>
        <w:rPr>
          <w:rFonts w:ascii="Arial" w:cs="Arial" w:eastAsia="Arial" w:hAnsi="Arial"/>
          <w:sz w:val="16"/>
          <w:szCs w:val="16"/>
          <w:color w:val="14202A"/>
        </w:rPr>
        <w:t>(1)  Upon Separation from Service for Cause, or upon conduct during a post-termination exercise period that would constitute Cause, all unexercised Option and SAR Awards and all unvested portions of any other outstanding Awards shall be immediately forfeited without consideration.</w:t>
      </w:r>
    </w:p>
    <w:p>
      <w:pPr>
        <w:spacing w:after="0" w:line="144" w:lineRule="exact"/>
        <w:rPr>
          <w:sz w:val="20"/>
          <w:szCs w:val="20"/>
          <w:color w:val="auto"/>
        </w:rPr>
      </w:pPr>
    </w:p>
    <w:p>
      <w:pPr>
        <w:ind w:left="720" w:right="40"/>
        <w:spacing w:after="0" w:line="259" w:lineRule="auto"/>
        <w:rPr>
          <w:sz w:val="20"/>
          <w:szCs w:val="20"/>
          <w:color w:val="auto"/>
        </w:rPr>
      </w:pPr>
      <w:r>
        <w:rPr>
          <w:rFonts w:ascii="Arial" w:cs="Arial" w:eastAsia="Arial" w:hAnsi="Arial"/>
          <w:sz w:val="16"/>
          <w:szCs w:val="16"/>
          <w:color w:val="14202A"/>
        </w:rPr>
        <w:t>(2)  Upon Separation from Service for death or Disability, all unvested portions of any outstanding Awards shall vest in full immediately. If the vesting of any such Award is subject to satisfaction of specified performance goals, such Award shall be deemed “fully vested” for purposes of this Section 6(e)(2) at the target level of performance or, in the discretion of the Committee, the actual level of performance (if determinable).</w:t>
      </w:r>
    </w:p>
    <w:p>
      <w:pPr>
        <w:spacing w:after="0" w:line="137" w:lineRule="exact"/>
        <w:rPr>
          <w:sz w:val="20"/>
          <w:szCs w:val="20"/>
          <w:color w:val="auto"/>
        </w:rPr>
      </w:pPr>
    </w:p>
    <w:p>
      <w:pPr>
        <w:ind w:left="720" w:right="540"/>
        <w:spacing w:after="0" w:line="286" w:lineRule="auto"/>
        <w:rPr>
          <w:sz w:val="20"/>
          <w:szCs w:val="20"/>
          <w:color w:val="auto"/>
        </w:rPr>
      </w:pPr>
      <w:r>
        <w:rPr>
          <w:rFonts w:ascii="Arial" w:cs="Arial" w:eastAsia="Arial" w:hAnsi="Arial"/>
          <w:sz w:val="16"/>
          <w:szCs w:val="16"/>
          <w:color w:val="14202A"/>
        </w:rPr>
        <w:t>(3)  Upon Separation from Service for any reason other than death or Disability, all unvested and unexercisable portions of any outstanding Awards shall be immediately forfeited without consideration.</w:t>
      </w:r>
    </w:p>
    <w:p>
      <w:pPr>
        <w:spacing w:after="0" w:line="115" w:lineRule="exact"/>
        <w:rPr>
          <w:sz w:val="20"/>
          <w:szCs w:val="20"/>
          <w:color w:val="auto"/>
        </w:rPr>
      </w:pPr>
    </w:p>
    <w:p>
      <w:pPr>
        <w:ind w:left="720" w:right="220"/>
        <w:spacing w:after="0" w:line="259" w:lineRule="auto"/>
        <w:rPr>
          <w:sz w:val="20"/>
          <w:szCs w:val="20"/>
          <w:color w:val="auto"/>
        </w:rPr>
      </w:pPr>
      <w:r>
        <w:rPr>
          <w:rFonts w:ascii="Arial" w:cs="Arial" w:eastAsia="Arial" w:hAnsi="Arial"/>
          <w:sz w:val="16"/>
          <w:szCs w:val="16"/>
          <w:color w:val="14202A"/>
        </w:rPr>
        <w:t>(4)  Upon Separation from Service for any reason other than Cause, death or Disability, the currently vested and exercisable portions of Option and SAR Awards may be exercised for a period of three months after the date of such termination. However, if a Participant thereafter dies during such three-month period, the vested and exercisable portions of the Option and SAR Awards may be exercised for a period of one year after the date of such termination.</w:t>
      </w:r>
    </w:p>
    <w:p>
      <w:pPr>
        <w:spacing w:after="0" w:line="151" w:lineRule="exact"/>
        <w:rPr>
          <w:sz w:val="20"/>
          <w:szCs w:val="20"/>
          <w:color w:val="auto"/>
        </w:rPr>
      </w:pPr>
    </w:p>
    <w:p>
      <w:pPr>
        <w:ind w:left="720" w:right="200"/>
        <w:spacing w:after="0" w:line="286" w:lineRule="auto"/>
        <w:rPr>
          <w:sz w:val="20"/>
          <w:szCs w:val="20"/>
          <w:color w:val="auto"/>
        </w:rPr>
      </w:pPr>
      <w:r>
        <w:rPr>
          <w:rFonts w:ascii="Arial" w:cs="Arial" w:eastAsia="Arial" w:hAnsi="Arial"/>
          <w:sz w:val="16"/>
          <w:szCs w:val="16"/>
          <w:color w:val="14202A"/>
        </w:rPr>
        <w:t>(5)  Upon Separation from Service due to death or Disability, the currently vested and exercisable portions of Option and SAR Awards may be exercised for a period of one year after the date of such Separation from Service.</w:t>
      </w:r>
    </w:p>
    <w:p>
      <w:pPr>
        <w:spacing w:after="0" w:line="115" w:lineRule="exact"/>
        <w:rPr>
          <w:sz w:val="20"/>
          <w:szCs w:val="20"/>
          <w:color w:val="auto"/>
        </w:rPr>
      </w:pPr>
    </w:p>
    <w:p>
      <w:pPr>
        <w:ind w:left="360" w:right="100"/>
        <w:spacing w:after="0" w:line="266" w:lineRule="auto"/>
        <w:rPr>
          <w:sz w:val="20"/>
          <w:szCs w:val="20"/>
          <w:color w:val="auto"/>
        </w:rPr>
      </w:pPr>
      <w:r>
        <w:rPr>
          <w:rFonts w:ascii="Arial" w:cs="Arial" w:eastAsia="Arial" w:hAnsi="Arial"/>
          <w:sz w:val="16"/>
          <w:szCs w:val="16"/>
          <w:color w:val="14202A"/>
        </w:rPr>
        <w:t xml:space="preserve">(f)  </w:t>
      </w:r>
      <w:r>
        <w:rPr>
          <w:rFonts w:ascii="Arial" w:cs="Arial" w:eastAsia="Arial" w:hAnsi="Arial"/>
          <w:sz w:val="16"/>
          <w:szCs w:val="16"/>
          <w:u w:val="single" w:color="auto"/>
          <w:color w:val="14202A"/>
        </w:rPr>
        <w:t>Rights as Shareholder</w:t>
      </w:r>
      <w:r>
        <w:rPr>
          <w:rFonts w:ascii="Arial" w:cs="Arial" w:eastAsia="Arial" w:hAnsi="Arial"/>
          <w:sz w:val="16"/>
          <w:szCs w:val="16"/>
          <w:color w:val="14202A"/>
        </w:rPr>
        <w:t xml:space="preserve"> . No Participant shall have any rights as a shareholder with respect to any Shares covered by an Award unless and until the date the Participant becomes the holder of record of the Shares, if any, to which the Award relates.</w:t>
      </w:r>
    </w:p>
    <w:p>
      <w:pPr>
        <w:spacing w:after="0" w:line="131" w:lineRule="exact"/>
        <w:rPr>
          <w:sz w:val="20"/>
          <w:szCs w:val="20"/>
          <w:color w:val="auto"/>
        </w:rPr>
      </w:pPr>
    </w:p>
    <w:p>
      <w:pPr>
        <w:ind w:left="360" w:right="20"/>
        <w:spacing w:after="0" w:line="250" w:lineRule="auto"/>
        <w:rPr>
          <w:sz w:val="20"/>
          <w:szCs w:val="20"/>
          <w:color w:val="auto"/>
        </w:rPr>
      </w:pPr>
      <w:r>
        <w:rPr>
          <w:rFonts w:ascii="Arial" w:cs="Arial" w:eastAsia="Arial" w:hAnsi="Arial"/>
          <w:sz w:val="16"/>
          <w:szCs w:val="16"/>
          <w:color w:val="14202A"/>
        </w:rPr>
        <w:t xml:space="preserve">(g)  </w:t>
      </w:r>
      <w:r>
        <w:rPr>
          <w:rFonts w:ascii="Arial" w:cs="Arial" w:eastAsia="Arial" w:hAnsi="Arial"/>
          <w:sz w:val="16"/>
          <w:szCs w:val="16"/>
          <w:u w:val="single" w:color="auto"/>
          <w:color w:val="14202A"/>
        </w:rPr>
        <w:t>Performance-Based Awards</w:t>
      </w:r>
      <w:r>
        <w:rPr>
          <w:rFonts w:ascii="Arial" w:cs="Arial" w:eastAsia="Arial" w:hAnsi="Arial"/>
          <w:sz w:val="16"/>
          <w:szCs w:val="16"/>
          <w:color w:val="14202A"/>
        </w:rPr>
        <w:t>. Any Award may be granted as a performance-based Award if the Committee establishes performance goals to be attained based on one or more Performance Measures, and the performance period over which the specified performance is to be attained, as a condition to the grant, vesting, exercisability, lapse of restrictions and/or settlement in cash or Shares of such Award. The Committee will select the applicable Performance Measure(s) and specify the performance goal(s) based on those Performance Measures for any performance period, specify in terms of a formula or standard the method for calculating the amount payable to a Participant if the performance goal(s) are satisfied, and determine the degree to which the grant, vesting, exercisability, lapse of restrictions and/or settlement of such Award has been earned, including the degree to which applicable performance goals have been satisfied. The Committee shall also have the authority to provide, in an Agreement or otherwise, for the modification of a performance period and/or adjustments to or waivers of the achievement of performance goals. The Committee may, in its discretion and based on such considerations as it deems appropriate, adjust any amount otherwise determined by the application of the performance goals to be otherwise payable in connection with an Award.</w:t>
      </w:r>
    </w:p>
    <w:p>
      <w:pPr>
        <w:spacing w:after="0" w:line="157" w:lineRule="exact"/>
        <w:rPr>
          <w:sz w:val="20"/>
          <w:szCs w:val="20"/>
          <w:color w:val="auto"/>
        </w:rPr>
      </w:pPr>
    </w:p>
    <w:p>
      <w:pPr>
        <w:ind w:left="360" w:right="60"/>
        <w:spacing w:after="0" w:line="252" w:lineRule="auto"/>
        <w:rPr>
          <w:sz w:val="20"/>
          <w:szCs w:val="20"/>
          <w:color w:val="auto"/>
        </w:rPr>
      </w:pPr>
      <w:r>
        <w:rPr>
          <w:rFonts w:ascii="Arial" w:cs="Arial" w:eastAsia="Arial" w:hAnsi="Arial"/>
          <w:sz w:val="16"/>
          <w:szCs w:val="16"/>
          <w:color w:val="14202A"/>
        </w:rPr>
        <w:t xml:space="preserve">(h)  </w:t>
      </w:r>
      <w:r>
        <w:rPr>
          <w:rFonts w:ascii="Arial" w:cs="Arial" w:eastAsia="Arial" w:hAnsi="Arial"/>
          <w:sz w:val="16"/>
          <w:szCs w:val="16"/>
          <w:u w:val="single" w:color="auto"/>
          <w:color w:val="14202A"/>
        </w:rPr>
        <w:t>Dividends and Dividend Equivalents</w:t>
      </w:r>
      <w:r>
        <w:rPr>
          <w:rFonts w:ascii="Arial" w:cs="Arial" w:eastAsia="Arial" w:hAnsi="Arial"/>
          <w:sz w:val="16"/>
          <w:szCs w:val="16"/>
          <w:color w:val="14202A"/>
        </w:rPr>
        <w:t>. No dividends, dividend equivalents or distributions will be paid with respect to Shares subject to an Option or SAR Award. Any dividends or distributions payable with respect to Shares that are subject to the unvested portion of a Restricted Stock Award will be subject to the same restrictions and risk of forfeiture as the Shares to which such dividends or distributions relate. In its discretion, the Committee may provide in an Award Agreement for a Stock Unit Award or an Other Stock-Based Award that the Participant will be entitled to receive dividend equivalents, based on dividends actually declared and paid on outstanding Shares, on the units or other Share equivalents subject to the Stock Unit Award or Other Stock-Based Award, and such dividend equivalents will be subject to the same restrictions and risk of forfeiture</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spacing w:after="0" w:line="251" w:lineRule="auto"/>
        <w:rPr>
          <w:sz w:val="20"/>
          <w:szCs w:val="20"/>
          <w:color w:val="auto"/>
        </w:rPr>
      </w:pPr>
      <w:r>
        <w:rPr>
          <w:rFonts w:ascii="Arial" w:cs="Arial" w:eastAsia="Arial" w:hAnsi="Arial"/>
          <w:sz w:val="16"/>
          <w:szCs w:val="16"/>
          <w:color w:val="14202A"/>
        </w:rPr>
        <w:t>as the units or other Share equivalents to which such dividend equivalents relate. Dividends and dividend equivalents on performance-based awards will be subject to the same terms and conditions, including vesting conditions and the achievement of any applicable performance goals, as the original Award. For the avoidance of doubt, no dividends or dividend equivalents will vest or be paid out with respect to any unvested awards under the Plan. The additional terms of any such dividend equivalents will be as set forth in the applicable Agreement, including the time and form of payment and whether such dividend equivalents will be credited with interest or deemed to be reinvested in additional units or Share equivalents. Any Shares issued or issuable during the term of this Plan as the result of the reinvestment of dividends or the deemed reinvestment of dividend equivalents in connection with an Award or a Prior Plan Award shall be counted against, and replenish upon any subsequent forfeiture, the Plan’s share reserve as provided in Section 4.</w:t>
      </w:r>
    </w:p>
    <w:p>
      <w:pPr>
        <w:spacing w:after="0" w:line="145" w:lineRule="exact"/>
        <w:rPr>
          <w:sz w:val="20"/>
          <w:szCs w:val="20"/>
          <w:color w:val="auto"/>
        </w:rPr>
      </w:pPr>
    </w:p>
    <w:p>
      <w:pPr>
        <w:ind w:left="360" w:right="40"/>
        <w:spacing w:after="0" w:line="249" w:lineRule="auto"/>
        <w:rPr>
          <w:sz w:val="20"/>
          <w:szCs w:val="20"/>
          <w:color w:val="auto"/>
        </w:rPr>
      </w:pPr>
      <w:r>
        <w:rPr>
          <w:rFonts w:ascii="Arial" w:cs="Arial" w:eastAsia="Arial" w:hAnsi="Arial"/>
          <w:sz w:val="16"/>
          <w:szCs w:val="16"/>
          <w:color w:val="14202A"/>
        </w:rPr>
        <w:t xml:space="preserve">(i)  </w:t>
      </w:r>
      <w:r>
        <w:rPr>
          <w:rFonts w:ascii="Arial" w:cs="Arial" w:eastAsia="Arial" w:hAnsi="Arial"/>
          <w:sz w:val="16"/>
          <w:szCs w:val="16"/>
          <w:u w:val="single" w:color="auto"/>
          <w:color w:val="14202A"/>
        </w:rPr>
        <w:t>Deferrals of Full Value Awards</w:t>
      </w:r>
      <w:r>
        <w:rPr>
          <w:rFonts w:ascii="Arial" w:cs="Arial" w:eastAsia="Arial" w:hAnsi="Arial"/>
          <w:sz w:val="16"/>
          <w:szCs w:val="16"/>
          <w:color w:val="14202A"/>
        </w:rPr>
        <w:t>. The Committee may, in its discretion, permit or require the deferral by a Participant of the issuance of Shares or payment of cash in settlement of any Full Value Award, subject to such terms, conditions, rules and procedures as it may establish or prescribe for such purpose and with the intention of complying with the applicable requirements of Code Section 409A. The terms, conditions, rules and procedures for any such deferral shall be set forth in writing in the relevant Agreement or in such other agreement, plan or document as the Committee may determine, or some combination of such documents. The terms, conditions, rules and procedures for any such deferral shall address, to the extent relevant, matters such as: (i) the amount of compensation that may or must be deferred (or the method for calculating the amount); (ii) the permissible time(s) and form(s) of payment of deferred amounts; (iii) the terms and conditions of any deferral elections by a Participant or of any deferral required by the Company; and (iv) the crediting of interest or dividend equivalents on deferred amounts. To the extent that any such deferral is effected in accordance with any then-effective non-qualified deferred compensation plan of the Company, the Share equivalents credited to such non-qualified deferred compensation plan account of a Participant shall be deemed Stock Units for purposes of this Plan, and if settled in Shares, such Shares shall be drawn from and charged against the Plan’s share reserve.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7.   </w:t>
      </w:r>
      <w:r>
        <w:rPr>
          <w:rFonts w:ascii="Arial" w:cs="Arial" w:eastAsia="Arial" w:hAnsi="Arial"/>
          <w:sz w:val="16"/>
          <w:szCs w:val="16"/>
          <w:b w:val="1"/>
          <w:bCs w:val="1"/>
          <w:u w:val="single" w:color="auto"/>
          <w:color w:val="14202A"/>
        </w:rPr>
        <w:t>Stock Option Awards</w:t>
      </w:r>
      <w:r>
        <w:rPr>
          <w:rFonts w:ascii="Arial" w:cs="Arial" w:eastAsia="Arial" w:hAnsi="Arial"/>
          <w:sz w:val="16"/>
          <w:szCs w:val="16"/>
          <w:b w:val="1"/>
          <w:bCs w:val="1"/>
          <w:color w:val="14202A"/>
        </w:rPr>
        <w:t>.</w:t>
      </w:r>
    </w:p>
    <w:p>
      <w:pPr>
        <w:spacing w:after="0" w:line="181" w:lineRule="exact"/>
        <w:rPr>
          <w:sz w:val="20"/>
          <w:szCs w:val="20"/>
          <w:color w:val="auto"/>
        </w:rPr>
      </w:pPr>
    </w:p>
    <w:p>
      <w:pPr>
        <w:ind w:left="360"/>
        <w:spacing w:after="0" w:line="256" w:lineRule="auto"/>
        <w:rPr>
          <w:sz w:val="20"/>
          <w:szCs w:val="20"/>
          <w:color w:val="auto"/>
        </w:rPr>
      </w:pPr>
      <w:r>
        <w:rPr>
          <w:rFonts w:ascii="Arial" w:cs="Arial" w:eastAsia="Arial" w:hAnsi="Arial"/>
          <w:sz w:val="16"/>
          <w:szCs w:val="16"/>
          <w:color w:val="14202A"/>
        </w:rPr>
        <w:t xml:space="preserve">(a)  </w:t>
      </w:r>
      <w:r>
        <w:rPr>
          <w:rFonts w:ascii="Arial" w:cs="Arial" w:eastAsia="Arial" w:hAnsi="Arial"/>
          <w:sz w:val="16"/>
          <w:szCs w:val="16"/>
          <w:u w:val="single" w:color="auto"/>
          <w:color w:val="14202A"/>
        </w:rPr>
        <w:t>Type and Exercise Price</w:t>
      </w:r>
      <w:r>
        <w:rPr>
          <w:rFonts w:ascii="Arial" w:cs="Arial" w:eastAsia="Arial" w:hAnsi="Arial"/>
          <w:sz w:val="16"/>
          <w:szCs w:val="16"/>
          <w:color w:val="14202A"/>
        </w:rPr>
        <w:t>. The Agreement pursuant to which an Option Award is granted shall specify whether the Option is an Incentive Stock Option or a Non-Qualified Stock Option. The exercise price at which each Share subject to an Option Award may be purchased shall be determined by the Committee and set forth in the Agreement, and shall not be less than the Fair Market Value of a Share on the Grant Date, except in the case of Substitute Awards (to the extent consistent with Code Section 409A and, in the case of Incentive Stock Options, Code Section 424).</w:t>
      </w:r>
    </w:p>
    <w:p>
      <w:pPr>
        <w:spacing w:after="0" w:line="153" w:lineRule="exact"/>
        <w:rPr>
          <w:sz w:val="20"/>
          <w:szCs w:val="20"/>
          <w:color w:val="auto"/>
        </w:rPr>
      </w:pPr>
    </w:p>
    <w:p>
      <w:pPr>
        <w:ind w:left="360" w:right="40"/>
        <w:spacing w:after="0" w:line="254" w:lineRule="auto"/>
        <w:rPr>
          <w:sz w:val="20"/>
          <w:szCs w:val="20"/>
          <w:color w:val="auto"/>
        </w:rPr>
      </w:pPr>
      <w:r>
        <w:rPr>
          <w:rFonts w:ascii="Arial" w:cs="Arial" w:eastAsia="Arial" w:hAnsi="Arial"/>
          <w:sz w:val="16"/>
          <w:szCs w:val="16"/>
          <w:color w:val="14202A"/>
        </w:rPr>
        <w:t xml:space="preserve">(b)  </w:t>
      </w:r>
      <w:r>
        <w:rPr>
          <w:rFonts w:ascii="Arial" w:cs="Arial" w:eastAsia="Arial" w:hAnsi="Arial"/>
          <w:sz w:val="16"/>
          <w:szCs w:val="16"/>
          <w:u w:val="single" w:color="auto"/>
          <w:color w:val="14202A"/>
        </w:rPr>
        <w:t>Payment of Exercise Price</w:t>
      </w:r>
      <w:r>
        <w:rPr>
          <w:rFonts w:ascii="Arial" w:cs="Arial" w:eastAsia="Arial" w:hAnsi="Arial"/>
          <w:sz w:val="16"/>
          <w:szCs w:val="16"/>
          <w:color w:val="14202A"/>
        </w:rPr>
        <w:t>. The purchase price of the Shares with respect to which an Option Award is exercised shall be payable in full at the time of exercise. The purchase price may be paid in cash or in such other manner as the Committee may permit, including by payment under a broker-assisted sale and remittance program, by withholding Shares otherwise issuable to the Participant upon exercise of the Option or by delivery to the Company of Shares (by actual delivery or attestation) already owned by the Participant (in either case, such Shares having a Fair Market Value as of the date the Option is exercised equal to the purchase price of the Shares being purchased).</w:t>
      </w:r>
    </w:p>
    <w:p>
      <w:pPr>
        <w:spacing w:after="0" w:line="141" w:lineRule="exact"/>
        <w:rPr>
          <w:sz w:val="20"/>
          <w:szCs w:val="20"/>
          <w:color w:val="auto"/>
        </w:rPr>
      </w:pPr>
    </w:p>
    <w:p>
      <w:pPr>
        <w:jc w:val="both"/>
        <w:ind w:left="360" w:right="220"/>
        <w:spacing w:after="0" w:line="266" w:lineRule="auto"/>
        <w:rPr>
          <w:sz w:val="20"/>
          <w:szCs w:val="20"/>
          <w:color w:val="auto"/>
        </w:rPr>
      </w:pPr>
      <w:r>
        <w:rPr>
          <w:rFonts w:ascii="Arial" w:cs="Arial" w:eastAsia="Arial" w:hAnsi="Arial"/>
          <w:sz w:val="16"/>
          <w:szCs w:val="16"/>
          <w:color w:val="14202A"/>
        </w:rPr>
        <w:t xml:space="preserve">(c)  </w:t>
      </w:r>
      <w:r>
        <w:rPr>
          <w:rFonts w:ascii="Arial" w:cs="Arial" w:eastAsia="Arial" w:hAnsi="Arial"/>
          <w:sz w:val="16"/>
          <w:szCs w:val="16"/>
          <w:u w:val="single" w:color="auto"/>
          <w:color w:val="14202A"/>
        </w:rPr>
        <w:t>Exercisability and Expiration</w:t>
      </w:r>
      <w:r>
        <w:rPr>
          <w:rFonts w:ascii="Arial" w:cs="Arial" w:eastAsia="Arial" w:hAnsi="Arial"/>
          <w:sz w:val="16"/>
          <w:szCs w:val="16"/>
          <w:color w:val="14202A"/>
        </w:rPr>
        <w:t>. Each Option Award shall be exercisable in whole or in part on the terms provided in the Agreement. No Option Award shall be exercisable at any time after its scheduled expiration. When an Option Award is no longer exercisable, it shall be deemed to have terminated.</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 xml:space="preserve">(d)   </w:t>
      </w:r>
      <w:r>
        <w:rPr>
          <w:rFonts w:ascii="Arial" w:cs="Arial" w:eastAsia="Arial" w:hAnsi="Arial"/>
          <w:sz w:val="16"/>
          <w:szCs w:val="16"/>
          <w:u w:val="single" w:color="auto"/>
          <w:color w:val="14202A"/>
        </w:rPr>
        <w:t>Incentive Stock Options</w:t>
      </w:r>
      <w:r>
        <w:rPr>
          <w:rFonts w:ascii="Arial" w:cs="Arial" w:eastAsia="Arial" w:hAnsi="Arial"/>
          <w:sz w:val="16"/>
          <w:szCs w:val="16"/>
          <w:color w:val="14202A"/>
        </w:rPr>
        <w:t>.</w:t>
      </w:r>
    </w:p>
    <w:p>
      <w:pPr>
        <w:spacing w:after="0" w:line="194" w:lineRule="exact"/>
        <w:rPr>
          <w:sz w:val="20"/>
          <w:szCs w:val="20"/>
          <w:color w:val="auto"/>
        </w:rPr>
      </w:pPr>
    </w:p>
    <w:p>
      <w:pPr>
        <w:ind w:left="720"/>
        <w:spacing w:after="0" w:line="253" w:lineRule="auto"/>
        <w:rPr>
          <w:sz w:val="20"/>
          <w:szCs w:val="20"/>
          <w:color w:val="auto"/>
        </w:rPr>
      </w:pPr>
      <w:r>
        <w:rPr>
          <w:rFonts w:ascii="Arial" w:cs="Arial" w:eastAsia="Arial" w:hAnsi="Arial"/>
          <w:sz w:val="16"/>
          <w:szCs w:val="16"/>
          <w:color w:val="14202A"/>
        </w:rPr>
        <w:t>(1)  An Option Award will constitute an Incentive Stock Option Award only if the Participant receiving the Option Award is an Employee, and only to the extent that (i) it is so designated in the applicable Agreement and (ii) the aggregate Fair Market Value (determined as of the Option Award’s Grant Date) of the Shares with respect to which Incentive Stock Option Awards held by the Participant first become exercisable in any calendar year (under the Plan and all other plans of the Company and its Affiliates) does not exceed $100,000 or such other amount specified by the Code. To the extent an Option Award granted to a Participant exceeds this limit, the Option Award shall be treated as a Non-Qualified Stock Option</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right="40"/>
        <w:spacing w:after="0" w:line="266" w:lineRule="auto"/>
        <w:rPr>
          <w:sz w:val="20"/>
          <w:szCs w:val="20"/>
          <w:color w:val="auto"/>
        </w:rPr>
      </w:pPr>
      <w:r>
        <w:rPr>
          <w:rFonts w:ascii="Arial" w:cs="Arial" w:eastAsia="Arial" w:hAnsi="Arial"/>
          <w:sz w:val="16"/>
          <w:szCs w:val="16"/>
          <w:color w:val="14202A"/>
        </w:rPr>
        <w:t>Award. The maximum number of Shares that may be issued upon the exercise of Incentive Stock Option Awards under the Plan shall be the total number of Shares in the Plan’s share reserve as specified in the first sentence of Section 4(a), subject to adjustment as provided in Section 12(a).</w:t>
      </w:r>
    </w:p>
    <w:p>
      <w:pPr>
        <w:spacing w:after="0" w:line="131" w:lineRule="exact"/>
        <w:rPr>
          <w:sz w:val="20"/>
          <w:szCs w:val="20"/>
          <w:color w:val="auto"/>
        </w:rPr>
      </w:pPr>
    </w:p>
    <w:p>
      <w:pPr>
        <w:ind w:left="720" w:right="80"/>
        <w:spacing w:after="0" w:line="256" w:lineRule="auto"/>
        <w:rPr>
          <w:sz w:val="20"/>
          <w:szCs w:val="20"/>
          <w:color w:val="auto"/>
        </w:rPr>
      </w:pPr>
      <w:r>
        <w:rPr>
          <w:rFonts w:ascii="Arial" w:cs="Arial" w:eastAsia="Arial" w:hAnsi="Arial"/>
          <w:sz w:val="16"/>
          <w:szCs w:val="16"/>
          <w:color w:val="14202A"/>
        </w:rPr>
        <w:t>(2)  No Participant may receive an Incentive Stock Option Award under the Plan if, immediately after the grant of such Award, the Participant would own (after application of the rules contained in Code Section 424(d)) Shares possessing more than 10% of the total combined voting power of all classes of stock of the Company or an Affiliate, unless (i) the per Share exercise price for such Award is at least 110% of the Fair Market Value of a Share on the Grant Date and (ii) such Award will expire no later than five years after its Grant Date.</w:t>
      </w:r>
    </w:p>
    <w:p>
      <w:pPr>
        <w:spacing w:after="0" w:line="139" w:lineRule="exact"/>
        <w:rPr>
          <w:sz w:val="20"/>
          <w:szCs w:val="20"/>
          <w:color w:val="auto"/>
        </w:rPr>
      </w:pPr>
    </w:p>
    <w:p>
      <w:pPr>
        <w:ind w:left="720" w:right="140"/>
        <w:spacing w:after="0" w:line="256" w:lineRule="auto"/>
        <w:rPr>
          <w:sz w:val="20"/>
          <w:szCs w:val="20"/>
          <w:color w:val="auto"/>
        </w:rPr>
      </w:pPr>
      <w:r>
        <w:rPr>
          <w:rFonts w:ascii="Arial" w:cs="Arial" w:eastAsia="Arial" w:hAnsi="Arial"/>
          <w:sz w:val="16"/>
          <w:szCs w:val="16"/>
          <w:color w:val="14202A"/>
        </w:rPr>
        <w:t>(3)  For purposes of continued Service by a Participant who has been granted an Incentive Stock Option Award, no approved leave of absence may exceed three months unless reemployment upon expiration of such leave is provided by statute or contract. If reemployment is not so provided, then on the date six months following the first day of such leave, any Incentive Stock Option held by the Participant shall cease to be treated as an Incentive Stock Option and shall be treated for tax purposes as a Non-Qualified Stock Option.</w:t>
      </w:r>
    </w:p>
    <w:p>
      <w:pPr>
        <w:spacing w:after="0" w:line="153" w:lineRule="exact"/>
        <w:rPr>
          <w:sz w:val="20"/>
          <w:szCs w:val="20"/>
          <w:color w:val="auto"/>
        </w:rPr>
      </w:pPr>
    </w:p>
    <w:p>
      <w:pPr>
        <w:jc w:val="both"/>
        <w:ind w:left="720" w:right="60"/>
        <w:spacing w:after="0" w:line="266" w:lineRule="auto"/>
        <w:rPr>
          <w:sz w:val="20"/>
          <w:szCs w:val="20"/>
          <w:color w:val="auto"/>
        </w:rPr>
      </w:pPr>
      <w:r>
        <w:rPr>
          <w:rFonts w:ascii="Arial" w:cs="Arial" w:eastAsia="Arial" w:hAnsi="Arial"/>
          <w:sz w:val="16"/>
          <w:szCs w:val="16"/>
          <w:color w:val="14202A"/>
        </w:rPr>
        <w:t>(4)  If an Incentive Stock Option Award is exercised after the expiration of the exercise periods that apply for purposes of Code Section 422, or otherwise fails to qualify as an Incentive Stock Option, such Option shall thereafter be treated as a Non-Qualified Stock Option.</w:t>
      </w:r>
    </w:p>
    <w:p>
      <w:pPr>
        <w:spacing w:after="0" w:line="131" w:lineRule="exact"/>
        <w:rPr>
          <w:sz w:val="20"/>
          <w:szCs w:val="20"/>
          <w:color w:val="auto"/>
        </w:rPr>
      </w:pPr>
    </w:p>
    <w:p>
      <w:pPr>
        <w:ind w:left="720" w:right="160"/>
        <w:spacing w:after="0" w:line="286" w:lineRule="auto"/>
        <w:rPr>
          <w:sz w:val="20"/>
          <w:szCs w:val="20"/>
          <w:color w:val="auto"/>
        </w:rPr>
      </w:pPr>
      <w:r>
        <w:rPr>
          <w:rFonts w:ascii="Arial" w:cs="Arial" w:eastAsia="Arial" w:hAnsi="Arial"/>
          <w:sz w:val="16"/>
          <w:szCs w:val="16"/>
          <w:color w:val="14202A"/>
        </w:rPr>
        <w:t>(5)  The Agreement covering an Incentive Stock Option Award shall contain such other terms and provisions that the Committee determines necessary to qualify the Option Award as an Incentive Stock Option Award.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8.   </w:t>
      </w:r>
      <w:r>
        <w:rPr>
          <w:rFonts w:ascii="Arial" w:cs="Arial" w:eastAsia="Arial" w:hAnsi="Arial"/>
          <w:sz w:val="16"/>
          <w:szCs w:val="16"/>
          <w:b w:val="1"/>
          <w:bCs w:val="1"/>
          <w:u w:val="single" w:color="auto"/>
          <w:color w:val="14202A"/>
        </w:rPr>
        <w:t>Stock Appreciation Right Awards</w:t>
      </w:r>
      <w:r>
        <w:rPr>
          <w:rFonts w:ascii="Arial" w:cs="Arial" w:eastAsia="Arial" w:hAnsi="Arial"/>
          <w:sz w:val="16"/>
          <w:szCs w:val="16"/>
          <w:b w:val="1"/>
          <w:bCs w:val="1"/>
          <w:color w:val="14202A"/>
        </w:rPr>
        <w:t>.</w:t>
      </w:r>
    </w:p>
    <w:p>
      <w:pPr>
        <w:spacing w:after="0" w:line="194" w:lineRule="exact"/>
        <w:rPr>
          <w:sz w:val="20"/>
          <w:szCs w:val="20"/>
          <w:color w:val="auto"/>
        </w:rPr>
      </w:pPr>
    </w:p>
    <w:p>
      <w:pPr>
        <w:ind w:left="360" w:right="120"/>
        <w:spacing w:after="0" w:line="253" w:lineRule="auto"/>
        <w:rPr>
          <w:sz w:val="20"/>
          <w:szCs w:val="20"/>
          <w:color w:val="auto"/>
        </w:rPr>
      </w:pPr>
      <w:r>
        <w:rPr>
          <w:rFonts w:ascii="Arial" w:cs="Arial" w:eastAsia="Arial" w:hAnsi="Arial"/>
          <w:sz w:val="16"/>
          <w:szCs w:val="16"/>
          <w:color w:val="14202A"/>
        </w:rPr>
        <w:t xml:space="preserve">(a)  </w:t>
      </w:r>
      <w:r>
        <w:rPr>
          <w:rFonts w:ascii="Arial" w:cs="Arial" w:eastAsia="Arial" w:hAnsi="Arial"/>
          <w:sz w:val="16"/>
          <w:szCs w:val="16"/>
          <w:u w:val="single" w:color="auto"/>
          <w:color w:val="14202A"/>
        </w:rPr>
        <w:t>Nature of Award</w:t>
      </w:r>
      <w:r>
        <w:rPr>
          <w:rFonts w:ascii="Arial" w:cs="Arial" w:eastAsia="Arial" w:hAnsi="Arial"/>
          <w:sz w:val="16"/>
          <w:szCs w:val="16"/>
          <w:color w:val="14202A"/>
        </w:rPr>
        <w:t>. An Award of Stock Appreciation Rights shall be subject to such terms and conditions as are determined by the Committee, and shall provide a Participant the right to receive upon exercise of the SAR Award all or a portion of the excess of (i) the Fair Market Value as of the date of exercise of the SAR Award of the number of Shares as to which the SAR Award is being exercised, over (ii) the aggregate exercise price for such number of Shares. The per Share exercise price for any SAR Award shall be determined by the Committee and set forth in the applicable Agreement, and shall not be less than the Fair Market Value of a Share on the Grant Date, except in the case of Substitute Awards (to the extent consistent with Code Section 409A).</w:t>
      </w:r>
    </w:p>
    <w:p>
      <w:pPr>
        <w:spacing w:after="0" w:line="141" w:lineRule="exact"/>
        <w:rPr>
          <w:sz w:val="20"/>
          <w:szCs w:val="20"/>
          <w:color w:val="auto"/>
        </w:rPr>
      </w:pPr>
    </w:p>
    <w:p>
      <w:pPr>
        <w:ind w:left="360"/>
        <w:spacing w:after="0" w:line="253" w:lineRule="auto"/>
        <w:rPr>
          <w:sz w:val="20"/>
          <w:szCs w:val="20"/>
          <w:color w:val="auto"/>
        </w:rPr>
      </w:pPr>
      <w:r>
        <w:rPr>
          <w:rFonts w:ascii="Arial" w:cs="Arial" w:eastAsia="Arial" w:hAnsi="Arial"/>
          <w:sz w:val="16"/>
          <w:szCs w:val="16"/>
          <w:color w:val="14202A"/>
        </w:rPr>
        <w:t xml:space="preserve">(b)  </w:t>
      </w:r>
      <w:r>
        <w:rPr>
          <w:rFonts w:ascii="Arial" w:cs="Arial" w:eastAsia="Arial" w:hAnsi="Arial"/>
          <w:sz w:val="16"/>
          <w:szCs w:val="16"/>
          <w:u w:val="single" w:color="auto"/>
          <w:color w:val="14202A"/>
        </w:rPr>
        <w:t>Exercise of SAR</w:t>
      </w:r>
      <w:r>
        <w:rPr>
          <w:rFonts w:ascii="Arial" w:cs="Arial" w:eastAsia="Arial" w:hAnsi="Arial"/>
          <w:sz w:val="16"/>
          <w:szCs w:val="16"/>
          <w:color w:val="14202A"/>
        </w:rPr>
        <w:t>. Each SAR Award may be exercisable in whole or in part at the times, on the terms and in the manner provided in the Agreement. No SAR Award shall be exercisable at any time after its scheduled expiration. When a SAR Award is no longer exercisable, it shall be deemed to have terminated. Upon exercise of a SAR Award, payment to the Participant shall be made at such time or times as shall be provided in the Agreement in the form of cash, Shares or a combination of cash and Shares as determined by the Committee. The Agreement may provide for a limitation upon the amount or percentage of the total appreciation on which payment (whether in cash and/or Shares) may be made in the event of the exercise of a SAR Award.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9.   </w:t>
      </w:r>
      <w:r>
        <w:rPr>
          <w:rFonts w:ascii="Arial" w:cs="Arial" w:eastAsia="Arial" w:hAnsi="Arial"/>
          <w:sz w:val="16"/>
          <w:szCs w:val="16"/>
          <w:b w:val="1"/>
          <w:bCs w:val="1"/>
          <w:u w:val="single" w:color="auto"/>
          <w:color w:val="14202A"/>
        </w:rPr>
        <w:t>Restricted Stock Awards</w:t>
      </w:r>
      <w:r>
        <w:rPr>
          <w:rFonts w:ascii="Arial" w:cs="Arial" w:eastAsia="Arial" w:hAnsi="Arial"/>
          <w:sz w:val="16"/>
          <w:szCs w:val="16"/>
          <w:b w:val="1"/>
          <w:bCs w:val="1"/>
          <w:color w:val="14202A"/>
        </w:rPr>
        <w:t>.</w:t>
      </w:r>
    </w:p>
    <w:p>
      <w:pPr>
        <w:spacing w:after="0" w:line="194" w:lineRule="exact"/>
        <w:rPr>
          <w:sz w:val="20"/>
          <w:szCs w:val="20"/>
          <w:color w:val="auto"/>
        </w:rPr>
      </w:pPr>
    </w:p>
    <w:p>
      <w:pPr>
        <w:ind w:left="360"/>
        <w:spacing w:after="0" w:line="254" w:lineRule="auto"/>
        <w:rPr>
          <w:sz w:val="20"/>
          <w:szCs w:val="20"/>
          <w:color w:val="auto"/>
        </w:rPr>
      </w:pPr>
      <w:r>
        <w:rPr>
          <w:rFonts w:ascii="Arial" w:cs="Arial" w:eastAsia="Arial" w:hAnsi="Arial"/>
          <w:sz w:val="16"/>
          <w:szCs w:val="16"/>
          <w:color w:val="14202A"/>
        </w:rPr>
        <w:t xml:space="preserve">(a)  </w:t>
      </w:r>
      <w:r>
        <w:rPr>
          <w:rFonts w:ascii="Arial" w:cs="Arial" w:eastAsia="Arial" w:hAnsi="Arial"/>
          <w:sz w:val="16"/>
          <w:szCs w:val="16"/>
          <w:u w:val="single" w:color="auto"/>
          <w:color w:val="14202A"/>
        </w:rPr>
        <w:t>Vesting and Consideration</w:t>
      </w:r>
      <w:r>
        <w:rPr>
          <w:rFonts w:ascii="Arial" w:cs="Arial" w:eastAsia="Arial" w:hAnsi="Arial"/>
          <w:sz w:val="16"/>
          <w:szCs w:val="16"/>
          <w:color w:val="14202A"/>
        </w:rPr>
        <w:t>. Shares subject to a Restricted Stock Award shall be subject to vesting and the lapse of applicable restrictions based on such conditions or factors and occurring over such period of time as the Committee may determine in its discretion, subject to the requirements of Section 6(b). The Committee may provide whether any consideration other than Services must be received by the Company or any Affiliate as a condition precedent to the grant of a Restricted Stock Award and may correspondingly provide for Company reacquisition or repurchase rights if such additional consideration has been required and some or all of a Restricted Stock Award does not vest.</w:t>
      </w:r>
    </w:p>
    <w:p>
      <w:pPr>
        <w:spacing w:after="0" w:line="141" w:lineRule="exact"/>
        <w:rPr>
          <w:sz w:val="20"/>
          <w:szCs w:val="20"/>
          <w:color w:val="auto"/>
        </w:rPr>
      </w:pPr>
    </w:p>
    <w:p>
      <w:pPr>
        <w:ind w:left="360" w:right="40"/>
        <w:spacing w:after="0" w:line="254" w:lineRule="auto"/>
        <w:rPr>
          <w:sz w:val="20"/>
          <w:szCs w:val="20"/>
          <w:color w:val="auto"/>
        </w:rPr>
      </w:pPr>
      <w:r>
        <w:rPr>
          <w:rFonts w:ascii="Arial" w:cs="Arial" w:eastAsia="Arial" w:hAnsi="Arial"/>
          <w:sz w:val="16"/>
          <w:szCs w:val="16"/>
          <w:color w:val="14202A"/>
        </w:rPr>
        <w:t xml:space="preserve">(b)  </w:t>
      </w:r>
      <w:r>
        <w:rPr>
          <w:rFonts w:ascii="Arial" w:cs="Arial" w:eastAsia="Arial" w:hAnsi="Arial"/>
          <w:sz w:val="16"/>
          <w:szCs w:val="16"/>
          <w:u w:val="single" w:color="auto"/>
          <w:color w:val="14202A"/>
        </w:rPr>
        <w:t>Shares Subject to Restricted Stock Awards</w:t>
      </w:r>
      <w:r>
        <w:rPr>
          <w:rFonts w:ascii="Arial" w:cs="Arial" w:eastAsia="Arial" w:hAnsi="Arial"/>
          <w:sz w:val="16"/>
          <w:szCs w:val="16"/>
          <w:color w:val="14202A"/>
        </w:rPr>
        <w:t>. Unvested Shares subject to a Restricted Stock Award shall be evidenced by a book-entry in the name of the Participant with the Company’s transfer agent or by one or more Stock certificates issued in the name of the Participant. Any such Stock certificate shall be deposited with the Company or its designee, together with an assignment separate from the certificate, in blank, signed by the Participant, and bear an appropriate legend referring to the restricted nature of the Restricted Stock evidenced thereby. Any book-entry shall be subject to comparable restrictions and corresponding stop transfer</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spacing w:after="0" w:line="254" w:lineRule="auto"/>
        <w:rPr>
          <w:sz w:val="20"/>
          <w:szCs w:val="20"/>
          <w:color w:val="auto"/>
        </w:rPr>
      </w:pPr>
      <w:r>
        <w:rPr>
          <w:rFonts w:ascii="Arial" w:cs="Arial" w:eastAsia="Arial" w:hAnsi="Arial"/>
          <w:sz w:val="16"/>
          <w:szCs w:val="16"/>
          <w:color w:val="14202A"/>
        </w:rPr>
        <w:t>instructions. Upon the vesting of Shares of Restricted Stock, and the Company’s determination that any necessary conditions precedent to the release of vested Shares (such as satisfaction of tax withholding obligations and compliance with applicable legal requirements) have been satisfied, such vested Shares shall be made available to the Participant in such manner as may be prescribed or permitted by the Committee. Except as otherwise provided in the Plan or an applicable Agreement, a Participant with a Restricted Stock Award shall have all the rights of a shareholder, including the right to vote the Shares of Restricted Stock.</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10.   </w:t>
      </w:r>
      <w:r>
        <w:rPr>
          <w:rFonts w:ascii="Arial" w:cs="Arial" w:eastAsia="Arial" w:hAnsi="Arial"/>
          <w:sz w:val="16"/>
          <w:szCs w:val="16"/>
          <w:b w:val="1"/>
          <w:bCs w:val="1"/>
          <w:u w:val="single" w:color="auto"/>
          <w:color w:val="14202A"/>
        </w:rPr>
        <w:t>Stock Unit Awards</w:t>
      </w:r>
      <w:r>
        <w:rPr>
          <w:rFonts w:ascii="Arial" w:cs="Arial" w:eastAsia="Arial" w:hAnsi="Arial"/>
          <w:sz w:val="16"/>
          <w:szCs w:val="16"/>
          <w:b w:val="1"/>
          <w:bCs w:val="1"/>
          <w:color w:val="14202A"/>
        </w:rPr>
        <w:t>.</w:t>
      </w:r>
    </w:p>
    <w:p>
      <w:pPr>
        <w:spacing w:after="0" w:line="181" w:lineRule="exact"/>
        <w:rPr>
          <w:sz w:val="20"/>
          <w:szCs w:val="20"/>
          <w:color w:val="auto"/>
        </w:rPr>
      </w:pPr>
    </w:p>
    <w:p>
      <w:pPr>
        <w:ind w:left="360"/>
        <w:spacing w:after="0" w:line="253" w:lineRule="auto"/>
        <w:rPr>
          <w:sz w:val="20"/>
          <w:szCs w:val="20"/>
          <w:color w:val="auto"/>
        </w:rPr>
      </w:pPr>
      <w:r>
        <w:rPr>
          <w:rFonts w:ascii="Arial" w:cs="Arial" w:eastAsia="Arial" w:hAnsi="Arial"/>
          <w:sz w:val="16"/>
          <w:szCs w:val="16"/>
          <w:color w:val="14202A"/>
        </w:rPr>
        <w:t xml:space="preserve">(a)  </w:t>
      </w:r>
      <w:r>
        <w:rPr>
          <w:rFonts w:ascii="Arial" w:cs="Arial" w:eastAsia="Arial" w:hAnsi="Arial"/>
          <w:sz w:val="16"/>
          <w:szCs w:val="16"/>
          <w:u w:val="single" w:color="auto"/>
          <w:color w:val="14202A"/>
        </w:rPr>
        <w:t>Vesting and Consideration</w:t>
      </w:r>
      <w:r>
        <w:rPr>
          <w:rFonts w:ascii="Arial" w:cs="Arial" w:eastAsia="Arial" w:hAnsi="Arial"/>
          <w:sz w:val="16"/>
          <w:szCs w:val="16"/>
          <w:color w:val="14202A"/>
        </w:rPr>
        <w:t>. A Stock Unit Award shall be subject to vesting and the lapse of applicable restrictions based on such conditions or factors and occurring over such period of time as the Committee may determine in its discretion, subject to the requirements of Section 6(b). If vesting of a Stock Unit Award is conditioned on the achievement of specified performance goals, the extent to which they are achieved over the specified performance period shall determine the number of Stock Units that will be earned and eligible to vest, which may be greater or less than the target number of Stock Units stated in the Agreement. The Committee may provide whether any consideration other than Services must be received by the Company or any Affiliate as a condition precedent to the settlement of a Stock Unit Award.</w:t>
      </w:r>
    </w:p>
    <w:p>
      <w:pPr>
        <w:spacing w:after="0" w:line="141" w:lineRule="exact"/>
        <w:rPr>
          <w:sz w:val="20"/>
          <w:szCs w:val="20"/>
          <w:color w:val="auto"/>
        </w:rPr>
      </w:pPr>
    </w:p>
    <w:p>
      <w:pPr>
        <w:ind w:left="360" w:right="80"/>
        <w:spacing w:after="0" w:line="256" w:lineRule="auto"/>
        <w:rPr>
          <w:sz w:val="20"/>
          <w:szCs w:val="20"/>
          <w:color w:val="auto"/>
        </w:rPr>
      </w:pPr>
      <w:r>
        <w:rPr>
          <w:rFonts w:ascii="Arial" w:cs="Arial" w:eastAsia="Arial" w:hAnsi="Arial"/>
          <w:sz w:val="16"/>
          <w:szCs w:val="16"/>
          <w:color w:val="14202A"/>
        </w:rPr>
        <w:t xml:space="preserve">(b)  </w:t>
      </w:r>
      <w:r>
        <w:rPr>
          <w:rFonts w:ascii="Arial" w:cs="Arial" w:eastAsia="Arial" w:hAnsi="Arial"/>
          <w:sz w:val="16"/>
          <w:szCs w:val="16"/>
          <w:u w:val="single" w:color="auto"/>
          <w:color w:val="14202A"/>
        </w:rPr>
        <w:t>Settlement of Award</w:t>
      </w:r>
      <w:r>
        <w:rPr>
          <w:rFonts w:ascii="Arial" w:cs="Arial" w:eastAsia="Arial" w:hAnsi="Arial"/>
          <w:sz w:val="16"/>
          <w:szCs w:val="16"/>
          <w:color w:val="14202A"/>
        </w:rPr>
        <w:t>. Following the vesting of a Stock Unit Award, and the Company’s determination that any necessary conditions precedent to the settlement of the Award (such as satisfaction of tax withholding obligations and compliance with applicable legal requirements) have been satisfied, settlement of the Award and payment to the Participant shall be made at such time or times in the form of cash, Shares (which may themselves be considered Restricted Stock under the Plan) or a combination of cash and Shares as determined by the Committee.</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14202A"/>
        </w:rPr>
        <w:t xml:space="preserve">11.  </w:t>
      </w:r>
      <w:r>
        <w:rPr>
          <w:rFonts w:ascii="Arial" w:cs="Arial" w:eastAsia="Arial" w:hAnsi="Arial"/>
          <w:sz w:val="16"/>
          <w:szCs w:val="16"/>
          <w:b w:val="1"/>
          <w:bCs w:val="1"/>
          <w:u w:val="single" w:color="auto"/>
          <w:color w:val="14202A"/>
        </w:rPr>
        <w:t>Other Stock-Based Awards</w:t>
      </w:r>
      <w:r>
        <w:rPr>
          <w:rFonts w:ascii="Arial" w:cs="Arial" w:eastAsia="Arial" w:hAnsi="Arial"/>
          <w:sz w:val="16"/>
          <w:szCs w:val="16"/>
          <w:b w:val="1"/>
          <w:bCs w:val="1"/>
          <w:color w:val="14202A"/>
        </w:rPr>
        <w:t xml:space="preserve">. </w:t>
      </w:r>
      <w:r>
        <w:rPr>
          <w:rFonts w:ascii="Arial" w:cs="Arial" w:eastAsia="Arial" w:hAnsi="Arial"/>
          <w:sz w:val="16"/>
          <w:szCs w:val="16"/>
          <w:color w:val="14202A"/>
        </w:rPr>
        <w:t>The Committee may from time to time grant Shares and other Awards that are valued by</w:t>
      </w:r>
      <w:r>
        <w:rPr>
          <w:rFonts w:ascii="Arial" w:cs="Arial" w:eastAsia="Arial" w:hAnsi="Arial"/>
          <w:sz w:val="16"/>
          <w:szCs w:val="16"/>
          <w:b w:val="1"/>
          <w:bCs w:val="1"/>
          <w:color w:val="14202A"/>
        </w:rPr>
        <w:t xml:space="preserve"> </w:t>
      </w:r>
      <w:r>
        <w:rPr>
          <w:rFonts w:ascii="Arial" w:cs="Arial" w:eastAsia="Arial" w:hAnsi="Arial"/>
          <w:sz w:val="16"/>
          <w:szCs w:val="16"/>
          <w:color w:val="14202A"/>
        </w:rPr>
        <w:t>reference to and/or payable in whole or in part in Shares under the Plan. The Committee shall determine the terms and conditions of such Awards, which shall be consistent with the terms and purposes of the Plan. The Committee may direct the Company to issue Shares subject to restrictive legends and/or stop transfer instructions that are consistent with the terms and conditions of the Award to which the Shares relate.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12.   </w:t>
      </w:r>
      <w:r>
        <w:rPr>
          <w:rFonts w:ascii="Arial" w:cs="Arial" w:eastAsia="Arial" w:hAnsi="Arial"/>
          <w:sz w:val="16"/>
          <w:szCs w:val="16"/>
          <w:b w:val="1"/>
          <w:bCs w:val="1"/>
          <w:u w:val="single" w:color="auto"/>
          <w:color w:val="14202A"/>
        </w:rPr>
        <w:t>Changes in Capitalization, Corporate Transactions, Change in Control</w:t>
      </w:r>
      <w:r>
        <w:rPr>
          <w:rFonts w:ascii="Arial" w:cs="Arial" w:eastAsia="Arial" w:hAnsi="Arial"/>
          <w:sz w:val="16"/>
          <w:szCs w:val="16"/>
          <w:b w:val="1"/>
          <w:bCs w:val="1"/>
          <w:color w:val="14202A"/>
        </w:rPr>
        <w:t>.</w:t>
      </w:r>
    </w:p>
    <w:p>
      <w:pPr>
        <w:spacing w:after="0" w:line="181" w:lineRule="exact"/>
        <w:rPr>
          <w:sz w:val="20"/>
          <w:szCs w:val="20"/>
          <w:color w:val="auto"/>
        </w:rPr>
      </w:pPr>
    </w:p>
    <w:p>
      <w:pPr>
        <w:ind w:left="360" w:right="40"/>
        <w:spacing w:after="0" w:line="249" w:lineRule="auto"/>
        <w:rPr>
          <w:sz w:val="20"/>
          <w:szCs w:val="20"/>
          <w:color w:val="auto"/>
        </w:rPr>
      </w:pPr>
      <w:r>
        <w:rPr>
          <w:rFonts w:ascii="Arial" w:cs="Arial" w:eastAsia="Arial" w:hAnsi="Arial"/>
          <w:sz w:val="16"/>
          <w:szCs w:val="16"/>
          <w:color w:val="14202A"/>
        </w:rPr>
        <w:t xml:space="preserve">(a)  </w:t>
      </w:r>
      <w:r>
        <w:rPr>
          <w:rFonts w:ascii="Arial" w:cs="Arial" w:eastAsia="Arial" w:hAnsi="Arial"/>
          <w:sz w:val="16"/>
          <w:szCs w:val="16"/>
          <w:u w:val="single" w:color="auto"/>
          <w:color w:val="14202A"/>
        </w:rPr>
        <w:t>Adjustments for Changes in Capitalization</w:t>
      </w:r>
      <w:r>
        <w:rPr>
          <w:rFonts w:ascii="Arial" w:cs="Arial" w:eastAsia="Arial" w:hAnsi="Arial"/>
          <w:sz w:val="16"/>
          <w:szCs w:val="16"/>
          <w:color w:val="14202A"/>
        </w:rPr>
        <w:t>. In the event of any equity restructuring (within the meaning of FASB ASC Topic 718) that causes the per share value of Shares to change, such as a stock dividend, stock split, spinoff, rights offering or recapitalization through an extraordinary dividend, the Committee shall make such adjustments as it deems equitable and appropriate to (i) the aggregate number and kind of Shares or other securities issued or reserved for issuance under the Plan, (ii) the number and kind of Shares or other securities subject to outstanding Awards, (iii) the exercise price of outstanding Options and SARs, and (iv) any maximum limitations prescribed by the Plan with respect to certain types of Awards or the grants to individuals of certain types of Awards.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any such adjustment shall be conclusive and binding for all purposes of the Plan. No adjustment shall be made pursuant to this Section 12(a) in connection with the conversion of any convertible securities of the Company, or in a manner that would cause Incentive Stock Options to violate Section 422(b) of the Code or cause an Award to be subject to adverse tax consequences under Section 409A of the Code.</w:t>
      </w:r>
    </w:p>
    <w:p>
      <w:pPr>
        <w:spacing w:after="0" w:line="353" w:lineRule="exact"/>
        <w:rPr>
          <w:sz w:val="20"/>
          <w:szCs w:val="20"/>
          <w:color w:val="auto"/>
        </w:rPr>
      </w:pPr>
    </w:p>
    <w:p>
      <w:pPr>
        <w:ind w:left="360" w:right="120"/>
        <w:spacing w:after="0" w:line="259" w:lineRule="auto"/>
        <w:rPr>
          <w:sz w:val="20"/>
          <w:szCs w:val="20"/>
          <w:color w:val="auto"/>
        </w:rPr>
      </w:pPr>
      <w:r>
        <w:rPr>
          <w:rFonts w:ascii="Arial" w:cs="Arial" w:eastAsia="Arial" w:hAnsi="Arial"/>
          <w:sz w:val="16"/>
          <w:szCs w:val="16"/>
          <w:color w:val="14202A"/>
        </w:rPr>
        <w:t xml:space="preserve">(b)  </w:t>
      </w:r>
      <w:r>
        <w:rPr>
          <w:rFonts w:ascii="Arial" w:cs="Arial" w:eastAsia="Arial" w:hAnsi="Arial"/>
          <w:sz w:val="16"/>
          <w:szCs w:val="16"/>
          <w:u w:val="single" w:color="auto"/>
          <w:color w:val="14202A"/>
        </w:rPr>
        <w:t>Corporate Transactions; Change in Control</w:t>
      </w:r>
      <w:r>
        <w:rPr>
          <w:rFonts w:ascii="Arial" w:cs="Arial" w:eastAsia="Arial" w:hAnsi="Arial"/>
          <w:sz w:val="16"/>
          <w:szCs w:val="16"/>
          <w:color w:val="14202A"/>
        </w:rPr>
        <w:t>. Unless otherwise provided in an applicable Agreement or another written agreement between a Participant and the Company, the following provisions shall apply to outstanding Awards in the event of a Change in Control that involves a Corporate Transaction. The Committee will not be required to treat all Awards or Participants similarly for purposes of this Section 12(b).</w:t>
      </w:r>
    </w:p>
    <w:p>
      <w:pPr>
        <w:spacing w:after="0" w:line="137" w:lineRule="exact"/>
        <w:rPr>
          <w:sz w:val="20"/>
          <w:szCs w:val="20"/>
          <w:color w:val="auto"/>
        </w:rPr>
      </w:pPr>
    </w:p>
    <w:p>
      <w:pPr>
        <w:ind w:left="720" w:right="40"/>
        <w:spacing w:after="0" w:line="259" w:lineRule="auto"/>
        <w:rPr>
          <w:sz w:val="20"/>
          <w:szCs w:val="20"/>
          <w:color w:val="auto"/>
        </w:rPr>
      </w:pPr>
      <w:r>
        <w:rPr>
          <w:rFonts w:ascii="Arial" w:cs="Arial" w:eastAsia="Arial" w:hAnsi="Arial"/>
          <w:sz w:val="16"/>
          <w:szCs w:val="16"/>
          <w:color w:val="14202A"/>
        </w:rPr>
        <w:t xml:space="preserve">(1)  </w:t>
      </w:r>
      <w:r>
        <w:rPr>
          <w:rFonts w:ascii="Arial" w:cs="Arial" w:eastAsia="Arial" w:hAnsi="Arial"/>
          <w:sz w:val="16"/>
          <w:szCs w:val="16"/>
          <w:i w:val="1"/>
          <w:iCs w:val="1"/>
          <w:u w:val="single" w:color="auto"/>
          <w:color w:val="14202A"/>
        </w:rPr>
        <w:t>Continuation, Assumption or Replacement of Awards</w:t>
      </w:r>
      <w:r>
        <w:rPr>
          <w:rFonts w:ascii="Arial" w:cs="Arial" w:eastAsia="Arial" w:hAnsi="Arial"/>
          <w:sz w:val="16"/>
          <w:szCs w:val="16"/>
          <w:color w:val="14202A"/>
        </w:rPr>
        <w:t>. In the event of a Corporate Transaction, then the surviving or successor entity (or its Parent) may continue, assume or replace Awards outstanding as of the date of the Corporate Transaction (with such adjustments as may be required or permitted by Section 12(a)), and such Awards or replacements therefor shall remain outstanding and be governed by</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right="20"/>
        <w:spacing w:after="0" w:line="249" w:lineRule="auto"/>
        <w:rPr>
          <w:sz w:val="20"/>
          <w:szCs w:val="20"/>
          <w:color w:val="auto"/>
        </w:rPr>
      </w:pPr>
      <w:r>
        <w:rPr>
          <w:rFonts w:ascii="Arial" w:cs="Arial" w:eastAsia="Arial" w:hAnsi="Arial"/>
          <w:sz w:val="16"/>
          <w:szCs w:val="16"/>
          <w:color w:val="14202A"/>
        </w:rPr>
        <w:t>their respective terms, subject to Section 12(b)(4) below. A surviving or successor entity may elect to continue, assume or replace only some Awards or portions of Awards. For purposes of this Section 12(b)(1), an Award shall be considered assumed or replaced if, in connection with the Corporate Transaction and in a manner consistent with Code Section 409A (and Code Section 424 if the Award is an ISO), either (i) the contractual obligations represented by the Award are expressly assumed by the surviving or successor entity (or its Parent) with appropriate adjustments to the number and type of securities subject to the Award and the exercise price thereof that preserves the intrinsic value of the Award existing at the time of the Corporate Transaction, or (ii) the Participant has received a comparable equity-based award that preserves the intrinsic value of the Award existing at the time of the Corporate Transaction and contains terms and conditions that are substantially similar to those of the Award. To the extent vesting of any Award continued, assumed or replaced under this Section 12(b)(1) is subject to satisfaction of specified performance goals, those goals shall be deemed to be achieved as of the date of the Corporate Transaction at the target level of performance, or, in the discretion of the Committee, at the actual level of performance (if determinable), and such Awards shall continue to be subject to any continuing service requirements.</w:t>
      </w:r>
    </w:p>
    <w:p>
      <w:pPr>
        <w:spacing w:after="0" w:line="151" w:lineRule="exact"/>
        <w:rPr>
          <w:sz w:val="20"/>
          <w:szCs w:val="20"/>
          <w:color w:val="auto"/>
        </w:rPr>
      </w:pPr>
    </w:p>
    <w:p>
      <w:pPr>
        <w:ind w:left="720"/>
        <w:spacing w:after="0" w:line="249" w:lineRule="auto"/>
        <w:rPr>
          <w:sz w:val="20"/>
          <w:szCs w:val="20"/>
          <w:color w:val="auto"/>
        </w:rPr>
      </w:pPr>
      <w:r>
        <w:rPr>
          <w:rFonts w:ascii="Arial" w:cs="Arial" w:eastAsia="Arial" w:hAnsi="Arial"/>
          <w:sz w:val="16"/>
          <w:szCs w:val="16"/>
          <w:color w:val="14202A"/>
        </w:rPr>
        <w:t xml:space="preserve">(2)  </w:t>
      </w:r>
      <w:r>
        <w:rPr>
          <w:rFonts w:ascii="Arial" w:cs="Arial" w:eastAsia="Arial" w:hAnsi="Arial"/>
          <w:sz w:val="16"/>
          <w:szCs w:val="16"/>
          <w:i w:val="1"/>
          <w:iCs w:val="1"/>
          <w:u w:val="single" w:color="auto"/>
          <w:color w:val="14202A"/>
        </w:rPr>
        <w:t>Acceleration</w:t>
      </w:r>
      <w:r>
        <w:rPr>
          <w:rFonts w:ascii="Arial" w:cs="Arial" w:eastAsia="Arial" w:hAnsi="Arial"/>
          <w:sz w:val="16"/>
          <w:szCs w:val="16"/>
          <w:color w:val="14202A"/>
        </w:rPr>
        <w:t>. If and to the extent that outstanding Awards under the Plan are not continued, assumed or replaced in connection with a Corporate Transaction, then (i) all outstanding Option and SAR Awards shall become fully vested and exercisable for such period of time prior to the effective time of the Corporate Transaction as is deemed fair and equitable by the Committee, and shall terminate at the effective time of the Corporate Transaction, (ii) all outstanding Full Value Awards shall fully vest immediately prior to the effective time of the Corporate Transaction, and (iii) to the extent vesting of any Award is subject to satisfaction of specified performance goals, such Award shall be deemed “fully vested” for purposes of this Section 12(b)(2) at the greater of target level of performance or actual level of performance (if determinable) and the vested portion of the Award at that level of performance is proportionate to the portion of the performance period that has elapsed as of the effective time of the Corporate Transaction. The Committee shall provide written notice of the period of accelerated exercisability of Option and SAR Awards to all affected Participants. The exercise of any Option or SAR Award whose exercisability is accelerated as provided in this Section 12(b)(2) shall be conditioned upon the consummation of the Corporate Transaction and shall be effective only immediately before such consummation.</w:t>
      </w:r>
    </w:p>
    <w:p>
      <w:pPr>
        <w:spacing w:after="0" w:line="151" w:lineRule="exact"/>
        <w:rPr>
          <w:sz w:val="20"/>
          <w:szCs w:val="20"/>
          <w:color w:val="auto"/>
        </w:rPr>
      </w:pPr>
    </w:p>
    <w:p>
      <w:pPr>
        <w:ind w:left="720" w:right="80"/>
        <w:spacing w:after="0" w:line="248" w:lineRule="auto"/>
        <w:rPr>
          <w:sz w:val="20"/>
          <w:szCs w:val="20"/>
          <w:color w:val="auto"/>
        </w:rPr>
      </w:pPr>
      <w:r>
        <w:rPr>
          <w:rFonts w:ascii="Arial" w:cs="Arial" w:eastAsia="Arial" w:hAnsi="Arial"/>
          <w:sz w:val="16"/>
          <w:szCs w:val="16"/>
          <w:color w:val="14202A"/>
        </w:rPr>
        <w:t xml:space="preserve">(3)  </w:t>
      </w:r>
      <w:r>
        <w:rPr>
          <w:rFonts w:ascii="Arial" w:cs="Arial" w:eastAsia="Arial" w:hAnsi="Arial"/>
          <w:sz w:val="16"/>
          <w:szCs w:val="16"/>
          <w:i w:val="1"/>
          <w:iCs w:val="1"/>
          <w:u w:val="single" w:color="auto"/>
          <w:color w:val="14202A"/>
        </w:rPr>
        <w:t>Payment for Awards</w:t>
      </w:r>
      <w:r>
        <w:rPr>
          <w:rFonts w:ascii="Arial" w:cs="Arial" w:eastAsia="Arial" w:hAnsi="Arial"/>
          <w:sz w:val="16"/>
          <w:szCs w:val="16"/>
          <w:color w:val="14202A"/>
        </w:rPr>
        <w:t>. If and to the extent that outstanding Awards under the Plan are not continued, assumed or replaced in connection with a Corporate Transaction, then the Committee may provide that some or all of such outstanding Awards shall be canceled at or immediately prior to the effective time of the Corporate Transaction in exchange for payments to the holders as provided in this Section 12(b)(3). The Committee will not be required to treat all Awards similarly for purposes of this Section 12(b)(3). The payment for any Award canceled shall be in an amount equal to the difference, if any, between (i) the fair market value (as determined in good faith by the Committee) of the consideration that would otherwise be received in the Corporate Transaction for the number of Shares subject to the Award, and (ii) the aggregate exercise price (if any) for the Shares subject to such Award. If the amount determined pursuant to the preceding sentence is not a positive number with respect to any Award, such Award may be canceled pursuant to this Section 12(b)(3) without payment of any kind to the affected Participant. With respect to an Award whose vesting is subject to the satisfaction of specified performance goals, the number of Shares subject to such an Award for purposes of this Section 12(b)(3) shall be the number of Shares as to which the Award would have been deemed “fully vested” for purposes of Section 12(b)(2). Payment of any amount under this Section 12(b)(3) shall be made in such form, on such terms and subject to such conditions as the Committee determines in its discretion, which may or may not be the same as the form, terms and conditions applicable to payments to the Company’s shareholders in connection with the Corporate Transaction, and may, in the Committee’s discretion, include subjecting such payments to vesting conditions comparable to those of the Award canceled, subjecting such payments to escrow or holdback terms comparable to those imposed upon the Company’s shareholders under the Corporate Transaction, or calculating and paying the present value of payments that would otherwise be subject to escrow or holdback terms.</w:t>
      </w:r>
    </w:p>
    <w:p>
      <w:pPr>
        <w:spacing w:after="0" w:line="168" w:lineRule="exact"/>
        <w:rPr>
          <w:sz w:val="20"/>
          <w:szCs w:val="20"/>
          <w:color w:val="auto"/>
        </w:rPr>
      </w:pPr>
    </w:p>
    <w:p>
      <w:pPr>
        <w:ind w:left="720" w:right="240"/>
        <w:spacing w:after="0" w:line="256" w:lineRule="auto"/>
        <w:rPr>
          <w:sz w:val="20"/>
          <w:szCs w:val="20"/>
          <w:color w:val="auto"/>
        </w:rPr>
      </w:pPr>
      <w:r>
        <w:rPr>
          <w:rFonts w:ascii="Arial" w:cs="Arial" w:eastAsia="Arial" w:hAnsi="Arial"/>
          <w:sz w:val="16"/>
          <w:szCs w:val="16"/>
          <w:color w:val="14202A"/>
        </w:rPr>
        <w:t xml:space="preserve">(4)  </w:t>
      </w:r>
      <w:r>
        <w:rPr>
          <w:rFonts w:ascii="Arial" w:cs="Arial" w:eastAsia="Arial" w:hAnsi="Arial"/>
          <w:sz w:val="16"/>
          <w:szCs w:val="16"/>
          <w:i w:val="1"/>
          <w:iCs w:val="1"/>
          <w:u w:val="single" w:color="auto"/>
          <w:color w:val="14202A"/>
        </w:rPr>
        <w:t>Termination After a Corporate Transaction</w:t>
      </w:r>
      <w:r>
        <w:rPr>
          <w:rFonts w:ascii="Arial" w:cs="Arial" w:eastAsia="Arial" w:hAnsi="Arial"/>
          <w:sz w:val="16"/>
          <w:szCs w:val="16"/>
          <w:color w:val="14202A"/>
        </w:rPr>
        <w:t>. If and to the extent that Awards are continued, assumed or replaced under the circumstances described in Section 12(b)(1), and if within twenty-four (24) months after the Corporate Transaction a Participant experiences an involuntary Separation from Service for reasons other than Cause, or, if so provided in the discretion of the Committee in an Agreement, terminates his or her Service for Good Reason (as defined in the applicable Agreement or other</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right="40"/>
        <w:spacing w:after="0" w:line="252" w:lineRule="auto"/>
        <w:rPr>
          <w:sz w:val="20"/>
          <w:szCs w:val="20"/>
          <w:color w:val="auto"/>
        </w:rPr>
      </w:pPr>
      <w:r>
        <w:rPr>
          <w:rFonts w:ascii="Arial" w:cs="Arial" w:eastAsia="Arial" w:hAnsi="Arial"/>
          <w:sz w:val="16"/>
          <w:szCs w:val="16"/>
          <w:color w:val="14202A"/>
        </w:rPr>
        <w:t>then-effective written agreement between the Participant and the Company), then (i) outstanding Option and SAR Awards issued to the Participant that are not yet fully exercisable shall immediately become exercisable in full and shall remain exercisable for one year following the Participant’s Separation from Service, (ii) any Full Value Awards that are not yet fully vested shall immediately vest in full, and (iii) to the extent vesting of any Award is subject to satisfaction of specified performance goals, such Award shall be deemed “fully vested” at the greater of target level of performance or actual level of performance (if determinable) and the vested portion of the Award at that level of performance is proportionate to the portion of the performance period that has occurred up to the date of such Participant’s Separation from Service.</w:t>
      </w:r>
    </w:p>
    <w:p>
      <w:pPr>
        <w:spacing w:after="0" w:line="142" w:lineRule="exact"/>
        <w:rPr>
          <w:sz w:val="20"/>
          <w:szCs w:val="20"/>
          <w:color w:val="auto"/>
        </w:rPr>
      </w:pPr>
    </w:p>
    <w:p>
      <w:pPr>
        <w:ind w:left="360" w:right="200"/>
        <w:spacing w:after="0" w:line="252" w:lineRule="auto"/>
        <w:rPr>
          <w:sz w:val="20"/>
          <w:szCs w:val="20"/>
          <w:color w:val="auto"/>
        </w:rPr>
      </w:pPr>
      <w:r>
        <w:rPr>
          <w:rFonts w:ascii="Arial" w:cs="Arial" w:eastAsia="Arial" w:hAnsi="Arial"/>
          <w:sz w:val="16"/>
          <w:szCs w:val="16"/>
          <w:color w:val="14202A"/>
        </w:rPr>
        <w:t xml:space="preserve">(c)  </w:t>
      </w:r>
      <w:r>
        <w:rPr>
          <w:rFonts w:ascii="Arial" w:cs="Arial" w:eastAsia="Arial" w:hAnsi="Arial"/>
          <w:sz w:val="16"/>
          <w:szCs w:val="16"/>
          <w:u w:val="single" w:color="auto"/>
          <w:color w:val="14202A"/>
        </w:rPr>
        <w:t>Other Change in Control</w:t>
      </w:r>
      <w:r>
        <w:rPr>
          <w:rFonts w:ascii="Arial" w:cs="Arial" w:eastAsia="Arial" w:hAnsi="Arial"/>
          <w:sz w:val="16"/>
          <w:szCs w:val="16"/>
          <w:color w:val="14202A"/>
        </w:rPr>
        <w:t>. In the event of a Change in Control that does not involve a Corporate Transaction, if within twenty-four (24) months after the Change in Control a Participant experiences an involuntary Separation from Service for reasons other than Cause, or, if so provided in the discretion of the Committee in an Agreement, terminates his or her Service for Good Reason (as defined in the applicable Agreement or other then-effective written agreement between the Participant and the Company), then (i) outstanding Option and SAR Awards issued to the Participant that are not yet fully exercisable shall immediately become fully vested and exercisable and shall remain exercisable for one year following the Participant’s Separation from Service, and (ii) any Full Value Awards that are not yet fully vested shall immediately vest in full.</w:t>
      </w:r>
    </w:p>
    <w:p>
      <w:pPr>
        <w:spacing w:after="0" w:line="142" w:lineRule="exact"/>
        <w:rPr>
          <w:sz w:val="20"/>
          <w:szCs w:val="20"/>
          <w:color w:val="auto"/>
        </w:rPr>
      </w:pPr>
    </w:p>
    <w:p>
      <w:pPr>
        <w:ind w:left="360" w:right="480"/>
        <w:spacing w:after="0" w:line="259" w:lineRule="auto"/>
        <w:rPr>
          <w:sz w:val="20"/>
          <w:szCs w:val="20"/>
          <w:color w:val="auto"/>
        </w:rPr>
      </w:pPr>
      <w:r>
        <w:rPr>
          <w:rFonts w:ascii="Arial" w:cs="Arial" w:eastAsia="Arial" w:hAnsi="Arial"/>
          <w:sz w:val="16"/>
          <w:szCs w:val="16"/>
          <w:color w:val="14202A"/>
        </w:rPr>
        <w:t xml:space="preserve">(d)  </w:t>
      </w:r>
      <w:r>
        <w:rPr>
          <w:rFonts w:ascii="Arial" w:cs="Arial" w:eastAsia="Arial" w:hAnsi="Arial"/>
          <w:sz w:val="16"/>
          <w:szCs w:val="16"/>
          <w:u w:val="single" w:color="auto"/>
          <w:color w:val="14202A"/>
        </w:rPr>
        <w:t>Dissolution or Liquidation</w:t>
      </w:r>
      <w:r>
        <w:rPr>
          <w:rFonts w:ascii="Arial" w:cs="Arial" w:eastAsia="Arial" w:hAnsi="Arial"/>
          <w:sz w:val="16"/>
          <w:szCs w:val="16"/>
          <w:color w:val="14202A"/>
        </w:rPr>
        <w:t>. Unless otherwise provided in an applicable Agreement, in the event of a proposed dissolution or liquidation of the Company, the Committee will notify each Participant as soon as practicable prior to the effective date of such proposed transaction. An Award will terminate immediately prior to the consummation of such proposed action.</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 xml:space="preserve">(e)   </w:t>
      </w:r>
      <w:r>
        <w:rPr>
          <w:rFonts w:ascii="Arial" w:cs="Arial" w:eastAsia="Arial" w:hAnsi="Arial"/>
          <w:sz w:val="16"/>
          <w:szCs w:val="16"/>
          <w:u w:val="single" w:color="auto"/>
          <w:color w:val="14202A"/>
        </w:rPr>
        <w:t>Parachute Payment Limitation</w:t>
      </w:r>
      <w:r>
        <w:rPr>
          <w:rFonts w:ascii="Arial" w:cs="Arial" w:eastAsia="Arial" w:hAnsi="Arial"/>
          <w:sz w:val="16"/>
          <w:szCs w:val="16"/>
          <w:color w:val="14202A"/>
        </w:rPr>
        <w:t>.</w:t>
      </w:r>
    </w:p>
    <w:p>
      <w:pPr>
        <w:spacing w:after="0" w:line="194" w:lineRule="exact"/>
        <w:rPr>
          <w:sz w:val="20"/>
          <w:szCs w:val="20"/>
          <w:color w:val="auto"/>
        </w:rPr>
      </w:pPr>
    </w:p>
    <w:p>
      <w:pPr>
        <w:ind w:left="720"/>
        <w:spacing w:after="0" w:line="250" w:lineRule="auto"/>
        <w:rPr>
          <w:sz w:val="20"/>
          <w:szCs w:val="20"/>
          <w:color w:val="auto"/>
        </w:rPr>
      </w:pPr>
      <w:r>
        <w:rPr>
          <w:rFonts w:ascii="Arial" w:cs="Arial" w:eastAsia="Arial" w:hAnsi="Arial"/>
          <w:sz w:val="16"/>
          <w:szCs w:val="16"/>
          <w:color w:val="14202A"/>
        </w:rPr>
        <w:t>(1)  Notwithstanding any other provision of this Plan or any other plan, arrangement or agreement to the contrary, if any of the payments or benefits provided or to be provided by the Company or its Affiliates to a Participant or for the Participant’s benefit pursuant to the terms of this Plan or otherwise (“Covered Payments”) constitute parachute payments (“Parachute Payments”) within the meaning of Section 280G of the Code, and would, but for this Section 12(e) be subject to the excise tax imposed under Section 4999 of the Code (or any successor provision thereto) or any similar tax imposed by state or local law and any interest or penalties with respect to such taxes (collectively, the “Excise Tax”), then the Covered Payments shall be payable either (i) in full or (ii) reduced to the minimum extent necessary to ensure that no portion of the Covered Payments is subject to the Excise Tax, whichever of the foregoing clauses (i) or (ii) results in the Participant’s receipt on an after-tax basis of the greatest amount of payments and benefits after taking into account the applicable federal, state, local and foreign income, employment and excise taxes (including the Excise Tax).</w:t>
      </w:r>
    </w:p>
    <w:p>
      <w:pPr>
        <w:spacing w:after="0" w:line="338" w:lineRule="exact"/>
        <w:rPr>
          <w:sz w:val="20"/>
          <w:szCs w:val="20"/>
          <w:color w:val="auto"/>
        </w:rPr>
      </w:pPr>
    </w:p>
    <w:p>
      <w:pPr>
        <w:ind w:left="720" w:right="80"/>
        <w:spacing w:after="0" w:line="256" w:lineRule="auto"/>
        <w:rPr>
          <w:sz w:val="20"/>
          <w:szCs w:val="20"/>
          <w:color w:val="auto"/>
        </w:rPr>
      </w:pPr>
      <w:r>
        <w:rPr>
          <w:rFonts w:ascii="Arial" w:cs="Arial" w:eastAsia="Arial" w:hAnsi="Arial"/>
          <w:sz w:val="16"/>
          <w:szCs w:val="16"/>
          <w:color w:val="14202A"/>
        </w:rPr>
        <w:t>(2)  Any such reduction shall be made in accordance with Section 409A of the Code and the following: (i) the Covered Payments which do not constitute deferred compensation subject to Section 409A of the Code shall be reduced first, and (ii) Covered Payments that are cash payments shall be reduced before non-cash payments, and Covered Payments to be made on a later payment date shall be reduced before payments to be made on an earlier payment date.</w:t>
      </w:r>
    </w:p>
    <w:p>
      <w:pPr>
        <w:spacing w:after="0" w:line="139" w:lineRule="exact"/>
        <w:rPr>
          <w:sz w:val="20"/>
          <w:szCs w:val="20"/>
          <w:color w:val="auto"/>
        </w:rPr>
      </w:pPr>
    </w:p>
    <w:p>
      <w:pPr>
        <w:ind w:left="720" w:right="60"/>
        <w:spacing w:after="0" w:line="254" w:lineRule="auto"/>
        <w:rPr>
          <w:sz w:val="20"/>
          <w:szCs w:val="20"/>
          <w:color w:val="auto"/>
        </w:rPr>
      </w:pPr>
      <w:r>
        <w:rPr>
          <w:rFonts w:ascii="Arial" w:cs="Arial" w:eastAsia="Arial" w:hAnsi="Arial"/>
          <w:sz w:val="16"/>
          <w:szCs w:val="16"/>
          <w:color w:val="14202A"/>
        </w:rPr>
        <w:t>(3)  If, notwithstanding the initial application of this Section 12(e), the Internal Revenue Service determines that any Covered Payment constitutes an “excess parachute payment” (as defined by Section 280G(b) of the Code), this Section 12(e) will be reapplied based on the Internal Revenue Service’s determination, and the Participant will be required to promptly repay the portion of the Covered Payments required to avoid imposition of the Excise Tax together with interest at the applicable federal rate (as defined in Section 7872(f)(2)(A) of the Code) from the date of the Participant’s receipt of the excess payments until the date of repayment).</w:t>
      </w:r>
    </w:p>
    <w:p>
      <w:pPr>
        <w:spacing w:after="0" w:line="155" w:lineRule="exact"/>
        <w:rPr>
          <w:sz w:val="20"/>
          <w:szCs w:val="20"/>
          <w:color w:val="auto"/>
        </w:rPr>
      </w:pPr>
    </w:p>
    <w:p>
      <w:pPr>
        <w:jc w:val="both"/>
        <w:ind w:left="720" w:right="200"/>
        <w:spacing w:after="0" w:line="266" w:lineRule="auto"/>
        <w:rPr>
          <w:sz w:val="20"/>
          <w:szCs w:val="20"/>
          <w:color w:val="auto"/>
        </w:rPr>
      </w:pPr>
      <w:r>
        <w:rPr>
          <w:rFonts w:ascii="Arial" w:cs="Arial" w:eastAsia="Arial" w:hAnsi="Arial"/>
          <w:sz w:val="16"/>
          <w:szCs w:val="16"/>
          <w:color w:val="14202A"/>
        </w:rPr>
        <w:t>(4)  Any determination required under this Section 12(e) shall be made in writing in good faith by the accounting firm which was the Company’s independent auditor immediately before the Change in Control (the “Accountants”), which shall provide detailed supporting calculations to the Company and the</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right="400"/>
        <w:spacing w:after="0" w:line="259" w:lineRule="auto"/>
        <w:rPr>
          <w:sz w:val="20"/>
          <w:szCs w:val="20"/>
          <w:color w:val="auto"/>
        </w:rPr>
      </w:pPr>
      <w:r>
        <w:rPr>
          <w:rFonts w:ascii="Arial" w:cs="Arial" w:eastAsia="Arial" w:hAnsi="Arial"/>
          <w:sz w:val="16"/>
          <w:szCs w:val="16"/>
          <w:color w:val="14202A"/>
        </w:rPr>
        <w:t>Participant as requested by the Company or the Participant. The Company and the Participant shall provide the Accountants with such information and documents as the Accountants may reasonably request in order to make a determination under this Section 12(e). The Company shall be responsible for all fees and expenses of the Accountants.</w:t>
      </w:r>
    </w:p>
    <w:p>
      <w:pPr>
        <w:spacing w:after="0" w:line="137"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b w:val="1"/>
          <w:bCs w:val="1"/>
          <w:color w:val="14202A"/>
        </w:rPr>
        <w:t xml:space="preserve">13.  </w:t>
      </w:r>
      <w:r>
        <w:rPr>
          <w:rFonts w:ascii="Arial" w:cs="Arial" w:eastAsia="Arial" w:hAnsi="Arial"/>
          <w:sz w:val="16"/>
          <w:szCs w:val="16"/>
          <w:b w:val="1"/>
          <w:bCs w:val="1"/>
          <w:u w:val="single" w:color="auto"/>
          <w:color w:val="14202A"/>
        </w:rPr>
        <w:t>Plan Participation and Service Provider Status</w:t>
      </w:r>
      <w:r>
        <w:rPr>
          <w:rFonts w:ascii="Arial" w:cs="Arial" w:eastAsia="Arial" w:hAnsi="Arial"/>
          <w:sz w:val="16"/>
          <w:szCs w:val="16"/>
          <w:b w:val="1"/>
          <w:bCs w:val="1"/>
          <w:color w:val="14202A"/>
        </w:rPr>
        <w:t xml:space="preserve">. </w:t>
      </w:r>
      <w:r>
        <w:rPr>
          <w:rFonts w:ascii="Arial" w:cs="Arial" w:eastAsia="Arial" w:hAnsi="Arial"/>
          <w:sz w:val="16"/>
          <w:szCs w:val="16"/>
          <w:color w:val="14202A"/>
        </w:rPr>
        <w:t>Status as a Service Provider shall not be construed as a commitment</w:t>
      </w:r>
      <w:r>
        <w:rPr>
          <w:rFonts w:ascii="Arial" w:cs="Arial" w:eastAsia="Arial" w:hAnsi="Arial"/>
          <w:sz w:val="16"/>
          <w:szCs w:val="16"/>
          <w:b w:val="1"/>
          <w:bCs w:val="1"/>
          <w:color w:val="14202A"/>
        </w:rPr>
        <w:t xml:space="preserve"> </w:t>
      </w:r>
      <w:r>
        <w:rPr>
          <w:rFonts w:ascii="Arial" w:cs="Arial" w:eastAsia="Arial" w:hAnsi="Arial"/>
          <w:sz w:val="16"/>
          <w:szCs w:val="16"/>
          <w:color w:val="14202A"/>
        </w:rPr>
        <w:t>that any Award will be made under the Plan to that Service Provider or to eligible Service Providers generally. Nothing in the Plan or in any Agreement or related documents shall confer upon any Service Provider or Participant any right to continued Service with the Company or any Affiliate, nor shall it interfere with or limit in any way any right of the Company or any Affiliate to terminate the Service Provider’s Service at any time with or without Cause or change such Service Provider’s compensation, other benefits, job responsibilities or title.</w:t>
      </w:r>
    </w:p>
    <w:p>
      <w:pPr>
        <w:spacing w:after="0" w:line="14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color w:val="14202A"/>
        </w:rPr>
        <w:t xml:space="preserve">14.  </w:t>
      </w:r>
      <w:r>
        <w:rPr>
          <w:rFonts w:ascii="Arial" w:cs="Arial" w:eastAsia="Arial" w:hAnsi="Arial"/>
          <w:sz w:val="16"/>
          <w:szCs w:val="16"/>
          <w:b w:val="1"/>
          <w:bCs w:val="1"/>
          <w:u w:val="single" w:color="auto"/>
          <w:color w:val="14202A"/>
        </w:rPr>
        <w:t>Tax Withholding</w:t>
      </w:r>
      <w:r>
        <w:rPr>
          <w:rFonts w:ascii="Arial" w:cs="Arial" w:eastAsia="Arial" w:hAnsi="Arial"/>
          <w:sz w:val="16"/>
          <w:szCs w:val="16"/>
          <w:b w:val="1"/>
          <w:bCs w:val="1"/>
          <w:color w:val="14202A"/>
        </w:rPr>
        <w:t xml:space="preserve">. </w:t>
      </w:r>
      <w:r>
        <w:rPr>
          <w:rFonts w:ascii="Arial" w:cs="Arial" w:eastAsia="Arial" w:hAnsi="Arial"/>
          <w:sz w:val="16"/>
          <w:szCs w:val="16"/>
          <w:color w:val="14202A"/>
        </w:rPr>
        <w:t>The Company or any Affiliate, as applicable, shall have the right to (i) withhold from any cash payment</w:t>
      </w:r>
      <w:r>
        <w:rPr>
          <w:rFonts w:ascii="Arial" w:cs="Arial" w:eastAsia="Arial" w:hAnsi="Arial"/>
          <w:sz w:val="16"/>
          <w:szCs w:val="16"/>
          <w:b w:val="1"/>
          <w:bCs w:val="1"/>
          <w:color w:val="14202A"/>
        </w:rPr>
        <w:t xml:space="preserve"> </w:t>
      </w:r>
      <w:r>
        <w:rPr>
          <w:rFonts w:ascii="Arial" w:cs="Arial" w:eastAsia="Arial" w:hAnsi="Arial"/>
          <w:sz w:val="16"/>
          <w:szCs w:val="16"/>
          <w:color w:val="14202A"/>
        </w:rPr>
        <w:t>under the Plan or any other compensation owed to a Participant an amount sufficient to cover any required withholding taxes related to the grant, vesting, exercise or settlement of an Award, and (ii) require a Participant or other person receiving Shares under the Plan to pay a cash amount sufficient to cover any required withholding taxes before actual receipt of those Shares. In lieu of all or any part of a cash payment from a person receiving Shares under the Plan, the Committee may permit the Participant to satisfy all or any part of the required tax withholding obligations (but not to exceed the maximum individual statutory tax rate in each applicable jurisdiction) by authorizing the Company to withhold a number of the Shares that would otherwise be delivered to the Participant pursuant to the Award, or by transferring to the Company Shares already owned by the Participant, with the Shares so withheld or delivered having a Fair Market Value on the date the taxes are required to be withheld equal to the amount of taxes to be withheld.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15.   </w:t>
      </w:r>
      <w:r>
        <w:rPr>
          <w:rFonts w:ascii="Arial" w:cs="Arial" w:eastAsia="Arial" w:hAnsi="Arial"/>
          <w:sz w:val="16"/>
          <w:szCs w:val="16"/>
          <w:b w:val="1"/>
          <w:bCs w:val="1"/>
          <w:u w:val="single" w:color="auto"/>
          <w:color w:val="14202A"/>
        </w:rPr>
        <w:t>Effective Date, Duration, Amendment and Termination of the Plan</w:t>
      </w:r>
      <w:r>
        <w:rPr>
          <w:rFonts w:ascii="Arial" w:cs="Arial" w:eastAsia="Arial" w:hAnsi="Arial"/>
          <w:sz w:val="16"/>
          <w:szCs w:val="16"/>
          <w:b w:val="1"/>
          <w:bCs w:val="1"/>
          <w:color w:val="14202A"/>
        </w:rPr>
        <w:t>.</w:t>
      </w:r>
    </w:p>
    <w:p>
      <w:pPr>
        <w:spacing w:after="0" w:line="194" w:lineRule="exact"/>
        <w:rPr>
          <w:sz w:val="20"/>
          <w:szCs w:val="20"/>
          <w:color w:val="auto"/>
        </w:rPr>
      </w:pPr>
    </w:p>
    <w:p>
      <w:pPr>
        <w:jc w:val="both"/>
        <w:ind w:left="360" w:right="140"/>
        <w:spacing w:after="0" w:line="266" w:lineRule="auto"/>
        <w:rPr>
          <w:sz w:val="20"/>
          <w:szCs w:val="20"/>
          <w:color w:val="auto"/>
        </w:rPr>
      </w:pPr>
      <w:r>
        <w:rPr>
          <w:rFonts w:ascii="Arial" w:cs="Arial" w:eastAsia="Arial" w:hAnsi="Arial"/>
          <w:sz w:val="16"/>
          <w:szCs w:val="16"/>
          <w:color w:val="14202A"/>
        </w:rPr>
        <w:t xml:space="preserve">(a)  </w:t>
      </w:r>
      <w:r>
        <w:rPr>
          <w:rFonts w:ascii="Arial" w:cs="Arial" w:eastAsia="Arial" w:hAnsi="Arial"/>
          <w:sz w:val="16"/>
          <w:szCs w:val="16"/>
          <w:u w:val="single" w:color="auto"/>
          <w:color w:val="14202A"/>
        </w:rPr>
        <w:t>Effective Date</w:t>
      </w:r>
      <w:r>
        <w:rPr>
          <w:rFonts w:ascii="Arial" w:cs="Arial" w:eastAsia="Arial" w:hAnsi="Arial"/>
          <w:sz w:val="16"/>
          <w:szCs w:val="16"/>
          <w:color w:val="14202A"/>
        </w:rPr>
        <w:t>. This Amended and Restated Plan was approved by the Board on October 15, 2026, and shall become effective on the Restatement Date, which shall be considered the date of its adoption for purposes of Treasury Regulation §1.422-2(b)(2)(i).</w:t>
      </w:r>
    </w:p>
    <w:p>
      <w:pPr>
        <w:spacing w:after="0" w:line="131" w:lineRule="exact"/>
        <w:rPr>
          <w:sz w:val="20"/>
          <w:szCs w:val="20"/>
          <w:color w:val="auto"/>
        </w:rPr>
      </w:pPr>
    </w:p>
    <w:p>
      <w:pPr>
        <w:ind w:left="360" w:right="20"/>
        <w:spacing w:after="0" w:line="256" w:lineRule="auto"/>
        <w:rPr>
          <w:sz w:val="20"/>
          <w:szCs w:val="20"/>
          <w:color w:val="auto"/>
        </w:rPr>
      </w:pPr>
      <w:r>
        <w:rPr>
          <w:rFonts w:ascii="Arial" w:cs="Arial" w:eastAsia="Arial" w:hAnsi="Arial"/>
          <w:sz w:val="16"/>
          <w:szCs w:val="16"/>
          <w:color w:val="14202A"/>
        </w:rPr>
        <w:t xml:space="preserve">(b)  </w:t>
      </w:r>
      <w:r>
        <w:rPr>
          <w:rFonts w:ascii="Arial" w:cs="Arial" w:eastAsia="Arial" w:hAnsi="Arial"/>
          <w:sz w:val="16"/>
          <w:szCs w:val="16"/>
          <w:u w:val="single" w:color="auto"/>
          <w:color w:val="14202A"/>
        </w:rPr>
        <w:t>Duration of the Plan</w:t>
      </w:r>
      <w:r>
        <w:rPr>
          <w:rFonts w:ascii="Arial" w:cs="Arial" w:eastAsia="Arial" w:hAnsi="Arial"/>
          <w:sz w:val="16"/>
          <w:szCs w:val="16"/>
          <w:color w:val="14202A"/>
        </w:rPr>
        <w:t>. The Plan shall remain in effect until all Shares subject to it are distributed, all Awards have expired or terminated, the Plan is terminated pursuant to Section 15(c), or the tenth anniversary of the Restatement Date, whichever occurs first (the “Termination Date”). Awards made before the Termination Date shall continue to be outstanding in accordance with their terms and the terms of the Plan and applicable Agreement unless otherwise provided in the applicable Agreements.</w:t>
      </w:r>
    </w:p>
    <w:p>
      <w:pPr>
        <w:spacing w:after="0" w:line="139" w:lineRule="exact"/>
        <w:rPr>
          <w:sz w:val="20"/>
          <w:szCs w:val="20"/>
          <w:color w:val="auto"/>
        </w:rPr>
      </w:pPr>
    </w:p>
    <w:p>
      <w:pPr>
        <w:ind w:left="360" w:right="100"/>
        <w:spacing w:after="0" w:line="256" w:lineRule="auto"/>
        <w:rPr>
          <w:sz w:val="20"/>
          <w:szCs w:val="20"/>
          <w:color w:val="auto"/>
        </w:rPr>
      </w:pPr>
      <w:r>
        <w:rPr>
          <w:rFonts w:ascii="Arial" w:cs="Arial" w:eastAsia="Arial" w:hAnsi="Arial"/>
          <w:sz w:val="16"/>
          <w:szCs w:val="16"/>
          <w:color w:val="14202A"/>
        </w:rPr>
        <w:t xml:space="preserve">(c)  </w:t>
      </w:r>
      <w:r>
        <w:rPr>
          <w:rFonts w:ascii="Arial" w:cs="Arial" w:eastAsia="Arial" w:hAnsi="Arial"/>
          <w:sz w:val="16"/>
          <w:szCs w:val="16"/>
          <w:u w:val="single" w:color="auto"/>
          <w:color w:val="14202A"/>
        </w:rPr>
        <w:t>Amendment and Termination of the Plan</w:t>
      </w:r>
      <w:r>
        <w:rPr>
          <w:rFonts w:ascii="Arial" w:cs="Arial" w:eastAsia="Arial" w:hAnsi="Arial"/>
          <w:sz w:val="16"/>
          <w:szCs w:val="16"/>
          <w:color w:val="14202A"/>
        </w:rPr>
        <w:t>. The Board may at any time terminate, suspend or amend the Plan. The Company shall submit any amendment of the Plan to its shareholders for approval only to the extent required by applicable laws or regulations or the rules of any securities exchange on which the Shares may then be listed. No termination, suspension, or amendment of the Plan may materially impair the rights of any Participant under a previously granted Award without the Participant’s consent, unless such action is necessary to comply with applicable law or stock exchange rules.</w:t>
      </w:r>
    </w:p>
    <w:p>
      <w:pPr>
        <w:spacing w:after="0" w:line="153" w:lineRule="exact"/>
        <w:rPr>
          <w:sz w:val="20"/>
          <w:szCs w:val="20"/>
          <w:color w:val="auto"/>
        </w:rPr>
      </w:pPr>
    </w:p>
    <w:p>
      <w:pPr>
        <w:ind w:left="360" w:right="80"/>
        <w:spacing w:after="0" w:line="259" w:lineRule="auto"/>
        <w:rPr>
          <w:sz w:val="20"/>
          <w:szCs w:val="20"/>
          <w:color w:val="auto"/>
        </w:rPr>
      </w:pPr>
      <w:r>
        <w:rPr>
          <w:rFonts w:ascii="Arial" w:cs="Arial" w:eastAsia="Arial" w:hAnsi="Arial"/>
          <w:sz w:val="16"/>
          <w:szCs w:val="16"/>
          <w:color w:val="14202A"/>
        </w:rPr>
        <w:t xml:space="preserve">(d)  </w:t>
      </w:r>
      <w:r>
        <w:rPr>
          <w:rFonts w:ascii="Arial" w:cs="Arial" w:eastAsia="Arial" w:hAnsi="Arial"/>
          <w:sz w:val="16"/>
          <w:szCs w:val="16"/>
          <w:u w:val="single" w:color="auto"/>
          <w:color w:val="14202A"/>
        </w:rPr>
        <w:t>Amendment of Awards</w:t>
      </w:r>
      <w:r>
        <w:rPr>
          <w:rFonts w:ascii="Arial" w:cs="Arial" w:eastAsia="Arial" w:hAnsi="Arial"/>
          <w:sz w:val="16"/>
          <w:szCs w:val="16"/>
          <w:color w:val="14202A"/>
        </w:rPr>
        <w:t>. Subject to Section 15(e), the Committee may unilaterally amend the terms of any Agreement evidencing an Award previously granted, except that no such amendment may materially impair the rights of any Participant under the applicable Award without the Participant’s consent, unless such amendment is necessary to comply with applicable law or stock exchange rules or any compensation recovery policy as provided in Section 16(i).</w:t>
      </w:r>
    </w:p>
    <w:p>
      <w:pPr>
        <w:spacing w:after="0" w:line="137" w:lineRule="exact"/>
        <w:rPr>
          <w:sz w:val="20"/>
          <w:szCs w:val="20"/>
          <w:color w:val="auto"/>
        </w:rPr>
      </w:pPr>
    </w:p>
    <w:p>
      <w:pPr>
        <w:ind w:left="360" w:right="20"/>
        <w:spacing w:after="0" w:line="253" w:lineRule="auto"/>
        <w:rPr>
          <w:sz w:val="20"/>
          <w:szCs w:val="20"/>
          <w:color w:val="auto"/>
        </w:rPr>
      </w:pPr>
      <w:r>
        <w:rPr>
          <w:rFonts w:ascii="Arial" w:cs="Arial" w:eastAsia="Arial" w:hAnsi="Arial"/>
          <w:sz w:val="16"/>
          <w:szCs w:val="16"/>
          <w:color w:val="14202A"/>
        </w:rPr>
        <w:t xml:space="preserve">(e)  </w:t>
      </w:r>
      <w:r>
        <w:rPr>
          <w:rFonts w:ascii="Arial" w:cs="Arial" w:eastAsia="Arial" w:hAnsi="Arial"/>
          <w:sz w:val="16"/>
          <w:szCs w:val="16"/>
          <w:u w:val="single" w:color="auto"/>
          <w:color w:val="14202A"/>
        </w:rPr>
        <w:t>No Option or SAR Repricing</w:t>
      </w:r>
      <w:r>
        <w:rPr>
          <w:rFonts w:ascii="Arial" w:cs="Arial" w:eastAsia="Arial" w:hAnsi="Arial"/>
          <w:sz w:val="16"/>
          <w:szCs w:val="16"/>
          <w:color w:val="14202A"/>
        </w:rPr>
        <w:t>. Except as provided in Section 12(a), no Option or Stock Appreciation Right Award granted under the Plan may be (i) amended to decrease the exercise price thereof, (ii) cancelled in conjunction with the grant of any new Option or Stock Appreciation Right Award with a lower exercise price, (iii) cancelled in exchange for cash, other property or the grant of any Full Value Award at a time when the per share exercise price of the Option or Stock Appreciation Right Award is greater than the current Fair Market Value of a Share, or (iv) otherwise subject to any action that would be treated under accounting rules as a “repricing” of such Option or Stock Appreciation Right Award, unless such action is first approved by the Company’s shareholders.</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16.   </w:t>
      </w:r>
      <w:r>
        <w:rPr>
          <w:rFonts w:ascii="Arial" w:cs="Arial" w:eastAsia="Arial" w:hAnsi="Arial"/>
          <w:sz w:val="16"/>
          <w:szCs w:val="16"/>
          <w:b w:val="1"/>
          <w:bCs w:val="1"/>
          <w:u w:val="single" w:color="auto"/>
          <w:color w:val="14202A"/>
        </w:rPr>
        <w:t>Other Provisions</w:t>
      </w:r>
      <w:r>
        <w:rPr>
          <w:rFonts w:ascii="Arial" w:cs="Arial" w:eastAsia="Arial" w:hAnsi="Arial"/>
          <w:sz w:val="16"/>
          <w:szCs w:val="16"/>
          <w:b w:val="1"/>
          <w:bCs w:val="1"/>
          <w:color w:val="14202A"/>
        </w:rPr>
        <w:t>.</w:t>
      </w:r>
    </w:p>
    <w:p>
      <w:pPr>
        <w:spacing w:after="0" w:line="181" w:lineRule="exact"/>
        <w:rPr>
          <w:sz w:val="20"/>
          <w:szCs w:val="20"/>
          <w:color w:val="auto"/>
        </w:rPr>
      </w:pPr>
    </w:p>
    <w:p>
      <w:pPr>
        <w:ind w:left="360" w:right="40"/>
        <w:spacing w:after="0" w:line="254" w:lineRule="auto"/>
        <w:rPr>
          <w:sz w:val="20"/>
          <w:szCs w:val="20"/>
          <w:color w:val="auto"/>
        </w:rPr>
      </w:pPr>
      <w:r>
        <w:rPr>
          <w:rFonts w:ascii="Arial" w:cs="Arial" w:eastAsia="Arial" w:hAnsi="Arial"/>
          <w:sz w:val="16"/>
          <w:szCs w:val="16"/>
          <w:color w:val="14202A"/>
        </w:rPr>
        <w:t xml:space="preserve">(a)  </w:t>
      </w:r>
      <w:r>
        <w:rPr>
          <w:rFonts w:ascii="Arial" w:cs="Arial" w:eastAsia="Arial" w:hAnsi="Arial"/>
          <w:sz w:val="16"/>
          <w:szCs w:val="16"/>
          <w:u w:val="single" w:color="auto"/>
          <w:color w:val="14202A"/>
        </w:rPr>
        <w:t>Unfunded Plan</w:t>
      </w:r>
      <w:r>
        <w:rPr>
          <w:rFonts w:ascii="Arial" w:cs="Arial" w:eastAsia="Arial" w:hAnsi="Arial"/>
          <w:sz w:val="16"/>
          <w:szCs w:val="16"/>
          <w:color w:val="14202A"/>
        </w:rPr>
        <w:t>. The Plan shall be unfunded, and the Company shall not be required to segregate any assets that may at any time be represented by Awards under the Plan. Neither the Company, its Affiliates, the Committee, nor the Board shall be deemed to be a trustee of any amounts to be paid under the Plan nor shall anything contained in the Plan or any action taken pursuant to its provisions create or be construed to create a fiduciary relationship between the Company and/or its Affiliates, and a Participant. To the extent any person has or acquires a right to receive a payment in connection with an Award under the Plan, this right shall be no greater than the right of an unsecured general creditor of the Company.</w:t>
      </w:r>
    </w:p>
    <w:p>
      <w:pPr>
        <w:spacing w:after="0" w:line="141" w:lineRule="exact"/>
        <w:rPr>
          <w:sz w:val="20"/>
          <w:szCs w:val="20"/>
          <w:color w:val="auto"/>
        </w:rPr>
      </w:pPr>
    </w:p>
    <w:p>
      <w:pPr>
        <w:ind w:left="360" w:right="260"/>
        <w:spacing w:after="0" w:line="259" w:lineRule="auto"/>
        <w:rPr>
          <w:sz w:val="20"/>
          <w:szCs w:val="20"/>
          <w:color w:val="auto"/>
        </w:rPr>
      </w:pPr>
      <w:r>
        <w:rPr>
          <w:rFonts w:ascii="Arial" w:cs="Arial" w:eastAsia="Arial" w:hAnsi="Arial"/>
          <w:sz w:val="16"/>
          <w:szCs w:val="16"/>
          <w:color w:val="14202A"/>
        </w:rPr>
        <w:t xml:space="preserve">(b)  </w:t>
      </w:r>
      <w:r>
        <w:rPr>
          <w:rFonts w:ascii="Arial" w:cs="Arial" w:eastAsia="Arial" w:hAnsi="Arial"/>
          <w:sz w:val="16"/>
          <w:szCs w:val="16"/>
          <w:u w:val="single" w:color="auto"/>
          <w:color w:val="14202A"/>
        </w:rPr>
        <w:t>Limits of Liability</w:t>
      </w:r>
      <w:r>
        <w:rPr>
          <w:rFonts w:ascii="Arial" w:cs="Arial" w:eastAsia="Arial" w:hAnsi="Arial"/>
          <w:sz w:val="16"/>
          <w:szCs w:val="16"/>
          <w:color w:val="14202A"/>
        </w:rPr>
        <w:t>. Except as may be required by law, neither the Company nor any member of the Board or of the Committee, nor any other person participating (including participation pursuant to a delegation of authority under Section 3(c) of the Plan) in any determination of any question under the Plan, or in the interpretation, administration or application of the Plan, shall have any liability to any party for any action taken, or not taken, in good faith under the Plan.</w:t>
      </w:r>
    </w:p>
    <w:p>
      <w:pPr>
        <w:spacing w:after="0" w:line="151" w:lineRule="exact"/>
        <w:rPr>
          <w:sz w:val="20"/>
          <w:szCs w:val="20"/>
          <w:color w:val="auto"/>
        </w:rPr>
      </w:pPr>
    </w:p>
    <w:p>
      <w:pPr>
        <w:ind w:left="360"/>
        <w:spacing w:after="0" w:line="249" w:lineRule="auto"/>
        <w:rPr>
          <w:sz w:val="20"/>
          <w:szCs w:val="20"/>
          <w:color w:val="auto"/>
        </w:rPr>
      </w:pPr>
      <w:r>
        <w:rPr>
          <w:rFonts w:ascii="Arial" w:cs="Arial" w:eastAsia="Arial" w:hAnsi="Arial"/>
          <w:sz w:val="16"/>
          <w:szCs w:val="16"/>
          <w:color w:val="14202A"/>
        </w:rPr>
        <w:t xml:space="preserve">(c)  </w:t>
      </w:r>
      <w:r>
        <w:rPr>
          <w:rFonts w:ascii="Arial" w:cs="Arial" w:eastAsia="Arial" w:hAnsi="Arial"/>
          <w:sz w:val="16"/>
          <w:szCs w:val="16"/>
          <w:u w:val="single" w:color="auto"/>
          <w:color w:val="14202A"/>
        </w:rPr>
        <w:t>Compliance with Applicable Legal Requirements and Company Policies</w:t>
      </w:r>
      <w:r>
        <w:rPr>
          <w:rFonts w:ascii="Arial" w:cs="Arial" w:eastAsia="Arial" w:hAnsi="Arial"/>
          <w:sz w:val="16"/>
          <w:szCs w:val="16"/>
          <w:color w:val="14202A"/>
        </w:rPr>
        <w:t>. No Shares distributable pursuant to the Plan shall be issued and delivered unless and until the issuance of the Shares complies with all applicable legal requirements, including compliance with the provisions of applicable state and federal securities laws, and the requirements of any securities exchanges on which the Company’s Shares may, at the time, be listed. During any period in which the offering and issuance of Shares under the Plan is not registered under federal or state securities laws, Participants shall acknowledge that they are acquiring Shares under the Plan for investment purposes and not for resale, and that Shares may not be transferred except pursuant to an effective registration statement under, or an exemption from the registration requirements of, such securities laws. Any stock certificate or book-entry evidencing Shares issued under the Plan that are subject to securities law restrictions shall bear or be accompanied by an appropriate restrictive legend or stop transfer instruction. Notwithstanding any other provision of this Plan, the acquisition, holding or disposition of Shares acquired pursuant to the Plan shall in all events be subject to compliance with applicable Company policies, including those relating to insider trading, pledging or hedging transactions, minimum post-vesting holding periods and stock ownership guidelines, and to forfeiture or recovery of compensation as provided in Section 16(i).</w:t>
      </w:r>
    </w:p>
    <w:p>
      <w:pPr>
        <w:spacing w:after="0" w:line="151" w:lineRule="exact"/>
        <w:rPr>
          <w:sz w:val="20"/>
          <w:szCs w:val="20"/>
          <w:color w:val="auto"/>
        </w:rPr>
      </w:pPr>
    </w:p>
    <w:p>
      <w:pPr>
        <w:ind w:left="360" w:right="100"/>
        <w:spacing w:after="0" w:line="253" w:lineRule="auto"/>
        <w:rPr>
          <w:sz w:val="20"/>
          <w:szCs w:val="20"/>
          <w:color w:val="auto"/>
        </w:rPr>
      </w:pPr>
      <w:r>
        <w:rPr>
          <w:rFonts w:ascii="Arial" w:cs="Arial" w:eastAsia="Arial" w:hAnsi="Arial"/>
          <w:sz w:val="16"/>
          <w:szCs w:val="16"/>
          <w:color w:val="14202A"/>
        </w:rPr>
        <w:t xml:space="preserve">(d)  </w:t>
      </w:r>
      <w:r>
        <w:rPr>
          <w:rFonts w:ascii="Arial" w:cs="Arial" w:eastAsia="Arial" w:hAnsi="Arial"/>
          <w:sz w:val="16"/>
          <w:szCs w:val="16"/>
          <w:u w:val="single" w:color="auto"/>
          <w:color w:val="14202A"/>
        </w:rPr>
        <w:t>Other Benefit and Compensation Programs</w:t>
      </w:r>
      <w:r>
        <w:rPr>
          <w:rFonts w:ascii="Arial" w:cs="Arial" w:eastAsia="Arial" w:hAnsi="Arial"/>
          <w:sz w:val="16"/>
          <w:szCs w:val="16"/>
          <w:color w:val="14202A"/>
        </w:rPr>
        <w:t>. Payments and other benefits received by a Participant under an Award made pursuant to the Plan shall not be deemed a part of a Participant’s regular, recurring compensation for purposes of the termination, indemnity or severance pay laws of any country and shall not be included in, nor have any effect on, the determination of benefits under any other employee benefit plan, contract or similar arrangement provided by the Company or an Affiliate unless expressly so provided by such other plan, contract or arrangement, or unless the Committee expressly determines that an Award or portion of an Award should be included to accurately reflect competitive compensation practices or to recognize that an Award has been made in lieu of a portion of competitive cash compensation.</w:t>
      </w:r>
    </w:p>
    <w:p>
      <w:pPr>
        <w:spacing w:after="0" w:line="141" w:lineRule="exact"/>
        <w:rPr>
          <w:sz w:val="20"/>
          <w:szCs w:val="20"/>
          <w:color w:val="auto"/>
        </w:rPr>
      </w:pPr>
    </w:p>
    <w:p>
      <w:pPr>
        <w:ind w:left="360" w:right="120"/>
        <w:spacing w:after="0" w:line="266" w:lineRule="auto"/>
        <w:rPr>
          <w:sz w:val="20"/>
          <w:szCs w:val="20"/>
          <w:color w:val="auto"/>
        </w:rPr>
      </w:pPr>
      <w:r>
        <w:rPr>
          <w:rFonts w:ascii="Arial" w:cs="Arial" w:eastAsia="Arial" w:hAnsi="Arial"/>
          <w:sz w:val="16"/>
          <w:szCs w:val="16"/>
          <w:color w:val="14202A"/>
        </w:rPr>
        <w:t xml:space="preserve">(e)  </w:t>
      </w:r>
      <w:r>
        <w:rPr>
          <w:rFonts w:ascii="Arial" w:cs="Arial" w:eastAsia="Arial" w:hAnsi="Arial"/>
          <w:sz w:val="16"/>
          <w:szCs w:val="16"/>
          <w:u w:val="single" w:color="auto"/>
          <w:color w:val="14202A"/>
        </w:rPr>
        <w:t>Governing Law</w:t>
      </w:r>
      <w:r>
        <w:rPr>
          <w:rFonts w:ascii="Arial" w:cs="Arial" w:eastAsia="Arial" w:hAnsi="Arial"/>
          <w:sz w:val="16"/>
          <w:szCs w:val="16"/>
          <w:color w:val="14202A"/>
        </w:rPr>
        <w:t>. To the extent that federal laws do not otherwise control, the Plan and all determinations made and actions taken pursuant to the Plan shall be governed by the laws of the State of Minnesota without regard to its conflicts-of-law principles and shall be construed accordingly.</w:t>
      </w:r>
    </w:p>
    <w:p>
      <w:pPr>
        <w:spacing w:after="0" w:line="144" w:lineRule="exact"/>
        <w:rPr>
          <w:sz w:val="20"/>
          <w:szCs w:val="20"/>
          <w:color w:val="auto"/>
        </w:rPr>
      </w:pPr>
    </w:p>
    <w:p>
      <w:pPr>
        <w:jc w:val="both"/>
        <w:ind w:left="360" w:right="140"/>
        <w:spacing w:after="0" w:line="266" w:lineRule="auto"/>
        <w:rPr>
          <w:sz w:val="20"/>
          <w:szCs w:val="20"/>
          <w:color w:val="auto"/>
        </w:rPr>
      </w:pPr>
      <w:r>
        <w:rPr>
          <w:rFonts w:ascii="Arial" w:cs="Arial" w:eastAsia="Arial" w:hAnsi="Arial"/>
          <w:sz w:val="16"/>
          <w:szCs w:val="16"/>
          <w:color w:val="14202A"/>
        </w:rPr>
        <w:t xml:space="preserve">(f)  </w:t>
      </w:r>
      <w:r>
        <w:rPr>
          <w:rFonts w:ascii="Arial" w:cs="Arial" w:eastAsia="Arial" w:hAnsi="Arial"/>
          <w:sz w:val="16"/>
          <w:szCs w:val="16"/>
          <w:u w:val="single" w:color="auto"/>
          <w:color w:val="14202A"/>
        </w:rPr>
        <w:t>Severability</w:t>
      </w:r>
      <w:r>
        <w:rPr>
          <w:rFonts w:ascii="Arial" w:cs="Arial" w:eastAsia="Arial" w:hAnsi="Arial"/>
          <w:sz w:val="16"/>
          <w:szCs w:val="16"/>
          <w:color w:val="14202A"/>
        </w:rPr>
        <w:t>. If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31" w:lineRule="exact"/>
        <w:rPr>
          <w:sz w:val="20"/>
          <w:szCs w:val="20"/>
          <w:color w:val="auto"/>
        </w:rPr>
      </w:pPr>
    </w:p>
    <w:p>
      <w:pPr>
        <w:ind w:left="360" w:right="440"/>
        <w:spacing w:after="0" w:line="259" w:lineRule="auto"/>
        <w:rPr>
          <w:sz w:val="20"/>
          <w:szCs w:val="20"/>
          <w:color w:val="auto"/>
        </w:rPr>
      </w:pPr>
      <w:r>
        <w:rPr>
          <w:rFonts w:ascii="Arial" w:cs="Arial" w:eastAsia="Arial" w:hAnsi="Arial"/>
          <w:sz w:val="16"/>
          <w:szCs w:val="16"/>
          <w:color w:val="14202A"/>
        </w:rPr>
        <w:t xml:space="preserve">(g)  </w:t>
      </w:r>
      <w:r>
        <w:rPr>
          <w:rFonts w:ascii="Arial" w:cs="Arial" w:eastAsia="Arial" w:hAnsi="Arial"/>
          <w:sz w:val="16"/>
          <w:szCs w:val="16"/>
          <w:u w:val="single" w:color="auto"/>
          <w:color w:val="14202A"/>
        </w:rPr>
        <w:t>Code Section 409A</w:t>
      </w:r>
      <w:r>
        <w:rPr>
          <w:rFonts w:ascii="Arial" w:cs="Arial" w:eastAsia="Arial" w:hAnsi="Arial"/>
          <w:sz w:val="16"/>
          <w:szCs w:val="16"/>
          <w:color w:val="14202A"/>
        </w:rPr>
        <w:t>. It is intended that all Awards under the Plan will be exempt from, or comply with, Code Section 409A, and to the maximum extent permitted the Awards and the Plan will be administered and interpreted in accordance with this intent. Notwithstanding anything to the contrary in the Plan or any Agreement, with respect to any Award that constitutes a deferral of compensation subject to Code Section 409A:</w:t>
      </w:r>
    </w:p>
    <w:p>
      <w:pPr>
        <w:spacing w:after="0" w:line="137" w:lineRule="exact"/>
        <w:rPr>
          <w:sz w:val="20"/>
          <w:szCs w:val="20"/>
          <w:color w:val="auto"/>
        </w:rPr>
      </w:pPr>
    </w:p>
    <w:p>
      <w:pPr>
        <w:ind w:left="720" w:right="20"/>
        <w:spacing w:after="0" w:line="286" w:lineRule="auto"/>
        <w:rPr>
          <w:sz w:val="20"/>
          <w:szCs w:val="20"/>
          <w:color w:val="auto"/>
        </w:rPr>
      </w:pPr>
      <w:r>
        <w:rPr>
          <w:rFonts w:ascii="Arial" w:cs="Arial" w:eastAsia="Arial" w:hAnsi="Arial"/>
          <w:sz w:val="16"/>
          <w:szCs w:val="16"/>
          <w:color w:val="14202A"/>
        </w:rPr>
        <w:t>(1)  If any amount is payable under such Award upon a termination of Service, a termination of Service will be deemed to have occurred only at such time as the Participant has experienced a Separation from Service;</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right="260"/>
        <w:spacing w:after="0" w:line="286" w:lineRule="auto"/>
        <w:rPr>
          <w:sz w:val="20"/>
          <w:szCs w:val="20"/>
          <w:color w:val="auto"/>
        </w:rPr>
      </w:pPr>
      <w:r>
        <w:rPr>
          <w:rFonts w:ascii="Arial" w:cs="Arial" w:eastAsia="Arial" w:hAnsi="Arial"/>
          <w:sz w:val="16"/>
          <w:szCs w:val="16"/>
          <w:color w:val="14202A"/>
        </w:rPr>
        <w:t>(2)  Each amount to be paid or benefit to be provided under an Award shall be construed as a separate and distinct payment for purposes of Section 409A;</w:t>
      </w:r>
    </w:p>
    <w:p>
      <w:pPr>
        <w:spacing w:after="0" w:line="115" w:lineRule="exact"/>
        <w:rPr>
          <w:sz w:val="20"/>
          <w:szCs w:val="20"/>
          <w:color w:val="auto"/>
        </w:rPr>
      </w:pPr>
    </w:p>
    <w:p>
      <w:pPr>
        <w:ind w:left="720"/>
        <w:spacing w:after="0" w:line="253" w:lineRule="auto"/>
        <w:rPr>
          <w:sz w:val="20"/>
          <w:szCs w:val="20"/>
          <w:color w:val="auto"/>
        </w:rPr>
      </w:pPr>
      <w:r>
        <w:rPr>
          <w:rFonts w:ascii="Arial" w:cs="Arial" w:eastAsia="Arial" w:hAnsi="Arial"/>
          <w:sz w:val="16"/>
          <w:szCs w:val="16"/>
          <w:color w:val="14202A"/>
        </w:rPr>
        <w:t>(3)  If any amount shall be payable with respect to any such Award as a result of a Participant’s “separation from service” at such time as the Participant is a “specified employee” within the meaning of Code Section 409A, then no payment shall be made, except as permitted under Code Section 409A, prior to the first business day after the earlier of</w:t>
      </w:r>
    </w:p>
    <w:p>
      <w:pPr>
        <w:spacing w:after="0" w:line="1" w:lineRule="exact"/>
        <w:rPr>
          <w:sz w:val="20"/>
          <w:szCs w:val="20"/>
          <w:color w:val="auto"/>
        </w:rPr>
      </w:pPr>
    </w:p>
    <w:p>
      <w:pPr>
        <w:jc w:val="both"/>
        <w:ind w:left="720" w:right="240"/>
        <w:spacing w:after="0" w:line="252" w:lineRule="auto"/>
        <w:tabs>
          <w:tab w:leader="none" w:pos="909" w:val="left"/>
        </w:tabs>
        <w:numPr>
          <w:ilvl w:val="0"/>
          <w:numId w:val="78"/>
        </w:numPr>
        <w:rPr>
          <w:rFonts w:ascii="Arial" w:cs="Arial" w:eastAsia="Arial" w:hAnsi="Arial"/>
          <w:sz w:val="16"/>
          <w:szCs w:val="16"/>
          <w:color w:val="14202A"/>
        </w:rPr>
      </w:pPr>
      <w:r>
        <w:rPr>
          <w:rFonts w:ascii="Arial" w:cs="Arial" w:eastAsia="Arial" w:hAnsi="Arial"/>
          <w:sz w:val="16"/>
          <w:szCs w:val="16"/>
          <w:color w:val="14202A"/>
        </w:rPr>
        <w:t>the date that is six months after the Participant’s separation from service or (ii) the Participant’s death. Unless the Committee has adopted a specified employee identification policy as contemplated by Code Section 409A, specified employees will be identified by the Board in its discretion in accordance with the default provisions specified under Code Section 409A; and</w:t>
      </w:r>
    </w:p>
    <w:p>
      <w:pPr>
        <w:spacing w:after="0" w:line="143" w:lineRule="exact"/>
        <w:rPr>
          <w:sz w:val="20"/>
          <w:szCs w:val="20"/>
          <w:color w:val="auto"/>
        </w:rPr>
      </w:pPr>
    </w:p>
    <w:p>
      <w:pPr>
        <w:ind w:left="720" w:right="340"/>
        <w:spacing w:after="0" w:line="286" w:lineRule="auto"/>
        <w:rPr>
          <w:sz w:val="20"/>
          <w:szCs w:val="20"/>
          <w:color w:val="auto"/>
        </w:rPr>
      </w:pPr>
      <w:r>
        <w:rPr>
          <w:rFonts w:ascii="Arial" w:cs="Arial" w:eastAsia="Arial" w:hAnsi="Arial"/>
          <w:sz w:val="16"/>
          <w:szCs w:val="16"/>
          <w:color w:val="14202A"/>
        </w:rPr>
        <w:t>(4)  If payment under an Award is to be made within a designated period which does not begin and end within one calendar year, the Participant does not have a right to designate the taxable year of the payment.</w:t>
      </w:r>
    </w:p>
    <w:p>
      <w:pPr>
        <w:spacing w:after="0" w:line="129" w:lineRule="exact"/>
        <w:rPr>
          <w:sz w:val="20"/>
          <w:szCs w:val="20"/>
          <w:color w:val="auto"/>
        </w:rPr>
      </w:pPr>
    </w:p>
    <w:p>
      <w:pPr>
        <w:ind w:left="360"/>
        <w:spacing w:after="0" w:line="256" w:lineRule="auto"/>
        <w:rPr>
          <w:sz w:val="20"/>
          <w:szCs w:val="20"/>
          <w:color w:val="auto"/>
        </w:rPr>
      </w:pPr>
      <w:r>
        <w:rPr>
          <w:rFonts w:ascii="Arial" w:cs="Arial" w:eastAsia="Arial" w:hAnsi="Arial"/>
          <w:sz w:val="16"/>
          <w:szCs w:val="16"/>
          <w:color w:val="14202A"/>
        </w:rPr>
        <w:t>None of the Company, the Board, the Committee nor any other person involved with the administration of this Plan shall (i) in any way be responsible for ensuring the exemption of any Award from, or compliance by any Award with, the requirements of Code Section 409A, (ii) have any obligation to design or administer the Plan or Awards granted thereunder in a manner that minimizes a Participant’s tax liabilities, including the avoidance of any additional tax liabilities under Code Section 409A, and (iii) shall have any liability to any Participant for any such tax liabilities.</w:t>
      </w:r>
    </w:p>
    <w:p>
      <w:pPr>
        <w:spacing w:after="0" w:line="139" w:lineRule="exact"/>
        <w:rPr>
          <w:sz w:val="20"/>
          <w:szCs w:val="20"/>
          <w:color w:val="auto"/>
        </w:rPr>
      </w:pPr>
    </w:p>
    <w:p>
      <w:pPr>
        <w:ind w:left="360" w:right="20"/>
        <w:spacing w:after="0" w:line="254" w:lineRule="auto"/>
        <w:rPr>
          <w:sz w:val="20"/>
          <w:szCs w:val="20"/>
          <w:color w:val="auto"/>
        </w:rPr>
      </w:pPr>
      <w:r>
        <w:rPr>
          <w:rFonts w:ascii="Arial" w:cs="Arial" w:eastAsia="Arial" w:hAnsi="Arial"/>
          <w:sz w:val="16"/>
          <w:szCs w:val="16"/>
          <w:color w:val="14202A"/>
        </w:rPr>
        <w:t xml:space="preserve">(h)  </w:t>
      </w:r>
      <w:r>
        <w:rPr>
          <w:rFonts w:ascii="Arial" w:cs="Arial" w:eastAsia="Arial" w:hAnsi="Arial"/>
          <w:sz w:val="16"/>
          <w:szCs w:val="16"/>
          <w:u w:val="single" w:color="auto"/>
          <w:color w:val="14202A"/>
        </w:rPr>
        <w:t>Rule 16b-3</w:t>
      </w:r>
      <w:r>
        <w:rPr>
          <w:rFonts w:ascii="Arial" w:cs="Arial" w:eastAsia="Arial" w:hAnsi="Arial"/>
          <w:sz w:val="16"/>
          <w:szCs w:val="16"/>
          <w:color w:val="14202A"/>
        </w:rPr>
        <w:t xml:space="preserve"> . It is intended that the Plan and all Awards granted pursuant to it shall be administered by the Committee so as to permit the Plan and Awards to comply with Exchange Act Rule 16b-3. If any provision of the Plan or of any Award would otherwise frustrate or conflict with the intent expressed in this Section 16(h), that provision to the extent possible shall be interpreted and deemed amended in the manner determined by the Committee so as to avoid the conflict. To the extent of any remaining irreconcilable conflict with this intent, the provision shall be deemed void as applied to Participants subject to Section 16 of the Exchange Act to the extent permitted by law and in the manner deemed advisable by the Committee.</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 xml:space="preserve">(i)   </w:t>
      </w:r>
      <w:r>
        <w:rPr>
          <w:rFonts w:ascii="Arial" w:cs="Arial" w:eastAsia="Arial" w:hAnsi="Arial"/>
          <w:sz w:val="16"/>
          <w:szCs w:val="16"/>
          <w:u w:val="single" w:color="auto"/>
          <w:color w:val="14202A"/>
        </w:rPr>
        <w:t>Forfeiture and Compensation Recovery</w:t>
      </w:r>
      <w:r>
        <w:rPr>
          <w:rFonts w:ascii="Arial" w:cs="Arial" w:eastAsia="Arial" w:hAnsi="Arial"/>
          <w:sz w:val="16"/>
          <w:szCs w:val="16"/>
          <w:color w:val="14202A"/>
        </w:rPr>
        <w:t>.</w:t>
      </w:r>
    </w:p>
    <w:p>
      <w:pPr>
        <w:spacing w:after="0" w:line="194" w:lineRule="exact"/>
        <w:rPr>
          <w:sz w:val="20"/>
          <w:szCs w:val="20"/>
          <w:color w:val="auto"/>
        </w:rPr>
      </w:pPr>
    </w:p>
    <w:p>
      <w:pPr>
        <w:ind w:left="720"/>
        <w:spacing w:after="0" w:line="253" w:lineRule="auto"/>
        <w:rPr>
          <w:sz w:val="20"/>
          <w:szCs w:val="20"/>
          <w:color w:val="auto"/>
        </w:rPr>
      </w:pPr>
      <w:r>
        <w:rPr>
          <w:rFonts w:ascii="Arial" w:cs="Arial" w:eastAsia="Arial" w:hAnsi="Arial"/>
          <w:sz w:val="16"/>
          <w:szCs w:val="16"/>
          <w:color w:val="14202A"/>
        </w:rPr>
        <w:t>(1)  The Committee may specify in an Agreement that the Participant’s rights, payments, and benefits with respect to an Award will be subject to reduction, cancellation, forfeiture or recovery by the Company upon the occurrence of certain specified events, in addition to any otherwise applicable vesting or performance conditions of an Award. Such events may include Separation from Service for Cause; violation of any material Company or Affiliate policy; breach of noncompetition, non-solicitation or confidentiality provisions that apply to the Participant; a determination that the payment of the Award was based on an incorrect determination that financial or other criteria were met or other conduct by the Participant that is detrimental to the business or reputation of the Company or its Affiliates.</w:t>
      </w:r>
    </w:p>
    <w:p>
      <w:pPr>
        <w:spacing w:after="0" w:line="141" w:lineRule="exact"/>
        <w:rPr>
          <w:sz w:val="20"/>
          <w:szCs w:val="20"/>
          <w:color w:val="auto"/>
        </w:rPr>
      </w:pPr>
    </w:p>
    <w:p>
      <w:pPr>
        <w:ind w:left="720" w:right="80"/>
        <w:spacing w:after="0" w:line="253" w:lineRule="auto"/>
        <w:rPr>
          <w:sz w:val="20"/>
          <w:szCs w:val="20"/>
          <w:color w:val="auto"/>
        </w:rPr>
      </w:pPr>
      <w:r>
        <w:rPr>
          <w:rFonts w:ascii="Arial" w:cs="Arial" w:eastAsia="Arial" w:hAnsi="Arial"/>
          <w:sz w:val="16"/>
          <w:szCs w:val="16"/>
          <w:color w:val="14202A"/>
        </w:rPr>
        <w:t>(2)  Awards and any compensation associated therewith are subject to forfeiture, recovery by the Company or other action pursuant to any compensation recovery policy adopted by the Board or the Committee at any time, as amended from time to time, which includes but is not limited to, any compensation recovery policy adopted by the Board or the Committee including in response to the requirements of Section 10D of the Exchange Act, the SEC’s final rules thereunder, and any applicable listing rules or other rules and regulations implementing the foregoing or as otherwise required by law. Any Agreement will be automatically unilaterally amended to comply with any such compensation recovery policy.</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14202A"/>
        </w:rPr>
        <w:t>Appendix B</w:t>
      </w:r>
    </w:p>
    <w:p>
      <w:pPr>
        <w:spacing w:after="0" w:line="165" w:lineRule="exact"/>
        <w:rPr>
          <w:sz w:val="20"/>
          <w:szCs w:val="20"/>
          <w:color w:val="auto"/>
        </w:rPr>
      </w:pPr>
    </w:p>
    <w:p>
      <w:pPr>
        <w:ind w:right="160"/>
        <w:spacing w:after="0" w:line="287" w:lineRule="auto"/>
        <w:rPr>
          <w:sz w:val="20"/>
          <w:szCs w:val="20"/>
          <w:color w:val="auto"/>
        </w:rPr>
      </w:pPr>
      <w:r>
        <w:rPr>
          <w:rFonts w:ascii="Arial" w:cs="Arial" w:eastAsia="Arial" w:hAnsi="Arial"/>
          <w:sz w:val="27"/>
          <w:szCs w:val="27"/>
          <w:b w:val="1"/>
          <w:bCs w:val="1"/>
          <w:color w:val="14202A"/>
        </w:rPr>
        <w:t>Proposed Amendment to the Articles of Incorporation to Declassify the Board</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14202A"/>
        </w:rPr>
        <w:t>Pursuant to Minnesota Statutes, Sections 302A.135 and 302A.139, the undersigned, Stacy L. Bogart, Corporate Secretary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Winnebago Industries, Inc., a Minnesota corporation (the “Corporation”), hereby certifies as follows:</w:t>
      </w:r>
    </w:p>
    <w:p>
      <w:pPr>
        <w:spacing w:after="0" w:line="178" w:lineRule="exact"/>
        <w:rPr>
          <w:sz w:val="20"/>
          <w:szCs w:val="20"/>
          <w:color w:val="auto"/>
        </w:rPr>
      </w:pPr>
    </w:p>
    <w:p>
      <w:pPr>
        <w:ind w:left="720" w:hanging="360"/>
        <w:spacing w:after="0"/>
        <w:tabs>
          <w:tab w:leader="none" w:pos="720" w:val="left"/>
        </w:tabs>
        <w:numPr>
          <w:ilvl w:val="0"/>
          <w:numId w:val="79"/>
        </w:numPr>
        <w:rPr>
          <w:rFonts w:ascii="Arial" w:cs="Arial" w:eastAsia="Arial" w:hAnsi="Arial"/>
          <w:sz w:val="16"/>
          <w:szCs w:val="16"/>
          <w:color w:val="14202A"/>
        </w:rPr>
      </w:pPr>
      <w:r>
        <w:rPr>
          <w:rFonts w:ascii="Arial" w:cs="Arial" w:eastAsia="Arial" w:hAnsi="Arial"/>
          <w:sz w:val="16"/>
          <w:szCs w:val="16"/>
          <w:color w:val="14202A"/>
        </w:rPr>
        <w:t>The name of the corporation is Winnebago Industries, Inc. (the “Corporation”).</w:t>
      </w:r>
    </w:p>
    <w:p>
      <w:pPr>
        <w:spacing w:after="0" w:line="180" w:lineRule="exact"/>
        <w:rPr>
          <w:rFonts w:ascii="Arial" w:cs="Arial" w:eastAsia="Arial" w:hAnsi="Arial"/>
          <w:sz w:val="16"/>
          <w:szCs w:val="16"/>
          <w:color w:val="14202A"/>
        </w:rPr>
      </w:pPr>
    </w:p>
    <w:p>
      <w:pPr>
        <w:ind w:left="720" w:hanging="360"/>
        <w:spacing w:after="0"/>
        <w:tabs>
          <w:tab w:leader="none" w:pos="720" w:val="left"/>
        </w:tabs>
        <w:numPr>
          <w:ilvl w:val="0"/>
          <w:numId w:val="79"/>
        </w:numPr>
        <w:rPr>
          <w:rFonts w:ascii="Arial" w:cs="Arial" w:eastAsia="Arial" w:hAnsi="Arial"/>
          <w:sz w:val="16"/>
          <w:szCs w:val="16"/>
          <w:color w:val="14202A"/>
        </w:rPr>
      </w:pPr>
      <w:r>
        <w:rPr>
          <w:rFonts w:ascii="Arial" w:cs="Arial" w:eastAsia="Arial" w:hAnsi="Arial"/>
          <w:sz w:val="16"/>
          <w:szCs w:val="16"/>
          <w:color w:val="14202A"/>
        </w:rPr>
        <w:t>Article IV of the Articles of Incorporation of the Corporation is amended and restated in its entirety as follows: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ARTICLE IV</w:t>
      </w:r>
    </w:p>
    <w:p>
      <w:pPr>
        <w:spacing w:after="0" w:line="126" w:lineRule="exact"/>
        <w:rPr>
          <w:sz w:val="20"/>
          <w:szCs w:val="20"/>
          <w:color w:val="auto"/>
        </w:rPr>
      </w:pPr>
    </w:p>
    <w:p>
      <w:pPr>
        <w:ind w:left="360" w:right="320"/>
        <w:spacing w:after="0" w:line="286" w:lineRule="auto"/>
        <w:rPr>
          <w:sz w:val="20"/>
          <w:szCs w:val="20"/>
          <w:color w:val="auto"/>
        </w:rPr>
      </w:pPr>
      <w:r>
        <w:rPr>
          <w:rFonts w:ascii="Arial" w:cs="Arial" w:eastAsia="Arial" w:hAnsi="Arial"/>
          <w:sz w:val="16"/>
          <w:szCs w:val="16"/>
          <w:color w:val="14202A"/>
        </w:rPr>
        <w:t>The number of directors constituting the Board of Directors of the Corporation shall be not more than fifteen (15) and not less than three (3), the precise number to be determined by resolution of the Board of Directors from time to time.</w:t>
      </w:r>
    </w:p>
    <w:p>
      <w:pPr>
        <w:spacing w:after="0" w:line="44" w:lineRule="exact"/>
        <w:rPr>
          <w:sz w:val="20"/>
          <w:szCs w:val="20"/>
          <w:color w:val="auto"/>
        </w:rPr>
      </w:pPr>
    </w:p>
    <w:p>
      <w:pPr>
        <w:jc w:val="both"/>
        <w:ind w:left="360" w:right="180" w:hanging="1"/>
        <w:spacing w:after="0" w:line="232" w:lineRule="auto"/>
        <w:rPr>
          <w:sz w:val="20"/>
          <w:szCs w:val="20"/>
          <w:color w:val="auto"/>
        </w:rPr>
      </w:pPr>
      <w:r>
        <w:rPr>
          <w:rFonts w:ascii="Arial" w:cs="Arial" w:eastAsia="Arial" w:hAnsi="Arial"/>
          <w:sz w:val="16"/>
          <w:szCs w:val="16"/>
          <w:color w:val="FF0000"/>
          <w:strike w:val="1"/>
        </w:rPr>
        <w:t>The</w:t>
      </w:r>
      <w:r>
        <w:rPr>
          <w:rFonts w:ascii="Arial" w:cs="Arial" w:eastAsia="Arial" w:hAnsi="Arial"/>
          <w:sz w:val="25"/>
          <w:szCs w:val="25"/>
          <w:color w:val="FF0000"/>
          <w:vertAlign w:val="superscript"/>
        </w:rPr>
        <w:t xml:space="preserve"> </w:t>
      </w:r>
      <w:r>
        <w:rPr>
          <w:rFonts w:ascii="Arial" w:cs="Arial" w:eastAsia="Arial" w:hAnsi="Arial"/>
          <w:sz w:val="16"/>
          <w:szCs w:val="16"/>
          <w:color w:val="FF0000"/>
        </w:rPr>
        <w:t xml:space="preserve"> </w:t>
      </w:r>
      <w:r>
        <w:rPr>
          <w:rFonts w:ascii="Arial" w:cs="Arial" w:eastAsia="Arial" w:hAnsi="Arial"/>
          <w:sz w:val="16"/>
          <w:szCs w:val="16"/>
          <w:color w:val="0000FF"/>
        </w:rPr>
        <w:t> Except</w:t>
      </w:r>
      <w:r>
        <w:rPr>
          <w:rFonts w:ascii="Arial" w:cs="Arial" w:eastAsia="Arial" w:hAnsi="Arial"/>
          <w:sz w:val="20"/>
          <w:szCs w:val="20"/>
          <w:color w:val="000000"/>
          <w:vertAlign w:val="superscript"/>
        </w:rPr>
        <w:t xml:space="preserve">  </w:t>
      </w:r>
      <w:r>
        <w:rPr>
          <w:rFonts w:ascii="Arial" w:cs="Arial" w:eastAsia="Arial" w:hAnsi="Arial"/>
          <w:sz w:val="16"/>
          <w:szCs w:val="16"/>
          <w:color w:val="FF0000"/>
        </w:rPr>
        <w:t xml:space="preserve"> </w:t>
      </w:r>
      <w:r>
        <w:rPr>
          <w:rFonts w:ascii="Arial" w:cs="Arial" w:eastAsia="Arial" w:hAnsi="Arial"/>
          <w:sz w:val="16"/>
          <w:szCs w:val="16"/>
          <w:color w:val="0000FF"/>
        </w:rPr>
        <w:t>as otherwise provided in this Article IV, the</w:t>
      </w:r>
      <w:r>
        <w:rPr>
          <w:rFonts w:ascii="Arial" w:cs="Arial" w:eastAsia="Arial" w:hAnsi="Arial"/>
          <w:sz w:val="16"/>
          <w:szCs w:val="16"/>
          <w:color w:val="FF0000"/>
        </w:rPr>
        <w:t xml:space="preserve"> </w:t>
      </w:r>
      <w:r>
        <w:rPr>
          <w:rFonts w:ascii="Arial" w:cs="Arial" w:eastAsia="Arial" w:hAnsi="Arial"/>
          <w:sz w:val="16"/>
          <w:szCs w:val="16"/>
          <w:color w:val="000000"/>
        </w:rPr>
        <w:t> directors  shall be classified, with respect to the time for which they</w:t>
      </w:r>
      <w:r>
        <w:rPr>
          <w:rFonts w:ascii="Arial" w:cs="Arial" w:eastAsia="Arial" w:hAnsi="Arial"/>
          <w:sz w:val="16"/>
          <w:szCs w:val="16"/>
          <w:color w:val="FF0000"/>
        </w:rPr>
        <w:t xml:space="preserve"> </w:t>
      </w:r>
      <w:r>
        <w:rPr>
          <w:rFonts w:ascii="Arial" w:cs="Arial" w:eastAsia="Arial" w:hAnsi="Arial"/>
          <w:sz w:val="16"/>
          <w:szCs w:val="16"/>
          <w:color w:val="000000"/>
        </w:rPr>
        <w:t>severally hold office, into three classes, as nearly equal in number as possible, with each class holding office for a term of three years, and with the respective members of each class to hold office until their respective successors are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-365760</wp:posOffset>
            </wp:positionV>
            <wp:extent cx="229743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297430" cy="889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-382905</wp:posOffset>
            </wp:positionV>
            <wp:extent cx="230060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300605" cy="8890"/>
                    </a:xfrm>
                    <a:prstGeom prst="rect">
                      <a:avLst/>
                    </a:prstGeom>
                    <a:noFill/>
                  </pic:spPr>
                </pic:pic>
              </a:graphicData>
            </a:graphic>
          </wp:anchor>
        </w:drawing>
      </w:r>
    </w:p>
    <w:p>
      <w:pPr>
        <w:spacing w:after="0" w:line="46" w:lineRule="exact"/>
        <w:rPr>
          <w:sz w:val="20"/>
          <w:szCs w:val="20"/>
          <w:color w:val="auto"/>
        </w:rPr>
      </w:pPr>
    </w:p>
    <w:p>
      <w:pPr>
        <w:ind w:left="360" w:right="80" w:hanging="1"/>
        <w:spacing w:after="0" w:line="183" w:lineRule="auto"/>
        <w:rPr>
          <w:sz w:val="20"/>
          <w:szCs w:val="20"/>
          <w:color w:val="auto"/>
        </w:rPr>
      </w:pPr>
      <w:r>
        <w:rPr>
          <w:rFonts w:ascii="Arial" w:cs="Arial" w:eastAsia="Arial" w:hAnsi="Arial"/>
          <w:sz w:val="16"/>
          <w:szCs w:val="16"/>
          <w:color w:val="FF0000"/>
        </w:rPr>
        <w:t>At</w:t>
      </w:r>
      <w:r>
        <w:rPr>
          <w:rFonts w:ascii="Arial" w:cs="Arial" w:eastAsia="Arial" w:hAnsi="Arial"/>
          <w:sz w:val="25"/>
          <w:szCs w:val="25"/>
          <w:color w:val="FF0000"/>
          <w:vertAlign w:val="superscript"/>
        </w:rPr>
        <w:t xml:space="preserve"> </w:t>
      </w:r>
      <w:r>
        <w:rPr>
          <w:rFonts w:ascii="Arial" w:cs="Arial" w:eastAsia="Arial" w:hAnsi="Arial"/>
          <w:sz w:val="16"/>
          <w:szCs w:val="16"/>
          <w:color w:val="FF0000"/>
        </w:rPr>
        <w:t xml:space="preserve"> each </w:t>
      </w:r>
      <w:r>
        <w:rPr>
          <w:rFonts w:ascii="Arial" w:cs="Arial" w:eastAsia="Arial" w:hAnsi="Arial"/>
          <w:sz w:val="16"/>
          <w:szCs w:val="16"/>
          <w:color w:val="0000FF"/>
        </w:rPr>
        <w:t> Beginning</w:t>
      </w:r>
      <w:r>
        <w:rPr>
          <w:rFonts w:ascii="Arial" w:cs="Arial" w:eastAsia="Arial" w:hAnsi="Arial"/>
          <w:sz w:val="20"/>
          <w:szCs w:val="20"/>
          <w:color w:val="000000"/>
          <w:vertAlign w:val="superscript"/>
        </w:rPr>
        <w:t xml:space="preserve">  </w:t>
      </w:r>
      <w:r>
        <w:rPr>
          <w:rFonts w:ascii="Arial" w:cs="Arial" w:eastAsia="Arial" w:hAnsi="Arial"/>
          <w:sz w:val="16"/>
          <w:szCs w:val="16"/>
          <w:color w:val="FF0000"/>
        </w:rPr>
        <w:t xml:space="preserve"> </w:t>
      </w:r>
      <w:r>
        <w:rPr>
          <w:rFonts w:ascii="Arial" w:cs="Arial" w:eastAsia="Arial" w:hAnsi="Arial"/>
          <w:sz w:val="16"/>
          <w:szCs w:val="16"/>
          <w:color w:val="0000FF"/>
        </w:rPr>
        <w:t>with the 2027 annual meeting of shareholders, each director elected by the shareholders shall be elected</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for a term expiring at the next annual meeting of shareholders and until such director’s successor is duly elected and qualified. At the 2029</w:t>
      </w:r>
      <w:r>
        <w:rPr>
          <w:rFonts w:ascii="Arial" w:cs="Arial" w:eastAsia="Arial" w:hAnsi="Arial"/>
          <w:sz w:val="16"/>
          <w:szCs w:val="16"/>
          <w:color w:val="000000"/>
        </w:rPr>
        <w:t> annual  meeting of shareholders,</w:t>
      </w:r>
      <w:r>
        <w:rPr>
          <w:rFonts w:ascii="Arial" w:cs="Arial" w:eastAsia="Arial" w:hAnsi="Arial"/>
          <w:sz w:val="16"/>
          <w:szCs w:val="16"/>
          <w:color w:val="0000FF"/>
        </w:rPr>
        <w:t xml:space="preserve"> </w:t>
      </w:r>
      <w:r>
        <w:rPr>
          <w:rFonts w:ascii="Arial" w:cs="Arial" w:eastAsia="Arial" w:hAnsi="Arial"/>
          <w:sz w:val="16"/>
          <w:szCs w:val="16"/>
          <w:color w:val="FF0000"/>
        </w:rPr>
        <w:t>the</w:t>
      </w:r>
      <w:r>
        <w:rPr>
          <w:rFonts w:ascii="Arial" w:cs="Arial" w:eastAsia="Arial" w:hAnsi="Arial"/>
          <w:sz w:val="25"/>
          <w:szCs w:val="25"/>
          <w:color w:val="FF0000"/>
          <w:vertAlign w:val="superscript"/>
        </w:rPr>
        <w:t xml:space="preserve"> </w:t>
      </w:r>
      <w:r>
        <w:rPr>
          <w:rFonts w:ascii="Arial" w:cs="Arial" w:eastAsia="Arial" w:hAnsi="Arial"/>
          <w:sz w:val="16"/>
          <w:szCs w:val="16"/>
          <w:color w:val="0000FF"/>
        </w:rPr>
        <w:t xml:space="preserve"> </w:t>
      </w:r>
      <w:r>
        <w:rPr>
          <w:rFonts w:ascii="Arial" w:cs="Arial" w:eastAsia="Arial" w:hAnsi="Arial"/>
          <w:sz w:val="16"/>
          <w:szCs w:val="16"/>
          <w:color w:val="FF0000"/>
        </w:rPr>
        <w:t>successors to the class of</w:t>
      </w:r>
      <w:r>
        <w:rPr>
          <w:rFonts w:ascii="Arial" w:cs="Arial" w:eastAsia="Arial" w:hAnsi="Arial"/>
          <w:sz w:val="16"/>
          <w:szCs w:val="16"/>
          <w:color w:val="0000FF"/>
        </w:rPr>
        <w:t xml:space="preserve">  the</w:t>
      </w:r>
      <w:r>
        <w:rPr>
          <w:rFonts w:ascii="Arial" w:cs="Arial" w:eastAsia="Arial" w:hAnsi="Arial"/>
          <w:sz w:val="20"/>
          <w:szCs w:val="20"/>
          <w:color w:val="000000"/>
          <w:vertAlign w:val="superscript"/>
        </w:rPr>
        <w:t xml:space="preserve">  </w:t>
      </w:r>
      <w:r>
        <w:rPr>
          <w:rFonts w:ascii="Arial" w:cs="Arial" w:eastAsia="Arial" w:hAnsi="Arial"/>
          <w:sz w:val="16"/>
          <w:szCs w:val="16"/>
          <w:color w:val="0000FF"/>
        </w:rPr>
        <w:t xml:space="preserve"> classification of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-278130</wp:posOffset>
            </wp:positionV>
            <wp:extent cx="3771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-218440</wp:posOffset>
            </wp:positionV>
            <wp:extent cx="525462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254625" cy="889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-235585</wp:posOffset>
            </wp:positionV>
            <wp:extent cx="525526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255260" cy="8890"/>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-38100</wp:posOffset>
            </wp:positionV>
            <wp:extent cx="137795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377950" cy="8890"/>
                    </a:xfrm>
                    <a:prstGeom prst="rect">
                      <a:avLst/>
                    </a:prstGeom>
                    <a:noFill/>
                  </pic:spPr>
                </pic:pic>
              </a:graphicData>
            </a:graphic>
          </wp:anchor>
        </w:drawing>
      </w:r>
    </w:p>
    <w:p>
      <w:pPr>
        <w:ind w:left="360" w:right="20" w:firstLine="2"/>
        <w:spacing w:after="0" w:line="209" w:lineRule="auto"/>
        <w:rPr>
          <w:sz w:val="20"/>
          <w:szCs w:val="20"/>
          <w:color w:val="auto"/>
        </w:rPr>
      </w:pPr>
      <w:r>
        <w:rPr>
          <w:rFonts w:ascii="Arial" w:cs="Arial" w:eastAsia="Arial" w:hAnsi="Arial"/>
          <w:sz w:val="16"/>
          <w:szCs w:val="16"/>
          <w:u w:val="single" w:color="auto"/>
          <w:color w:val="0000FF"/>
        </w:rPr>
        <w:t>Directors shall cease, and all</w:t>
      </w:r>
      <w:r>
        <w:rPr>
          <w:rFonts w:ascii="Arial" w:cs="Arial" w:eastAsia="Arial" w:hAnsi="Arial"/>
          <w:sz w:val="16"/>
          <w:szCs w:val="16"/>
          <w:color w:val="0000FF"/>
        </w:rPr>
        <w:t xml:space="preserve"> </w:t>
      </w:r>
      <w:r>
        <w:rPr>
          <w:rFonts w:ascii="Arial" w:cs="Arial" w:eastAsia="Arial" w:hAnsi="Arial"/>
          <w:sz w:val="16"/>
          <w:szCs w:val="16"/>
          <w:color w:val="000000"/>
        </w:rPr>
        <w:t> directors </w:t>
      </w:r>
      <w:r>
        <w:rPr>
          <w:rFonts w:ascii="Arial" w:cs="Arial" w:eastAsia="Arial" w:hAnsi="Arial"/>
          <w:sz w:val="16"/>
          <w:szCs w:val="16"/>
          <w:color w:val="0000FF"/>
        </w:rPr>
        <w:t xml:space="preserve"> </w:t>
      </w:r>
      <w:r>
        <w:rPr>
          <w:rFonts w:ascii="Arial" w:cs="Arial" w:eastAsia="Arial" w:hAnsi="Arial"/>
          <w:sz w:val="16"/>
          <w:szCs w:val="16"/>
          <w:color w:val="FF0000"/>
        </w:rPr>
        <w:t>whose</w:t>
      </w:r>
      <w:r>
        <w:rPr>
          <w:rFonts w:ascii="Arial" w:cs="Arial" w:eastAsia="Arial" w:hAnsi="Arial"/>
          <w:sz w:val="25"/>
          <w:szCs w:val="25"/>
          <w:color w:val="FF0000"/>
          <w:vertAlign w:val="superscript"/>
        </w:rPr>
        <w:t xml:space="preserve"> </w:t>
      </w:r>
      <w:r>
        <w:rPr>
          <w:rFonts w:ascii="Arial" w:cs="Arial" w:eastAsia="Arial" w:hAnsi="Arial"/>
          <w:sz w:val="16"/>
          <w:szCs w:val="16"/>
          <w:color w:val="0000FF"/>
        </w:rPr>
        <w:t xml:space="preserve"> </w:t>
      </w:r>
      <w:r>
        <w:rPr>
          <w:rFonts w:ascii="Arial" w:cs="Arial" w:eastAsia="Arial" w:hAnsi="Arial"/>
          <w:sz w:val="16"/>
          <w:szCs w:val="16"/>
          <w:color w:val="FF0000"/>
        </w:rPr>
        <w:t>term then expires shall</w:t>
      </w:r>
      <w:r>
        <w:rPr>
          <w:rFonts w:ascii="Arial" w:cs="Arial" w:eastAsia="Arial" w:hAnsi="Arial"/>
          <w:sz w:val="16"/>
          <w:szCs w:val="16"/>
          <w:color w:val="0000FF"/>
        </w:rPr>
        <w:t xml:space="preserve">  elected</w:t>
      </w:r>
      <w:r>
        <w:rPr>
          <w:rFonts w:ascii="Arial" w:cs="Arial" w:eastAsia="Arial" w:hAnsi="Arial"/>
          <w:sz w:val="20"/>
          <w:szCs w:val="20"/>
          <w:color w:val="000000"/>
          <w:vertAlign w:val="superscript"/>
        </w:rPr>
        <w:t xml:space="preserve">  </w:t>
      </w:r>
      <w:r>
        <w:rPr>
          <w:rFonts w:ascii="Arial" w:cs="Arial" w:eastAsia="Arial" w:hAnsi="Arial"/>
          <w:sz w:val="16"/>
          <w:szCs w:val="16"/>
          <w:color w:val="0000FF"/>
        </w:rPr>
        <w:t xml:space="preserve"> by the shareholders shall thereafter </w:t>
      </w:r>
      <w:r>
        <w:rPr>
          <w:rFonts w:ascii="Arial" w:cs="Arial" w:eastAsia="Arial" w:hAnsi="Arial"/>
          <w:sz w:val="16"/>
          <w:szCs w:val="16"/>
          <w:color w:val="000000"/>
        </w:rPr>
        <w:t> be  elected</w:t>
      </w:r>
      <w:r>
        <w:rPr>
          <w:rFonts w:ascii="Arial" w:cs="Arial" w:eastAsia="Arial" w:hAnsi="Arial"/>
          <w:sz w:val="16"/>
          <w:szCs w:val="16"/>
          <w:color w:val="0000FF"/>
        </w:rPr>
        <w:t xml:space="preserve"> </w:t>
      </w:r>
      <w:r>
        <w:rPr>
          <w:rFonts w:ascii="Arial" w:cs="Arial" w:eastAsia="Arial" w:hAnsi="Arial"/>
          <w:sz w:val="16"/>
          <w:szCs w:val="16"/>
          <w:color w:val="FF0000"/>
        </w:rPr>
        <w:t>to</w:t>
      </w:r>
      <w:r>
        <w:rPr>
          <w:rFonts w:ascii="Arial" w:cs="Arial" w:eastAsia="Arial" w:hAnsi="Arial"/>
          <w:sz w:val="25"/>
          <w:szCs w:val="25"/>
          <w:color w:val="FF0000"/>
          <w:vertAlign w:val="superscript"/>
        </w:rPr>
        <w:t xml:space="preserve"> </w:t>
      </w:r>
      <w:r>
        <w:rPr>
          <w:rFonts w:ascii="Arial" w:cs="Arial" w:eastAsia="Arial" w:hAnsi="Arial"/>
          <w:sz w:val="16"/>
          <w:szCs w:val="16"/>
          <w:color w:val="FF0000"/>
        </w:rPr>
        <w:t xml:space="preserve"> serve a three-year term </w:t>
      </w:r>
      <w:r>
        <w:rPr>
          <w:rFonts w:ascii="Arial" w:cs="Arial" w:eastAsia="Arial" w:hAnsi="Arial"/>
          <w:sz w:val="16"/>
          <w:szCs w:val="16"/>
          <w:color w:val="0000FF"/>
        </w:rPr>
        <w:t> for</w:t>
      </w:r>
      <w:r>
        <w:rPr>
          <w:rFonts w:ascii="Arial" w:cs="Arial" w:eastAsia="Arial" w:hAnsi="Arial"/>
          <w:sz w:val="20"/>
          <w:szCs w:val="20"/>
          <w:color w:val="000000"/>
          <w:vertAlign w:val="superscript"/>
        </w:rPr>
        <w:t xml:space="preserve">  </w:t>
      </w:r>
      <w:r>
        <w:rPr>
          <w:rFonts w:ascii="Arial" w:cs="Arial" w:eastAsia="Arial" w:hAnsi="Arial"/>
          <w:sz w:val="16"/>
          <w:szCs w:val="16"/>
          <w:color w:val="FF0000"/>
        </w:rPr>
        <w:t xml:space="preserve"> </w:t>
      </w:r>
      <w:r>
        <w:rPr>
          <w:rFonts w:ascii="Arial" w:cs="Arial" w:eastAsia="Arial" w:hAnsi="Arial"/>
          <w:sz w:val="16"/>
          <w:szCs w:val="16"/>
          <w:color w:val="0000FF"/>
        </w:rPr>
        <w:t>terms expiring at the next annual meeting of shareholders</w:t>
      </w:r>
      <w:r>
        <w:rPr>
          <w:rFonts w:ascii="Arial" w:cs="Arial" w:eastAsia="Arial" w:hAnsi="Arial"/>
          <w:sz w:val="16"/>
          <w:szCs w:val="16"/>
          <w:color w:val="FF0000"/>
        </w:rPr>
        <w:t xml:space="preserve"> </w:t>
      </w:r>
      <w:r>
        <w:rPr>
          <w:rFonts w:ascii="Arial" w:cs="Arial" w:eastAsia="Arial" w:hAnsi="Arial"/>
          <w:sz w:val="16"/>
          <w:szCs w:val="16"/>
          <w:color w:val="000000"/>
        </w:rPr>
        <w:t> and  until their</w:t>
      </w:r>
      <w:r>
        <w:rPr>
          <w:rFonts w:ascii="Arial" w:cs="Arial" w:eastAsia="Arial" w:hAnsi="Arial"/>
          <w:sz w:val="16"/>
          <w:szCs w:val="16"/>
          <w:color w:val="FF0000"/>
        </w:rPr>
        <w:t xml:space="preserve"> </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respective</w:t>
      </w:r>
      <w:r>
        <w:rPr>
          <w:rFonts w:ascii="Arial" w:cs="Arial" w:eastAsia="Arial" w:hAnsi="Arial"/>
          <w:sz w:val="16"/>
          <w:szCs w:val="16"/>
          <w:color w:val="FF0000"/>
        </w:rPr>
        <w:t xml:space="preserve"> </w:t>
      </w:r>
      <w:r>
        <w:rPr>
          <w:rFonts w:ascii="Arial" w:cs="Arial" w:eastAsia="Arial" w:hAnsi="Arial"/>
          <w:sz w:val="16"/>
          <w:szCs w:val="16"/>
          <w:color w:val="000000"/>
        </w:rPr>
        <w:t> successors </w:t>
      </w:r>
      <w:r>
        <w:rPr>
          <w:rFonts w:ascii="Arial" w:cs="Arial" w:eastAsia="Arial" w:hAnsi="Arial"/>
          <w:sz w:val="16"/>
          <w:szCs w:val="16"/>
          <w:color w:val="FF0000"/>
        </w:rPr>
        <w:t xml:space="preserve"> </w:t>
      </w:r>
      <w:r>
        <w:rPr>
          <w:rFonts w:ascii="Arial" w:cs="Arial" w:eastAsia="Arial" w:hAnsi="Arial"/>
          <w:sz w:val="16"/>
          <w:szCs w:val="16"/>
          <w:color w:val="000000"/>
        </w:rPr>
        <w:t xml:space="preserve">are duly elected and qualified. </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Nothing in this Article IV shall operate to shorten the term of any director elected before the</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2027 annual meeting of shareholders, including any Class III director elected at the 2026 annual meeting of shareholders for a term expiring at the 2029 annual meeting of shareholders.</w:t>
      </w:r>
      <w:r>
        <w:rPr>
          <w:rFonts w:ascii="Arial" w:cs="Arial" w:eastAsia="Arial" w:hAnsi="Arial"/>
          <w:sz w:val="16"/>
          <w:szCs w:val="16"/>
          <w:color w:val="0000FF"/>
        </w:rPr>
        <w:t xml:space="preserve"> </w:t>
      </w:r>
      <w:r>
        <w:rPr>
          <w:rFonts w:ascii="Arial" w:cs="Arial" w:eastAsia="Arial" w:hAnsi="Arial"/>
          <w:sz w:val="16"/>
          <w:szCs w:val="16"/>
          <w:color w:val="000000"/>
        </w:rPr>
        <w:t> No  decrease in the number of directors shall have the effect of</w:t>
      </w:r>
      <w:r>
        <w:rPr>
          <w:rFonts w:ascii="Arial" w:cs="Arial" w:eastAsia="Arial" w:hAnsi="Arial"/>
          <w:sz w:val="16"/>
          <w:szCs w:val="16"/>
          <w:color w:val="0000FF"/>
        </w:rPr>
        <w:t xml:space="preserve"> </w:t>
      </w:r>
      <w:r>
        <w:rPr>
          <w:rFonts w:ascii="Arial" w:cs="Arial" w:eastAsia="Arial" w:hAnsi="Arial"/>
          <w:sz w:val="16"/>
          <w:szCs w:val="16"/>
          <w:color w:val="000000"/>
        </w:rPr>
        <w:t xml:space="preserve">shortening the term of any incumbent director. </w:t>
      </w:r>
      <w:r>
        <w:rPr>
          <w:rFonts w:ascii="Arial" w:cs="Arial" w:eastAsia="Arial" w:hAnsi="Arial"/>
          <w:sz w:val="16"/>
          <w:szCs w:val="16"/>
          <w:color w:val="FF0000"/>
          <w:strike w:val="1"/>
        </w:rPr>
        <w:t>Any</w:t>
      </w:r>
      <w:r>
        <w:rPr>
          <w:rFonts w:ascii="Arial" w:cs="Arial" w:eastAsia="Arial" w:hAnsi="Arial"/>
          <w:sz w:val="25"/>
          <w:szCs w:val="25"/>
          <w:color w:val="FF0000"/>
          <w:vertAlign w:val="superscript"/>
        </w:rPr>
        <w:t xml:space="preserve"> </w:t>
      </w:r>
      <w:r>
        <w:rPr>
          <w:rFonts w:ascii="Arial" w:cs="Arial" w:eastAsia="Arial" w:hAnsi="Arial"/>
          <w:sz w:val="16"/>
          <w:szCs w:val="16"/>
          <w:color w:val="000000"/>
        </w:rPr>
        <w:t xml:space="preserve"> </w:t>
      </w:r>
      <w:r>
        <w:rPr>
          <w:rFonts w:ascii="Arial" w:cs="Arial" w:eastAsia="Arial" w:hAnsi="Arial"/>
          <w:sz w:val="16"/>
          <w:szCs w:val="16"/>
          <w:color w:val="0000FF"/>
        </w:rPr>
        <w:t> Until</w:t>
      </w:r>
      <w:r>
        <w:rPr>
          <w:rFonts w:ascii="Arial" w:cs="Arial" w:eastAsia="Arial" w:hAnsi="Arial"/>
          <w:sz w:val="20"/>
          <w:szCs w:val="20"/>
          <w:color w:val="000000"/>
          <w:vertAlign w:val="superscript"/>
        </w:rPr>
        <w:t xml:space="preserve">  </w:t>
      </w:r>
      <w:r>
        <w:rPr>
          <w:rFonts w:ascii="Arial" w:cs="Arial" w:eastAsia="Arial" w:hAnsi="Arial"/>
          <w:sz w:val="16"/>
          <w:szCs w:val="16"/>
          <w:color w:val="000000"/>
        </w:rPr>
        <w:t xml:space="preserve"> </w:t>
      </w:r>
      <w:r>
        <w:rPr>
          <w:rFonts w:ascii="Arial" w:cs="Arial" w:eastAsia="Arial" w:hAnsi="Arial"/>
          <w:sz w:val="16"/>
          <w:szCs w:val="16"/>
          <w:color w:val="0000FF"/>
        </w:rPr>
        <w:t>the classification of the Board of Directors ceases, any</w:t>
      </w:r>
      <w:r>
        <w:rPr>
          <w:rFonts w:ascii="Arial" w:cs="Arial" w:eastAsia="Arial" w:hAnsi="Arial"/>
          <w:sz w:val="16"/>
          <w:szCs w:val="16"/>
          <w:color w:val="000000"/>
        </w:rPr>
        <w:t xml:space="preserve">  increase  or decrease in the number of directors shall be apportioned among the classes so as to make all classes as nearly equal in number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4054475</wp:posOffset>
            </wp:positionH>
            <wp:positionV relativeFrom="paragraph">
              <wp:posOffset>-963930</wp:posOffset>
            </wp:positionV>
            <wp:extent cx="14573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4052570</wp:posOffset>
            </wp:positionH>
            <wp:positionV relativeFrom="paragraph">
              <wp:posOffset>-981075</wp:posOffset>
            </wp:positionV>
            <wp:extent cx="145796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-904240</wp:posOffset>
            </wp:positionV>
            <wp:extent cx="13893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89380" cy="8255"/>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-843915</wp:posOffset>
            </wp:positionV>
            <wp:extent cx="199707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997075" cy="8255"/>
                    </a:xfrm>
                    <a:prstGeom prst="rect">
                      <a:avLst/>
                    </a:prstGeom>
                    <a:noFill/>
                  </pic:spPr>
                </pic:pic>
              </a:graphicData>
            </a:graphic>
          </wp:anchor>
        </w:drawing>
        <w:drawing>
          <wp:anchor simplePos="0" relativeHeight="251657728" behindDoc="1" locked="0" layoutInCell="0" allowOverlap="1">
            <wp:simplePos x="0" y="0"/>
            <wp:positionH relativeFrom="column">
              <wp:posOffset>3366135</wp:posOffset>
            </wp:positionH>
            <wp:positionV relativeFrom="paragraph">
              <wp:posOffset>-861060</wp:posOffset>
            </wp:positionV>
            <wp:extent cx="20015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00152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-784225</wp:posOffset>
            </wp:positionV>
            <wp:extent cx="121221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12215" cy="8255"/>
                    </a:xfrm>
                    <a:prstGeom prst="rect">
                      <a:avLst/>
                    </a:prstGeom>
                    <a:noFill/>
                  </pic:spPr>
                </pic:pic>
              </a:graphicData>
            </a:graphic>
          </wp:anchor>
        </w:drawing>
        <w:drawing>
          <wp:anchor simplePos="0" relativeHeight="251657728" behindDoc="1" locked="0" layoutInCell="0" allowOverlap="1">
            <wp:simplePos x="0" y="0"/>
            <wp:positionH relativeFrom="column">
              <wp:posOffset>1423035</wp:posOffset>
            </wp:positionH>
            <wp:positionV relativeFrom="paragraph">
              <wp:posOffset>-723900</wp:posOffset>
            </wp:positionV>
            <wp:extent cx="2802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802890" cy="8890"/>
                    </a:xfrm>
                    <a:prstGeom prst="rect">
                      <a:avLst/>
                    </a:prstGeom>
                    <a:noFill/>
                  </pic:spPr>
                </pic:pic>
              </a:graphicData>
            </a:graphic>
          </wp:anchor>
        </w:drawing>
        <w:drawing>
          <wp:anchor simplePos="0" relativeHeight="251657728" behindDoc="1" locked="0" layoutInCell="0" allowOverlap="1">
            <wp:simplePos x="0" y="0"/>
            <wp:positionH relativeFrom="column">
              <wp:posOffset>1421765</wp:posOffset>
            </wp:positionH>
            <wp:positionV relativeFrom="paragraph">
              <wp:posOffset>-741045</wp:posOffset>
            </wp:positionV>
            <wp:extent cx="28016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801620" cy="8890"/>
                    </a:xfrm>
                    <a:prstGeom prst="rect">
                      <a:avLst/>
                    </a:prstGeom>
                    <a:noFill/>
                  </pic:spPr>
                </pic:pic>
              </a:graphicData>
            </a:graphic>
          </wp:anchor>
        </w:drawing>
        <w:drawing>
          <wp:anchor simplePos="0" relativeHeight="251657728" behindDoc="1" locked="0" layoutInCell="0" allowOverlap="1">
            <wp:simplePos x="0" y="0"/>
            <wp:positionH relativeFrom="column">
              <wp:posOffset>2537460</wp:posOffset>
            </wp:positionH>
            <wp:positionV relativeFrom="paragraph">
              <wp:posOffset>-243840</wp:posOffset>
            </wp:positionV>
            <wp:extent cx="273431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734310" cy="8255"/>
                    </a:xfrm>
                    <a:prstGeom prst="rect">
                      <a:avLst/>
                    </a:prstGeom>
                    <a:noFill/>
                  </pic:spPr>
                </pic:pic>
              </a:graphicData>
            </a:graphic>
          </wp:anchor>
        </w:drawing>
        <w:drawing>
          <wp:anchor simplePos="0" relativeHeight="251657728" behindDoc="1" locked="0" layoutInCell="0" allowOverlap="1">
            <wp:simplePos x="0" y="0"/>
            <wp:positionH relativeFrom="column">
              <wp:posOffset>2536825</wp:posOffset>
            </wp:positionH>
            <wp:positionV relativeFrom="paragraph">
              <wp:posOffset>-260985</wp:posOffset>
            </wp:positionV>
            <wp:extent cx="273875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738755" cy="8890"/>
                    </a:xfrm>
                    <a:prstGeom prst="rect">
                      <a:avLst/>
                    </a:prstGeom>
                    <a:noFill/>
                  </pic:spPr>
                </pic:pic>
              </a:graphicData>
            </a:graphic>
          </wp:anchor>
        </w:drawing>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Shareholders may remove directors only for cause.</w:t>
      </w:r>
    </w:p>
    <w:p>
      <w:pPr>
        <w:spacing w:after="0" w:line="140" w:lineRule="exact"/>
        <w:rPr>
          <w:sz w:val="20"/>
          <w:szCs w:val="20"/>
          <w:color w:val="auto"/>
        </w:rPr>
      </w:pPr>
    </w:p>
    <w:p>
      <w:pPr>
        <w:ind w:left="360" w:right="160"/>
        <w:spacing w:after="0" w:line="259" w:lineRule="auto"/>
        <w:rPr>
          <w:sz w:val="20"/>
          <w:szCs w:val="20"/>
          <w:color w:val="auto"/>
        </w:rPr>
      </w:pPr>
      <w:r>
        <w:rPr>
          <w:rFonts w:ascii="Arial" w:cs="Arial" w:eastAsia="Arial" w:hAnsi="Arial"/>
          <w:sz w:val="16"/>
          <w:szCs w:val="16"/>
          <w:color w:val="14202A"/>
        </w:rPr>
        <w:t>Notwithstanding anything contained herein to the contrary, the affirmative vote of the holders of seventy-five percent (75%) of all issued and outstanding shares of the Corporation entitled to vote thereon, voting together as a single class, shall be required to alter, amend or adopt any provisions inconsistent with, or repeal this Article IV or any provision hereof at any annual or special meeting of shareholders.</w:t>
      </w:r>
    </w:p>
    <w:p>
      <w:pPr>
        <w:spacing w:after="0" w:line="137" w:lineRule="exact"/>
        <w:rPr>
          <w:sz w:val="20"/>
          <w:szCs w:val="20"/>
          <w:color w:val="auto"/>
        </w:rPr>
      </w:pPr>
    </w:p>
    <w:p>
      <w:pPr>
        <w:ind w:left="720" w:right="40" w:hanging="360"/>
        <w:spacing w:after="0" w:line="286" w:lineRule="auto"/>
        <w:tabs>
          <w:tab w:leader="none" w:pos="720" w:val="left"/>
        </w:tabs>
        <w:numPr>
          <w:ilvl w:val="0"/>
          <w:numId w:val="80"/>
        </w:numPr>
        <w:rPr>
          <w:rFonts w:ascii="Arial" w:cs="Arial" w:eastAsia="Arial" w:hAnsi="Arial"/>
          <w:sz w:val="16"/>
          <w:szCs w:val="16"/>
          <w:color w:val="14202A"/>
        </w:rPr>
      </w:pPr>
      <w:r>
        <w:rPr>
          <w:rFonts w:ascii="Arial" w:cs="Arial" w:eastAsia="Arial" w:hAnsi="Arial"/>
          <w:sz w:val="16"/>
          <w:szCs w:val="16"/>
          <w:color w:val="14202A"/>
        </w:rPr>
        <w:t>The foregoing amendment was duly adopted by the Board of Directors and shareholders of the Corporation pursuant to Chapter 302A of the Minnesota Statutes.</w:t>
      </w:r>
    </w:p>
    <w:p>
      <w:pPr>
        <w:spacing w:after="0" w:line="115" w:lineRule="exact"/>
        <w:rPr>
          <w:rFonts w:ascii="Arial" w:cs="Arial" w:eastAsia="Arial" w:hAnsi="Arial"/>
          <w:sz w:val="16"/>
          <w:szCs w:val="16"/>
          <w:color w:val="14202A"/>
        </w:rPr>
      </w:pPr>
    </w:p>
    <w:p>
      <w:pPr>
        <w:ind w:left="720" w:hanging="360"/>
        <w:spacing w:after="0"/>
        <w:tabs>
          <w:tab w:leader="none" w:pos="720" w:val="left"/>
        </w:tabs>
        <w:numPr>
          <w:ilvl w:val="0"/>
          <w:numId w:val="80"/>
        </w:numPr>
        <w:rPr>
          <w:rFonts w:ascii="Arial" w:cs="Arial" w:eastAsia="Arial" w:hAnsi="Arial"/>
          <w:sz w:val="16"/>
          <w:szCs w:val="16"/>
          <w:color w:val="14202A"/>
        </w:rPr>
      </w:pPr>
      <w:r>
        <w:rPr>
          <w:rFonts w:ascii="Arial" w:cs="Arial" w:eastAsia="Arial" w:hAnsi="Arial"/>
          <w:sz w:val="16"/>
          <w:szCs w:val="16"/>
          <w:color w:val="14202A"/>
        </w:rPr>
        <w:t>These Articles of Amendment shall be effective upon filing with the Minnesota Secretary of State.</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14202A"/>
        </w:rPr>
        <w:t>The undersigned certifies that she is authorized to execute these Articles of Amendment on behalf of the Corporation, that the foregoing information is true and correct and in compliance with applicable Minnesota law, and that she understands that by signing these Articles of Amendment she is subject to the penalties of perjury set forth in Minnesota Statutes, Section 609.48, as if she had signed under oath.</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14202A"/>
        </w:rPr>
        <w:t>Dated: [•], 2026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WINNEBAGO INDUSTRIES, INC.</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14202A"/>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-4445</wp:posOffset>
            </wp:positionV>
            <wp:extent cx="14401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14202A"/>
        </w:rPr>
        <w:t>Stacy L. Bogart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Corporate Secretary</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202A"/>
        </w:rPr>
        <w:t>Appendix C</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Proposed Amendment to the Bylaws to Declassify the Board</w:t>
      </w:r>
    </w:p>
    <w:p>
      <w:pPr>
        <w:spacing w:after="0" w:line="19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14202A"/>
        </w:rPr>
        <w:t>Section 2.1 of the Amended and Restated Bylaws of Winnebago Industries, Inc., a Minnesota corporation (the “Corporation”), is hereby amended and restated in its entirety, effective concurrently with the effectiveness of the amendment to Article IV of the Corporation’s Articles of Incorporation approved by the Corporation’s shareholders at its 2026 annual meeting of shareholders, to read as follows: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ARTICLE II</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14202A"/>
        </w:rPr>
        <w:t>Section 2.1. Number, Tenure and Qualifications. The number of directors constituting the Board shall be not more than fifteen (15)</w:t>
      </w:r>
    </w:p>
    <w:p>
      <w:pPr>
        <w:spacing w:after="0" w:line="18" w:lineRule="exact"/>
        <w:rPr>
          <w:sz w:val="20"/>
          <w:szCs w:val="20"/>
          <w:color w:val="auto"/>
        </w:rPr>
      </w:pPr>
    </w:p>
    <w:p>
      <w:pPr>
        <w:ind w:right="80"/>
        <w:spacing w:after="0" w:line="218" w:lineRule="auto"/>
        <w:rPr>
          <w:sz w:val="20"/>
          <w:szCs w:val="20"/>
          <w:color w:val="auto"/>
        </w:rPr>
      </w:pPr>
      <w:r>
        <w:rPr>
          <w:rFonts w:ascii="Arial" w:cs="Arial" w:eastAsia="Arial" w:hAnsi="Arial"/>
          <w:sz w:val="16"/>
          <w:szCs w:val="16"/>
          <w:color w:val="14202A"/>
        </w:rPr>
        <w:t xml:space="preserve">and not less than three (3), the precise number to be determined by resolution of the Board from time to time. </w:t>
      </w:r>
      <w:r>
        <w:rPr>
          <w:rFonts w:ascii="Arial" w:cs="Arial" w:eastAsia="Arial" w:hAnsi="Arial"/>
          <w:sz w:val="26"/>
          <w:szCs w:val="26"/>
          <w:color w:val="FF0000"/>
          <w:vertAlign w:val="superscript"/>
        </w:rPr>
        <w:t xml:space="preserve"> </w:t>
      </w:r>
      <w:r>
        <w:rPr>
          <w:rFonts w:ascii="Arial" w:cs="Arial" w:eastAsia="Arial" w:hAnsi="Arial"/>
          <w:sz w:val="16"/>
          <w:szCs w:val="16"/>
          <w:color w:val="FF0000"/>
          <w:strike w:val="1"/>
        </w:rPr>
        <w:t>The</w:t>
      </w:r>
      <w:r>
        <w:rPr>
          <w:rFonts w:ascii="Arial" w:cs="Arial" w:eastAsia="Arial" w:hAnsi="Arial"/>
          <w:sz w:val="26"/>
          <w:szCs w:val="26"/>
          <w:color w:val="000000"/>
          <w:vertAlign w:val="superscript"/>
        </w:rPr>
        <w:t xml:space="preserve"> </w:t>
      </w:r>
      <w:r>
        <w:rPr>
          <w:rFonts w:ascii="Arial" w:cs="Arial" w:eastAsia="Arial" w:hAnsi="Arial"/>
          <w:sz w:val="16"/>
          <w:szCs w:val="16"/>
          <w:color w:val="0000FF"/>
        </w:rPr>
        <w:t> Except</w:t>
      </w:r>
      <w:r>
        <w:rPr>
          <w:rFonts w:ascii="Arial" w:cs="Arial" w:eastAsia="Arial" w:hAnsi="Arial"/>
          <w:sz w:val="26"/>
          <w:szCs w:val="26"/>
          <w:color w:val="000000"/>
          <w:vertAlign w:val="superscript"/>
        </w:rPr>
        <w:t xml:space="preserve"> </w:t>
      </w:r>
      <w:r>
        <w:rPr>
          <w:rFonts w:ascii="Arial" w:cs="Arial" w:eastAsia="Arial" w:hAnsi="Arial"/>
          <w:sz w:val="16"/>
          <w:szCs w:val="16"/>
          <w:color w:val="14202A"/>
        </w:rPr>
        <w:t xml:space="preserve"> </w:t>
      </w:r>
      <w:r>
        <w:rPr>
          <w:rFonts w:ascii="Arial" w:cs="Arial" w:eastAsia="Arial" w:hAnsi="Arial"/>
          <w:sz w:val="16"/>
          <w:szCs w:val="16"/>
          <w:color w:val="0000FF"/>
        </w:rPr>
        <w:t>as</w:t>
      </w:r>
      <w:r>
        <w:rPr>
          <w:rFonts w:ascii="Arial" w:cs="Arial" w:eastAsia="Arial" w:hAnsi="Arial"/>
          <w:sz w:val="16"/>
          <w:szCs w:val="16"/>
          <w:color w:val="14202A"/>
        </w:rPr>
        <w:t xml:space="preserve"> </w:t>
      </w:r>
      <w:r>
        <w:rPr>
          <w:rFonts w:ascii="Arial" w:cs="Arial" w:eastAsia="Arial" w:hAnsi="Arial"/>
          <w:sz w:val="16"/>
          <w:szCs w:val="16"/>
          <w:u w:val="single" w:color="auto"/>
          <w:color w:val="0000FF"/>
        </w:rPr>
        <w:t>otherwise provided in this Section 2.1, the</w:t>
      </w:r>
      <w:r>
        <w:rPr>
          <w:rFonts w:ascii="Arial" w:cs="Arial" w:eastAsia="Arial" w:hAnsi="Arial"/>
          <w:sz w:val="16"/>
          <w:szCs w:val="16"/>
          <w:color w:val="000000"/>
        </w:rPr>
        <w:t xml:space="preserve">  directors  shall be classified, with respect to the time for which they severally hold</w:t>
      </w:r>
      <w:r>
        <w:rPr>
          <w:rFonts w:ascii="Arial" w:cs="Arial" w:eastAsia="Arial" w:hAnsi="Arial"/>
          <w:sz w:val="16"/>
          <w:szCs w:val="16"/>
          <w:color w:val="0000FF"/>
        </w:rPr>
        <w:t xml:space="preserve"> </w:t>
      </w:r>
      <w:r>
        <w:rPr>
          <w:rFonts w:ascii="Arial" w:cs="Arial" w:eastAsia="Arial" w:hAnsi="Arial"/>
          <w:sz w:val="16"/>
          <w:szCs w:val="16"/>
          <w:color w:val="000000"/>
        </w:rPr>
        <w:t>office, into three classes, as nearly equal in number as possible, with each class holding office for a term of three years, and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5177790</wp:posOffset>
            </wp:positionH>
            <wp:positionV relativeFrom="paragraph">
              <wp:posOffset>-238125</wp:posOffset>
            </wp:positionV>
            <wp:extent cx="44577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-255270</wp:posOffset>
            </wp:positionV>
            <wp:extent cx="45148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51485" cy="8890"/>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6"/>
          <w:szCs w:val="16"/>
          <w:color w:val="auto"/>
        </w:rPr>
        <w:t xml:space="preserve">the respective members of each class to hold office until their respective successors are elected and qualified. </w:t>
      </w:r>
      <w:r>
        <w:rPr>
          <w:rFonts w:ascii="Arial" w:cs="Arial" w:eastAsia="Arial" w:hAnsi="Arial"/>
          <w:sz w:val="26"/>
          <w:szCs w:val="26"/>
          <w:color w:val="FF0000"/>
          <w:vertAlign w:val="superscript"/>
        </w:rPr>
        <w:t xml:space="preserve"> </w:t>
      </w:r>
      <w:r>
        <w:rPr>
          <w:rFonts w:ascii="Arial" w:cs="Arial" w:eastAsia="Arial" w:hAnsi="Arial"/>
          <w:sz w:val="16"/>
          <w:szCs w:val="16"/>
          <w:color w:val="FF0000"/>
          <w:strike w:val="1"/>
        </w:rPr>
        <w:t>The successors to</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FF0000"/>
          <w:strike w:val="1"/>
        </w:rPr>
        <w:t>the class of directors whose term then expires shall be elected to serve a three year term</w:t>
      </w:r>
      <w:r>
        <w:rPr>
          <w:rFonts w:ascii="Arial" w:cs="Arial" w:eastAsia="Arial" w:hAnsi="Arial"/>
          <w:sz w:val="26"/>
          <w:szCs w:val="26"/>
          <w:color w:val="000000"/>
          <w:vertAlign w:val="superscript"/>
        </w:rPr>
        <w:t xml:space="preserve"> </w:t>
      </w:r>
      <w:r>
        <w:rPr>
          <w:rFonts w:ascii="Arial" w:cs="Arial" w:eastAsia="Arial" w:hAnsi="Arial"/>
          <w:sz w:val="16"/>
          <w:szCs w:val="16"/>
          <w:color w:val="0000FF"/>
        </w:rPr>
        <w:t> Beginning</w:t>
      </w:r>
      <w:r>
        <w:rPr>
          <w:rFonts w:ascii="Arial" w:cs="Arial" w:eastAsia="Arial" w:hAnsi="Arial"/>
          <w:sz w:val="26"/>
          <w:szCs w:val="26"/>
          <w:color w:val="000000"/>
          <w:vertAlign w:val="superscript"/>
        </w:rPr>
        <w:t xml:space="preserve"> </w:t>
      </w:r>
      <w:r>
        <w:rPr>
          <w:rFonts w:ascii="Arial" w:cs="Arial" w:eastAsia="Arial" w:hAnsi="Arial"/>
          <w:sz w:val="16"/>
          <w:szCs w:val="16"/>
          <w:color w:val="FF0000"/>
        </w:rPr>
        <w:t xml:space="preserve"> </w:t>
      </w:r>
      <w:r>
        <w:rPr>
          <w:rFonts w:ascii="Arial" w:cs="Arial" w:eastAsia="Arial" w:hAnsi="Arial"/>
          <w:sz w:val="16"/>
          <w:szCs w:val="16"/>
          <w:color w:val="0000FF"/>
        </w:rPr>
        <w:t>with the 2027 annual meeting</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of shareholders, each director elected by the shareholders shall be elected for a term expiring at the next annual meeting of shareholders and until such director’s successor is duly elected and qualified. At the 2029 annual meeting of shareholders, the classification of the Board shall cease, and all directors elected by the shareholders shall thereafter be elected for terms expiring at the next annual meeting of shareholders</w:t>
      </w:r>
      <w:r>
        <w:rPr>
          <w:rFonts w:ascii="Arial" w:cs="Arial" w:eastAsia="Arial" w:hAnsi="Arial"/>
          <w:sz w:val="16"/>
          <w:szCs w:val="16"/>
          <w:color w:val="000000"/>
        </w:rPr>
        <w:t xml:space="preserve">  and  until their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respective</w:t>
      </w:r>
      <w:r>
        <w:rPr>
          <w:rFonts w:ascii="Arial" w:cs="Arial" w:eastAsia="Arial" w:hAnsi="Arial"/>
          <w:sz w:val="16"/>
          <w:szCs w:val="16"/>
          <w:color w:val="0000FF"/>
        </w:rPr>
        <w:t xml:space="preserve"> </w:t>
      </w:r>
      <w:r>
        <w:rPr>
          <w:rFonts w:ascii="Arial" w:cs="Arial" w:eastAsia="Arial" w:hAnsi="Arial"/>
          <w:sz w:val="16"/>
          <w:szCs w:val="16"/>
          <w:color w:val="000000"/>
        </w:rPr>
        <w:t> successors  are duly elected and qualified.</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Nothing in this</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Section 2.1 shall operate to shorten the term of any director elected before the 2027 annual meeting of shareholders, including any Class III director elected at the 2026 annual meeting of shareholders for a term expiring at the 2029 annual meeting of shareholders.</w:t>
      </w:r>
      <w:r>
        <w:rPr>
          <w:rFonts w:ascii="Arial" w:cs="Arial" w:eastAsia="Arial" w:hAnsi="Arial"/>
          <w:sz w:val="16"/>
          <w:szCs w:val="16"/>
          <w:color w:val="0000FF"/>
        </w:rPr>
        <w:t xml:space="preserve"> </w:t>
      </w:r>
      <w:r>
        <w:rPr>
          <w:rFonts w:ascii="Arial" w:cs="Arial" w:eastAsia="Arial" w:hAnsi="Arial"/>
          <w:sz w:val="16"/>
          <w:szCs w:val="16"/>
          <w:color w:val="000000"/>
        </w:rPr>
        <w:t> No  decrease in the number of directors shall have the effect of shortening the terms of any incumbent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-835660</wp:posOffset>
            </wp:positionV>
            <wp:extent cx="183451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83451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-852805</wp:posOffset>
            </wp:positionV>
            <wp:extent cx="18300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ind w:right="120"/>
        <w:spacing w:after="0" w:line="214" w:lineRule="auto"/>
        <w:rPr>
          <w:sz w:val="20"/>
          <w:szCs w:val="20"/>
          <w:color w:val="auto"/>
        </w:rPr>
      </w:pPr>
      <w:r>
        <w:rPr>
          <w:rFonts w:ascii="Arial" w:cs="Arial" w:eastAsia="Arial" w:hAnsi="Arial"/>
          <w:sz w:val="26"/>
          <w:szCs w:val="26"/>
          <w:color w:val="FF0000"/>
          <w:vertAlign w:val="superscript"/>
        </w:rPr>
        <w:t xml:space="preserve"> </w:t>
      </w:r>
      <w:r>
        <w:rPr>
          <w:rFonts w:ascii="Arial" w:cs="Arial" w:eastAsia="Arial" w:hAnsi="Arial"/>
          <w:sz w:val="16"/>
          <w:szCs w:val="16"/>
          <w:color w:val="FF0000"/>
          <w:strike w:val="1"/>
        </w:rPr>
        <w:t>Any</w:t>
      </w:r>
      <w:r>
        <w:rPr>
          <w:rFonts w:ascii="Arial" w:cs="Arial" w:eastAsia="Arial" w:hAnsi="Arial"/>
          <w:sz w:val="26"/>
          <w:szCs w:val="26"/>
          <w:color w:val="000000"/>
          <w:vertAlign w:val="superscript"/>
        </w:rPr>
        <w:t xml:space="preserve"> </w:t>
      </w:r>
      <w:r>
        <w:rPr>
          <w:rFonts w:ascii="Arial" w:cs="Arial" w:eastAsia="Arial" w:hAnsi="Arial"/>
          <w:sz w:val="16"/>
          <w:szCs w:val="16"/>
          <w:color w:val="0000FF"/>
        </w:rPr>
        <w:t> Until</w:t>
      </w:r>
      <w:r>
        <w:rPr>
          <w:rFonts w:ascii="Arial" w:cs="Arial" w:eastAsia="Arial" w:hAnsi="Arial"/>
          <w:sz w:val="26"/>
          <w:szCs w:val="26"/>
          <w:color w:val="000000"/>
          <w:vertAlign w:val="superscript"/>
        </w:rPr>
        <w:t xml:space="preserve"> </w:t>
      </w:r>
      <w:r>
        <w:rPr>
          <w:rFonts w:ascii="Arial" w:cs="Arial" w:eastAsia="Arial" w:hAnsi="Arial"/>
          <w:sz w:val="16"/>
          <w:szCs w:val="16"/>
          <w:color w:val="FF0000"/>
        </w:rPr>
        <w:t xml:space="preserve"> </w:t>
      </w:r>
      <w:r>
        <w:rPr>
          <w:rFonts w:ascii="Arial" w:cs="Arial" w:eastAsia="Arial" w:hAnsi="Arial"/>
          <w:sz w:val="16"/>
          <w:szCs w:val="16"/>
          <w:color w:val="0000FF"/>
        </w:rPr>
        <w:t>the classification of the Board ceases, any</w:t>
      </w:r>
      <w:r>
        <w:rPr>
          <w:rFonts w:ascii="Arial" w:cs="Arial" w:eastAsia="Arial" w:hAnsi="Arial"/>
          <w:sz w:val="16"/>
          <w:szCs w:val="16"/>
          <w:color w:val="000000"/>
        </w:rPr>
        <w:t xml:space="preserve">  increase  or decrease in the number of directors shall be apportioned among</w:t>
      </w:r>
      <w:r>
        <w:rPr>
          <w:rFonts w:ascii="Arial" w:cs="Arial" w:eastAsia="Arial" w:hAnsi="Arial"/>
          <w:sz w:val="16"/>
          <w:szCs w:val="16"/>
          <w:color w:val="FF0000"/>
        </w:rPr>
        <w:t xml:space="preserve"> </w:t>
      </w:r>
      <w:r>
        <w:rPr>
          <w:rFonts w:ascii="Arial" w:cs="Arial" w:eastAsia="Arial" w:hAnsi="Arial"/>
          <w:sz w:val="16"/>
          <w:szCs w:val="16"/>
          <w:color w:val="000000"/>
        </w:rPr>
        <w:t>the classes so as to make all classes as nearly equal in number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-126365</wp:posOffset>
            </wp:positionV>
            <wp:extent cx="21602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-143510</wp:posOffset>
            </wp:positionV>
            <wp:extent cx="215582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5825" cy="8890"/>
                    </a:xfrm>
                    <a:prstGeom prst="rect">
                      <a:avLst/>
                    </a:prstGeom>
                    <a:noFill/>
                  </pic:spPr>
                </pic:pic>
              </a:graphicData>
            </a:graphic>
          </wp:anchor>
        </w:drawing>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1080135</wp:posOffset>
            </wp:positionV>
            <wp:extent cx="6986270" cy="707199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86270" cy="707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248285</wp:posOffset>
            </wp:positionV>
            <wp:extent cx="6643370" cy="85979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316865</wp:posOffset>
            </wp:positionV>
            <wp:extent cx="6643370" cy="85979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14202A"/>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lvl w:ilvl="1">
      <w:lvlJc w:val="left"/>
      <w:lvlText w:val="☐"/>
      <w:numFmt w:val="bullet"/>
      <w:start w:val="1"/>
    </w:lvl>
  </w:abstractNum>
  <w:abstractNum w:abstractNumId="1">
    <w:nsid w:val="153EA438"/>
    <w:multiLevelType w:val="hybridMultilevel"/>
    <w:lvl w:ilvl="0">
      <w:lvlJc w:val="left"/>
      <w:lvlText w:val="☒"/>
      <w:numFmt w:val="bullet"/>
      <w:start w:val="1"/>
    </w:lvl>
    <w:lvl w:ilvl="1">
      <w:lvlJc w:val="left"/>
      <w:lvlText w:val="☐"/>
      <w:numFmt w:val="bullet"/>
      <w:start w:val="1"/>
    </w:lvl>
  </w:abstractNum>
  <w:abstractNum w:abstractNumId="2">
    <w:nsid w:val="3855585C"/>
    <w:multiLevelType w:val="hybridMultilevel"/>
    <w:lvl w:ilvl="0">
      <w:lvlJc w:val="left"/>
      <w:lvlText w:val="%1."/>
      <w:numFmt w:val="decimal"/>
      <w:start w:val="2"/>
    </w:lvl>
  </w:abstractNum>
  <w:abstractNum w:abstractNumId="3">
    <w:nsid w:val="70A64E2A"/>
    <w:multiLevelType w:val="hybridMultilevel"/>
    <w:lvl w:ilvl="0">
      <w:lvlJc w:val="left"/>
      <w:lvlText w:val="(%1)"/>
      <w:numFmt w:val="decimal"/>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C"/>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1)"/>
      <w:numFmt w:val="decimal"/>
      <w:start w:val="9"/>
    </w:lvl>
  </w:abstractNum>
  <w:abstractNum w:abstractNumId="9">
    <w:nsid w:val="57E4CCAF"/>
    <w:multiLevelType w:val="hybridMultilevel"/>
    <w:lvl w:ilvl="0">
      <w:lvlJc w:val="left"/>
      <w:lvlText w:val="1"/>
      <w:numFmt w:val="bullet"/>
      <w:start w:val="1"/>
    </w:lvl>
  </w:abstractNum>
  <w:abstractNum w:abstractNumId="10">
    <w:nsid w:val="7A6D8D3C"/>
    <w:multiLevelType w:val="hybridMultilevel"/>
    <w:lvl w:ilvl="0">
      <w:lvlJc w:val="left"/>
      <w:lvlText w:val="(%1)"/>
      <w:numFmt w:val="decimal"/>
      <w:start w:val="5"/>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
      <w:numFmt w:val="bullet"/>
      <w:start w:val="1"/>
    </w:lvl>
  </w:abstractNum>
  <w:abstractNum w:abstractNumId="13">
    <w:nsid w:val="6DE91B18"/>
    <w:multiLevelType w:val="hybridMultilevel"/>
    <w:lvl w:ilvl="0">
      <w:lvlJc w:val="left"/>
      <w:lvlText w:val="(%1)"/>
      <w:numFmt w:val="decimal"/>
      <w:start w:val="1"/>
    </w:lvl>
  </w:abstractNum>
  <w:abstractNum w:abstractNumId="14">
    <w:nsid w:val="38437FDB"/>
    <w:multiLevelType w:val="hybridMultilevel"/>
    <w:lvl w:ilvl="0">
      <w:lvlJc w:val="left"/>
      <w:lvlText w:val="(%1)"/>
      <w:numFmt w:val="decimal"/>
      <w:start w:val="1"/>
    </w:lvl>
  </w:abstractNum>
  <w:abstractNum w:abstractNumId="15">
    <w:nsid w:val="7644A45C"/>
    <w:multiLevelType w:val="hybridMultilevel"/>
    <w:lvl w:ilvl="0">
      <w:lvlJc w:val="left"/>
      <w:lvlText w:val=" "/>
      <w:numFmt w:val="bullet"/>
      <w:start w:val="1"/>
    </w:lvl>
  </w:abstractNum>
  <w:abstractNum w:abstractNumId="16">
    <w:nsid w:val="32FFF902"/>
    <w:multiLevelType w:val="hybridMultilevel"/>
    <w:lvl w:ilvl="0">
      <w:lvlJc w:val="left"/>
      <w:lvlText w:val="(%1)"/>
      <w:numFmt w:val="decimal"/>
      <w:start w:val="1"/>
    </w:lvl>
  </w:abstractNum>
  <w:abstractNum w:abstractNumId="17">
    <w:nsid w:val="684A481A"/>
    <w:multiLevelType w:val="hybridMultilevel"/>
    <w:lvl w:ilvl="0">
      <w:lvlJc w:val="left"/>
      <w:lvlText w:val=" "/>
      <w:numFmt w:val="bullet"/>
      <w:start w:val="1"/>
    </w:lvl>
  </w:abstractNum>
  <w:abstractNum w:abstractNumId="18">
    <w:nsid w:val="579478FE"/>
    <w:multiLevelType w:val="hybridMultilevel"/>
    <w:lvl w:ilvl="0">
      <w:lvlJc w:val="left"/>
      <w:lvlText w:val=" "/>
      <w:numFmt w:val="bullet"/>
      <w:start w:val="1"/>
    </w:lvl>
  </w:abstractNum>
  <w:abstractNum w:abstractNumId="19">
    <w:nsid w:val="749ABB43"/>
    <w:multiLevelType w:val="hybridMultilevel"/>
    <w:lvl w:ilvl="0">
      <w:lvlJc w:val="left"/>
      <w:lvlText w:val="(%1)"/>
      <w:numFmt w:val="decimal"/>
      <w:start w:val="1"/>
    </w:lvl>
  </w:abstractNum>
  <w:abstractNum w:abstractNumId="20">
    <w:nsid w:val="3DC240FB"/>
    <w:multiLevelType w:val="hybridMultilevel"/>
    <w:lvl w:ilvl="0">
      <w:lvlJc w:val="left"/>
      <w:lvlText w:val=" "/>
      <w:numFmt w:val="bullet"/>
      <w:start w:val="1"/>
    </w:lvl>
  </w:abstractNum>
  <w:abstractNum w:abstractNumId="21">
    <w:nsid w:val="1BA026FA"/>
    <w:multiLevelType w:val="hybridMultilevel"/>
    <w:lvl w:ilvl="0">
      <w:lvlJc w:val="left"/>
      <w:lvlText w:val=" "/>
      <w:numFmt w:val="bullet"/>
      <w:start w:val="1"/>
    </w:lvl>
  </w:abstractNum>
  <w:abstractNum w:abstractNumId="22">
    <w:nsid w:val="79A1DEAA"/>
    <w:multiLevelType w:val="hybridMultilevel"/>
    <w:lvl w:ilvl="0">
      <w:lvlJc w:val="left"/>
      <w:lvlText w:val=" "/>
      <w:numFmt w:val="bullet"/>
      <w:start w:val="1"/>
    </w:lvl>
  </w:abstractNum>
  <w:abstractNum w:abstractNumId="23">
    <w:nsid w:val="75C6C33A"/>
    <w:multiLevelType w:val="hybridMultilevel"/>
    <w:lvl w:ilvl="0">
      <w:lvlJc w:val="left"/>
      <w:lvlText w:val=" "/>
      <w:numFmt w:val="bullet"/>
      <w:start w:val="1"/>
    </w:lvl>
  </w:abstractNum>
  <w:abstractNum w:abstractNumId="24">
    <w:nsid w:val="12E685FB"/>
    <w:multiLevelType w:val="hybridMultilevel"/>
    <w:lvl w:ilvl="0">
      <w:lvlJc w:val="left"/>
      <w:lvlText w:val="(%1)"/>
      <w:numFmt w:val="lowerRoman"/>
      <w:start w:val="2"/>
    </w:lvl>
  </w:abstractNum>
  <w:abstractNum w:abstractNumId="25">
    <w:nsid w:val="70C6A529"/>
    <w:multiLevelType w:val="hybridMultilevel"/>
    <w:lvl w:ilvl="0">
      <w:lvlJc w:val="left"/>
      <w:lvlText w:val="(%1)"/>
      <w:numFmt w:val="decimal"/>
      <w:start w:val="1"/>
    </w:lvl>
  </w:abstractNum>
  <w:abstractNum w:abstractNumId="26">
    <w:nsid w:val="520EEDD1"/>
    <w:multiLevelType w:val="hybridMultilevel"/>
    <w:lvl w:ilvl="0">
      <w:lvlJc w:val="left"/>
      <w:lvlText w:val="(%1)"/>
      <w:numFmt w:val="decimal"/>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1)"/>
      <w:numFmt w:val="decimal"/>
      <w:start w:val="4"/>
    </w:lvl>
  </w:abstractNum>
  <w:abstractNum w:abstractNumId="32">
    <w:nsid w:val="39386575"/>
    <w:multiLevelType w:val="hybridMultilevel"/>
    <w:lvl w:ilvl="0">
      <w:lvlJc w:val="left"/>
      <w:lvlText w:val=" "/>
      <w:numFmt w:val="bullet"/>
      <w:start w:val="1"/>
    </w:lvl>
  </w:abstractNum>
  <w:abstractNum w:abstractNumId="33">
    <w:nsid w:val="1CF10FD8"/>
    <w:multiLevelType w:val="hybridMultilevel"/>
    <w:lvl w:ilvl="0">
      <w:lvlJc w:val="left"/>
      <w:lvlText w:val="(%1)"/>
      <w:numFmt w:val="decimal"/>
      <w:start w:val="1"/>
    </w:lvl>
  </w:abstractNum>
  <w:abstractNum w:abstractNumId="34">
    <w:nsid w:val="180115BE"/>
    <w:multiLevelType w:val="hybridMultilevel"/>
    <w:lvl w:ilvl="0">
      <w:lvlJc w:val="left"/>
      <w:lvlText w:val="%1"/>
      <w:numFmt w:val="decimal"/>
      <w:start w:val="1"/>
    </w:lvl>
    <w:lvl w:ilvl="1">
      <w:lvlJc w:val="left"/>
      <w:lvlText w:val="(%2)"/>
      <w:numFmt w:val="lowerLetter"/>
      <w:start w:val="1"/>
    </w:lvl>
  </w:abstractNum>
  <w:abstractNum w:abstractNumId="35">
    <w:nsid w:val="235BA861"/>
    <w:multiLevelType w:val="hybridMultilevel"/>
    <w:lvl w:ilvl="0">
      <w:lvlJc w:val="left"/>
      <w:lvlText w:val="(%1)"/>
      <w:numFmt w:val="decimal"/>
      <w:start w:val="2"/>
    </w:lvl>
    <w:lvl w:ilvl="1">
      <w:lvlJc w:val="left"/>
      <w:lvlText w:val="%2"/>
      <w:numFmt w:val="lowerLetter"/>
      <w:start w:val="1"/>
    </w:lvl>
  </w:abstractNum>
  <w:abstractNum w:abstractNumId="36">
    <w:nsid w:val="47398C89"/>
    <w:multiLevelType w:val="hybridMultilevel"/>
    <w:lvl w:ilvl="0">
      <w:lvlJc w:val="left"/>
      <w:lvlText w:val="(%1)"/>
      <w:numFmt w:val="lowerLetter"/>
      <w:start w:val="1"/>
    </w:lvl>
  </w:abstractNum>
  <w:abstractNum w:abstractNumId="37">
    <w:nsid w:val="354FE9F9"/>
    <w:multiLevelType w:val="hybridMultilevel"/>
    <w:lvl w:ilvl="0">
      <w:lvlJc w:val="left"/>
      <w:lvlText w:val="(%1)"/>
      <w:numFmt w:val="decimal"/>
      <w:start w:val="1"/>
    </w:lvl>
  </w:abstractNum>
  <w:abstractNum w:abstractNumId="38">
    <w:nsid w:val="15B5AF5C"/>
    <w:multiLevelType w:val="hybridMultilevel"/>
    <w:lvl w:ilvl="0">
      <w:lvlJc w:val="left"/>
      <w:lvlText w:val="(%1)"/>
      <w:numFmt w:val="decimal"/>
      <w:start w:val="1"/>
    </w:lvl>
  </w:abstractNum>
  <w:abstractNum w:abstractNumId="39">
    <w:nsid w:val="741226BB"/>
    <w:multiLevelType w:val="hybridMultilevel"/>
    <w:lvl w:ilvl="0">
      <w:lvlJc w:val="left"/>
      <w:lvlText w:val="(%1)"/>
      <w:numFmt w:val="decimal"/>
      <w:start w:val="1"/>
    </w:lvl>
  </w:abstractNum>
  <w:abstractNum w:abstractNumId="40">
    <w:nsid w:val="D34B6A8"/>
    <w:multiLevelType w:val="hybridMultilevel"/>
    <w:lvl w:ilvl="0">
      <w:lvlJc w:val="left"/>
      <w:lvlText w:val="(%1)"/>
      <w:numFmt w:val="decimal"/>
      <w:start w:val="1"/>
    </w:lvl>
  </w:abstractNum>
  <w:abstractNum w:abstractNumId="41">
    <w:nsid w:val="10233C99"/>
    <w:multiLevelType w:val="hybridMultilevel"/>
    <w:lvl w:ilvl="0">
      <w:lvlJc w:val="left"/>
      <w:lvlText w:val="(%1)"/>
      <w:numFmt w:val="lowerRoman"/>
      <w:start w:val="2"/>
    </w:lvl>
  </w:abstractNum>
  <w:abstractNum w:abstractNumId="42">
    <w:nsid w:val="3F6AB60F"/>
    <w:multiLevelType w:val="hybridMultilevel"/>
    <w:lvl w:ilvl="0">
      <w:lvlJc w:val="left"/>
      <w:lvlText w:val=" "/>
      <w:numFmt w:val="bullet"/>
      <w:start w:val="1"/>
    </w:lvl>
  </w:abstractNum>
  <w:abstractNum w:abstractNumId="43">
    <w:nsid w:val="61574095"/>
    <w:multiLevelType w:val="hybridMultilevel"/>
    <w:lvl w:ilvl="0">
      <w:lvlJc w:val="left"/>
      <w:lvlText w:val="(%1)"/>
      <w:numFmt w:val="decimal"/>
      <w:start w:val="1"/>
    </w:lvl>
  </w:abstractNum>
  <w:abstractNum w:abstractNumId="44">
    <w:nsid w:val="7E0C57B1"/>
    <w:multiLevelType w:val="hybridMultilevel"/>
    <w:lvl w:ilvl="0">
      <w:lvlJc w:val="left"/>
      <w:lvlText w:val=" "/>
      <w:numFmt w:val="bullet"/>
      <w:start w:val="1"/>
    </w:lvl>
  </w:abstractNum>
  <w:abstractNum w:abstractNumId="45">
    <w:nsid w:val="77AE35EB"/>
    <w:multiLevelType w:val="hybridMultilevel"/>
    <w:lvl w:ilvl="0">
      <w:lvlJc w:val="left"/>
      <w:lvlText w:val="(%1)"/>
      <w:numFmt w:val="decimal"/>
      <w:start w:val="1"/>
    </w:lvl>
  </w:abstractNum>
  <w:abstractNum w:abstractNumId="46">
    <w:nsid w:val="579BE4F1"/>
    <w:multiLevelType w:val="hybridMultilevel"/>
    <w:lvl w:ilvl="0">
      <w:lvlJc w:val="left"/>
      <w:lvlText w:val="(%1)"/>
      <w:numFmt w:val="decimal"/>
      <w:start w:val="1"/>
    </w:lvl>
  </w:abstractNum>
  <w:abstractNum w:abstractNumId="47">
    <w:nsid w:val="310C50B3"/>
    <w:multiLevelType w:val="hybridMultilevel"/>
    <w:lvl w:ilvl="0">
      <w:lvlJc w:val="left"/>
      <w:lvlText w:val="(%1)"/>
      <w:numFmt w:val="decimal"/>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1)"/>
      <w:numFmt w:val="decimal"/>
      <w:start w:val="1"/>
    </w:lvl>
  </w:abstractNum>
  <w:abstractNum w:abstractNumId="50">
    <w:nsid w:val="25A70BF7"/>
    <w:multiLevelType w:val="hybridMultilevel"/>
    <w:lvl w:ilvl="0">
      <w:lvlJc w:val="left"/>
      <w:lvlText w:val="(%1)"/>
      <w:numFmt w:val="decimal"/>
      <w:start w:val="2"/>
    </w:lvl>
  </w:abstractNum>
  <w:abstractNum w:abstractNumId="51">
    <w:nsid w:val="1DBABF00"/>
    <w:multiLevelType w:val="hybridMultilevel"/>
    <w:lvl w:ilvl="0">
      <w:lvlJc w:val="left"/>
      <w:lvlText w:val=" "/>
      <w:numFmt w:val="bullet"/>
      <w:start w:val="1"/>
    </w:lvl>
  </w:abstractNum>
  <w:abstractNum w:abstractNumId="52">
    <w:nsid w:val="4AD084E9"/>
    <w:multiLevelType w:val="hybridMultilevel"/>
    <w:lvl w:ilvl="0">
      <w:lvlJc w:val="left"/>
      <w:lvlText w:val=" "/>
      <w:numFmt w:val="bullet"/>
      <w:start w:val="1"/>
    </w:lvl>
  </w:abstractNum>
  <w:abstractNum w:abstractNumId="53">
    <w:nsid w:val="1F48EAA1"/>
    <w:multiLevelType w:val="hybridMultilevel"/>
    <w:lvl w:ilvl="0">
      <w:lvlJc w:val="left"/>
      <w:lvlText w:val=" "/>
      <w:numFmt w:val="bullet"/>
      <w:start w:val="1"/>
    </w:lvl>
  </w:abstractNum>
  <w:abstractNum w:abstractNumId="54">
    <w:nsid w:val="1381823A"/>
    <w:multiLevelType w:val="hybridMultilevel"/>
    <w:lvl w:ilvl="0">
      <w:lvlJc w:val="left"/>
      <w:lvlText w:val="(%1)"/>
      <w:numFmt w:val="lowerRoman"/>
      <w:start w:val="3"/>
    </w:lvl>
  </w:abstractNum>
  <w:abstractNum w:abstractNumId="55">
    <w:nsid w:val="5DB70AE5"/>
    <w:multiLevelType w:val="hybridMultilevel"/>
    <w:lvl w:ilvl="0">
      <w:lvlJc w:val="left"/>
      <w:lvlText w:val="(%1)"/>
      <w:numFmt w:val="lowerRoman"/>
      <w:start w:val="4"/>
    </w:lvl>
  </w:abstractNum>
  <w:abstractNum w:abstractNumId="56">
    <w:nsid w:val="100F8FCA"/>
    <w:multiLevelType w:val="hybridMultilevel"/>
    <w:lvl w:ilvl="0">
      <w:lvlJc w:val="left"/>
      <w:lvlText w:val="(%1)"/>
      <w:numFmt w:val="lowerRoman"/>
      <w:start w:val="12"/>
    </w:lvl>
  </w:abstractNum>
  <w:abstractNum w:abstractNumId="57">
    <w:nsid w:val="6590700B"/>
    <w:multiLevelType w:val="hybridMultilevel"/>
    <w:lvl w:ilvl="0">
      <w:lvlJc w:val="left"/>
      <w:lvlText w:val=" "/>
      <w:numFmt w:val="bullet"/>
      <w:start w:val="1"/>
    </w:lvl>
  </w:abstractNum>
  <w:abstractNum w:abstractNumId="58">
    <w:nsid w:val="15014ACB"/>
    <w:multiLevelType w:val="hybridMultilevel"/>
    <w:lvl w:ilvl="0">
      <w:lvlJc w:val="left"/>
      <w:lvlText w:val=" "/>
      <w:numFmt w:val="bullet"/>
      <w:start w:val="1"/>
    </w:lvl>
  </w:abstractNum>
  <w:abstractNum w:abstractNumId="59">
    <w:nsid w:val="5F5E7FD0"/>
    <w:multiLevelType w:val="hybridMultilevel"/>
    <w:lvl w:ilvl="0">
      <w:lvlJc w:val="left"/>
      <w:lvlText w:val="(%1)"/>
      <w:numFmt w:val="lowerRoman"/>
      <w:start w:val="5"/>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 "/>
      <w:numFmt w:val="bullet"/>
      <w:start w:val="1"/>
    </w:lvl>
  </w:abstractNum>
  <w:abstractNum w:abstractNumId="63">
    <w:nsid w:val="42C296BD"/>
    <w:multiLevelType w:val="hybridMultilevel"/>
    <w:lvl w:ilvl="0">
      <w:lvlJc w:val="left"/>
      <w:lvlText w:val="(%1)"/>
      <w:numFmt w:val="decimal"/>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1."/>
      <w:numFmt w:val="decimal"/>
      <w:start w:val="5"/>
    </w:lvl>
  </w:abstractNum>
  <w:abstractNum w:abstractNumId="66">
    <w:nsid w:val="661E3F1E"/>
    <w:multiLevelType w:val="hybridMultilevel"/>
    <w:lvl w:ilvl="0">
      <w:lvlJc w:val="left"/>
      <w:lvlText w:val="(%1)"/>
      <w:numFmt w:val="decimal"/>
      <w:start w:val="1"/>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 "/>
      <w:numFmt w:val="bullet"/>
      <w:start w:val="1"/>
    </w:lvl>
  </w:abstractNum>
  <w:abstractNum w:abstractNumId="69">
    <w:nsid w:val="7BD3EE7B"/>
    <w:multiLevelType w:val="hybridMultilevel"/>
    <w:lvl w:ilvl="0">
      <w:lvlJc w:val="left"/>
      <w:lvlText w:val=" "/>
      <w:numFmt w:val="bullet"/>
      <w:start w:val="1"/>
    </w:lvl>
  </w:abstractNum>
  <w:abstractNum w:abstractNumId="70">
    <w:nsid w:val="51D9C564"/>
    <w:multiLevelType w:val="hybridMultilevel"/>
    <w:lvl w:ilvl="0">
      <w:lvlJc w:val="left"/>
      <w:lvlText w:val=" "/>
      <w:numFmt w:val="bullet"/>
      <w:start w:val="1"/>
    </w:lvl>
  </w:abstractNum>
  <w:abstractNum w:abstractNumId="71">
    <w:nsid w:val="613EFDC5"/>
    <w:multiLevelType w:val="hybridMultilevel"/>
    <w:lvl w:ilvl="0">
      <w:lvlJc w:val="left"/>
      <w:lvlText w:val="%1."/>
      <w:numFmt w:val="decimal"/>
      <w:start w:val="1"/>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1)"/>
      <w:numFmt w:val="lowerRoman"/>
      <w:start w:val="2"/>
    </w:lvl>
  </w:abstractNum>
  <w:abstractNum w:abstractNumId="74">
    <w:nsid w:val="42963E5A"/>
    <w:multiLevelType w:val="hybridMultilevel"/>
    <w:lvl w:ilvl="0">
      <w:lvlJc w:val="left"/>
      <w:lvlText w:val="(%1)"/>
      <w:numFmt w:val="lowerRoman"/>
      <w:start w:val="1"/>
    </w:lvl>
  </w:abstractNum>
  <w:abstractNum w:abstractNumId="75">
    <w:nsid w:val="A0382C5"/>
    <w:multiLevelType w:val="hybridMultilevel"/>
    <w:lvl w:ilvl="0">
      <w:lvlJc w:val="left"/>
      <w:lvlText w:val="(%1)"/>
      <w:numFmt w:val="lowerRoman"/>
      <w:start w:val="3"/>
    </w:lvl>
  </w:abstractNum>
  <w:abstractNum w:abstractNumId="76">
    <w:nsid w:val="8F2B15E"/>
    <w:multiLevelType w:val="hybridMultilevel"/>
    <w:lvl w:ilvl="0">
      <w:lvlJc w:val="left"/>
      <w:lvlText w:val="(%1)"/>
      <w:numFmt w:val="lowerRoman"/>
      <w:start w:val="5"/>
    </w:lvl>
  </w:abstractNum>
  <w:abstractNum w:abstractNumId="77">
    <w:nsid w:val="1A32234B"/>
    <w:multiLevelType w:val="hybridMultilevel"/>
    <w:lvl w:ilvl="0">
      <w:lvlJc w:val="left"/>
      <w:lvlText w:val="(%1)"/>
      <w:numFmt w:val="lowerRoman"/>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2026-11-03T07:20:59Z</dcterms:created>
  <dcterms:modified xsi:type="dcterms:W3CDTF">2026-11-03T07:20:59Z</dcterms:modified>
</cp:coreProperties>
</file>