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December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1219835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139065</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3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5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001-06403</w:t>
            </w:r>
          </w:p>
        </w:tc>
        <w:tc>
          <w:tcPr>
            <w:tcW w:w="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32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40" w:type="dxa"/>
            <w:vAlign w:val="bottom"/>
            <w:gridSpan w:val="2"/>
          </w:tcPr>
          <w:p>
            <w:pPr>
              <w:jc w:val="center"/>
              <w:ind w:right="8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w:t>
            </w:r>
          </w:p>
        </w:tc>
      </w:tr>
      <w:tr>
        <w:trPr>
          <w:trHeight w:val="195"/>
        </w:trPr>
        <w:tc>
          <w:tcPr>
            <w:tcW w:w="332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499"/>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b w:val="1"/>
                <w:bCs w:val="1"/>
                <w:color w:val="auto"/>
              </w:rPr>
              <w:t>50436</w:t>
            </w:r>
          </w:p>
        </w:tc>
      </w:tr>
      <w:tr>
        <w:trPr>
          <w:trHeight w:val="224"/>
        </w:trPr>
        <w:tc>
          <w:tcPr>
            <w:tcW w:w="332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473"/>
        </w:trPr>
        <w:tc>
          <w:tcPr>
            <w:tcW w:w="5960" w:type="dxa"/>
            <w:vAlign w:val="bottom"/>
            <w:gridSpan w:val="3"/>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ind w:right="76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5" w:lineRule="exact"/>
        <w:rPr>
          <w:sz w:val="20"/>
          <w:szCs w:val="20"/>
          <w:color w:val="auto"/>
        </w:rPr>
      </w:pPr>
    </w:p>
    <w:p>
      <w:pPr>
        <w:ind w:right="220" w:firstLine="8"/>
        <w:spacing w:after="0" w:line="260"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December 13, 2011, Raymond M. Beebe announced plans to retire as Vice President, General Counsel and Secretary of Winnebago Industries, Inc. (the “Company”), effective on or about June 1, 2012.</w:t>
      </w:r>
    </w:p>
    <w:p>
      <w:pPr>
        <w:spacing w:after="0" w:line="223" w:lineRule="exact"/>
        <w:rPr>
          <w:sz w:val="20"/>
          <w:szCs w:val="20"/>
          <w:color w:val="auto"/>
        </w:rPr>
      </w:pPr>
    </w:p>
    <w:p>
      <w:pPr>
        <w:ind w:right="80" w:firstLine="8"/>
        <w:spacing w:after="0" w:line="249"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previously reported on a Form 8-K filed by the Company on October 18, 2011, Joseph W. England has retired from the Board of Directors of the Company, effective December 14, 2011. On December 14, 2011, the Board of Directors appointed Gerald C. Kitch, whose term as a Class III director expired on December 13, 2011, to fill out the unexpired portion of Mr. England's term as a Class I director. Mr. Kitch will continue to serve as the Chairman of the Board's Human Resources Committee and as a member of the Nominating and Governance Committee. Mr. Kitch's compensation, tenure as a director of the Company and his business experience can be found in the Company's Proxy Statement for the Annual Meeting of Shareholders held on December 13, 2011 and such information is incorporated by reference herein.</w:t>
      </w:r>
    </w:p>
    <w:p>
      <w:pPr>
        <w:spacing w:after="0" w:line="3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7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Company held its annual meeting of shareholders (the “Annual Meeting”) on December 13, 2011. At the Annual Meeting, the Company's shareholders were asked to vote on four proposals: (1) the election of three Class III directors, (2) the ratification of the appointment of Deloitte &amp; Touche LLP as the Company's independent registered public accountants for the fiscal year ending August 25, 2012, (3) the advisory approval of executive compensation and (4) the advisory approval on the frequency of an executive compensation shareholder advisory vote. The results of the shareholder vote are set forth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Election of Directors.</w:t>
      </w: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shareholders elected three nominees, Robert J. Olson, Randy J. Potts and Mark T. Schroepfer, as Class III directors to hold office until the annual meeting of shareholders to be held following the Company's 2014 fiscal year and until his respective successor is duly elected and qualified. Information as to the vote on each director standing for election is provided below:</w:t>
      </w:r>
    </w:p>
    <w:p>
      <w:pPr>
        <w:spacing w:after="0" w:line="154" w:lineRule="exact"/>
        <w:rPr>
          <w:sz w:val="20"/>
          <w:szCs w:val="20"/>
          <w:color w:val="auto"/>
        </w:rPr>
      </w:pPr>
    </w:p>
    <w:tbl>
      <w:tblPr>
        <w:tblLayout w:type="fixed"/>
        <w:tblInd w:w="1460" w:type="dxa"/>
        <w:tblCellMar>
          <w:top w:w="0" w:type="dxa"/>
          <w:left w:w="0" w:type="dxa"/>
          <w:bottom w:w="0" w:type="dxa"/>
          <w:right w:w="0" w:type="dxa"/>
        </w:tblCellMar>
      </w:tblPr>
      <w:tr>
        <w:trPr>
          <w:trHeight w:val="228"/>
        </w:trPr>
        <w:tc>
          <w:tcPr>
            <w:tcW w:w="200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Name</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Votes Withheld</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Abstentions</w:t>
            </w:r>
          </w:p>
        </w:tc>
        <w:tc>
          <w:tcPr>
            <w:tcW w:w="24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37"/>
        </w:trPr>
        <w:tc>
          <w:tcPr>
            <w:tcW w:w="2240" w:type="dxa"/>
            <w:vAlign w:val="bottom"/>
            <w:gridSpan w:val="2"/>
          </w:tcPr>
          <w:p>
            <w:pPr>
              <w:ind w:left="20"/>
              <w:spacing w:after="0"/>
              <w:rPr>
                <w:sz w:val="20"/>
                <w:szCs w:val="20"/>
                <w:color w:val="auto"/>
              </w:rPr>
            </w:pPr>
            <w:r>
              <w:rPr>
                <w:rFonts w:ascii="Arial" w:cs="Arial" w:eastAsia="Arial" w:hAnsi="Arial"/>
                <w:sz w:val="16"/>
                <w:szCs w:val="16"/>
                <w:color w:val="auto"/>
              </w:rPr>
              <w:t>Robert J. Olson</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22,111,837</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239,257</w:t>
            </w:r>
          </w:p>
        </w:tc>
        <w:tc>
          <w:tcPr>
            <w:tcW w:w="24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3,577,225</w:t>
            </w:r>
          </w:p>
        </w:tc>
      </w:tr>
      <w:tr>
        <w:trPr>
          <w:trHeight w:val="270"/>
        </w:trPr>
        <w:tc>
          <w:tcPr>
            <w:tcW w:w="2240" w:type="dxa"/>
            <w:vAlign w:val="bottom"/>
            <w:gridSpan w:val="2"/>
          </w:tcPr>
          <w:p>
            <w:pPr>
              <w:ind w:left="20"/>
              <w:spacing w:after="0"/>
              <w:rPr>
                <w:sz w:val="20"/>
                <w:szCs w:val="20"/>
                <w:color w:val="auto"/>
              </w:rPr>
            </w:pPr>
            <w:r>
              <w:rPr>
                <w:rFonts w:ascii="Arial" w:cs="Arial" w:eastAsia="Arial" w:hAnsi="Arial"/>
                <w:sz w:val="16"/>
                <w:szCs w:val="16"/>
                <w:color w:val="auto"/>
              </w:rPr>
              <w:t>Randy J. Potts</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22,218,448</w:t>
            </w:r>
          </w:p>
        </w:tc>
        <w:tc>
          <w:tcPr>
            <w:tcW w:w="24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132,646</w:t>
            </w:r>
          </w:p>
        </w:tc>
        <w:tc>
          <w:tcPr>
            <w:tcW w:w="240" w:type="dxa"/>
            <w:vAlign w:val="bottom"/>
          </w:tcPr>
          <w:p>
            <w:pPr>
              <w:spacing w:after="0"/>
              <w:rPr>
                <w:sz w:val="23"/>
                <w:szCs w:val="23"/>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3,577,225</w:t>
            </w:r>
          </w:p>
        </w:tc>
      </w:tr>
      <w:tr>
        <w:trPr>
          <w:trHeight w:val="270"/>
        </w:trPr>
        <w:tc>
          <w:tcPr>
            <w:tcW w:w="2240" w:type="dxa"/>
            <w:vAlign w:val="bottom"/>
            <w:gridSpan w:val="2"/>
          </w:tcPr>
          <w:p>
            <w:pPr>
              <w:ind w:left="20"/>
              <w:spacing w:after="0"/>
              <w:rPr>
                <w:sz w:val="20"/>
                <w:szCs w:val="20"/>
                <w:color w:val="auto"/>
              </w:rPr>
            </w:pPr>
            <w:r>
              <w:rPr>
                <w:rFonts w:ascii="Arial" w:cs="Arial" w:eastAsia="Arial" w:hAnsi="Arial"/>
                <w:sz w:val="16"/>
                <w:szCs w:val="16"/>
                <w:color w:val="auto"/>
              </w:rPr>
              <w:t>Mark T. Schroepfer</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22,221,921</w:t>
            </w:r>
          </w:p>
        </w:tc>
        <w:tc>
          <w:tcPr>
            <w:tcW w:w="24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129,173</w:t>
            </w:r>
          </w:p>
        </w:tc>
        <w:tc>
          <w:tcPr>
            <w:tcW w:w="240" w:type="dxa"/>
            <w:vAlign w:val="bottom"/>
          </w:tcPr>
          <w:p>
            <w:pPr>
              <w:spacing w:after="0"/>
              <w:rPr>
                <w:sz w:val="23"/>
                <w:szCs w:val="23"/>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3,577,225</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Ratification of the Appointment of Independent Registered Public Accountants for the Fiscal Year Ending August 25, 2012.</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Shareholders ratified the appointment of Deloitte &amp; Touche LLP as the Company's independent registered public accountants for the fiscal year ending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August 25, 2012, as set forth below:</w:t>
      </w:r>
    </w:p>
    <w:p>
      <w:pPr>
        <w:spacing w:after="0" w:line="147" w:lineRule="exact"/>
        <w:rPr>
          <w:sz w:val="20"/>
          <w:szCs w:val="20"/>
          <w:color w:val="auto"/>
        </w:rPr>
      </w:pPr>
    </w:p>
    <w:tbl>
      <w:tblPr>
        <w:tblLayout w:type="fixed"/>
        <w:tblInd w:w="1460" w:type="dxa"/>
        <w:tblCellMar>
          <w:top w:w="0" w:type="dxa"/>
          <w:left w:w="0" w:type="dxa"/>
          <w:bottom w:w="0" w:type="dxa"/>
          <w:right w:w="0" w:type="dxa"/>
        </w:tblCellMar>
      </w:tblPr>
      <w:tr>
        <w:trPr>
          <w:trHeight w:val="228"/>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25,771,447</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131,447</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25,425</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Proposal for an Advisory Vote on Executive Compensation (the “Say on Pay” Vote).</w:t>
      </w:r>
    </w:p>
    <w:p>
      <w:pPr>
        <w:spacing w:after="0" w:line="27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Company's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27" w:lineRule="exact"/>
        <w:rPr>
          <w:sz w:val="20"/>
          <w:szCs w:val="20"/>
          <w:color w:val="auto"/>
        </w:rPr>
      </w:pPr>
    </w:p>
    <w:tbl>
      <w:tblPr>
        <w:tblLayout w:type="fixed"/>
        <w:tblInd w:w="1460" w:type="dxa"/>
        <w:tblCellMar>
          <w:top w:w="0" w:type="dxa"/>
          <w:left w:w="0" w:type="dxa"/>
          <w:bottom w:w="0" w:type="dxa"/>
          <w:right w:w="0" w:type="dxa"/>
        </w:tblCellMar>
      </w:tblPr>
      <w:tr>
        <w:trPr>
          <w:trHeight w:val="228"/>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21,931,227</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276,822</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143,045</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3,577,225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60"/>
          </w:cols>
          <w:pgMar w:left="240" w:top="819"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4 - Proposal for an Advisory Vote on the Frequency of “Say on Pay” Votes.</w:t>
      </w:r>
    </w:p>
    <w:p>
      <w:pPr>
        <w:spacing w:after="0" w:line="277"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Company's shareholders approved, on an advisory basis, the holding of a shareholder advisory vote on executive compensation every year, as set forth below:</w:t>
      </w:r>
    </w:p>
    <w:p>
      <w:pPr>
        <w:spacing w:after="0" w:line="122" w:lineRule="exact"/>
        <w:rPr>
          <w:sz w:val="20"/>
          <w:szCs w:val="20"/>
          <w:color w:val="auto"/>
        </w:rPr>
      </w:pPr>
    </w:p>
    <w:tbl>
      <w:tblPr>
        <w:tblLayout w:type="fixed"/>
        <w:tblInd w:w="146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Every Two</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Every Three</w:t>
            </w: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Broker</w:t>
            </w:r>
          </w:p>
        </w:tc>
      </w:tr>
      <w:tr>
        <w:trPr>
          <w:trHeight w:val="228"/>
        </w:trPr>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Every Year</w:t>
            </w: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Years</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Years</w:t>
            </w: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Abstentions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Non-Votes</w:t>
            </w:r>
          </w:p>
        </w:tc>
      </w:tr>
      <w:tr>
        <w:trPr>
          <w:trHeight w:val="237"/>
        </w:trPr>
        <w:tc>
          <w:tcPr>
            <w:tcW w:w="134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20,098,909</w:t>
            </w:r>
          </w:p>
        </w:tc>
        <w:tc>
          <w:tcPr>
            <w:tcW w:w="32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29,584</w:t>
            </w:r>
          </w:p>
        </w:tc>
        <w:tc>
          <w:tcPr>
            <w:tcW w:w="340" w:type="dxa"/>
            <w:vAlign w:val="bottom"/>
          </w:tcPr>
          <w:p>
            <w:pPr>
              <w:spacing w:after="0"/>
              <w:rPr>
                <w:sz w:val="20"/>
                <w:szCs w:val="20"/>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2,079,967</w:t>
            </w:r>
          </w:p>
        </w:tc>
        <w:tc>
          <w:tcPr>
            <w:tcW w:w="340" w:type="dxa"/>
            <w:vAlign w:val="bottom"/>
          </w:tcPr>
          <w:p>
            <w:pPr>
              <w:spacing w:after="0"/>
              <w:rPr>
                <w:sz w:val="20"/>
                <w:szCs w:val="20"/>
                <w:color w:val="auto"/>
              </w:rPr>
            </w:pPr>
          </w:p>
        </w:tc>
        <w:tc>
          <w:tcPr>
            <w:tcW w:w="14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142,634</w:t>
            </w:r>
          </w:p>
        </w:tc>
        <w:tc>
          <w:tcPr>
            <w:tcW w:w="34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3,577,225</w:t>
            </w:r>
          </w:p>
        </w:tc>
      </w:tr>
    </w:tbl>
    <w:p>
      <w:pPr>
        <w:spacing w:after="0" w:line="265"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Based on these voting results, and consistent with the recommendation of the Company's Board of Directors, the Board has determined that the Company will hold a shareholder advisory vote on the compensation of the Company's named executive officers, as set forth in the Company's proxy statement, every year until the Board decides to hold the next shareholder advisory vote on the frequency of such executive compensation advisory votes.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6"/>
          <w:szCs w:val="16"/>
          <w:b w:val="1"/>
          <w:bCs w:val="1"/>
          <w:color w:val="auto"/>
        </w:rPr>
        <w:t>IGNATURES</w:t>
      </w:r>
    </w:p>
    <w:p>
      <w:pPr>
        <w:spacing w:after="0" w:line="22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100" w:type="dxa"/>
            <w:vAlign w:val="bottom"/>
            <w:gridSpan w:val="2"/>
          </w:tcPr>
          <w:p>
            <w:pPr>
              <w:ind w:left="1060"/>
              <w:spacing w:after="0"/>
              <w:rPr>
                <w:sz w:val="20"/>
                <w:szCs w:val="20"/>
                <w:color w:val="auto"/>
              </w:rPr>
            </w:pPr>
            <w:r>
              <w:rPr>
                <w:rFonts w:ascii="Arial" w:cs="Arial" w:eastAsia="Arial" w:hAnsi="Arial"/>
                <w:sz w:val="20"/>
                <w:szCs w:val="20"/>
                <w:color w:val="auto"/>
              </w:rPr>
              <w:t>W</w:t>
            </w:r>
            <w:r>
              <w:rPr>
                <w:rFonts w:ascii="Arial" w:cs="Arial" w:eastAsia="Arial" w:hAnsi="Arial"/>
                <w:sz w:val="16"/>
                <w:szCs w:val="16"/>
                <w:color w:val="auto"/>
              </w:rPr>
              <w:t>INNEBAGO INDUSTRIES, INC.</w:t>
            </w:r>
          </w:p>
        </w:tc>
      </w:tr>
      <w:tr>
        <w:trPr>
          <w:trHeight w:val="516"/>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80" w:type="dxa"/>
            <w:vAlign w:val="bottom"/>
          </w:tcPr>
          <w:p>
            <w:pPr>
              <w:ind w:left="200"/>
              <w:spacing w:after="0"/>
              <w:rPr>
                <w:sz w:val="20"/>
                <w:szCs w:val="20"/>
                <w:color w:val="auto"/>
              </w:rPr>
            </w:pPr>
            <w:r>
              <w:rPr>
                <w:rFonts w:ascii="Arial" w:cs="Arial" w:eastAsia="Arial" w:hAnsi="Arial"/>
                <w:sz w:val="16"/>
                <w:szCs w:val="16"/>
                <w:color w:val="auto"/>
              </w:rPr>
              <w:t>December 16, 2011</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Randy J. Potts</w:t>
            </w:r>
          </w:p>
        </w:tc>
      </w:tr>
      <w:tr>
        <w:trPr>
          <w:trHeight w:val="237"/>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6260" w:type="dxa"/>
            <w:vAlign w:val="bottom"/>
          </w:tcPr>
          <w:p>
            <w:pPr>
              <w:ind w:left="20"/>
              <w:spacing w:after="0"/>
              <w:rPr>
                <w:sz w:val="20"/>
                <w:szCs w:val="20"/>
                <w:color w:val="auto"/>
              </w:rPr>
            </w:pPr>
            <w:r>
              <w:rPr>
                <w:rFonts w:ascii="Arial" w:cs="Arial" w:eastAsia="Arial" w:hAnsi="Arial"/>
                <w:sz w:val="16"/>
                <w:szCs w:val="16"/>
                <w:color w:val="auto"/>
              </w:rPr>
              <w:t>Randy J. Potts</w:t>
            </w:r>
          </w:p>
        </w:tc>
      </w:tr>
      <w:tr>
        <w:trPr>
          <w:trHeight w:val="270"/>
        </w:trPr>
        <w:tc>
          <w:tcPr>
            <w:tcW w:w="6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6260" w:type="dxa"/>
            <w:vAlign w:val="bottom"/>
          </w:tcPr>
          <w:p>
            <w:pPr>
              <w:ind w:left="20"/>
              <w:spacing w:after="0"/>
              <w:rPr>
                <w:sz w:val="20"/>
                <w:szCs w:val="20"/>
                <w:color w:val="auto"/>
              </w:rPr>
            </w:pPr>
            <w:r>
              <w:rPr>
                <w:rFonts w:ascii="Arial" w:cs="Arial" w:eastAsia="Arial" w:hAnsi="Arial"/>
                <w:sz w:val="16"/>
                <w:szCs w:val="16"/>
                <w:color w:val="auto"/>
              </w:rPr>
              <w:t>Chief Executive Officer and President</w:t>
            </w:r>
          </w:p>
        </w:tc>
      </w:tr>
      <w:tr>
        <w:trPr>
          <w:trHeight w:val="459"/>
        </w:trPr>
        <w:tc>
          <w:tcPr>
            <w:tcW w:w="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60" w:type="dxa"/>
            <w:vAlign w:val="bottom"/>
          </w:tcPr>
          <w:p>
            <w:pPr>
              <w:jc w:val="right"/>
              <w:ind w:right="5579"/>
              <w:spacing w:after="0"/>
              <w:rPr>
                <w:sz w:val="20"/>
                <w:szCs w:val="20"/>
                <w:color w:val="auto"/>
              </w:rPr>
            </w:pPr>
            <w:r>
              <w:rPr>
                <w:rFonts w:ascii="Arial" w:cs="Arial" w:eastAsia="Arial" w:hAnsi="Arial"/>
                <w:sz w:val="16"/>
                <w:szCs w:val="16"/>
                <w:color w:val="auto"/>
              </w:rPr>
              <w:t>2</w:t>
            </w:r>
          </w:p>
        </w:tc>
      </w:tr>
    </w:tbl>
    <w:p>
      <w:pPr>
        <w:spacing w:after="0" w:line="1" w:lineRule="exact"/>
        <w:rPr>
          <w:sz w:val="20"/>
          <w:szCs w:val="20"/>
          <w:color w:val="auto"/>
        </w:rPr>
      </w:pP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2019-12-10T04:18:47Z</dcterms:created>
  <dcterms:modified xsi:type="dcterms:W3CDTF">2019-12-10T04:18:47Z</dcterms:modified>
</cp:coreProperties>
</file>