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226060</wp:posOffset>
            </wp:positionH>
            <wp:positionV relativeFrom="page">
              <wp:posOffset>637540</wp:posOffset>
            </wp:positionV>
            <wp:extent cx="7109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page">
              <wp:posOffset>226060</wp:posOffset>
            </wp:positionH>
            <wp:positionV relativeFrom="page">
              <wp:posOffset>534670</wp:posOffset>
            </wp:positionV>
            <wp:extent cx="710946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9460" cy="2603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224790</wp:posOffset>
            </wp:positionV>
            <wp:extent cx="13722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196215</wp:posOffset>
            </wp:positionV>
            <wp:extent cx="13722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72235" cy="17145"/>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CURRENT REPORT</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Date of report (Date of earliest event reported) December 16,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2938145</wp:posOffset>
            </wp:positionH>
            <wp:positionV relativeFrom="paragraph">
              <wp:posOffset>833755</wp:posOffset>
            </wp:positionV>
            <wp:extent cx="13804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1714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147955</wp:posOffset>
            </wp:positionV>
            <wp:extent cx="3267075" cy="462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67075"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Winnebago Industries, Inc.</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379" w:lineRule="exact"/>
        <w:rPr>
          <w:sz w:val="24"/>
          <w:szCs w:val="24"/>
          <w:color w:val="auto"/>
        </w:rPr>
      </w:pPr>
    </w:p>
    <w:tbl>
      <w:tblPr>
        <w:tblLayout w:type="fixed"/>
        <w:tblInd w:w="1100" w:type="dxa"/>
        <w:tblCellMar>
          <w:top w:w="0" w:type="dxa"/>
          <w:left w:w="0" w:type="dxa"/>
          <w:bottom w:w="0" w:type="dxa"/>
          <w:right w:w="0" w:type="dxa"/>
        </w:tblCellMar>
      </w:tblPr>
      <w:tr>
        <w:trPr>
          <w:trHeight w:val="246"/>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Iowa</w:t>
            </w:r>
          </w:p>
        </w:tc>
        <w:tc>
          <w:tcPr>
            <w:tcW w:w="2660" w:type="dxa"/>
            <w:vAlign w:val="bottom"/>
            <w:tcBorders>
              <w:bottom w:val="single" w:sz="8" w:color="auto"/>
            </w:tcBorders>
          </w:tcPr>
          <w:p>
            <w:pPr>
              <w:jc w:val="right"/>
              <w:ind w:right="890"/>
              <w:spacing w:after="0"/>
              <w:rPr>
                <w:sz w:val="20"/>
                <w:szCs w:val="20"/>
                <w:color w:val="auto"/>
              </w:rPr>
            </w:pPr>
            <w:r>
              <w:rPr>
                <w:rFonts w:ascii="Arial" w:cs="Arial" w:eastAsia="Arial" w:hAnsi="Arial"/>
                <w:sz w:val="18"/>
                <w:szCs w:val="18"/>
                <w:b w:val="1"/>
                <w:bCs w:val="1"/>
                <w:color w:val="auto"/>
              </w:rPr>
              <w:t>001-06403</w:t>
            </w:r>
          </w:p>
        </w:tc>
        <w:tc>
          <w:tcPr>
            <w:tcW w:w="3120" w:type="dxa"/>
            <w:vAlign w:val="bottom"/>
            <w:tcBorders>
              <w:bottom w:val="single" w:sz="8" w:color="auto"/>
            </w:tcBorders>
          </w:tcPr>
          <w:p>
            <w:pPr>
              <w:jc w:val="right"/>
              <w:ind w:right="1010"/>
              <w:spacing w:after="0"/>
              <w:rPr>
                <w:sz w:val="20"/>
                <w:szCs w:val="20"/>
                <w:color w:val="auto"/>
              </w:rPr>
            </w:pPr>
            <w:r>
              <w:rPr>
                <w:rFonts w:ascii="Arial" w:cs="Arial" w:eastAsia="Arial" w:hAnsi="Arial"/>
                <w:sz w:val="18"/>
                <w:szCs w:val="18"/>
                <w:b w:val="1"/>
                <w:bCs w:val="1"/>
                <w:color w:val="auto"/>
              </w:rPr>
              <w:t>42-0802678</w:t>
            </w:r>
          </w:p>
        </w:tc>
      </w:tr>
      <w:tr>
        <w:trPr>
          <w:trHeight w:val="229"/>
        </w:trPr>
        <w:tc>
          <w:tcPr>
            <w:tcW w:w="3440" w:type="dxa"/>
            <w:vAlign w:val="bottom"/>
          </w:tcPr>
          <w:p>
            <w:pPr>
              <w:jc w:val="center"/>
              <w:ind w:right="10"/>
              <w:spacing w:after="0"/>
              <w:rPr>
                <w:sz w:val="20"/>
                <w:szCs w:val="20"/>
                <w:color w:val="auto"/>
              </w:rPr>
            </w:pPr>
            <w:r>
              <w:rPr>
                <w:rFonts w:ascii="Arial" w:cs="Arial" w:eastAsia="Arial" w:hAnsi="Arial"/>
                <w:sz w:val="18"/>
                <w:szCs w:val="18"/>
                <w:color w:val="auto"/>
                <w:w w:val="99"/>
              </w:rPr>
              <w:t>(State or Other Jurisdiction</w:t>
            </w:r>
          </w:p>
        </w:tc>
        <w:tc>
          <w:tcPr>
            <w:tcW w:w="2660" w:type="dxa"/>
            <w:vAlign w:val="bottom"/>
          </w:tcPr>
          <w:p>
            <w:pPr>
              <w:jc w:val="center"/>
              <w:ind w:right="70"/>
              <w:spacing w:after="0"/>
              <w:rPr>
                <w:sz w:val="20"/>
                <w:szCs w:val="20"/>
                <w:color w:val="auto"/>
              </w:rPr>
            </w:pPr>
            <w:r>
              <w:rPr>
                <w:rFonts w:ascii="Arial" w:cs="Arial" w:eastAsia="Arial" w:hAnsi="Arial"/>
                <w:sz w:val="18"/>
                <w:szCs w:val="18"/>
                <w:color w:val="auto"/>
                <w:w w:val="99"/>
              </w:rPr>
              <w:t>(Commission File Number)</w:t>
            </w: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(IRS Employer</w:t>
            </w:r>
          </w:p>
        </w:tc>
      </w:tr>
      <w:tr>
        <w:trPr>
          <w:trHeight w:val="217"/>
        </w:trPr>
        <w:tc>
          <w:tcPr>
            <w:tcW w:w="3440" w:type="dxa"/>
            <w:vAlign w:val="bottom"/>
          </w:tcPr>
          <w:p>
            <w:pPr>
              <w:jc w:val="center"/>
              <w:ind w:right="30"/>
              <w:spacing w:after="0"/>
              <w:rPr>
                <w:sz w:val="20"/>
                <w:szCs w:val="20"/>
                <w:color w:val="auto"/>
              </w:rPr>
            </w:pPr>
            <w:r>
              <w:rPr>
                <w:rFonts w:ascii="Arial" w:cs="Arial" w:eastAsia="Arial" w:hAnsi="Arial"/>
                <w:sz w:val="18"/>
                <w:szCs w:val="18"/>
                <w:color w:val="auto"/>
              </w:rPr>
              <w:t>of Incorporation)</w:t>
            </w:r>
          </w:p>
        </w:tc>
        <w:tc>
          <w:tcPr>
            <w:tcW w:w="2660" w:type="dxa"/>
            <w:vAlign w:val="bottom"/>
          </w:tcPr>
          <w:p>
            <w:pPr>
              <w:spacing w:after="0"/>
              <w:rPr>
                <w:sz w:val="18"/>
                <w:szCs w:val="18"/>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9"/>
              </w:rPr>
              <w:t>Identification No.)</w:t>
            </w:r>
          </w:p>
        </w:tc>
      </w:tr>
      <w:tr>
        <w:trPr>
          <w:trHeight w:val="520"/>
        </w:trPr>
        <w:tc>
          <w:tcPr>
            <w:tcW w:w="34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8"/>
              </w:rPr>
              <w:t>P.O. Box 152, Forest City, Iowa</w:t>
            </w:r>
          </w:p>
        </w:tc>
        <w:tc>
          <w:tcPr>
            <w:tcW w:w="2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jc w:val="right"/>
              <w:ind w:right="1250"/>
              <w:spacing w:after="0"/>
              <w:rPr>
                <w:sz w:val="20"/>
                <w:szCs w:val="20"/>
                <w:color w:val="auto"/>
              </w:rPr>
            </w:pPr>
            <w:r>
              <w:rPr>
                <w:rFonts w:ascii="Arial" w:cs="Arial" w:eastAsia="Arial" w:hAnsi="Arial"/>
                <w:sz w:val="18"/>
                <w:szCs w:val="18"/>
                <w:b w:val="1"/>
                <w:bCs w:val="1"/>
                <w:color w:val="auto"/>
              </w:rPr>
              <w:t>50436</w:t>
            </w:r>
          </w:p>
        </w:tc>
      </w:tr>
      <w:tr>
        <w:trPr>
          <w:trHeight w:val="243"/>
        </w:trPr>
        <w:tc>
          <w:tcPr>
            <w:tcW w:w="3440" w:type="dxa"/>
            <w:vAlign w:val="bottom"/>
          </w:tcPr>
          <w:p>
            <w:pPr>
              <w:jc w:val="center"/>
              <w:ind w:right="30"/>
              <w:spacing w:after="0"/>
              <w:rPr>
                <w:sz w:val="20"/>
                <w:szCs w:val="20"/>
                <w:color w:val="auto"/>
              </w:rPr>
            </w:pPr>
            <w:r>
              <w:rPr>
                <w:rFonts w:ascii="Arial" w:cs="Arial" w:eastAsia="Arial" w:hAnsi="Arial"/>
                <w:sz w:val="18"/>
                <w:szCs w:val="18"/>
                <w:color w:val="auto"/>
                <w:w w:val="99"/>
              </w:rPr>
              <w:t>(Address of Principal Executive Offices)</w:t>
            </w:r>
          </w:p>
        </w:tc>
        <w:tc>
          <w:tcPr>
            <w:tcW w:w="2660" w:type="dxa"/>
            <w:vAlign w:val="bottom"/>
          </w:tcPr>
          <w:p>
            <w:pPr>
              <w:spacing w:after="0"/>
              <w:rPr>
                <w:sz w:val="21"/>
                <w:szCs w:val="21"/>
                <w:color w:val="auto"/>
              </w:rPr>
            </w:pPr>
          </w:p>
        </w:tc>
        <w:tc>
          <w:tcPr>
            <w:tcW w:w="3120" w:type="dxa"/>
            <w:vAlign w:val="bottom"/>
          </w:tcPr>
          <w:p>
            <w:pPr>
              <w:jc w:val="center"/>
              <w:spacing w:after="0"/>
              <w:rPr>
                <w:sz w:val="20"/>
                <w:szCs w:val="20"/>
                <w:color w:val="auto"/>
              </w:rPr>
            </w:pPr>
            <w:r>
              <w:rPr>
                <w:rFonts w:ascii="Arial" w:cs="Arial" w:eastAsia="Arial" w:hAnsi="Arial"/>
                <w:sz w:val="18"/>
                <w:szCs w:val="18"/>
                <w:color w:val="auto"/>
                <w:w w:val="98"/>
              </w:rPr>
              <w:t>(Zip Code)</w:t>
            </w:r>
          </w:p>
        </w:tc>
      </w:tr>
      <w:tr>
        <w:trPr>
          <w:trHeight w:val="486"/>
        </w:trPr>
        <w:tc>
          <w:tcPr>
            <w:tcW w:w="6100" w:type="dxa"/>
            <w:vAlign w:val="bottom"/>
            <w:gridSpan w:val="2"/>
          </w:tcPr>
          <w:p>
            <w:pPr>
              <w:ind w:left="1940"/>
              <w:spacing w:after="0"/>
              <w:rPr>
                <w:sz w:val="20"/>
                <w:szCs w:val="20"/>
                <w:color w:val="auto"/>
              </w:rPr>
            </w:pPr>
            <w:r>
              <w:rPr>
                <w:rFonts w:ascii="Arial" w:cs="Arial" w:eastAsia="Arial" w:hAnsi="Arial"/>
                <w:sz w:val="18"/>
                <w:szCs w:val="18"/>
                <w:color w:val="auto"/>
              </w:rPr>
              <w:t>Registrant's telephone number, including area code</w:t>
            </w:r>
          </w:p>
        </w:tc>
        <w:tc>
          <w:tcPr>
            <w:tcW w:w="3120" w:type="dxa"/>
            <w:vAlign w:val="bottom"/>
          </w:tcPr>
          <w:p>
            <w:pPr>
              <w:jc w:val="right"/>
              <w:ind w:right="1830"/>
              <w:spacing w:after="0"/>
              <w:rPr>
                <w:sz w:val="20"/>
                <w:szCs w:val="20"/>
                <w:color w:val="auto"/>
              </w:rPr>
            </w:pPr>
            <w:r>
              <w:rPr>
                <w:rFonts w:ascii="Arial" w:cs="Arial" w:eastAsia="Arial" w:hAnsi="Arial"/>
                <w:sz w:val="18"/>
                <w:szCs w:val="18"/>
                <w:b w:val="1"/>
                <w:bCs w:val="1"/>
                <w:color w:val="auto"/>
              </w:rPr>
              <w:t>641-585-3535</w:t>
            </w:r>
          </w:p>
        </w:tc>
      </w:tr>
    </w:tbl>
    <w:p>
      <w:pPr>
        <w:spacing w:after="0" w:line="256"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______________________________________________________________________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2946400</wp:posOffset>
            </wp:positionH>
            <wp:positionV relativeFrom="paragraph">
              <wp:posOffset>255270</wp:posOffset>
            </wp:positionV>
            <wp:extent cx="13633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6334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spacing w:after="0" w:line="262"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96"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177800</wp:posOffset>
            </wp:positionV>
            <wp:extent cx="710946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09460" cy="260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92075</wp:posOffset>
            </wp:positionV>
            <wp:extent cx="71094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ectPr>
          <w:pgSz w:w="11900" w:h="16838" w:orient="portrait"/>
          <w:cols w:equalWidth="0" w:num="1">
            <w:col w:w="11420"/>
          </w:cols>
          <w:pgMar w:left="240" w:top="1203" w:right="239" w:bottom="1440" w:gutter="0" w:footer="0" w:header="0"/>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277"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Winnebago Industries, ("the Company") held its annual meeting of shareholders (the “Annual Meeting”) on December 16, 2014. At the Annual Meeting, the Company's shareholders were asked to vote on three proposals: (1) the election of three Class III directors, (2) the advisory approval of executive compensation, and (3) the ratification of the appointment of Deloitte &amp; Touche LLP as the Company's independent registered public accountants for the fiscal year ending August 29, 2015. The results of the shareholder vote are set forth below.</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 Election of Directors.</w:t>
      </w:r>
    </w:p>
    <w:p>
      <w:pPr>
        <w:spacing w:after="0" w:line="27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Company shareholders elected three nominees, Randy J. Potts and Mark T. Schroepfer, as Class III directors to hold office until the annual meeting of shareholders to be held following the Company's 2017 fiscal year and until their respective successor is duly elected and qualified. Information as to the vote on each director standing for election is provided below:</w:t>
      </w:r>
    </w:p>
    <w:p>
      <w:pPr>
        <w:spacing w:after="0" w:line="154" w:lineRule="exact"/>
        <w:rPr>
          <w:sz w:val="20"/>
          <w:szCs w:val="20"/>
          <w:color w:val="auto"/>
        </w:rPr>
      </w:pPr>
    </w:p>
    <w:tbl>
      <w:tblPr>
        <w:tblLayout w:type="fixed"/>
        <w:tblInd w:w="1500" w:type="dxa"/>
        <w:tblCellMar>
          <w:top w:w="0" w:type="dxa"/>
          <w:left w:w="0" w:type="dxa"/>
          <w:bottom w:w="0" w:type="dxa"/>
          <w:right w:w="0" w:type="dxa"/>
        </w:tblCellMar>
      </w:tblPr>
      <w:tr>
        <w:trPr>
          <w:trHeight w:val="228"/>
        </w:trPr>
        <w:tc>
          <w:tcPr>
            <w:tcW w:w="1960" w:type="dxa"/>
            <w:vAlign w:val="bottom"/>
            <w:tcBorders>
              <w:bottom w:val="single" w:sz="8" w:color="auto"/>
            </w:tcBorders>
          </w:tcPr>
          <w:p>
            <w:pPr>
              <w:ind w:left="760"/>
              <w:spacing w:after="0"/>
              <w:rPr>
                <w:sz w:val="20"/>
                <w:szCs w:val="20"/>
                <w:color w:val="auto"/>
              </w:rPr>
            </w:pPr>
            <w:r>
              <w:rPr>
                <w:rFonts w:ascii="Arial" w:cs="Arial" w:eastAsia="Arial" w:hAnsi="Arial"/>
                <w:sz w:val="16"/>
                <w:szCs w:val="16"/>
                <w:b w:val="1"/>
                <w:bCs w:val="1"/>
                <w:color w:val="auto"/>
              </w:rPr>
              <w:t>Name</w:t>
            </w:r>
          </w:p>
        </w:tc>
        <w:tc>
          <w:tcPr>
            <w:tcW w:w="34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Votes For</w:t>
            </w:r>
          </w:p>
        </w:tc>
        <w:tc>
          <w:tcPr>
            <w:tcW w:w="360" w:type="dxa"/>
            <w:vAlign w:val="bottom"/>
          </w:tcPr>
          <w:p>
            <w:pPr>
              <w:spacing w:after="0"/>
              <w:rPr>
                <w:sz w:val="19"/>
                <w:szCs w:val="19"/>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Votes Withheld</w:t>
            </w:r>
          </w:p>
        </w:tc>
        <w:tc>
          <w:tcPr>
            <w:tcW w:w="360" w:type="dxa"/>
            <w:vAlign w:val="bottom"/>
          </w:tcPr>
          <w:p>
            <w:pPr>
              <w:spacing w:after="0"/>
              <w:rPr>
                <w:sz w:val="19"/>
                <w:szCs w:val="19"/>
                <w:color w:val="auto"/>
              </w:rPr>
            </w:pPr>
          </w:p>
        </w:tc>
        <w:tc>
          <w:tcPr>
            <w:tcW w:w="18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7"/>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Randy J. Potts</w:t>
            </w:r>
          </w:p>
        </w:tc>
        <w:tc>
          <w:tcPr>
            <w:tcW w:w="1800" w:type="dxa"/>
            <w:vAlign w:val="bottom"/>
          </w:tcPr>
          <w:p>
            <w:pPr>
              <w:jc w:val="center"/>
              <w:spacing w:after="0"/>
              <w:rPr>
                <w:sz w:val="20"/>
                <w:szCs w:val="20"/>
                <w:color w:val="auto"/>
              </w:rPr>
            </w:pPr>
            <w:r>
              <w:rPr>
                <w:rFonts w:ascii="Arial" w:cs="Arial" w:eastAsia="Arial" w:hAnsi="Arial"/>
                <w:sz w:val="16"/>
                <w:szCs w:val="16"/>
                <w:color w:val="auto"/>
              </w:rPr>
              <w:t>19,954,134</w:t>
            </w:r>
          </w:p>
        </w:tc>
        <w:tc>
          <w:tcPr>
            <w:tcW w:w="36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364,894</w:t>
            </w:r>
          </w:p>
        </w:tc>
        <w:tc>
          <w:tcPr>
            <w:tcW w:w="36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4,008,964</w:t>
            </w:r>
          </w:p>
        </w:tc>
      </w:tr>
      <w:tr>
        <w:trPr>
          <w:trHeight w:val="270"/>
        </w:trPr>
        <w:tc>
          <w:tcPr>
            <w:tcW w:w="2300" w:type="dxa"/>
            <w:vAlign w:val="bottom"/>
            <w:gridSpan w:val="2"/>
          </w:tcPr>
          <w:p>
            <w:pPr>
              <w:ind w:left="20"/>
              <w:spacing w:after="0"/>
              <w:rPr>
                <w:sz w:val="20"/>
                <w:szCs w:val="20"/>
                <w:color w:val="auto"/>
              </w:rPr>
            </w:pPr>
            <w:r>
              <w:rPr>
                <w:rFonts w:ascii="Arial" w:cs="Arial" w:eastAsia="Arial" w:hAnsi="Arial"/>
                <w:sz w:val="16"/>
                <w:szCs w:val="16"/>
                <w:color w:val="auto"/>
              </w:rPr>
              <w:t>Mark T. Schroepfer</w:t>
            </w:r>
          </w:p>
        </w:tc>
        <w:tc>
          <w:tcPr>
            <w:tcW w:w="1800" w:type="dxa"/>
            <w:vAlign w:val="bottom"/>
          </w:tcPr>
          <w:p>
            <w:pPr>
              <w:jc w:val="center"/>
              <w:spacing w:after="0"/>
              <w:rPr>
                <w:sz w:val="20"/>
                <w:szCs w:val="20"/>
                <w:color w:val="auto"/>
              </w:rPr>
            </w:pPr>
            <w:r>
              <w:rPr>
                <w:rFonts w:ascii="Arial" w:cs="Arial" w:eastAsia="Arial" w:hAnsi="Arial"/>
                <w:sz w:val="16"/>
                <w:szCs w:val="16"/>
                <w:color w:val="auto"/>
              </w:rPr>
              <w:t>20,179,089</w:t>
            </w:r>
          </w:p>
        </w:tc>
        <w:tc>
          <w:tcPr>
            <w:tcW w:w="360" w:type="dxa"/>
            <w:vAlign w:val="bottom"/>
          </w:tcPr>
          <w:p>
            <w:pPr>
              <w:spacing w:after="0"/>
              <w:rPr>
                <w:sz w:val="23"/>
                <w:szCs w:val="23"/>
                <w:color w:val="auto"/>
              </w:rPr>
            </w:pPr>
          </w:p>
        </w:tc>
        <w:tc>
          <w:tcPr>
            <w:tcW w:w="1800" w:type="dxa"/>
            <w:vAlign w:val="bottom"/>
          </w:tcPr>
          <w:p>
            <w:pPr>
              <w:jc w:val="center"/>
              <w:spacing w:after="0"/>
              <w:rPr>
                <w:sz w:val="20"/>
                <w:szCs w:val="20"/>
                <w:color w:val="auto"/>
              </w:rPr>
            </w:pPr>
            <w:r>
              <w:rPr>
                <w:rFonts w:ascii="Arial" w:cs="Arial" w:eastAsia="Arial" w:hAnsi="Arial"/>
                <w:sz w:val="16"/>
                <w:szCs w:val="16"/>
                <w:color w:val="auto"/>
              </w:rPr>
              <w:t>139,939</w:t>
            </w:r>
          </w:p>
        </w:tc>
        <w:tc>
          <w:tcPr>
            <w:tcW w:w="360" w:type="dxa"/>
            <w:vAlign w:val="bottom"/>
          </w:tcPr>
          <w:p>
            <w:pPr>
              <w:spacing w:after="0"/>
              <w:rPr>
                <w:sz w:val="23"/>
                <w:szCs w:val="23"/>
                <w:color w:val="auto"/>
              </w:rPr>
            </w:pPr>
          </w:p>
        </w:tc>
        <w:tc>
          <w:tcPr>
            <w:tcW w:w="1820" w:type="dxa"/>
            <w:vAlign w:val="bottom"/>
          </w:tcPr>
          <w:p>
            <w:pPr>
              <w:jc w:val="center"/>
              <w:spacing w:after="0"/>
              <w:rPr>
                <w:sz w:val="20"/>
                <w:szCs w:val="20"/>
                <w:color w:val="auto"/>
              </w:rPr>
            </w:pPr>
            <w:r>
              <w:rPr>
                <w:rFonts w:ascii="Arial" w:cs="Arial" w:eastAsia="Arial" w:hAnsi="Arial"/>
                <w:sz w:val="16"/>
                <w:szCs w:val="16"/>
                <w:color w:val="auto"/>
              </w:rPr>
              <w:t>4,008,964</w:t>
            </w:r>
          </w:p>
        </w:tc>
      </w:tr>
    </w:tbl>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 Advisory Approval Vote on Executive Compensation (the “Say on Pay” Vote).</w:t>
      </w:r>
    </w:p>
    <w:p>
      <w:pPr>
        <w:spacing w:after="0" w:line="277"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Company shareholders approved, on an advisory basis, the compensation of certain executives as disclosed in the Compensation Discussion and Analysis, the compensation tables and other narrative executive compensation disclosures in the definitive proxy statement relating to the Annual Meeting, as set forth below:</w:t>
      </w:r>
    </w:p>
    <w:p>
      <w:pPr>
        <w:spacing w:after="0" w:line="127" w:lineRule="exact"/>
        <w:rPr>
          <w:sz w:val="20"/>
          <w:szCs w:val="20"/>
          <w:color w:val="auto"/>
        </w:rPr>
      </w:pPr>
    </w:p>
    <w:tbl>
      <w:tblPr>
        <w:tblLayout w:type="fixed"/>
        <w:tblInd w:w="1460" w:type="dxa"/>
        <w:tblCellMar>
          <w:top w:w="0" w:type="dxa"/>
          <w:left w:w="0" w:type="dxa"/>
          <w:bottom w:w="0" w:type="dxa"/>
          <w:right w:w="0" w:type="dxa"/>
        </w:tblCellMar>
      </w:tblPr>
      <w:tr>
        <w:trPr>
          <w:trHeight w:val="228"/>
        </w:trPr>
        <w:tc>
          <w:tcPr>
            <w:tcW w:w="2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Votes For</w:t>
            </w:r>
          </w:p>
        </w:tc>
        <w:tc>
          <w:tcPr>
            <w:tcW w:w="2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Abstentions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7"/>
        </w:trPr>
        <w:tc>
          <w:tcPr>
            <w:tcW w:w="17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19,977,996</w:t>
            </w:r>
          </w:p>
        </w:tc>
        <w:tc>
          <w:tcPr>
            <w:tcW w:w="420" w:type="dxa"/>
            <w:vAlign w:val="bottom"/>
          </w:tcPr>
          <w:p>
            <w:pPr>
              <w:spacing w:after="0"/>
              <w:rPr>
                <w:sz w:val="20"/>
                <w:szCs w:val="20"/>
                <w:color w:val="auto"/>
              </w:rPr>
            </w:pPr>
          </w:p>
        </w:tc>
        <w:tc>
          <w:tcPr>
            <w:tcW w:w="18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260,553</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80,479</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499"/>
              <w:spacing w:after="0"/>
              <w:rPr>
                <w:sz w:val="20"/>
                <w:szCs w:val="20"/>
                <w:color w:val="auto"/>
              </w:rPr>
            </w:pPr>
            <w:r>
              <w:rPr>
                <w:rFonts w:ascii="Arial" w:cs="Arial" w:eastAsia="Arial" w:hAnsi="Arial"/>
                <w:sz w:val="16"/>
                <w:szCs w:val="16"/>
                <w:color w:val="auto"/>
              </w:rPr>
              <w:t>4,008,964</w:t>
            </w: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 Ratification of the Appointment of Independent Registered Public Accountants for the Fiscal Year Ending August 30, 2014.</w:t>
      </w:r>
    </w:p>
    <w:p>
      <w:pPr>
        <w:spacing w:after="0" w:line="277" w:lineRule="exact"/>
        <w:rPr>
          <w:sz w:val="20"/>
          <w:szCs w:val="20"/>
          <w:color w:val="auto"/>
        </w:rPr>
      </w:pPr>
    </w:p>
    <w:p>
      <w:pPr>
        <w:ind w:right="280"/>
        <w:spacing w:after="0" w:line="260" w:lineRule="auto"/>
        <w:rPr>
          <w:sz w:val="20"/>
          <w:szCs w:val="20"/>
          <w:color w:val="auto"/>
        </w:rPr>
      </w:pPr>
      <w:r>
        <w:rPr>
          <w:rFonts w:ascii="Arial" w:cs="Arial" w:eastAsia="Arial" w:hAnsi="Arial"/>
          <w:sz w:val="16"/>
          <w:szCs w:val="16"/>
          <w:color w:val="auto"/>
        </w:rPr>
        <w:t>Company shareholders ratified the appointment of Deloitte &amp; Touche LLP as the Company's independent registered public accountants for the fiscal year ending August 29, 2015, as set forth below:</w:t>
      </w:r>
    </w:p>
    <w:p>
      <w:pPr>
        <w:spacing w:after="0" w:line="122" w:lineRule="exact"/>
        <w:rPr>
          <w:sz w:val="20"/>
          <w:szCs w:val="20"/>
          <w:color w:val="auto"/>
        </w:rPr>
      </w:pPr>
    </w:p>
    <w:tbl>
      <w:tblPr>
        <w:tblLayout w:type="fixed"/>
        <w:tblInd w:w="1460" w:type="dxa"/>
        <w:tblCellMar>
          <w:top w:w="0" w:type="dxa"/>
          <w:left w:w="0" w:type="dxa"/>
          <w:bottom w:w="0" w:type="dxa"/>
          <w:right w:w="0" w:type="dxa"/>
        </w:tblCellMar>
      </w:tblPr>
      <w:tr>
        <w:trPr>
          <w:trHeight w:val="228"/>
        </w:trPr>
        <w:tc>
          <w:tcPr>
            <w:tcW w:w="212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rPr>
              <w:t>Votes For</w:t>
            </w:r>
          </w:p>
        </w:tc>
        <w:tc>
          <w:tcPr>
            <w:tcW w:w="224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Votes Against</w:t>
            </w:r>
          </w:p>
        </w:tc>
        <w:tc>
          <w:tcPr>
            <w:tcW w:w="22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Abstentions</w:t>
            </w:r>
          </w:p>
        </w:tc>
        <w:tc>
          <w:tcPr>
            <w:tcW w:w="1880" w:type="dxa"/>
            <w:vAlign w:val="bottom"/>
          </w:tcPr>
          <w:p>
            <w:pPr>
              <w:jc w:val="center"/>
              <w:spacing w:after="0"/>
              <w:rPr>
                <w:sz w:val="20"/>
                <w:szCs w:val="20"/>
                <w:color w:val="auto"/>
              </w:rPr>
            </w:pPr>
            <w:r>
              <w:rPr>
                <w:rFonts w:ascii="Arial" w:cs="Arial" w:eastAsia="Arial" w:hAnsi="Arial"/>
                <w:sz w:val="16"/>
                <w:szCs w:val="16"/>
                <w:b w:val="1"/>
                <w:bCs w:val="1"/>
                <w:color w:val="auto"/>
                <w:w w:val="99"/>
              </w:rPr>
              <w:t>Broker Non-Votes</w:t>
            </w:r>
          </w:p>
        </w:tc>
      </w:tr>
      <w:tr>
        <w:trPr>
          <w:trHeight w:val="237"/>
        </w:trPr>
        <w:tc>
          <w:tcPr>
            <w:tcW w:w="1700" w:type="dxa"/>
            <w:vAlign w:val="bottom"/>
            <w:tcBorders>
              <w:top w:val="single" w:sz="8" w:color="auto"/>
            </w:tcBorders>
          </w:tcPr>
          <w:p>
            <w:pPr>
              <w:jc w:val="right"/>
              <w:ind w:right="379"/>
              <w:spacing w:after="0"/>
              <w:rPr>
                <w:sz w:val="20"/>
                <w:szCs w:val="20"/>
                <w:color w:val="auto"/>
              </w:rPr>
            </w:pPr>
            <w:r>
              <w:rPr>
                <w:rFonts w:ascii="Arial" w:cs="Arial" w:eastAsia="Arial" w:hAnsi="Arial"/>
                <w:sz w:val="16"/>
                <w:szCs w:val="16"/>
                <w:color w:val="auto"/>
              </w:rPr>
              <w:t>23,741,308</w:t>
            </w:r>
          </w:p>
        </w:tc>
        <w:tc>
          <w:tcPr>
            <w:tcW w:w="420" w:type="dxa"/>
            <w:vAlign w:val="bottom"/>
          </w:tcPr>
          <w:p>
            <w:pPr>
              <w:spacing w:after="0"/>
              <w:rPr>
                <w:sz w:val="20"/>
                <w:szCs w:val="20"/>
                <w:color w:val="auto"/>
              </w:rPr>
            </w:pPr>
          </w:p>
        </w:tc>
        <w:tc>
          <w:tcPr>
            <w:tcW w:w="1840" w:type="dxa"/>
            <w:vAlign w:val="bottom"/>
            <w:tcBorders>
              <w:top w:val="single" w:sz="8" w:color="auto"/>
            </w:tcBorders>
          </w:tcPr>
          <w:p>
            <w:pPr>
              <w:jc w:val="right"/>
              <w:ind w:right="539"/>
              <w:spacing w:after="0"/>
              <w:rPr>
                <w:sz w:val="20"/>
                <w:szCs w:val="20"/>
                <w:color w:val="auto"/>
              </w:rPr>
            </w:pPr>
            <w:r>
              <w:rPr>
                <w:rFonts w:ascii="Arial" w:cs="Arial" w:eastAsia="Arial" w:hAnsi="Arial"/>
                <w:sz w:val="16"/>
                <w:szCs w:val="16"/>
                <w:color w:val="auto"/>
              </w:rPr>
              <w:t>560,734</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right"/>
              <w:ind w:right="619"/>
              <w:spacing w:after="0"/>
              <w:rPr>
                <w:sz w:val="20"/>
                <w:szCs w:val="20"/>
                <w:color w:val="auto"/>
              </w:rPr>
            </w:pPr>
            <w:r>
              <w:rPr>
                <w:rFonts w:ascii="Arial" w:cs="Arial" w:eastAsia="Arial" w:hAnsi="Arial"/>
                <w:sz w:val="16"/>
                <w:szCs w:val="16"/>
                <w:color w:val="auto"/>
              </w:rPr>
              <w:t>25,950</w:t>
            </w:r>
          </w:p>
        </w:tc>
        <w:tc>
          <w:tcPr>
            <w:tcW w:w="400" w:type="dxa"/>
            <w:vAlign w:val="bottom"/>
          </w:tcPr>
          <w:p>
            <w:pPr>
              <w:spacing w:after="0"/>
              <w:rPr>
                <w:sz w:val="20"/>
                <w:szCs w:val="20"/>
                <w:color w:val="auto"/>
              </w:rPr>
            </w:pPr>
          </w:p>
        </w:tc>
        <w:tc>
          <w:tcPr>
            <w:tcW w:w="188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9"/>
              </w:rPr>
              <w:t>—</w:t>
            </w:r>
          </w:p>
        </w:tc>
      </w:tr>
    </w:tbl>
    <w:p>
      <w:pPr>
        <w:spacing w:after="0" w:line="200" w:lineRule="exact"/>
        <w:rPr>
          <w:sz w:val="20"/>
          <w:szCs w:val="20"/>
          <w:color w:val="auto"/>
        </w:rPr>
      </w:pPr>
    </w:p>
    <w:p>
      <w:pPr>
        <w:spacing w:after="0" w:line="233"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SIGNATURES</w:t>
      </w:r>
    </w:p>
    <w:p>
      <w:pPr>
        <w:spacing w:after="0" w:line="17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72"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WINNEBAGO INDUSTRIES, INC.</w:t>
      </w:r>
    </w:p>
    <w:p>
      <w:pPr>
        <w:spacing w:after="0" w:line="63" w:lineRule="exact"/>
        <w:rPr>
          <w:sz w:val="20"/>
          <w:szCs w:val="20"/>
          <w:color w:val="auto"/>
        </w:rPr>
      </w:pPr>
    </w:p>
    <w:p>
      <w:pPr>
        <w:ind w:left="3400"/>
        <w:spacing w:after="0"/>
        <w:rPr>
          <w:sz w:val="20"/>
          <w:szCs w:val="20"/>
          <w:color w:val="auto"/>
        </w:rPr>
      </w:pPr>
      <w:r>
        <w:rPr>
          <w:rFonts w:ascii="Arial" w:cs="Arial" w:eastAsia="Arial" w:hAnsi="Arial"/>
          <w:sz w:val="18"/>
          <w:szCs w:val="18"/>
          <w:color w:val="auto"/>
        </w:rPr>
        <w:t>(Registrant)</w:t>
      </w:r>
    </w:p>
    <w:p>
      <w:pPr>
        <w:spacing w:after="0" w:line="347" w:lineRule="exact"/>
        <w:rPr>
          <w:sz w:val="20"/>
          <w:szCs w:val="20"/>
          <w:color w:val="auto"/>
        </w:rPr>
      </w:pPr>
    </w:p>
    <w:p>
      <w:pPr>
        <w:ind w:left="40"/>
        <w:spacing w:after="0"/>
        <w:tabs>
          <w:tab w:leader="none" w:pos="3380" w:val="left"/>
          <w:tab w:leader="none" w:pos="4100" w:val="left"/>
        </w:tabs>
        <w:rPr>
          <w:sz w:val="20"/>
          <w:szCs w:val="20"/>
          <w:color w:val="auto"/>
        </w:rPr>
      </w:pPr>
      <w:r>
        <w:rPr>
          <w:rFonts w:ascii="Arial" w:cs="Arial" w:eastAsia="Arial" w:hAnsi="Arial"/>
          <w:sz w:val="18"/>
          <w:szCs w:val="18"/>
          <w:color w:val="auto"/>
        </w:rPr>
        <w:t>Dated:  December 17,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Randy J. Potts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2595245</wp:posOffset>
            </wp:positionH>
            <wp:positionV relativeFrom="paragraph">
              <wp:posOffset>14605</wp:posOffset>
            </wp:positionV>
            <wp:extent cx="32588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4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Randy J. Potts</w:t>
      </w:r>
    </w:p>
    <w:p>
      <w:pPr>
        <w:spacing w:after="0" w:line="63" w:lineRule="exact"/>
        <w:rPr>
          <w:sz w:val="20"/>
          <w:szCs w:val="20"/>
          <w:color w:val="auto"/>
        </w:rPr>
      </w:pPr>
    </w:p>
    <w:p>
      <w:pPr>
        <w:ind w:left="3400"/>
        <w:spacing w:after="0"/>
        <w:tabs>
          <w:tab w:leader="none" w:pos="41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Chairman of the Board, Chief Executive Officer and President</w:t>
      </w:r>
    </w:p>
    <w:sectPr>
      <w:pgSz w:w="11900" w:h="16838" w:orient="portrait"/>
      <w:cols w:equalWidth="0" w:num="1">
        <w:col w:w="11240"/>
      </w:cols>
      <w:pgMar w:left="240" w:top="576"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2019-12-05T16:00:59Z</dcterms:created>
  <dcterms:modified xsi:type="dcterms:W3CDTF">2019-12-05T16:00:59Z</dcterms:modified>
</cp:coreProperties>
</file>