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November 28, 2015</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143510</wp:posOffset>
            </wp:positionV>
            <wp:extent cx="3267075"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December 22, 2015 was 26,979,694.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20" w:type="dxa"/>
            <w:vAlign w:val="bottom"/>
            <w:gridSpan w:val="8"/>
          </w:tcPr>
          <w:p>
            <w:pPr>
              <w:jc w:val="center"/>
              <w:ind w:right="76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gridSpan w:val="7"/>
          </w:tcPr>
          <w:p>
            <w:pPr>
              <w:jc w:val="center"/>
              <w:ind w:right="82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20"/>
        </w:trPr>
        <w:tc>
          <w:tcPr>
            <w:tcW w:w="520" w:type="dxa"/>
            <w:vAlign w:val="bottom"/>
          </w:tcPr>
          <w:p>
            <w:pPr>
              <w:spacing w:after="0"/>
              <w:rPr>
                <w:rFonts w:ascii="Arial" w:cs="Arial" w:eastAsia="Arial" w:hAnsi="Arial"/>
                <w:sz w:val="16"/>
                <w:szCs w:val="16"/>
                <w:b w:val="1"/>
                <w:bCs w:val="1"/>
                <w:color w:val="0000EE"/>
                <w:w w:val="95"/>
              </w:rPr>
            </w:pPr>
            <w:hyperlink w:anchor="page3">
              <w:r>
                <w:rPr>
                  <w:rFonts w:ascii="Arial" w:cs="Arial" w:eastAsia="Arial" w:hAnsi="Arial"/>
                  <w:sz w:val="16"/>
                  <w:szCs w:val="16"/>
                  <w:b w:val="1"/>
                  <w:bCs w:val="1"/>
                  <w:color w:val="0000EE"/>
                  <w:w w:val="95"/>
                </w:rPr>
                <w:t>PART I</w:t>
              </w:r>
            </w:hyperlink>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28"/>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940" w:type="dxa"/>
            <w:vAlign w:val="bottom"/>
            <w:gridSpan w:val="2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tcBorders>
              <w:bottom w:val="single" w:sz="8" w:color="0000EE"/>
            </w:tcBorders>
            <w:gridSpan w:val="2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and Comprehensive Income</w:t>
              </w:r>
            </w:hyperlink>
          </w:p>
        </w:tc>
        <w:tc>
          <w:tcPr>
            <w:tcW w:w="206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w:t>
              </w:r>
            </w:hyperlink>
          </w:p>
        </w:tc>
        <w:tc>
          <w:tcPr>
            <w:tcW w:w="3820" w:type="dxa"/>
            <w:vAlign w:val="bottom"/>
            <w:gridSpan w:val="1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700" w:type="dxa"/>
            <w:vAlign w:val="bottom"/>
            <w:gridSpan w:val="27"/>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820" w:type="dxa"/>
            <w:vAlign w:val="bottom"/>
            <w:tcBorders>
              <w:top w:val="single" w:sz="8" w:color="0000EE"/>
            </w:tcBorders>
            <w:gridSpan w:val="5"/>
          </w:tcPr>
          <w:p>
            <w:pPr>
              <w:spacing w:after="0"/>
              <w:rPr>
                <w:sz w:val="21"/>
                <w:szCs w:val="21"/>
                <w:color w:val="auto"/>
              </w:rPr>
            </w:pPr>
          </w:p>
        </w:tc>
        <w:tc>
          <w:tcPr>
            <w:tcW w:w="356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gridSpan w:val="26"/>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1"/>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3: Investments and Fair Value Measurements</w:t>
              </w:r>
            </w:hyperlink>
          </w:p>
        </w:tc>
        <w:tc>
          <w:tcPr>
            <w:tcW w:w="284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8">
              <w:r>
                <w:rPr>
                  <w:rFonts w:ascii="Arial" w:cs="Arial" w:eastAsia="Arial" w:hAnsi="Arial"/>
                  <w:sz w:val="16"/>
                  <w:szCs w:val="16"/>
                  <w:color w:val="0000EE"/>
                  <w:w w:val="99"/>
                </w:rPr>
                <w:t>Note 4: Inventories</w:t>
              </w:r>
            </w:hyperlink>
          </w:p>
        </w:tc>
        <w:tc>
          <w:tcPr>
            <w:tcW w:w="5120" w:type="dxa"/>
            <w:vAlign w:val="bottom"/>
            <w:gridSpan w:val="1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tcBorders>
              <w:bottom w:val="single" w:sz="8" w:color="0000EE"/>
            </w:tcBorders>
            <w:gridSpan w:val="26"/>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Net Investment in Operating Leases and Operating Lease Repurchase Obligations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EE"/>
            </w:tcBorders>
            <w:gridSpan w:val="16"/>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6: Property, Plant and Equipment</w:t>
              </w:r>
            </w:hyperlink>
          </w:p>
        </w:tc>
        <w:tc>
          <w:tcPr>
            <w:tcW w:w="370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Note 7: Warranty</w:t>
              </w:r>
            </w:hyperlink>
          </w:p>
        </w:tc>
        <w:tc>
          <w:tcPr>
            <w:tcW w:w="5260" w:type="dxa"/>
            <w:vAlign w:val="bottom"/>
            <w:gridSpan w:val="2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7"/>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8: Employee and Retiree Benefits</w:t>
              </w:r>
            </w:hyperlink>
          </w:p>
        </w:tc>
        <w:tc>
          <w:tcPr>
            <w:tcW w:w="368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Borders>
              <w:bottom w:val="single" w:sz="8" w:color="0000EE"/>
            </w:tcBorders>
            <w:gridSpan w:val="12"/>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9: Shareholders' Equity</w:t>
              </w:r>
            </w:hyperlink>
          </w:p>
        </w:tc>
        <w:tc>
          <w:tcPr>
            <w:tcW w:w="4420" w:type="dxa"/>
            <w:vAlign w:val="bottom"/>
            <w:gridSpan w:val="1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gridSpan w:val="2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10: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Note 11: Income Taxes</w:t>
              </w:r>
            </w:hyperlink>
          </w:p>
        </w:tc>
        <w:tc>
          <w:tcPr>
            <w:tcW w:w="1840" w:type="dxa"/>
            <w:vAlign w:val="bottom"/>
            <w:tcBorders>
              <w:top w:val="single" w:sz="8" w:color="0000EE"/>
            </w:tcBorders>
            <w:gridSpan w:val="11"/>
          </w:tcPr>
          <w:p>
            <w:pPr>
              <w:spacing w:after="0"/>
              <w:rPr>
                <w:sz w:val="21"/>
                <w:szCs w:val="21"/>
                <w:color w:val="auto"/>
              </w:rPr>
            </w:pPr>
          </w:p>
        </w:tc>
        <w:tc>
          <w:tcPr>
            <w:tcW w:w="298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Borders>
              <w:bottom w:val="single" w:sz="8" w:color="0000EE"/>
            </w:tcBorders>
            <w:gridSpan w:val="13"/>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12: Earnings Per Share</w:t>
              </w:r>
            </w:hyperlink>
          </w:p>
        </w:tc>
        <w:tc>
          <w:tcPr>
            <w:tcW w:w="4400" w:type="dxa"/>
            <w:vAlign w:val="bottom"/>
            <w:gridSpan w:val="13"/>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bottom w:val="single" w:sz="8" w:color="0000EE"/>
            </w:tcBorders>
            <w:gridSpan w:val="1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13: Comprehensive Income (Loss)</w:t>
              </w:r>
            </w:hyperlink>
          </w:p>
        </w:tc>
        <w:tc>
          <w:tcPr>
            <w:tcW w:w="362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Borders>
              <w:bottom w:val="single" w:sz="8" w:color="0000EE"/>
            </w:tcBorders>
            <w:gridSpan w:val="1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14: Subsequent Events</w:t>
              </w:r>
            </w:hyperlink>
          </w:p>
        </w:tc>
        <w:tc>
          <w:tcPr>
            <w:tcW w:w="4420" w:type="dxa"/>
            <w:vAlign w:val="bottom"/>
            <w:gridSpan w:val="14"/>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940" w:type="dxa"/>
            <w:vAlign w:val="bottom"/>
            <w:gridSpan w:val="28"/>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24"/>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3"/>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940" w:type="dxa"/>
            <w:vAlign w:val="bottom"/>
            <w:gridSpan w:val="28"/>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2">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2">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5160" w:type="dxa"/>
            <w:vAlign w:val="bottom"/>
            <w:gridSpan w:val="20"/>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2">
              <w:r>
                <w:rPr>
                  <w:rFonts w:ascii="Arial" w:cs="Arial" w:eastAsia="Arial" w:hAnsi="Arial"/>
                  <w:sz w:val="16"/>
                  <w:szCs w:val="16"/>
                  <w:color w:val="0000EE"/>
                  <w:w w:val="99"/>
                </w:rPr>
                <w:t>Legal Proceedings</w:t>
              </w:r>
            </w:hyperlink>
          </w:p>
        </w:tc>
        <w:tc>
          <w:tcPr>
            <w:tcW w:w="5600" w:type="dxa"/>
            <w:vAlign w:val="bottom"/>
            <w:gridSpan w:val="23"/>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2">
              <w:r>
                <w:rPr>
                  <w:rFonts w:ascii="Arial" w:cs="Arial" w:eastAsia="Arial" w:hAnsi="Arial"/>
                  <w:sz w:val="16"/>
                  <w:szCs w:val="16"/>
                  <w:color w:val="0000EE"/>
                  <w:w w:val="98"/>
                </w:rPr>
                <w:t>Risk Factors</w:t>
              </w:r>
            </w:hyperlink>
          </w:p>
        </w:tc>
        <w:tc>
          <w:tcPr>
            <w:tcW w:w="6040" w:type="dxa"/>
            <w:vAlign w:val="bottom"/>
            <w:gridSpan w:val="24"/>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940" w:type="dxa"/>
            <w:vAlign w:val="bottom"/>
            <w:gridSpan w:val="28"/>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5"/>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Exhibits</w:t>
              </w:r>
            </w:hyperlink>
          </w:p>
        </w:tc>
        <w:tc>
          <w:tcPr>
            <w:tcW w:w="2580" w:type="dxa"/>
            <w:vAlign w:val="bottom"/>
            <w:gridSpan w:val="3"/>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color w:val="0000EE"/>
        </w:rPr>
      </w:pPr>
      <w:hyperlink w:anchor="page2">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ectPr>
          <w:pgSz w:w="11900" w:h="16838" w:orient="portrait"/>
          <w:cols w:equalWidth="0" w:num="2">
            <w:col w:w="10460" w:space="720"/>
            <w:col w:w="180"/>
          </w:cols>
          <w:pgMar w:left="280" w:top="121"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18"/>
        </w:trPr>
        <w:tc>
          <w:tcPr>
            <w:tcW w:w="2360" w:type="dxa"/>
            <w:vAlign w:val="bottom"/>
          </w:tcPr>
          <w:p>
            <w:pPr>
              <w:ind w:left="40"/>
              <w:spacing w:after="0"/>
              <w:rPr>
                <w:sz w:val="20"/>
                <w:szCs w:val="20"/>
                <w:color w:val="auto"/>
              </w:rPr>
            </w:pPr>
            <w:r>
              <w:rPr>
                <w:rFonts w:ascii="Arial" w:cs="Arial" w:eastAsia="Arial" w:hAnsi="Arial"/>
                <w:sz w:val="16"/>
                <w:szCs w:val="16"/>
                <w:color w:val="auto"/>
              </w:rPr>
              <w:t>Amended Credit Agreement</w:t>
            </w:r>
          </w:p>
        </w:tc>
        <w:tc>
          <w:tcPr>
            <w:tcW w:w="9060" w:type="dxa"/>
            <w:vAlign w:val="bottom"/>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9060" w:type="dxa"/>
            <w:vAlign w:val="bottom"/>
          </w:tcPr>
          <w:p>
            <w:pPr>
              <w:ind w:left="300"/>
              <w:spacing w:after="0"/>
              <w:rPr>
                <w:sz w:val="20"/>
                <w:szCs w:val="20"/>
                <w:color w:val="auto"/>
              </w:rPr>
            </w:pPr>
            <w:r>
              <w:rPr>
                <w:rFonts w:ascii="Arial" w:cs="Arial" w:eastAsia="Arial" w:hAnsi="Arial"/>
                <w:sz w:val="16"/>
                <w:szCs w:val="16"/>
                <w:color w:val="auto"/>
              </w:rPr>
              <w:t>as Borrowers, and General Electric Capital Corporation, as Agent</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Apollo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Apollo Motorhome Holidays, LLC</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BOM</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Bill of Material</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Country Coach</w:t>
            </w:r>
          </w:p>
        </w:tc>
        <w:tc>
          <w:tcPr>
            <w:tcW w:w="9060" w:type="dxa"/>
            <w:vAlign w:val="bottom"/>
          </w:tcPr>
          <w:p>
            <w:pPr>
              <w:ind w:left="300"/>
              <w:spacing w:after="0"/>
              <w:rPr>
                <w:sz w:val="20"/>
                <w:szCs w:val="20"/>
                <w:color w:val="auto"/>
              </w:rPr>
            </w:pPr>
            <w:r>
              <w:rPr>
                <w:rFonts w:ascii="Arial" w:cs="Arial" w:eastAsia="Arial" w:hAnsi="Arial"/>
                <w:sz w:val="16"/>
                <w:szCs w:val="16"/>
                <w:color w:val="auto"/>
              </w:rPr>
              <w:t>Country Coach Corporation</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ERP</w:t>
            </w:r>
          </w:p>
        </w:tc>
        <w:tc>
          <w:tcPr>
            <w:tcW w:w="9060" w:type="dxa"/>
            <w:vAlign w:val="bottom"/>
          </w:tcPr>
          <w:p>
            <w:pPr>
              <w:ind w:left="30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9060" w:type="dxa"/>
            <w:vAlign w:val="bottom"/>
          </w:tcPr>
          <w:p>
            <w:pPr>
              <w:ind w:left="30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GECC</w:t>
            </w:r>
          </w:p>
        </w:tc>
        <w:tc>
          <w:tcPr>
            <w:tcW w:w="9060" w:type="dxa"/>
            <w:vAlign w:val="bottom"/>
          </w:tcPr>
          <w:p>
            <w:pPr>
              <w:ind w:left="30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IT</w:t>
            </w:r>
          </w:p>
        </w:tc>
        <w:tc>
          <w:tcPr>
            <w:tcW w:w="9060" w:type="dxa"/>
            <w:vAlign w:val="bottom"/>
          </w:tcPr>
          <w:p>
            <w:pPr>
              <w:ind w:left="30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Knott Investments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Knott Investment Pty Ltd, et. al.</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LIFO</w:t>
            </w:r>
          </w:p>
        </w:tc>
        <w:tc>
          <w:tcPr>
            <w:tcW w:w="9060" w:type="dxa"/>
            <w:vAlign w:val="bottom"/>
          </w:tcPr>
          <w:p>
            <w:pPr>
              <w:ind w:left="30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9060" w:type="dxa"/>
            <w:vAlign w:val="bottom"/>
          </w:tcPr>
          <w:p>
            <w:pPr>
              <w:ind w:left="30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PLM</w:t>
            </w:r>
          </w:p>
        </w:tc>
        <w:tc>
          <w:tcPr>
            <w:tcW w:w="9060" w:type="dxa"/>
            <w:vAlign w:val="bottom"/>
          </w:tcPr>
          <w:p>
            <w:pPr>
              <w:ind w:left="300"/>
              <w:spacing w:after="0"/>
              <w:rPr>
                <w:sz w:val="20"/>
                <w:szCs w:val="20"/>
                <w:color w:val="auto"/>
              </w:rPr>
            </w:pPr>
            <w:r>
              <w:rPr>
                <w:rFonts w:ascii="Arial" w:cs="Arial" w:eastAsia="Arial" w:hAnsi="Arial"/>
                <w:sz w:val="16"/>
                <w:szCs w:val="16"/>
                <w:color w:val="auto"/>
              </w:rPr>
              <w:t>Product Lifecycle Management</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9060" w:type="dxa"/>
            <w:vAlign w:val="bottom"/>
          </w:tcPr>
          <w:p>
            <w:pPr>
              <w:ind w:left="30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9060" w:type="dxa"/>
            <w:vAlign w:val="bottom"/>
          </w:tcPr>
          <w:p>
            <w:pPr>
              <w:ind w:left="30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Towables</w:t>
            </w:r>
          </w:p>
        </w:tc>
        <w:tc>
          <w:tcPr>
            <w:tcW w:w="9060" w:type="dxa"/>
            <w:vAlign w:val="bottom"/>
          </w:tcPr>
          <w:p>
            <w:pPr>
              <w:ind w:left="30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XBRL</w:t>
            </w:r>
          </w:p>
        </w:tc>
        <w:tc>
          <w:tcPr>
            <w:tcW w:w="9060" w:type="dxa"/>
            <w:vAlign w:val="bottom"/>
          </w:tcPr>
          <w:p>
            <w:pPr>
              <w:ind w:left="30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YTD</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5"/>
        </w:trPr>
        <w:tc>
          <w:tcPr>
            <w:tcW w:w="236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29,</w:t>
            </w:r>
          </w:p>
        </w:tc>
      </w:tr>
      <w:tr>
        <w:trPr>
          <w:trHeight w:val="228"/>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214,223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224,403</w:t>
            </w:r>
          </w:p>
        </w:tc>
      </w:tr>
      <w:tr>
        <w:trPr>
          <w:trHeight w:val="264"/>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188,974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200,017</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25,249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24,386</w:t>
            </w:r>
          </w:p>
        </w:tc>
      </w:tr>
      <w:tr>
        <w:trPr>
          <w:trHeight w:val="254"/>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4,707</w:t>
            </w:r>
          </w:p>
        </w:tc>
      </w:tr>
      <w:tr>
        <w:trPr>
          <w:trHeight w:val="264"/>
        </w:trPr>
        <w:tc>
          <w:tcPr>
            <w:tcW w:w="7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5,237</w:t>
            </w:r>
          </w:p>
        </w:tc>
      </w:tr>
      <w:tr>
        <w:trPr>
          <w:trHeight w:val="25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12,490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9,944</w:t>
            </w:r>
          </w:p>
        </w:tc>
      </w:tr>
      <w:tr>
        <w:trPr>
          <w:trHeight w:val="247"/>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12,759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14,442</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w:t>
            </w:r>
          </w:p>
        </w:tc>
      </w:tr>
      <w:tr>
        <w:trPr>
          <w:trHeight w:val="247"/>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12,894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14,449</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4,336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4,554</w:t>
            </w:r>
          </w:p>
        </w:tc>
      </w:tr>
      <w:tr>
        <w:trPr>
          <w:trHeight w:val="28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8,558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9,895</w:t>
            </w:r>
          </w:p>
        </w:tc>
      </w:tr>
      <w:tr>
        <w:trPr>
          <w:trHeight w:val="267"/>
        </w:trPr>
        <w:tc>
          <w:tcPr>
            <w:tcW w:w="7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0.37</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0.37</w:t>
            </w:r>
          </w:p>
        </w:tc>
      </w:tr>
      <w:tr>
        <w:trPr>
          <w:trHeight w:val="293"/>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26,969</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27,067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27,078</w:t>
            </w:r>
          </w:p>
        </w:tc>
      </w:tr>
      <w:tr>
        <w:trPr>
          <w:trHeight w:val="293"/>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8,558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9,895</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18"/>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4"/>
        </w:trPr>
        <w:tc>
          <w:tcPr>
            <w:tcW w:w="7720" w:type="dxa"/>
            <w:vAlign w:val="bottom"/>
            <w:gridSpan w:val="2"/>
          </w:tcPr>
          <w:p>
            <w:pPr>
              <w:ind w:left="360"/>
              <w:spacing w:after="0"/>
              <w:rPr>
                <w:sz w:val="20"/>
                <w:szCs w:val="20"/>
                <w:color w:val="auto"/>
              </w:rPr>
            </w:pPr>
            <w:r>
              <w:rPr>
                <w:rFonts w:ascii="Arial" w:cs="Arial" w:eastAsia="Arial" w:hAnsi="Arial"/>
                <w:sz w:val="16"/>
                <w:szCs w:val="16"/>
                <w:color w:val="auto"/>
              </w:rPr>
              <w:t>(net of tax of $653 and $492)</w:t>
            </w:r>
          </w:p>
        </w:tc>
        <w:tc>
          <w:tcPr>
            <w:tcW w:w="24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(800)</w:t>
            </w:r>
          </w:p>
        </w:tc>
      </w:tr>
      <w:tr>
        <w:trPr>
          <w:trHeight w:val="228"/>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4"/>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$142 and $122)</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199</w:t>
            </w:r>
          </w:p>
        </w:tc>
      </w:tr>
      <w:tr>
        <w:trPr>
          <w:trHeight w:val="218"/>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Plan amendment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7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(net of tax of $10,895 and $0)</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17,701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5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16,872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(601)</w:t>
            </w:r>
          </w:p>
        </w:tc>
      </w:tr>
      <w:tr>
        <w:trPr>
          <w:trHeight w:val="24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25,430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9,294</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November 28,</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55,721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70,239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($132 and $120)</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59,312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66,936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136,364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112,165</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7,083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6,882</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9,995</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258,480</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266,217</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39,094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37,250</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26,187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26,172</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20,400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21,994</w:t>
            </w:r>
          </w:p>
        </w:tc>
      </w:tr>
      <w:tr>
        <w:trPr>
          <w:trHeight w:val="26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10,171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10,541</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354,332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34,949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33,158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3,159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2,314</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15,467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18,346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11,585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5,863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6,242</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1,329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3,149</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5,378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5,818</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80,242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81,610</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2,511</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27,869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30,279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59,601</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31,427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32,018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591,769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585,941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14,598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(2,274)</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(24,775 and 24,825 shares)</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(419,871)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(420,610)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243,811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220,963</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354,332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1"/>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29,</w:t>
            </w:r>
          </w:p>
        </w:tc>
      </w:tr>
      <w:tr>
        <w:trPr>
          <w:trHeight w:val="228"/>
        </w:trPr>
        <w:tc>
          <w:tcPr>
            <w:tcW w:w="7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8,558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9,895</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1,061</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(income) expense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380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901</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(447)</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(154)</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(benefit) for doubtful accounts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Gain on disposal of property</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(17)</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(187)</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(24,109)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(38,285)</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7,366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6,841</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240" w:type="dxa"/>
            <w:vAlign w:val="bottom"/>
          </w:tcPr>
          <w:p>
            <w:pPr>
              <w:spacing w:after="0"/>
              <w:rPr>
                <w:sz w:val="22"/>
                <w:szCs w:val="22"/>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154</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1,794</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(632)</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(922)</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(8,063)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(19,622)</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(2,310)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293</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(2,000)</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(5,950)</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(2,442)</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(8,379)</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(14,518)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(30,001)</w:t>
            </w:r>
          </w:p>
        </w:tc>
      </w:tr>
      <w:tr>
        <w:trPr>
          <w:trHeight w:val="264"/>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70,239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57,804</w:t>
            </w:r>
          </w:p>
        </w:tc>
      </w:tr>
      <w:tr>
        <w:trPr>
          <w:trHeight w:val="24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55,721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27,803</w:t>
            </w:r>
          </w:p>
        </w:tc>
      </w:tr>
      <w:tr>
        <w:trPr>
          <w:trHeight w:val="20"/>
        </w:trPr>
        <w:tc>
          <w:tcPr>
            <w:tcW w:w="12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Income taxes paid,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2,675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3,207</w:t>
            </w:r>
          </w:p>
        </w:tc>
      </w:tr>
      <w:tr>
        <w:trPr>
          <w:trHeight w:val="293"/>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Non-cash transactions: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our consolidated financial position as of November 28, 2015 and the consolidated results of income and comprehensive income and consolidated cash flows for the first three months of Fiscal 2016 and 2015. The consolidated statement of income and comprehensive income for the first three months of Fiscal 2016 is not necessarily indicative of the results to be expected for the full year. The consolidated balance sheet data as of August 29, 2015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29, 2015.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2016 and Fiscal 2015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In August 2015, the FASB deferred the effective date of this standard by one year, which would become effective for fiscal years beginning after December 15, 2017 (our Fiscal 2019). We are currently evaluating the impact on our consolidated financial statements.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w:t>
      </w:r>
    </w:p>
    <w:p>
      <w:pPr>
        <w:spacing w:after="0" w:line="35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inventory method is unchanged. ASU 2015-11 will become effective prospectively for fiscal years beginning after December 15, 2016 (our Fiscal 2018). We are currently evaluating the impact on our consolidated financial statements.</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for fiscal years, and the interim periods within those years, beginning after December 15, 2015 (our Fiscal 2017). This new standard will be applied prospectively to adjustments to provisional amounts that occur after the effective date with earlier application permitted for financial statements that have not been issued. We are currently evaluating the impact of this ASU on our consolidated financial statements, which will be dependent on future acquisitions.</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to simplify the presentation of deferred income taxes. Under the new standard, both deferred tax liabilities and assets are required to be classified as noncurrent in a classified balance sheet. ASU 2015-17 will become effective for fiscal years, and the interim periods within those years, beginning after December 15, 2016 (our Fiscal 2018), with early adoption allowed. As of August 29, 2015, we had deferred taxes that were classified as current and noncurrent assets. During the first quarter of Fiscal 2016, we elected to prospectively adopt ASU 2015-17, thus reclassifying $8.1 million of current deferred tax assets to noncurrent on the accompanying consolidated balance sheet. The prior reporting period was not retrospectively adjusted. The adoption of this guidance had no impact on our consolidated results of income and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32"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One of our dealer organizations accounted for 20.9% and 18.0% of our consolidated net revenues for the first three months of Fiscal 2016 and Fiscal 2015, respectively. A second dealer organization accounted for 14.2% and 19.0% of our consolidated net revenues for the first three months of Fiscal 2016 and Fiscal 2015, respectively.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28, 2015 and August 29, 2015 according to the valuation techniques we used to determine their fair values: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4,484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29,</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4,894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3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which are classified as Level 1 as they are traded in an active market for which closing stock prices are readily available. These securities fund the Executive share option plan and the Executive deferred compensation plan (see Note 8). The assets related to these deferred compensation plans that will expire within a year are included in prepaid expenses and other assets in the accompanying consolidated balance sheets; the remaining noncurrent assets are included in other assets.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39"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three months of Fiscal 2016, no impairments were recorded for non-financial assets.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4: Inventories</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28,</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2015</w:t>
            </w:r>
          </w:p>
        </w:tc>
      </w:tr>
      <w:tr>
        <w:trPr>
          <w:trHeight w:val="257"/>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28,479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12,179</w:t>
            </w:r>
          </w:p>
        </w:tc>
      </w:tr>
      <w:tr>
        <w:trPr>
          <w:trHeight w:val="26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72,898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66,602</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67,441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65,928</w:t>
            </w:r>
          </w:p>
        </w:tc>
      </w:tr>
      <w:tr>
        <w:trPr>
          <w:trHeight w:val="247"/>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168,818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144,709</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(32,454)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(32,544)</w:t>
            </w:r>
          </w:p>
        </w:tc>
      </w:tr>
      <w:tr>
        <w:trPr>
          <w:trHeight w:val="24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136,364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112,165</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50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$168.8 million and $144.7 million inventory at November 28, 2015 and August 29, 2015, respectively, $156.5 million and $136.3 million is valued on a LIFO basis. Towables inventory of $12.3 million and $8.4 million at November 28, 2015 and August 29, 2015,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Investment in Operating Leases and Operating Lease Repurchase Obligations</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During the third quarter of Fiscal 2014 we delivered 520 RV rental units to Apollo, a US RV rental company. Under the terms of a sales agreement with Apollo, all units were paid for upon delivery. To secure an order of this magnitude, we contractually agreed to repurchase up to 343 of the units at specified prices after one season of rental use (by no later than December 31, 2014) provided certain conditions were met. On December 29, 2014 the termination date for our repurchase obligation was extended from December 31, 2014 to February 28, 2015. The original cost of these units was depreciated down to the estimated net realizable value of the rental units during the time frame that the units were in rental use. During the first quarter of Fiscal 2015, we were released from our repurchase obligation for 124 units as Apollo sold the units in the market place. As units subject to repurchase were sold, we removed the remaining net investment in operating lease as well as the operating lease repurchase obligation. In the second quarter of Fiscal 2015, we were released from our remaining repurchase obligations and as a result, there were no associated assets or liabilities on the balance sheet at February 28, 2015 or thereafter.</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Net lease revenue was recorded ratably over the rental period that Apollo held the units based upon the difference between the proceeds received and the estimated repurchase obligation less the estimated depreciation expense of the unit. We were not required to repurchase any units from Apollo, thus we did not record a gain or loss for the difference between the estimated residual value of the unit and the actual resale value as a component of net lease revenue. We recorded net lease revenue of $714,000 during the first quarter of Fiscal 2015.</w:t>
      </w:r>
    </w:p>
    <w:p>
      <w:pPr>
        <w:spacing w:after="0" w:line="25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We have not entered into sales agreements with repurchase obligations since Fiscal 2014, thus no additional units have been recorded as operating leases since that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28,</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2015</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53,971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53,388</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94,970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94,034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9,454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8,033</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8,913</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169,186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166,242</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(130,092)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(128,992)</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39,094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37,250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November 30, 2015 we purchased land and buildings from Country Coach in Junction City, Oregon, for approximately $5.7 million for eventual expansion of our motorhome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Warranty</w:t>
      </w:r>
    </w:p>
    <w:p>
      <w:pPr>
        <w:spacing w:after="0" w:line="228"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voluntarily agreed to pay certain warranty-type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29,</w:t>
            </w:r>
          </w:p>
        </w:tc>
        <w:tc>
          <w:tcPr>
            <w:tcW w:w="0" w:type="dxa"/>
            <w:vAlign w:val="bottom"/>
          </w:tcPr>
          <w:p>
            <w:pPr>
              <w:spacing w:after="0"/>
              <w:rPr>
                <w:sz w:val="1"/>
                <w:szCs w:val="1"/>
                <w:color w:val="auto"/>
              </w:rPr>
            </w:pPr>
          </w:p>
        </w:tc>
      </w:tr>
      <w:tr>
        <w:trPr>
          <w:trHeight w:val="228"/>
        </w:trPr>
        <w:tc>
          <w:tcPr>
            <w:tcW w:w="7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5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11,254</w:t>
            </w:r>
          </w:p>
        </w:tc>
        <w:tc>
          <w:tcPr>
            <w:tcW w:w="10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60"/>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3,594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73"/>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(3,263)</w:t>
            </w: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11,585</w:t>
            </w:r>
          </w:p>
        </w:tc>
        <w:tc>
          <w:tcPr>
            <w:tcW w:w="10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9,090</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8: Employee and Retiree Benefits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60" w:type="dxa"/>
            <w:vAlign w:val="bottom"/>
            <w:gridSpan w:val="2"/>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ind w:left="60"/>
              <w:spacing w:after="0"/>
              <w:rPr>
                <w:sz w:val="20"/>
                <w:szCs w:val="20"/>
                <w:color w:val="auto"/>
              </w:rPr>
            </w:pPr>
            <w:r>
              <w:rPr>
                <w:rFonts w:ascii="Arial" w:cs="Arial" w:eastAsia="Arial" w:hAnsi="Arial"/>
                <w:sz w:val="16"/>
                <w:szCs w:val="16"/>
                <w:b w:val="1"/>
                <w:bCs w:val="1"/>
                <w:color w:val="auto"/>
              </w:rPr>
              <w:t>November 28,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28"/>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5,905</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c>
          <w:tcPr>
            <w:tcW w:w="0" w:type="dxa"/>
            <w:vAlign w:val="bottom"/>
          </w:tcPr>
          <w:p>
            <w:pPr>
              <w:spacing w:after="0"/>
              <w:rPr>
                <w:sz w:val="1"/>
                <w:szCs w:val="1"/>
                <w:color w:val="auto"/>
              </w:rPr>
            </w:pPr>
          </w:p>
        </w:tc>
      </w:tr>
      <w:tr>
        <w:trPr>
          <w:trHeight w:val="260"/>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19,092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19,508</w:t>
            </w:r>
          </w:p>
        </w:tc>
        <w:tc>
          <w:tcPr>
            <w:tcW w:w="0" w:type="dxa"/>
            <w:vAlign w:val="bottom"/>
          </w:tcPr>
          <w:p>
            <w:pPr>
              <w:spacing w:after="0"/>
              <w:rPr>
                <w:sz w:val="1"/>
                <w:szCs w:val="1"/>
                <w:color w:val="auto"/>
              </w:rPr>
            </w:pPr>
          </w:p>
        </w:tc>
      </w:tr>
      <w:tr>
        <w:trPr>
          <w:trHeight w:val="280"/>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4,196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4,788</w:t>
            </w:r>
          </w:p>
        </w:tc>
        <w:tc>
          <w:tcPr>
            <w:tcW w:w="0" w:type="dxa"/>
            <w:vAlign w:val="bottom"/>
          </w:tcPr>
          <w:p>
            <w:pPr>
              <w:spacing w:after="0"/>
              <w:rPr>
                <w:sz w:val="1"/>
                <w:szCs w:val="1"/>
                <w:color w:val="auto"/>
              </w:rPr>
            </w:pPr>
          </w:p>
        </w:tc>
      </w:tr>
      <w:tr>
        <w:trPr>
          <w:trHeight w:val="260"/>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2,694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280"/>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Officer stock-based compensation</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32,518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62,021</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(4,649)</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(4,931)</w:t>
            </w:r>
          </w:p>
        </w:tc>
        <w:tc>
          <w:tcPr>
            <w:tcW w:w="0" w:type="dxa"/>
            <w:vAlign w:val="bottom"/>
          </w:tcPr>
          <w:p>
            <w:pPr>
              <w:spacing w:after="0"/>
              <w:rPr>
                <w:sz w:val="1"/>
                <w:szCs w:val="1"/>
                <w:color w:val="auto"/>
              </w:rPr>
            </w:pPr>
          </w:p>
        </w:tc>
      </w:tr>
      <w:tr>
        <w:trPr>
          <w:trHeight w:val="24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27,869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8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Fiscal 2005, through a plan amendment,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Each January for the past four years, the employer established dollar caps were reduced by 10% through plan amendments. On September 28, 2015, we announced a plan amendment to our postretirement health care benefits. Beginning January 1, 2016, postretirement health care benefits will be discontinued for retirees age 65 and over. We plan to fund a $700,000 health reimbursement account in calendar 2016 to assist retirees with medical expenses. The plan amendment also includes a 10% reduction in employer paid premiums for retirees under age 65. As a result of these amendments, our liability for postretirement health care was reduced as presented in the following table.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1">
              <w:r>
                <w:rPr>
                  <w:rFonts w:ascii="Arial" w:cs="Arial" w:eastAsia="Arial" w:hAnsi="Arial"/>
                  <w:sz w:val="16"/>
                  <w:szCs w:val="16"/>
                  <w:color w:val="0000EE"/>
                  <w:w w:val="98"/>
                </w:rPr>
                <w:t>Table of Contents</w:t>
              </w:r>
            </w:hyperlink>
          </w:p>
        </w:tc>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583"/>
        </w:trPr>
        <w:tc>
          <w:tcPr>
            <w:tcW w:w="12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b w:val="1"/>
                <w:bCs w:val="1"/>
                <w:color w:val="auto"/>
              </w:rPr>
              <w:t>Liability</w:t>
            </w:r>
          </w:p>
        </w:tc>
        <w:tc>
          <w:tcPr>
            <w:tcW w:w="1320" w:type="dxa"/>
            <w:vAlign w:val="bottom"/>
          </w:tcPr>
          <w:p>
            <w:pPr>
              <w:spacing w:after="0"/>
              <w:rPr>
                <w:sz w:val="24"/>
                <w:szCs w:val="24"/>
                <w:color w:val="auto"/>
              </w:rPr>
            </w:pPr>
          </w:p>
        </w:tc>
      </w:tr>
      <w:tr>
        <w:trPr>
          <w:trHeight w:val="189"/>
        </w:trPr>
        <w:tc>
          <w:tcPr>
            <w:tcW w:w="12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Dollar Cap</w:t>
            </w:r>
          </w:p>
        </w:tc>
        <w:tc>
          <w:tcPr>
            <w:tcW w:w="32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Reduction</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57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Event</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Reduction</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(In thousands)</w:t>
            </w:r>
          </w:p>
        </w:tc>
        <w:tc>
          <w:tcPr>
            <w:tcW w:w="1320" w:type="dxa"/>
            <w:vAlign w:val="bottom"/>
            <w:tcBorders>
              <w:bottom w:val="single" w:sz="8" w:color="auto"/>
            </w:tcBorders>
          </w:tcPr>
          <w:p>
            <w:pPr>
              <w:jc w:val="right"/>
              <w:ind w:right="279"/>
              <w:spacing w:after="0" w:line="234"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64"/>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2005</w:t>
            </w:r>
          </w:p>
        </w:tc>
        <w:tc>
          <w:tcPr>
            <w:tcW w:w="58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Established employer dollar caps</w:t>
            </w:r>
          </w:p>
        </w:tc>
        <w:tc>
          <w:tcPr>
            <w:tcW w:w="13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40,414</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 years</w:t>
            </w:r>
          </w:p>
        </w:tc>
      </w:tr>
      <w:tr>
        <w:trPr>
          <w:trHeight w:val="260"/>
        </w:trPr>
        <w:tc>
          <w:tcPr>
            <w:tcW w:w="1260" w:type="dxa"/>
            <w:vAlign w:val="bottom"/>
          </w:tcPr>
          <w:p>
            <w:pPr>
              <w:ind w:left="40"/>
              <w:spacing w:after="0"/>
              <w:rPr>
                <w:sz w:val="20"/>
                <w:szCs w:val="20"/>
                <w:color w:val="auto"/>
              </w:rPr>
            </w:pPr>
            <w:r>
              <w:rPr>
                <w:rFonts w:ascii="Arial" w:cs="Arial" w:eastAsia="Arial" w:hAnsi="Arial"/>
                <w:sz w:val="16"/>
                <w:szCs w:val="16"/>
                <w:color w:val="auto"/>
              </w:rPr>
              <w:t>January 2012</w:t>
            </w:r>
          </w:p>
        </w:tc>
        <w:tc>
          <w:tcPr>
            <w:tcW w:w="5840" w:type="dxa"/>
            <w:vAlign w:val="bottom"/>
            <w:gridSpan w:val="2"/>
          </w:tcPr>
          <w:p>
            <w:pPr>
              <w:ind w:left="26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20" w:type="dxa"/>
            <w:vAlign w:val="bottom"/>
          </w:tcPr>
          <w:p>
            <w:pPr>
              <w:spacing w:after="0"/>
              <w:rPr>
                <w:sz w:val="22"/>
                <w:szCs w:val="22"/>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4,598</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7.8 years</w:t>
            </w:r>
          </w:p>
        </w:tc>
      </w:tr>
      <w:tr>
        <w:trPr>
          <w:trHeight w:val="28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2013</w:t>
            </w:r>
          </w:p>
        </w:tc>
        <w:tc>
          <w:tcPr>
            <w:tcW w:w="58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9"/>
              </w:rPr>
              <w:t>10%</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4,289</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 years</w:t>
            </w:r>
          </w:p>
        </w:tc>
      </w:tr>
      <w:tr>
        <w:trPr>
          <w:trHeight w:val="260"/>
        </w:trPr>
        <w:tc>
          <w:tcPr>
            <w:tcW w:w="1260" w:type="dxa"/>
            <w:vAlign w:val="bottom"/>
          </w:tcPr>
          <w:p>
            <w:pPr>
              <w:ind w:left="40"/>
              <w:spacing w:after="0"/>
              <w:rPr>
                <w:sz w:val="20"/>
                <w:szCs w:val="20"/>
                <w:color w:val="auto"/>
              </w:rPr>
            </w:pPr>
            <w:r>
              <w:rPr>
                <w:rFonts w:ascii="Arial" w:cs="Arial" w:eastAsia="Arial" w:hAnsi="Arial"/>
                <w:sz w:val="16"/>
                <w:szCs w:val="16"/>
                <w:color w:val="auto"/>
              </w:rPr>
              <w:t>January 2014</w:t>
            </w:r>
          </w:p>
        </w:tc>
        <w:tc>
          <w:tcPr>
            <w:tcW w:w="5840" w:type="dxa"/>
            <w:vAlign w:val="bottom"/>
            <w:gridSpan w:val="2"/>
          </w:tcPr>
          <w:p>
            <w:pPr>
              <w:ind w:left="26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20" w:type="dxa"/>
            <w:vAlign w:val="bottom"/>
          </w:tcPr>
          <w:p>
            <w:pPr>
              <w:spacing w:after="0"/>
              <w:rPr>
                <w:sz w:val="22"/>
                <w:szCs w:val="22"/>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3,580</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7.3 years</w:t>
            </w:r>
          </w:p>
        </w:tc>
      </w:tr>
      <w:tr>
        <w:trPr>
          <w:trHeight w:val="28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58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9"/>
              </w:rPr>
              <w:t>10%</w:t>
            </w: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3,960</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 years</w:t>
            </w:r>
          </w:p>
        </w:tc>
      </w:tr>
      <w:tr>
        <w:trPr>
          <w:trHeight w:val="218"/>
        </w:trPr>
        <w:tc>
          <w:tcPr>
            <w:tcW w:w="1260" w:type="dxa"/>
            <w:vAlign w:val="bottom"/>
          </w:tcPr>
          <w:p>
            <w:pPr>
              <w:ind w:left="40"/>
              <w:spacing w:after="0"/>
              <w:rPr>
                <w:sz w:val="20"/>
                <w:szCs w:val="20"/>
                <w:color w:val="auto"/>
              </w:rPr>
            </w:pPr>
            <w:r>
              <w:rPr>
                <w:rFonts w:ascii="Arial" w:cs="Arial" w:eastAsia="Arial" w:hAnsi="Arial"/>
                <w:sz w:val="16"/>
                <w:szCs w:val="16"/>
                <w:color w:val="auto"/>
              </w:rPr>
              <w:t xml:space="preserve">January 2016 </w:t>
            </w:r>
            <w:r>
              <w:rPr>
                <w:rFonts w:ascii="Arial" w:cs="Arial" w:eastAsia="Arial" w:hAnsi="Arial"/>
                <w:sz w:val="17"/>
                <w:szCs w:val="17"/>
                <w:color w:val="auto"/>
                <w:vertAlign w:val="superscript"/>
              </w:rPr>
              <w:t>(2)</w:t>
            </w:r>
          </w:p>
        </w:tc>
        <w:tc>
          <w:tcPr>
            <w:tcW w:w="5840" w:type="dxa"/>
            <w:vAlign w:val="bottom"/>
            <w:gridSpan w:val="2"/>
          </w:tcPr>
          <w:p>
            <w:pPr>
              <w:ind w:left="260"/>
              <w:spacing w:after="0"/>
              <w:rPr>
                <w:sz w:val="20"/>
                <w:szCs w:val="20"/>
                <w:color w:val="auto"/>
              </w:rPr>
            </w:pPr>
            <w:r>
              <w:rPr>
                <w:rFonts w:ascii="Arial" w:cs="Arial" w:eastAsia="Arial" w:hAnsi="Arial"/>
                <w:sz w:val="16"/>
                <w:szCs w:val="16"/>
                <w:color w:val="auto"/>
              </w:rPr>
              <w:t>Reduce employer dollar caps for retirees under age 65; discontinue retiree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5"/>
        </w:trPr>
        <w:tc>
          <w:tcPr>
            <w:tcW w:w="1260" w:type="dxa"/>
            <w:vAlign w:val="bottom"/>
          </w:tcPr>
          <w:p>
            <w:pPr>
              <w:spacing w:after="0"/>
              <w:rPr>
                <w:sz w:val="16"/>
                <w:szCs w:val="16"/>
                <w:color w:val="auto"/>
              </w:rPr>
            </w:pPr>
          </w:p>
        </w:tc>
        <w:tc>
          <w:tcPr>
            <w:tcW w:w="5840" w:type="dxa"/>
            <w:vAlign w:val="bottom"/>
            <w:gridSpan w:val="2"/>
          </w:tcPr>
          <w:p>
            <w:pPr>
              <w:ind w:left="260"/>
              <w:spacing w:after="0"/>
              <w:rPr>
                <w:sz w:val="20"/>
                <w:szCs w:val="20"/>
                <w:color w:val="auto"/>
              </w:rPr>
            </w:pPr>
            <w:r>
              <w:rPr>
                <w:rFonts w:ascii="Arial" w:cs="Arial" w:eastAsia="Arial" w:hAnsi="Arial"/>
                <w:sz w:val="16"/>
                <w:szCs w:val="16"/>
                <w:color w:val="auto"/>
              </w:rPr>
              <w:t>benefits for retirees age 65 and over</w:t>
            </w:r>
          </w:p>
        </w:tc>
        <w:tc>
          <w:tcPr>
            <w:tcW w:w="132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32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28,596</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6.9 years</w:t>
            </w:r>
          </w:p>
        </w:tc>
      </w:tr>
    </w:tbl>
    <w:p>
      <w:pPr>
        <w:spacing w:after="0" w:line="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Plan amendments are amortized on a straight-line basis over the expected remaining service period of active plan participants.</w:t>
      </w:r>
    </w:p>
    <w:p>
      <w:pPr>
        <w:ind w:right="100" w:firstLine="8"/>
        <w:spacing w:after="0" w:line="225"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has been communicated to plan participants. The effective date for this plan amendment was September 28,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gridSpan w:val="2"/>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1"/>
        </w:trPr>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22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29,</w:t>
            </w:r>
          </w:p>
        </w:tc>
      </w:tr>
      <w:tr>
        <w:trPr>
          <w:trHeight w:val="228"/>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r>
      <w:tr>
        <w:trPr>
          <w:trHeight w:val="257"/>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353</w:t>
            </w:r>
          </w:p>
        </w:tc>
      </w:tr>
      <w:tr>
        <w:trPr>
          <w:trHeight w:val="260"/>
        </w:trPr>
        <w:tc>
          <w:tcPr>
            <w:tcW w:w="774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2"/>
                <w:szCs w:val="22"/>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110</w:t>
            </w:r>
          </w:p>
        </w:tc>
      </w:tr>
      <w:tr>
        <w:trPr>
          <w:trHeight w:val="280"/>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(1,291)</w:t>
            </w:r>
          </w:p>
        </w:tc>
      </w:tr>
      <w:tr>
        <w:trPr>
          <w:trHeight w:val="264"/>
        </w:trPr>
        <w:tc>
          <w:tcPr>
            <w:tcW w:w="7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316</w:t>
            </w:r>
          </w:p>
        </w:tc>
      </w:tr>
      <w:tr>
        <w:trPr>
          <w:trHeight w:val="24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(512)</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7"/>
        </w:trPr>
        <w:tc>
          <w:tcPr>
            <w:tcW w:w="7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4"/>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251</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 October 13, 2015 and October 15, 2014 the Human Resources Committee of the Board of Directors granted an aggregate of 204,200 and 99,600 shares, respectively, of restricted common stock to our key employees and non-employee directors under the Plan. The value of the restricted stock award is determined using the intrinsic value method which, in this case, is based on the number of shares granted and the closing price of our common stock on the date of grant.</w:t>
      </w:r>
    </w:p>
    <w:p>
      <w:pPr>
        <w:spacing w:after="0" w:line="16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Stock-based compensation expense was $623,000 and $901,000 during the first quarters of Fiscal 2016 and 2015, respectively. Of the $623,000 expense recognized in Fiscal 2016, $363,000 related to the October 13, 2015 grant of 204,200 shares. The remainder is related to the amortization of previously granted restricted stock awards, as well as non-employee director stock units issued in lieu of director fees. Compensation expense is recognized over the requisite service period of the award.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October 14, 2015, the Board of Directors declared a quarterly cash dividend of $0.10 per share of common stock, which was paid on November 25, 2015 to shareholders of record at the close of business on November 11, 2015.</w:t>
      </w:r>
    </w:p>
    <w:p>
      <w:pPr>
        <w:spacing w:after="0" w:line="169"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On December 16, 2015, the Board of Directors declared a quarterly cash dividend of $0.10 per share of common stock, payable on January 27, 2016 to shareholders of record at the close of business on January 13, 2016.</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w:t>
      </w:r>
    </w:p>
    <w:p>
      <w:pPr>
        <w:sectPr>
          <w:pgSz w:w="11900" w:h="16838" w:orient="portrait"/>
          <w:cols w:equalWidth="0" w:num="1">
            <w:col w:w="11420"/>
          </w:cols>
          <w:pgMar w:left="240" w:top="118"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since the date of the original invoice. Our contingent liability on these repurchase agreements was approximately $390.5 million and $386.0 million at November 28, 2015 and August 29, 2015, respectively.</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$7.3 million and $7.2 million at November 28, 2015 and August 29, 2015, respectively.</w:t>
      </w:r>
    </w:p>
    <w:p>
      <w:pPr>
        <w:spacing w:after="0" w:line="14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although two dealer organizations account for approximately 35% of our revenues.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$1.2 million as of November 28, 2015 and $1.3 million as of August 29,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91"/>
        </w:trPr>
        <w:tc>
          <w:tcPr>
            <w:tcW w:w="7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29,</w:t>
            </w:r>
          </w:p>
        </w:tc>
      </w:tr>
      <w:tr>
        <w:trPr>
          <w:trHeight w:val="228"/>
        </w:trPr>
        <w:tc>
          <w:tcPr>
            <w:tcW w:w="7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70"/>
        </w:trPr>
        <w:tc>
          <w:tcPr>
            <w:tcW w:w="8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Inventory repurchased: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240" w:type="dxa"/>
            <w:vAlign w:val="bottom"/>
          </w:tcPr>
          <w:p>
            <w:pPr>
              <w:spacing w:after="0"/>
              <w:rPr>
                <w:sz w:val="22"/>
                <w:szCs w:val="22"/>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7,266</w:t>
            </w:r>
          </w:p>
        </w:tc>
      </w:tr>
      <w:tr>
        <w:trPr>
          <w:trHeight w:val="260"/>
        </w:trPr>
        <w:tc>
          <w:tcPr>
            <w:tcW w:w="804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loss realized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51"/>
        </w:trPr>
        <w:tc>
          <w:tcPr>
            <w:tcW w:w="804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240" w:type="dxa"/>
            <w:vAlign w:val="bottom"/>
          </w:tcPr>
          <w:p>
            <w:pPr>
              <w:spacing w:after="0"/>
              <w:rPr>
                <w:sz w:val="21"/>
                <w:szCs w:val="21"/>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w:t>
            </w:r>
          </w:p>
        </w:tc>
      </w:tr>
    </w:tbl>
    <w:p>
      <w:pPr>
        <w:spacing w:after="0" w:line="13"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The majority of units in ending inventory at November 29, 2014 were attributed to a single dealership and were resold in the second quarter of Fiscal 2015.</w:t>
      </w:r>
    </w:p>
    <w:p>
      <w:pPr>
        <w:spacing w:after="0" w:line="17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4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For the past several years we have been involved in litigation in Australia seeking to recover from Knott Investments for damages for using our name without our approval. On December 2, 2015 the Federal Court of Australia, New South Wales District Registry, General Division, entered judgment in favor of Winnebago Industries, Inc. and against Knott Investments for damages arising out of its use of the Winnebago name. Damages awarded were 1% of the total sales of Winnebago branded recreation vehicles from October 14, 2004, through October 17, 2013, plus interest. That award is likely to exceed $5.0 million, plus attorneys’ fees. An appeal by Knott Investments is anticipated.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objectives of accounting for income taxes are to recognize the amount of taxes payable or refundable for the current year and deferred tax liabilities and assets for the future tax consequences of events that have been recognized in our financial statements or tax returns. On November 20,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which requires entities to present deferred tax assets (DTAs) and deferred tax liabilities (DTLs) as noncurrent in a classified balance sheet. ASU 2015-17 will become effective for fiscal years, and the interim periods within those years, beginning after December 15, 2016, with early adoption allowed. During the first quarter of Fiscal 2016, we elected to prospectively adopt ASU 2015-17, thus reclassifying $8.1 million of current DTAs to noncurrent on the accompanying consolidated balance sheet. The prior reporting period was not retrospectively adjusted.</w:t>
      </w:r>
    </w:p>
    <w:p>
      <w:pPr>
        <w:spacing w:after="0" w:line="176"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those years may still be adjusted upon examination by the IRS or state taxing authorities if they either have been or will be used in a future period. As of November 28, 2015, our federal returns from Fiscal 2012 to present continue to be subject to review by the IRS. Currently, the Company's Fiscal 2014 Federal Return is being reviewed. With few exceptions, the state returns from Fiscal 2009 to present continue to be subject to review by the state taxing jurisdictions. At this time, we have one state jurisdiction that is currently reviewing our Fiscal 2012 and Fiscal 2013 returns. A number of years may elapse before an uncertain tax position is audited and finally resolved, and it is often very difficult to predict the outcome of such audits.</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of November 28, 2015, our unrecognized tax benefits were $2.4 million including accrued interest and penalties of $888,000. If we were to prevail on all unrecognized tax benefits recorded, $1.8 million of the $2.4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Note 12: Earnings Per Share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65"/>
        </w:trPr>
        <w:tc>
          <w:tcPr>
            <w:tcW w:w="8360" w:type="dxa"/>
            <w:vAlign w:val="bottom"/>
            <w:gridSpan w:val="2"/>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28,</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29,</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8,558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9,895</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26,969</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293"/>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9,895</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26,976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26,969</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27,067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27,078</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r>
    </w:tbl>
    <w:p>
      <w:pPr>
        <w:spacing w:after="0" w:line="204"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 xml:space="preserve">At the end of the first quarter of Fiscal 2016 and Fiscal 2015, there were options outstanding to purchase 24,000 shares and 212,154 shares, respectively, of common stock at an average price of $33.63 and $29.17,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Note 13: Comprehensive Income (Loss)</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92"/>
        </w:trPr>
        <w:tc>
          <w:tcPr>
            <w:tcW w:w="7720" w:type="dxa"/>
            <w:vAlign w:val="bottom"/>
            <w:gridSpan w:val="2"/>
          </w:tcPr>
          <w:p>
            <w:pPr>
              <w:spacing w:after="0"/>
              <w:rPr>
                <w:sz w:val="20"/>
                <w:szCs w:val="20"/>
                <w:color w:val="auto"/>
              </w:rPr>
            </w:pPr>
            <w:r>
              <w:rPr>
                <w:rFonts w:ascii="Arial" w:cs="Arial" w:eastAsia="Arial" w:hAnsi="Arial"/>
                <w:sz w:val="16"/>
                <w:szCs w:val="16"/>
                <w:color w:val="auto"/>
              </w:rPr>
              <w:t>Changes in defined benefit pension items in AOCI, net of tax, were:</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91"/>
        </w:trPr>
        <w:tc>
          <w:tcPr>
            <w:tcW w:w="7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250"/>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November 28, 2015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November 29, 2014</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(1,808)</w:t>
            </w:r>
          </w:p>
        </w:tc>
      </w:tr>
      <w:tr>
        <w:trPr>
          <w:trHeight w:val="270"/>
        </w:trPr>
        <w:tc>
          <w:tcPr>
            <w:tcW w:w="7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(601)</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16,872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(601)</w:t>
            </w:r>
          </w:p>
        </w:tc>
      </w:tr>
      <w:tr>
        <w:trPr>
          <w:trHeight w:val="270"/>
        </w:trPr>
        <w:tc>
          <w:tcPr>
            <w:tcW w:w="7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54"/>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14,598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(2,409)</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on Consolidated Statements</w:t>
            </w: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28,</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29,</w:t>
            </w:r>
          </w:p>
        </w:tc>
      </w:tr>
      <w:tr>
        <w:trPr>
          <w:trHeight w:val="228"/>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of Income and Comprehensive Income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r>
      <w:tr>
        <w:trPr>
          <w:trHeight w:val="257"/>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(800)</w:t>
            </w:r>
          </w:p>
        </w:tc>
      </w:tr>
      <w:tr>
        <w:trPr>
          <w:trHeight w:val="264"/>
        </w:trPr>
        <w:tc>
          <w:tcPr>
            <w:tcW w:w="3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199</w:t>
            </w:r>
          </w:p>
        </w:tc>
      </w:tr>
      <w:tr>
        <w:trPr>
          <w:trHeight w:val="254"/>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3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(601)</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Subsequent Events</w:t>
      </w:r>
    </w:p>
    <w:p>
      <w:pPr>
        <w:spacing w:after="0" w:line="228"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On November 30, 2015 we purchased land and buildings from Country Coach for approximately $5.7 million for eventual expansion of our motorhome production facilities as noted in Note 6.</w:t>
      </w:r>
    </w:p>
    <w:p>
      <w:pPr>
        <w:spacing w:after="0" w:line="18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On December 2, 2015 the Federal Court of Australia, New South Wales District Registry, General Division, entered judgment in favor of Winnebago Industries, Inc. and against Knott Investments for damages arising out of its use of the Winnebago name. See Note 10.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On December 16, 2015 our Board of Directors declared a cash dividend of $0.10 per share as noted in Note 9.</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40"/>
        <w:spacing w:after="0" w:line="191"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29, 2015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currently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161"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3"/>
          </w:tcPr>
          <w:p>
            <w:pPr>
              <w:ind w:left="200"/>
              <w:spacing w:after="0"/>
              <w:rPr>
                <w:sz w:val="20"/>
                <w:szCs w:val="20"/>
                <w:color w:val="auto"/>
              </w:rPr>
            </w:pPr>
            <w:r>
              <w:rPr>
                <w:rFonts w:ascii="Arial" w:cs="Arial" w:eastAsia="Arial" w:hAnsi="Arial"/>
                <w:sz w:val="14"/>
                <w:szCs w:val="14"/>
                <w:b w:val="1"/>
                <w:bCs w:val="1"/>
                <w:color w:val="auto"/>
              </w:rPr>
              <w:t>Rolling 12 Months Through October</w:t>
            </w:r>
          </w:p>
        </w:tc>
        <w:tc>
          <w:tcPr>
            <w:tcW w:w="1400" w:type="dxa"/>
            <w:vAlign w:val="bottom"/>
          </w:tcPr>
          <w:p>
            <w:pPr>
              <w:spacing w:after="0"/>
              <w:rPr>
                <w:sz w:val="17"/>
                <w:szCs w:val="17"/>
                <w:color w:val="auto"/>
              </w:rPr>
            </w:pPr>
          </w:p>
        </w:tc>
        <w:tc>
          <w:tcPr>
            <w:tcW w:w="1600" w:type="dxa"/>
            <w:vAlign w:val="bottom"/>
          </w:tcPr>
          <w:p>
            <w:pPr>
              <w:jc w:val="right"/>
              <w:ind w:right="30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5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2015</w:t>
            </w:r>
          </w:p>
        </w:tc>
        <w:tc>
          <w:tcPr>
            <w:tcW w:w="15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6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r>
      <w:tr>
        <w:trPr>
          <w:trHeight w:val="256"/>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2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20.7%</w:t>
            </w:r>
          </w:p>
        </w:tc>
        <w:tc>
          <w:tcPr>
            <w:tcW w:w="15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20.7%</w:t>
            </w:r>
          </w:p>
        </w:tc>
        <w:tc>
          <w:tcPr>
            <w:tcW w:w="16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18.6%</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19.8%</w:t>
            </w:r>
          </w:p>
        </w:tc>
      </w:tr>
      <w:tr>
        <w:trPr>
          <w:trHeight w:val="251"/>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0.9%</w:t>
            </w:r>
          </w:p>
        </w:tc>
        <w:tc>
          <w:tcPr>
            <w:tcW w:w="1560" w:type="dxa"/>
            <w:vAlign w:val="bottom"/>
          </w:tcPr>
          <w:p>
            <w:pPr>
              <w:jc w:val="right"/>
              <w:ind w:right="20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1400" w:type="dxa"/>
            <w:vAlign w:val="bottom"/>
          </w:tcPr>
          <w:p>
            <w:pPr>
              <w:jc w:val="right"/>
              <w:ind w:right="182"/>
              <w:spacing w:after="0"/>
              <w:rPr>
                <w:sz w:val="20"/>
                <w:szCs w:val="20"/>
                <w:color w:val="auto"/>
              </w:rPr>
            </w:pPr>
            <w:r>
              <w:rPr>
                <w:rFonts w:ascii="Arial" w:cs="Arial" w:eastAsia="Arial" w:hAnsi="Arial"/>
                <w:sz w:val="16"/>
                <w:szCs w:val="16"/>
                <w:color w:val="auto"/>
              </w:rPr>
              <w:t>0.8%</w:t>
            </w:r>
          </w:p>
        </w:tc>
        <w:tc>
          <w:tcPr>
            <w:tcW w:w="1600" w:type="dxa"/>
            <w:vAlign w:val="bottom"/>
          </w:tcPr>
          <w:p>
            <w:pPr>
              <w:jc w:val="right"/>
              <w:ind w:right="363"/>
              <w:spacing w:after="0"/>
              <w:rPr>
                <w:sz w:val="20"/>
                <w:szCs w:val="20"/>
                <w:color w:val="auto"/>
              </w:rPr>
            </w:pPr>
            <w:r>
              <w:rPr>
                <w:rFonts w:ascii="Arial" w:cs="Arial" w:eastAsia="Arial" w:hAnsi="Arial"/>
                <w:sz w:val="16"/>
                <w:szCs w:val="16"/>
                <w:color w:val="auto"/>
              </w:rPr>
              <w:t>1.0%</w:t>
            </w:r>
          </w:p>
        </w:tc>
        <w:tc>
          <w:tcPr>
            <w:tcW w:w="1260" w:type="dxa"/>
            <w:vAlign w:val="bottom"/>
          </w:tcPr>
          <w:p>
            <w:pPr>
              <w:jc w:val="right"/>
              <w:ind w:right="202"/>
              <w:spacing w:after="0"/>
              <w:rPr>
                <w:sz w:val="20"/>
                <w:szCs w:val="20"/>
                <w:color w:val="auto"/>
              </w:rPr>
            </w:pPr>
            <w:r>
              <w:rPr>
                <w:rFonts w:ascii="Arial" w:cs="Arial" w:eastAsia="Arial" w:hAnsi="Arial"/>
                <w:sz w:val="16"/>
                <w:szCs w:val="16"/>
                <w:color w:val="auto"/>
              </w:rPr>
              <w:t>0.9%</w:t>
            </w:r>
          </w:p>
        </w:tc>
      </w:tr>
      <w:tr>
        <w:trPr>
          <w:trHeight w:val="648"/>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jc w:val="right"/>
              <w:ind w:right="118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gridSpan w:val="4"/>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560" w:type="dxa"/>
            <w:vAlign w:val="bottom"/>
            <w:gridSpan w:val="7"/>
          </w:tcPr>
          <w:p>
            <w:pPr>
              <w:jc w:val="center"/>
              <w:ind w:right="761"/>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6"/>
                <w:szCs w:val="16"/>
                <w:b w:val="1"/>
                <w:bCs w:val="1"/>
                <w:color w:val="auto"/>
              </w:rPr>
              <w:t>Class A, B &amp; C Motorhomes</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Travel Trailers &amp; Fifth Wheels</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3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As of Quarter End</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Wholesale</w:t>
            </w:r>
          </w:p>
        </w:tc>
        <w:tc>
          <w:tcPr>
            <w:tcW w:w="1220" w:type="dxa"/>
            <w:vAlign w:val="bottom"/>
          </w:tcPr>
          <w:p>
            <w:pPr>
              <w:jc w:val="right"/>
              <w:ind w:right="380"/>
              <w:spacing w:after="0"/>
              <w:rPr>
                <w:sz w:val="20"/>
                <w:szCs w:val="20"/>
                <w:color w:val="auto"/>
              </w:rPr>
            </w:pPr>
            <w:r>
              <w:rPr>
                <w:rFonts w:ascii="Arial" w:cs="Arial" w:eastAsia="Arial" w:hAnsi="Arial"/>
                <w:sz w:val="14"/>
                <w:szCs w:val="14"/>
                <w:b w:val="1"/>
                <w:bCs w:val="1"/>
                <w:color w:val="auto"/>
              </w:rPr>
              <w:t>Retail</w:t>
            </w:r>
          </w:p>
        </w:tc>
        <w:tc>
          <w:tcPr>
            <w:tcW w:w="1320" w:type="dxa"/>
            <w:vAlign w:val="bottom"/>
          </w:tcPr>
          <w:p>
            <w:pPr>
              <w:jc w:val="right"/>
              <w:ind w:right="421"/>
              <w:spacing w:after="0"/>
              <w:rPr>
                <w:sz w:val="20"/>
                <w:szCs w:val="20"/>
                <w:color w:val="auto"/>
              </w:rPr>
            </w:pPr>
            <w:r>
              <w:rPr>
                <w:rFonts w:ascii="Arial" w:cs="Arial" w:eastAsia="Arial" w:hAnsi="Arial"/>
                <w:sz w:val="14"/>
                <w:szCs w:val="14"/>
                <w:b w:val="1"/>
                <w:bCs w:val="1"/>
                <w:color w:val="auto"/>
              </w:rPr>
              <w:t>Dealer</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Order</w:t>
            </w:r>
          </w:p>
        </w:tc>
        <w:tc>
          <w:tcPr>
            <w:tcW w:w="1200" w:type="dxa"/>
            <w:vAlign w:val="bottom"/>
          </w:tcPr>
          <w:p>
            <w:pPr>
              <w:jc w:val="right"/>
              <w:ind w:right="180"/>
              <w:spacing w:after="0"/>
              <w:rPr>
                <w:sz w:val="20"/>
                <w:szCs w:val="20"/>
                <w:color w:val="auto"/>
              </w:rPr>
            </w:pPr>
            <w:r>
              <w:rPr>
                <w:rFonts w:ascii="Arial" w:cs="Arial" w:eastAsia="Arial" w:hAnsi="Arial"/>
                <w:sz w:val="14"/>
                <w:szCs w:val="14"/>
                <w:b w:val="1"/>
                <w:bCs w:val="1"/>
                <w:color w:val="auto"/>
              </w:rPr>
              <w:t>Wholesale</w:t>
            </w:r>
          </w:p>
        </w:tc>
        <w:tc>
          <w:tcPr>
            <w:tcW w:w="124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300" w:type="dxa"/>
            <w:vAlign w:val="bottom"/>
          </w:tcPr>
          <w:p>
            <w:pPr>
              <w:jc w:val="right"/>
              <w:ind w:right="421"/>
              <w:spacing w:after="0"/>
              <w:rPr>
                <w:sz w:val="20"/>
                <w:szCs w:val="20"/>
                <w:color w:val="auto"/>
              </w:rPr>
            </w:pPr>
            <w:r>
              <w:rPr>
                <w:rFonts w:ascii="Arial" w:cs="Arial" w:eastAsia="Arial" w:hAnsi="Arial"/>
                <w:sz w:val="14"/>
                <w:szCs w:val="14"/>
                <w:b w:val="1"/>
                <w:bCs w:val="1"/>
                <w:color w:val="auto"/>
              </w:rPr>
              <w:t>Dealer</w:t>
            </w:r>
          </w:p>
        </w:tc>
        <w:tc>
          <w:tcPr>
            <w:tcW w:w="1000" w:type="dxa"/>
            <w:vAlign w:val="bottom"/>
          </w:tcPr>
          <w:p>
            <w:pPr>
              <w:jc w:val="right"/>
              <w:ind w:right="300"/>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8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units)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Deliveries</w:t>
            </w: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320" w:type="dxa"/>
            <w:vAlign w:val="bottom"/>
          </w:tcPr>
          <w:p>
            <w:pPr>
              <w:jc w:val="right"/>
              <w:ind w:right="321"/>
              <w:spacing w:after="0"/>
              <w:rPr>
                <w:sz w:val="20"/>
                <w:szCs w:val="20"/>
                <w:color w:val="auto"/>
              </w:rPr>
            </w:pPr>
            <w:r>
              <w:rPr>
                <w:rFonts w:ascii="Arial" w:cs="Arial" w:eastAsia="Arial" w:hAnsi="Arial"/>
                <w:sz w:val="14"/>
                <w:szCs w:val="14"/>
                <w:b w:val="1"/>
                <w:bCs w:val="1"/>
                <w:color w:val="auto"/>
              </w:rPr>
              <w:t>Inventory</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Backlog</w:t>
            </w:r>
          </w:p>
        </w:tc>
        <w:tc>
          <w:tcPr>
            <w:tcW w:w="1200" w:type="dxa"/>
            <w:vAlign w:val="bottom"/>
          </w:tcPr>
          <w:p>
            <w:pPr>
              <w:jc w:val="right"/>
              <w:ind w:right="200"/>
              <w:spacing w:after="0"/>
              <w:rPr>
                <w:sz w:val="20"/>
                <w:szCs w:val="20"/>
                <w:color w:val="auto"/>
              </w:rPr>
            </w:pPr>
            <w:r>
              <w:rPr>
                <w:rFonts w:ascii="Arial" w:cs="Arial" w:eastAsia="Arial" w:hAnsi="Arial"/>
                <w:sz w:val="14"/>
                <w:szCs w:val="14"/>
                <w:b w:val="1"/>
                <w:bCs w:val="1"/>
                <w:color w:val="auto"/>
              </w:rPr>
              <w:t>Deliveries</w:t>
            </w:r>
          </w:p>
        </w:tc>
        <w:tc>
          <w:tcPr>
            <w:tcW w:w="1240" w:type="dxa"/>
            <w:vAlign w:val="bottom"/>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300" w:type="dxa"/>
            <w:vAlign w:val="bottom"/>
          </w:tcPr>
          <w:p>
            <w:pPr>
              <w:jc w:val="right"/>
              <w:ind w:right="321"/>
              <w:spacing w:after="0"/>
              <w:rPr>
                <w:sz w:val="20"/>
                <w:szCs w:val="20"/>
                <w:color w:val="auto"/>
              </w:rPr>
            </w:pPr>
            <w:r>
              <w:rPr>
                <w:rFonts w:ascii="Arial" w:cs="Arial" w:eastAsia="Arial" w:hAnsi="Arial"/>
                <w:sz w:val="14"/>
                <w:szCs w:val="14"/>
                <w:b w:val="1"/>
                <w:bCs w:val="1"/>
                <w:color w:val="auto"/>
              </w:rPr>
              <w:t>Inventory</w:t>
            </w:r>
          </w:p>
        </w:tc>
        <w:tc>
          <w:tcPr>
            <w:tcW w:w="1000" w:type="dxa"/>
            <w:vAlign w:val="bottom"/>
          </w:tcPr>
          <w:p>
            <w:pPr>
              <w:jc w:val="right"/>
              <w:ind w:right="200"/>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2,055</w:t>
            </w:r>
          </w:p>
        </w:tc>
        <w:tc>
          <w:tcPr>
            <w:tcW w:w="122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1,283</w:t>
            </w:r>
          </w:p>
        </w:tc>
        <w:tc>
          <w:tcPr>
            <w:tcW w:w="132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3,907</w:t>
            </w:r>
          </w:p>
        </w:tc>
        <w:tc>
          <w:tcPr>
            <w:tcW w:w="102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2,900</w:t>
            </w:r>
          </w:p>
        </w:tc>
        <w:tc>
          <w:tcPr>
            <w:tcW w:w="10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575</w:t>
            </w:r>
          </w:p>
        </w:tc>
        <w:tc>
          <w:tcPr>
            <w:tcW w:w="1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394</w:t>
            </w:r>
          </w:p>
        </w:tc>
        <w:tc>
          <w:tcPr>
            <w:tcW w:w="130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1,772</w:t>
            </w:r>
          </w:p>
        </w:tc>
        <w:tc>
          <w:tcPr>
            <w:tcW w:w="10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70"/>
        </w:trPr>
        <w:tc>
          <w:tcPr>
            <w:tcW w:w="280" w:type="dxa"/>
            <w:vAlign w:val="bottom"/>
          </w:tcPr>
          <w:p>
            <w:pPr>
              <w:ind w:left="40"/>
              <w:spacing w:after="0"/>
              <w:rPr>
                <w:sz w:val="20"/>
                <w:szCs w:val="20"/>
                <w:color w:val="auto"/>
              </w:rPr>
            </w:pPr>
            <w:r>
              <w:rPr>
                <w:rFonts w:ascii="Arial" w:cs="Arial" w:eastAsia="Arial" w:hAnsi="Arial"/>
                <w:sz w:val="16"/>
                <w:szCs w:val="16"/>
                <w:color w:val="auto"/>
              </w:rPr>
              <w:t>Q3</w:t>
            </w:r>
          </w:p>
        </w:tc>
        <w:tc>
          <w:tcPr>
            <w:tcW w:w="980" w:type="dxa"/>
            <w:vAlign w:val="bottom"/>
          </w:tcPr>
          <w:p>
            <w:pPr>
              <w:ind w:left="20"/>
              <w:spacing w:after="0"/>
              <w:rPr>
                <w:sz w:val="20"/>
                <w:szCs w:val="20"/>
                <w:color w:val="auto"/>
              </w:rPr>
            </w:pPr>
            <w:r>
              <w:rPr>
                <w:rFonts w:ascii="Arial" w:cs="Arial" w:eastAsia="Arial" w:hAnsi="Arial"/>
                <w:sz w:val="16"/>
                <w:szCs w:val="16"/>
                <w:color w:val="auto"/>
              </w:rPr>
              <w:t xml:space="preserve">2014 </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2,331</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2,783</w:t>
            </w:r>
          </w:p>
        </w:tc>
        <w:tc>
          <w:tcPr>
            <w:tcW w:w="1320" w:type="dxa"/>
            <w:vAlign w:val="bottom"/>
          </w:tcPr>
          <w:p>
            <w:pPr>
              <w:jc w:val="right"/>
              <w:ind w:right="281"/>
              <w:spacing w:after="0"/>
              <w:rPr>
                <w:sz w:val="20"/>
                <w:szCs w:val="20"/>
                <w:color w:val="auto"/>
              </w:rPr>
            </w:pPr>
            <w:r>
              <w:rPr>
                <w:rFonts w:ascii="Arial" w:cs="Arial" w:eastAsia="Arial" w:hAnsi="Arial"/>
                <w:sz w:val="16"/>
                <w:szCs w:val="16"/>
                <w:color w:val="auto"/>
              </w:rPr>
              <w:t>3,798</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23"/>
                <w:szCs w:val="23"/>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727</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724</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1,775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7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2,364</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2,183</w:t>
            </w:r>
          </w:p>
        </w:tc>
        <w:tc>
          <w:tcPr>
            <w:tcW w:w="13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3,979</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723</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777</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1,721</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Q1</w:t>
            </w:r>
          </w:p>
        </w:tc>
        <w:tc>
          <w:tcPr>
            <w:tcW w:w="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2015</w:t>
            </w:r>
          </w:p>
        </w:tc>
        <w:tc>
          <w:tcPr>
            <w:tcW w:w="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2,031</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1,818</w:t>
            </w:r>
          </w:p>
        </w:tc>
        <w:tc>
          <w:tcPr>
            <w:tcW w:w="1320" w:type="dxa"/>
            <w:vAlign w:val="bottom"/>
            <w:tcBorders>
              <w:bottom w:val="single" w:sz="8" w:color="CCEEFF"/>
            </w:tcBorders>
          </w:tcPr>
          <w:p>
            <w:pPr>
              <w:jc w:val="right"/>
              <w:ind w:right="281"/>
              <w:spacing w:after="0"/>
              <w:rPr>
                <w:sz w:val="20"/>
                <w:szCs w:val="20"/>
                <w:color w:val="auto"/>
              </w:rPr>
            </w:pPr>
            <w:r>
              <w:rPr>
                <w:rFonts w:ascii="Arial" w:cs="Arial" w:eastAsia="Arial" w:hAnsi="Arial"/>
                <w:sz w:val="16"/>
                <w:szCs w:val="16"/>
                <w:color w:val="auto"/>
              </w:rPr>
              <w:t>4,192</w:t>
            </w:r>
          </w:p>
        </w:tc>
        <w:tc>
          <w:tcPr>
            <w:tcW w:w="102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2,122</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546</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585</w:t>
            </w:r>
          </w:p>
        </w:tc>
        <w:tc>
          <w:tcPr>
            <w:tcW w:w="130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1,682</w:t>
            </w:r>
          </w:p>
        </w:tc>
        <w:tc>
          <w:tcPr>
            <w:tcW w:w="100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40"/>
        </w:trPr>
        <w:tc>
          <w:tcPr>
            <w:tcW w:w="1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2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8,781</w:t>
            </w: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8,067</w:t>
            </w:r>
          </w:p>
        </w:tc>
        <w:tc>
          <w:tcPr>
            <w:tcW w:w="1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2,571</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2,480</w:t>
            </w:r>
          </w:p>
        </w:tc>
        <w:tc>
          <w:tcPr>
            <w:tcW w:w="1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gridSpan w:val="4"/>
            <w:vMerge w:val="restart"/>
          </w:tcPr>
          <w:p>
            <w:pPr>
              <w:ind w:left="40"/>
              <w:spacing w:after="0"/>
              <w:rPr>
                <w:sz w:val="20"/>
                <w:szCs w:val="20"/>
                <w:color w:val="auto"/>
              </w:rPr>
            </w:pPr>
            <w:r>
              <w:rPr>
                <w:rFonts w:ascii="Arial" w:cs="Arial" w:eastAsia="Arial" w:hAnsi="Arial"/>
                <w:sz w:val="16"/>
                <w:szCs w:val="16"/>
                <w:color w:val="auto"/>
              </w:rPr>
              <w:t>Dec 2013-Nov 2014</w:t>
            </w: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800" w:type="dxa"/>
            <w:vAlign w:val="bottom"/>
            <w:gridSpan w:val="4"/>
            <w:vMerge w:val="continue"/>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Q2</w:t>
            </w:r>
          </w:p>
        </w:tc>
        <w:tc>
          <w:tcPr>
            <w:tcW w:w="980" w:type="dxa"/>
            <w:vAlign w:val="bottom"/>
          </w:tcPr>
          <w:p>
            <w:pPr>
              <w:ind w:left="20"/>
              <w:spacing w:after="0"/>
              <w:rPr>
                <w:sz w:val="20"/>
                <w:szCs w:val="20"/>
                <w:color w:val="auto"/>
              </w:rPr>
            </w:pPr>
            <w:r>
              <w:rPr>
                <w:rFonts w:ascii="Arial" w:cs="Arial" w:eastAsia="Arial" w:hAnsi="Arial"/>
                <w:sz w:val="16"/>
                <w:szCs w:val="16"/>
                <w:color w:val="auto"/>
              </w:rPr>
              <w:t>2015</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2,104</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1,518</w:t>
            </w:r>
          </w:p>
        </w:tc>
        <w:tc>
          <w:tcPr>
            <w:tcW w:w="1320" w:type="dxa"/>
            <w:vAlign w:val="bottom"/>
          </w:tcPr>
          <w:p>
            <w:pPr>
              <w:jc w:val="right"/>
              <w:ind w:right="281"/>
              <w:spacing w:after="0"/>
              <w:rPr>
                <w:sz w:val="20"/>
                <w:szCs w:val="20"/>
                <w:color w:val="auto"/>
              </w:rPr>
            </w:pPr>
            <w:r>
              <w:rPr>
                <w:rFonts w:ascii="Arial" w:cs="Arial" w:eastAsia="Arial" w:hAnsi="Arial"/>
                <w:sz w:val="16"/>
                <w:szCs w:val="16"/>
                <w:color w:val="auto"/>
              </w:rPr>
              <w:t>4,778</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22"/>
                <w:szCs w:val="22"/>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605</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410</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1,877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2,596</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2,873</w:t>
            </w:r>
          </w:p>
        </w:tc>
        <w:tc>
          <w:tcPr>
            <w:tcW w:w="13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4,501</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2,279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742</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796</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1,823</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Q4</w:t>
            </w:r>
          </w:p>
        </w:tc>
        <w:tc>
          <w:tcPr>
            <w:tcW w:w="980" w:type="dxa"/>
            <w:vAlign w:val="bottom"/>
          </w:tcPr>
          <w:p>
            <w:pPr>
              <w:ind w:left="20"/>
              <w:spacing w:after="0"/>
              <w:rPr>
                <w:sz w:val="20"/>
                <w:szCs w:val="20"/>
                <w:color w:val="auto"/>
              </w:rPr>
            </w:pPr>
            <w:r>
              <w:rPr>
                <w:rFonts w:ascii="Arial" w:cs="Arial" w:eastAsia="Arial" w:hAnsi="Arial"/>
                <w:sz w:val="16"/>
                <w:szCs w:val="16"/>
                <w:color w:val="auto"/>
              </w:rPr>
              <w:t>2015</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2,366</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2,795</w:t>
            </w:r>
          </w:p>
        </w:tc>
        <w:tc>
          <w:tcPr>
            <w:tcW w:w="1320" w:type="dxa"/>
            <w:vAlign w:val="bottom"/>
          </w:tcPr>
          <w:p>
            <w:pPr>
              <w:jc w:val="right"/>
              <w:ind w:right="281"/>
              <w:spacing w:after="0"/>
              <w:rPr>
                <w:sz w:val="20"/>
                <w:szCs w:val="20"/>
                <w:color w:val="auto"/>
              </w:rPr>
            </w:pPr>
            <w:r>
              <w:rPr>
                <w:rFonts w:ascii="Arial" w:cs="Arial" w:eastAsia="Arial" w:hAnsi="Arial"/>
                <w:sz w:val="16"/>
                <w:szCs w:val="16"/>
                <w:color w:val="auto"/>
              </w:rPr>
              <w:t>4,072</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22"/>
                <w:szCs w:val="22"/>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777</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937</w:t>
            </w:r>
          </w:p>
        </w:tc>
        <w:tc>
          <w:tcPr>
            <w:tcW w:w="1300" w:type="dxa"/>
            <w:vAlign w:val="bottom"/>
          </w:tcPr>
          <w:p>
            <w:pPr>
              <w:jc w:val="right"/>
              <w:ind w:right="221"/>
              <w:spacing w:after="0"/>
              <w:rPr>
                <w:sz w:val="20"/>
                <w:szCs w:val="20"/>
                <w:color w:val="auto"/>
              </w:rPr>
            </w:pPr>
            <w:r>
              <w:rPr>
                <w:rFonts w:ascii="Arial" w:cs="Arial" w:eastAsia="Arial" w:hAnsi="Arial"/>
                <w:sz w:val="16"/>
                <w:szCs w:val="16"/>
                <w:color w:val="auto"/>
              </w:rPr>
              <w:t>1,663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3"/>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1,921</w:t>
            </w: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1,878</w:t>
            </w:r>
          </w:p>
        </w:tc>
        <w:tc>
          <w:tcPr>
            <w:tcW w:w="13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4,115</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816</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641</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1,838</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80"/>
        </w:trPr>
        <w:tc>
          <w:tcPr>
            <w:tcW w:w="180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Rolling 12 months</w:t>
            </w: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8,987</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9,064</w:t>
            </w:r>
          </w:p>
        </w:tc>
        <w:tc>
          <w:tcPr>
            <w:tcW w:w="13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2,940</w:t>
            </w: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2,784</w:t>
            </w:r>
          </w:p>
        </w:tc>
        <w:tc>
          <w:tcPr>
            <w:tcW w:w="13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8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Dec 2014-Nov 2015</w:t>
            </w:r>
          </w:p>
        </w:tc>
        <w:tc>
          <w:tcPr>
            <w:tcW w:w="1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6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8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Unit change</w:t>
            </w:r>
          </w:p>
        </w:tc>
        <w:tc>
          <w:tcPr>
            <w:tcW w:w="12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206</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997</w:t>
            </w:r>
          </w:p>
        </w:tc>
        <w:tc>
          <w:tcPr>
            <w:tcW w:w="13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(77)</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369</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304</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156</w:t>
            </w:r>
          </w:p>
        </w:tc>
        <w:tc>
          <w:tcPr>
            <w:tcW w:w="10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51"/>
        </w:trPr>
        <w:tc>
          <w:tcPr>
            <w:tcW w:w="1800" w:type="dxa"/>
            <w:vAlign w:val="bottom"/>
            <w:gridSpan w:val="4"/>
          </w:tcPr>
          <w:p>
            <w:pPr>
              <w:ind w:left="40"/>
              <w:spacing w:after="0"/>
              <w:rPr>
                <w:sz w:val="20"/>
                <w:szCs w:val="20"/>
                <w:color w:val="auto"/>
              </w:rPr>
            </w:pPr>
            <w:r>
              <w:rPr>
                <w:rFonts w:ascii="Arial" w:cs="Arial" w:eastAsia="Arial" w:hAnsi="Arial"/>
                <w:sz w:val="16"/>
                <w:szCs w:val="16"/>
                <w:color w:val="auto"/>
              </w:rPr>
              <w:t>Percentage change</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20" w:type="dxa"/>
            <w:vAlign w:val="bottom"/>
          </w:tcPr>
          <w:p>
            <w:pPr>
              <w:jc w:val="right"/>
              <w:spacing w:after="0"/>
              <w:rPr>
                <w:sz w:val="20"/>
                <w:szCs w:val="20"/>
                <w:color w:val="auto"/>
              </w:rPr>
            </w:pPr>
            <w:r>
              <w:rPr>
                <w:rFonts w:ascii="Arial" w:cs="Arial" w:eastAsia="Arial" w:hAnsi="Arial"/>
                <w:sz w:val="16"/>
                <w:szCs w:val="16"/>
                <w:color w:val="auto"/>
              </w:rPr>
              <w:t>12.4%</w:t>
            </w: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10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w:t>
            </w:r>
          </w:p>
        </w:tc>
        <w:tc>
          <w:tcPr>
            <w:tcW w:w="1240" w:type="dxa"/>
            <w:vAlign w:val="bottom"/>
          </w:tcPr>
          <w:p>
            <w:pPr>
              <w:jc w:val="right"/>
              <w:spacing w:after="0"/>
              <w:rPr>
                <w:sz w:val="20"/>
                <w:szCs w:val="20"/>
                <w:color w:val="auto"/>
              </w:rPr>
            </w:pPr>
            <w:r>
              <w:rPr>
                <w:rFonts w:ascii="Arial" w:cs="Arial" w:eastAsia="Arial" w:hAnsi="Arial"/>
                <w:sz w:val="16"/>
                <w:szCs w:val="16"/>
                <w:color w:val="auto"/>
              </w:rPr>
              <w:t>12.3%</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9.3%</w:t>
            </w:r>
          </w:p>
        </w:tc>
        <w:tc>
          <w:tcPr>
            <w:tcW w:w="1000" w:type="dxa"/>
            <w:vAlign w:val="bottom"/>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right="100" w:firstLine="8"/>
        <w:spacing w:after="0" w:line="225"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An additional 343 units were delivered but not included in wholesale deliveries as presented in the table above as the units were subject to repurchase option. These units were included as retail registrations, not in dealer inventory, as the units were immediately placed into rental service once delivered. See Note 5 to the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6"/>
          </w:tcPr>
          <w:p>
            <w:pPr>
              <w:jc w:val="right"/>
              <w:ind w:right="681"/>
              <w:spacing w:after="0"/>
              <w:rPr>
                <w:sz w:val="20"/>
                <w:szCs w:val="20"/>
                <w:color w:val="auto"/>
              </w:rPr>
            </w:pPr>
            <w:r>
              <w:rPr>
                <w:rFonts w:ascii="Arial" w:cs="Arial" w:eastAsia="Arial" w:hAnsi="Arial"/>
                <w:sz w:val="14"/>
                <w:szCs w:val="14"/>
                <w:b w:val="1"/>
                <w:bCs w:val="1"/>
                <w:color w:val="auto"/>
              </w:rPr>
              <w:t>US and Canada Industry Class A, B &amp; C Motorhomes</w:t>
            </w:r>
          </w:p>
        </w:tc>
        <w:tc>
          <w:tcPr>
            <w:tcW w:w="1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10"/>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5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701"/>
              <w:spacing w:after="0"/>
              <w:rPr>
                <w:sz w:val="20"/>
                <w:szCs w:val="20"/>
                <w:color w:val="auto"/>
              </w:rPr>
            </w:pPr>
            <w:r>
              <w:rPr>
                <w:rFonts w:ascii="Arial" w:cs="Arial" w:eastAsia="Arial" w:hAnsi="Arial"/>
                <w:sz w:val="14"/>
                <w:szCs w:val="14"/>
                <w:b w:val="1"/>
                <w:bCs w:val="1"/>
                <w:color w:val="auto"/>
              </w:rPr>
              <w:t>Calendar Year</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rPr>
              <w:t>Calendar Year</w:t>
            </w: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1160" w:type="dxa"/>
            <w:vAlign w:val="bottom"/>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1100" w:type="dxa"/>
            <w:vAlign w:val="bottom"/>
          </w:tcPr>
          <w:p>
            <w:pPr>
              <w:jc w:val="right"/>
              <w:ind w:right="81"/>
              <w:spacing w:after="0"/>
              <w:rPr>
                <w:sz w:val="20"/>
                <w:szCs w:val="20"/>
                <w:color w:val="auto"/>
              </w:rPr>
            </w:pPr>
            <w:r>
              <w:rPr>
                <w:rFonts w:ascii="Arial" w:cs="Arial" w:eastAsia="Arial" w:hAnsi="Arial"/>
                <w:sz w:val="14"/>
                <w:szCs w:val="14"/>
                <w:b w:val="1"/>
                <w:bCs w:val="1"/>
                <w:color w:val="auto"/>
              </w:rPr>
              <w:t>Unit Change</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180" w:type="dxa"/>
            <w:vAlign w:val="bottom"/>
          </w:tcPr>
          <w:p>
            <w:pPr>
              <w:jc w:val="right"/>
              <w:ind w:right="120"/>
              <w:spacing w:after="0"/>
              <w:rPr>
                <w:sz w:val="20"/>
                <w:szCs w:val="20"/>
                <w:color w:val="auto"/>
              </w:rPr>
            </w:pPr>
            <w:r>
              <w:rPr>
                <w:rFonts w:ascii="Arial" w:cs="Arial" w:eastAsia="Arial" w:hAnsi="Arial"/>
                <w:sz w:val="14"/>
                <w:szCs w:val="14"/>
                <w:b w:val="1"/>
                <w:bCs w:val="1"/>
                <w:color w:val="auto"/>
              </w:rPr>
              <w:t>Unit Change</w:t>
            </w: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270"/>
        </w:trPr>
        <w:tc>
          <w:tcPr>
            <w:tcW w:w="1580" w:type="dxa"/>
            <w:vAlign w:val="bottom"/>
            <w:tcBorders>
              <w:top w:val="single" w:sz="8" w:color="auto"/>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11,125</w:t>
            </w:r>
          </w:p>
        </w:tc>
        <w:tc>
          <w:tcPr>
            <w:tcW w:w="3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8,500</w:t>
            </w:r>
          </w:p>
        </w:tc>
        <w:tc>
          <w:tcPr>
            <w:tcW w:w="11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2,625</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8,076</w:t>
            </w:r>
          </w:p>
        </w:tc>
        <w:tc>
          <w:tcPr>
            <w:tcW w:w="4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7,147</w:t>
            </w:r>
          </w:p>
        </w:tc>
        <w:tc>
          <w:tcPr>
            <w:tcW w:w="11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929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23"/>
                <w:szCs w:val="23"/>
                <w:color w:val="auto"/>
              </w:rPr>
            </w:pPr>
          </w:p>
        </w:tc>
      </w:tr>
      <w:tr>
        <w:trPr>
          <w:trHeight w:val="260"/>
        </w:trPr>
        <w:tc>
          <w:tcPr>
            <w:tcW w:w="1580" w:type="dxa"/>
            <w:vAlign w:val="bottom"/>
          </w:tcPr>
          <w:p>
            <w:pPr>
              <w:ind w:left="40"/>
              <w:spacing w:after="0"/>
              <w:rPr>
                <w:sz w:val="20"/>
                <w:szCs w:val="20"/>
                <w:color w:val="auto"/>
              </w:rPr>
            </w:pPr>
            <w:r>
              <w:rPr>
                <w:rFonts w:ascii="Arial" w:cs="Arial" w:eastAsia="Arial" w:hAnsi="Arial"/>
                <w:sz w:val="16"/>
                <w:szCs w:val="16"/>
                <w:color w:val="auto"/>
              </w:rPr>
              <w:t>Q2</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12,203</w:t>
            </w:r>
          </w:p>
        </w:tc>
        <w:tc>
          <w:tcPr>
            <w:tcW w:w="3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10,972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1,231</w:t>
            </w:r>
          </w:p>
        </w:tc>
        <w:tc>
          <w:tcPr>
            <w:tcW w:w="11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12,511</w:t>
            </w:r>
          </w:p>
        </w:tc>
        <w:tc>
          <w:tcPr>
            <w:tcW w:w="4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10,909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1,602</w:t>
            </w:r>
          </w:p>
        </w:tc>
        <w:tc>
          <w:tcPr>
            <w:tcW w:w="1120" w:type="dxa"/>
            <w:vAlign w:val="bottom"/>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22"/>
                <w:szCs w:val="22"/>
                <w:color w:val="auto"/>
              </w:rPr>
            </w:pPr>
          </w:p>
        </w:tc>
      </w:tr>
      <w:tr>
        <w:trPr>
          <w:trHeight w:val="280"/>
        </w:trPr>
        <w:tc>
          <w:tcPr>
            <w:tcW w:w="15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10,704</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9,469</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10,740</w:t>
            </w: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9,125</w:t>
            </w: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1,615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24"/>
                <w:szCs w:val="24"/>
                <w:color w:val="auto"/>
              </w:rPr>
            </w:pPr>
          </w:p>
        </w:tc>
      </w:tr>
      <w:tr>
        <w:trPr>
          <w:trHeight w:val="264"/>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9,919</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9,391</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528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7,605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6,281</w:t>
            </w: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1,324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20" w:type="dxa"/>
            <w:vAlign w:val="bottom"/>
          </w:tcPr>
          <w:p>
            <w:pPr>
              <w:spacing w:after="0"/>
              <w:rPr>
                <w:sz w:val="22"/>
                <w:szCs w:val="22"/>
                <w:color w:val="auto"/>
              </w:rPr>
            </w:pPr>
          </w:p>
        </w:tc>
      </w:tr>
      <w:tr>
        <w:trPr>
          <w:trHeight w:val="267"/>
        </w:trPr>
        <w:tc>
          <w:tcPr>
            <w:tcW w:w="158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43,951</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38,332</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5,619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38,932</w:t>
            </w: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33,462</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5,470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23"/>
                <w:szCs w:val="23"/>
                <w:color w:val="auto"/>
              </w:rPr>
            </w:pPr>
          </w:p>
        </w:tc>
      </w:tr>
      <w:tr>
        <w:trPr>
          <w:trHeight w:val="20"/>
        </w:trPr>
        <w:tc>
          <w:tcPr>
            <w:tcW w:w="1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1580" w:type="dxa"/>
            <w:vAlign w:val="bottom"/>
          </w:tcPr>
          <w:p>
            <w:pPr>
              <w:spacing w:after="0"/>
              <w:rPr>
                <w:sz w:val="21"/>
                <w:szCs w:val="21"/>
                <w:color w:val="auto"/>
              </w:rPr>
            </w:pPr>
          </w:p>
        </w:tc>
        <w:tc>
          <w:tcPr>
            <w:tcW w:w="1160" w:type="dxa"/>
            <w:vAlign w:val="bottom"/>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1100" w:type="dxa"/>
            <w:vAlign w:val="bottom"/>
          </w:tcPr>
          <w:p>
            <w:pPr>
              <w:jc w:val="right"/>
              <w:ind w:right="81"/>
              <w:spacing w:after="0"/>
              <w:rPr>
                <w:sz w:val="20"/>
                <w:szCs w:val="20"/>
                <w:color w:val="auto"/>
              </w:rPr>
            </w:pPr>
            <w:r>
              <w:rPr>
                <w:rFonts w:ascii="Arial" w:cs="Arial" w:eastAsia="Arial" w:hAnsi="Arial"/>
                <w:sz w:val="14"/>
                <w:szCs w:val="14"/>
                <w:b w:val="1"/>
                <w:bCs w:val="1"/>
                <w:color w:val="auto"/>
              </w:rPr>
              <w:t>Unit Change</w:t>
            </w: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1180" w:type="dxa"/>
            <w:vAlign w:val="bottom"/>
          </w:tcPr>
          <w:p>
            <w:pPr>
              <w:jc w:val="right"/>
              <w:ind w:right="120"/>
              <w:spacing w:after="0"/>
              <w:rPr>
                <w:sz w:val="20"/>
                <w:szCs w:val="20"/>
                <w:color w:val="auto"/>
              </w:rPr>
            </w:pPr>
            <w:r>
              <w:rPr>
                <w:rFonts w:ascii="Arial" w:cs="Arial" w:eastAsia="Arial" w:hAnsi="Arial"/>
                <w:sz w:val="14"/>
                <w:szCs w:val="14"/>
                <w:b w:val="1"/>
                <w:bCs w:val="1"/>
                <w:color w:val="auto"/>
              </w:rPr>
              <w:t>Unit Change</w:t>
            </w:r>
          </w:p>
        </w:tc>
        <w:tc>
          <w:tcPr>
            <w:tcW w:w="112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1"/>
                <w:szCs w:val="21"/>
                <w:color w:val="auto"/>
              </w:rPr>
            </w:pPr>
          </w:p>
        </w:tc>
      </w:tr>
      <w:tr>
        <w:trPr>
          <w:trHeight w:val="270"/>
        </w:trPr>
        <w:tc>
          <w:tcPr>
            <w:tcW w:w="1580" w:type="dxa"/>
            <w:vAlign w:val="bottom"/>
            <w:tcBorders>
              <w:top w:val="single" w:sz="8" w:color="auto"/>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11,963</w:t>
            </w:r>
          </w:p>
        </w:tc>
        <w:tc>
          <w:tcPr>
            <w:tcW w:w="3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11,125</w:t>
            </w:r>
          </w:p>
        </w:tc>
        <w:tc>
          <w:tcPr>
            <w:tcW w:w="11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838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9,129</w:t>
            </w:r>
          </w:p>
        </w:tc>
        <w:tc>
          <w:tcPr>
            <w:tcW w:w="4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8,076</w:t>
            </w:r>
          </w:p>
        </w:tc>
        <w:tc>
          <w:tcPr>
            <w:tcW w:w="11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1,053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23"/>
                <w:szCs w:val="23"/>
                <w:color w:val="auto"/>
              </w:rPr>
            </w:pPr>
          </w:p>
        </w:tc>
      </w:tr>
      <w:tr>
        <w:trPr>
          <w:trHeight w:val="260"/>
        </w:trPr>
        <w:tc>
          <w:tcPr>
            <w:tcW w:w="1580" w:type="dxa"/>
            <w:vAlign w:val="bottom"/>
          </w:tcPr>
          <w:p>
            <w:pPr>
              <w:ind w:left="40"/>
              <w:spacing w:after="0"/>
              <w:rPr>
                <w:sz w:val="20"/>
                <w:szCs w:val="20"/>
                <w:color w:val="auto"/>
              </w:rPr>
            </w:pPr>
            <w:r>
              <w:rPr>
                <w:rFonts w:ascii="Arial" w:cs="Arial" w:eastAsia="Arial" w:hAnsi="Arial"/>
                <w:sz w:val="16"/>
                <w:szCs w:val="16"/>
                <w:color w:val="auto"/>
              </w:rPr>
              <w:t>Q2</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12,751</w:t>
            </w:r>
          </w:p>
        </w:tc>
        <w:tc>
          <w:tcPr>
            <w:tcW w:w="3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12,203</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548</w:t>
            </w: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14,058</w:t>
            </w:r>
          </w:p>
        </w:tc>
        <w:tc>
          <w:tcPr>
            <w:tcW w:w="4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12,511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1,547</w:t>
            </w:r>
          </w:p>
        </w:tc>
        <w:tc>
          <w:tcPr>
            <w:tcW w:w="1120" w:type="dxa"/>
            <w:vAlign w:val="bottom"/>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22"/>
                <w:szCs w:val="22"/>
                <w:color w:val="auto"/>
              </w:rPr>
            </w:pPr>
          </w:p>
        </w:tc>
      </w:tr>
      <w:tr>
        <w:trPr>
          <w:trHeight w:val="273"/>
        </w:trPr>
        <w:tc>
          <w:tcPr>
            <w:tcW w:w="158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11,199</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10,704</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495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11,910</w:t>
            </w: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10,740</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1,170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tcBorders>
              <w:bottom w:val="single" w:sz="8" w:color="auto"/>
            </w:tcBorders>
          </w:tcPr>
          <w:p>
            <w:pPr>
              <w:spacing w:after="0"/>
              <w:rPr>
                <w:sz w:val="23"/>
                <w:szCs w:val="23"/>
                <w:color w:val="auto"/>
              </w:rPr>
            </w:pPr>
          </w:p>
        </w:tc>
      </w:tr>
      <w:tr>
        <w:trPr>
          <w:trHeight w:val="260"/>
        </w:trPr>
        <w:tc>
          <w:tcPr>
            <w:tcW w:w="15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October</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4,223</w:t>
            </w:r>
          </w:p>
        </w:tc>
        <w:tc>
          <w:tcPr>
            <w:tcW w:w="3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3,915</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308</w:t>
            </w: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3,446</w:t>
            </w:r>
          </w:p>
        </w:tc>
        <w:tc>
          <w:tcPr>
            <w:tcW w:w="4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3,127</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319</w:t>
            </w:r>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c>
          <w:tcPr>
            <w:tcW w:w="20" w:type="dxa"/>
            <w:vAlign w:val="bottom"/>
            <w:shd w:val="clear" w:color="auto" w:fill="000000"/>
          </w:tcPr>
          <w:p>
            <w:pPr>
              <w:spacing w:after="0"/>
              <w:rPr>
                <w:sz w:val="22"/>
                <w:szCs w:val="22"/>
                <w:color w:val="auto"/>
              </w:rPr>
            </w:pPr>
          </w:p>
        </w:tc>
      </w:tr>
      <w:tr>
        <w:trPr>
          <w:trHeight w:val="280"/>
        </w:trPr>
        <w:tc>
          <w:tcPr>
            <w:tcW w:w="158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November</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3,204</w:t>
            </w:r>
          </w:p>
        </w:tc>
        <w:tc>
          <w:tcPr>
            <w:tcW w:w="3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3,119</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2,497</w:t>
            </w:r>
          </w:p>
        </w:tc>
        <w:tc>
          <w:tcPr>
            <w:tcW w:w="1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64"/>
        </w:trPr>
        <w:tc>
          <w:tcPr>
            <w:tcW w:w="1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December</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3,296</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2,885</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411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(4)</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1,981</w:t>
            </w:r>
          </w:p>
        </w:tc>
        <w:tc>
          <w:tcPr>
            <w:tcW w:w="1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64"/>
        </w:trPr>
        <w:tc>
          <w:tcPr>
            <w:tcW w:w="158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10,723</w:t>
            </w:r>
          </w:p>
        </w:tc>
        <w:tc>
          <w:tcPr>
            <w:tcW w:w="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9,919</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804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(4)</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7,605</w:t>
            </w:r>
          </w:p>
        </w:tc>
        <w:tc>
          <w:tcPr>
            <w:tcW w:w="1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307"/>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46,636</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43,951</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2,685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38,543</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38,932</w:t>
            </w:r>
          </w:p>
        </w:tc>
        <w:tc>
          <w:tcPr>
            <w:tcW w:w="11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1580" w:type="dxa"/>
            <w:vAlign w:val="bottom"/>
            <w:tcBorders>
              <w:left w:val="single" w:sz="8" w:color="CCEEFF"/>
            </w:tcBorders>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415"/>
        </w:trPr>
        <w:tc>
          <w:tcPr>
            <w:tcW w:w="1580" w:type="dxa"/>
            <w:vAlign w:val="bottom"/>
          </w:tcPr>
          <w:p>
            <w:pPr>
              <w:ind w:left="40"/>
              <w:spacing w:after="0"/>
              <w:rPr>
                <w:sz w:val="20"/>
                <w:szCs w:val="20"/>
                <w:color w:val="auto"/>
              </w:rPr>
            </w:pPr>
            <w:r>
              <w:rPr>
                <w:rFonts w:ascii="Arial" w:cs="Arial" w:eastAsia="Arial" w:hAnsi="Arial"/>
                <w:sz w:val="32"/>
                <w:szCs w:val="32"/>
                <w:color w:val="auto"/>
                <w:vertAlign w:val="subscript"/>
              </w:rPr>
              <w:t>YTD</w:t>
            </w:r>
            <w:r>
              <w:rPr>
                <w:rFonts w:ascii="Arial" w:cs="Arial" w:eastAsia="Arial" w:hAnsi="Arial"/>
                <w:sz w:val="11"/>
                <w:szCs w:val="11"/>
                <w:color w:val="auto"/>
              </w:rPr>
              <w:t xml:space="preserve"> (5)</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40,136</w:t>
            </w:r>
          </w:p>
        </w:tc>
        <w:tc>
          <w:tcPr>
            <w:tcW w:w="36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37,947</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2,189</w:t>
            </w: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38,543</w:t>
            </w:r>
          </w:p>
        </w:tc>
        <w:tc>
          <w:tcPr>
            <w:tcW w:w="420" w:type="dxa"/>
            <w:vAlign w:val="bottom"/>
          </w:tcPr>
          <w:p>
            <w:pPr>
              <w:spacing w:after="0"/>
              <w:rPr>
                <w:sz w:val="24"/>
                <w:szCs w:val="24"/>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34,454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4,089</w:t>
            </w:r>
          </w:p>
        </w:tc>
        <w:tc>
          <w:tcPr>
            <w:tcW w:w="1120" w:type="dxa"/>
            <w:vAlign w:val="bottom"/>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24"/>
                <w:szCs w:val="24"/>
                <w:color w:val="auto"/>
              </w:rPr>
            </w:pPr>
          </w:p>
        </w:tc>
      </w:tr>
    </w:tbl>
    <w:p>
      <w:pPr>
        <w:ind w:left="340" w:hanging="332"/>
        <w:spacing w:after="0" w:line="213"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60" w:hanging="332"/>
        <w:spacing w:after="0" w:line="22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Monthly and quarterly Class A, B and C wholesale shipments are based upon the forecast prepared by Dr. Richard Curtin of the University of Michigan Consumer Survey Research Center for RVIA and reported in the Roadsigns RV Winter 2015 Industry Forecast Issue. The revised RVIA annual 2015 wholesale shipment forecast is 46,900 and the annual forecast for 2016 is 48,500.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2015 retail demand for this period.</w:t>
      </w:r>
    </w:p>
    <w:p>
      <w:pPr>
        <w:ind w:left="340" w:hanging="332"/>
        <w:spacing w:after="0" w:line="199"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and retail registrations include January through October.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4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Retail Registrations</w:t>
            </w:r>
            <w:r>
              <w:rPr>
                <w:rFonts w:ascii="Arial" w:cs="Arial" w:eastAsia="Arial" w:hAnsi="Arial"/>
                <w:sz w:val="17"/>
                <w:szCs w:val="17"/>
                <w:b w:val="1"/>
                <w:bCs w:val="1"/>
                <w:color w:val="auto"/>
                <w:w w:val="99"/>
                <w:vertAlign w:val="superscript"/>
              </w:rPr>
              <w:t>(2)</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right"/>
              <w:ind w:right="7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Calendar Year</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1080" w:type="dxa"/>
            <w:vAlign w:val="bottom"/>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4"/>
                <w:szCs w:val="14"/>
                <w:b w:val="1"/>
                <w:bCs w:val="1"/>
                <w:color w:val="auto"/>
              </w:rPr>
              <w:t>2013</w:t>
            </w: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420" w:type="dxa"/>
            <w:vAlign w:val="bottom"/>
            <w:tcBorders>
              <w:top w:val="single" w:sz="8" w:color="auto"/>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75,278</w:t>
            </w:r>
          </w:p>
        </w:tc>
        <w:tc>
          <w:tcPr>
            <w:tcW w:w="4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66,745</w:t>
            </w:r>
          </w:p>
        </w:tc>
        <w:tc>
          <w:tcPr>
            <w:tcW w:w="12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8,533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46,178</w:t>
            </w:r>
          </w:p>
        </w:tc>
        <w:tc>
          <w:tcPr>
            <w:tcW w:w="32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43,024</w:t>
            </w: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3,154</w:t>
            </w:r>
          </w:p>
        </w:tc>
        <w:tc>
          <w:tcPr>
            <w:tcW w:w="120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20" w:type="dxa"/>
            <w:vAlign w:val="bottom"/>
          </w:tcPr>
          <w:p>
            <w:pPr>
              <w:ind w:left="40"/>
              <w:spacing w:after="0"/>
              <w:rPr>
                <w:sz w:val="20"/>
                <w:szCs w:val="20"/>
                <w:color w:val="auto"/>
              </w:rPr>
            </w:pPr>
            <w:r>
              <w:rPr>
                <w:rFonts w:ascii="Arial" w:cs="Arial" w:eastAsia="Arial" w:hAnsi="Arial"/>
                <w:sz w:val="16"/>
                <w:szCs w:val="16"/>
                <w:color w:val="auto"/>
              </w:rPr>
              <w:t>Q2</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85,648</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79,935</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5,713</w:t>
            </w:r>
          </w:p>
        </w:tc>
        <w:tc>
          <w:tcPr>
            <w:tcW w:w="118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2"/>
                <w:szCs w:val="22"/>
                <w:color w:val="auto"/>
              </w:rPr>
            </w:pP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100,257</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94,805</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5,452</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65,543</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61,251</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4,292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87,999</w:t>
            </w:r>
          </w:p>
        </w:tc>
        <w:tc>
          <w:tcPr>
            <w:tcW w:w="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79,869</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8,130</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72,289</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60,104</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12,185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42,911</w:t>
            </w:r>
          </w:p>
        </w:tc>
        <w:tc>
          <w:tcPr>
            <w:tcW w:w="3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37,086</w:t>
            </w: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5,825</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42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298,758</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268,035</w:t>
            </w:r>
          </w:p>
        </w:tc>
        <w:tc>
          <w:tcPr>
            <w:tcW w:w="12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30,723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277,345</w:t>
            </w:r>
          </w:p>
        </w:tc>
        <w:tc>
          <w:tcPr>
            <w:tcW w:w="3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254,784</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22,561</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42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21"/>
                <w:szCs w:val="21"/>
                <w:color w:val="auto"/>
              </w:rPr>
            </w:pPr>
          </w:p>
        </w:tc>
        <w:tc>
          <w:tcPr>
            <w:tcW w:w="1060" w:type="dxa"/>
            <w:vAlign w:val="bottom"/>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Unit Change</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41"/>
              <w:spacing w:after="0"/>
              <w:rPr>
                <w:sz w:val="20"/>
                <w:szCs w:val="20"/>
                <w:color w:val="auto"/>
              </w:rPr>
            </w:pPr>
            <w:r>
              <w:rPr>
                <w:rFonts w:ascii="Arial" w:cs="Arial" w:eastAsia="Arial" w:hAnsi="Arial"/>
                <w:sz w:val="14"/>
                <w:szCs w:val="14"/>
                <w:b w:val="1"/>
                <w:bCs w:val="1"/>
                <w:color w:val="auto"/>
              </w:rPr>
              <w:t>2014</w:t>
            </w: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Unit Change</w:t>
            </w: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Borders>
              <w:top w:val="single" w:sz="8" w:color="CCEEFF"/>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81,759</w:t>
            </w:r>
          </w:p>
        </w:tc>
        <w:tc>
          <w:tcPr>
            <w:tcW w:w="4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75,278</w:t>
            </w:r>
          </w:p>
        </w:tc>
        <w:tc>
          <w:tcPr>
            <w:tcW w:w="12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6,481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54,232</w:t>
            </w:r>
          </w:p>
        </w:tc>
        <w:tc>
          <w:tcPr>
            <w:tcW w:w="32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46,178</w:t>
            </w: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8,054</w:t>
            </w:r>
          </w:p>
        </w:tc>
        <w:tc>
          <w:tcPr>
            <w:tcW w:w="120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20" w:type="dxa"/>
            <w:vAlign w:val="bottom"/>
          </w:tcPr>
          <w:p>
            <w:pPr>
              <w:ind w:left="40"/>
              <w:spacing w:after="0"/>
              <w:rPr>
                <w:sz w:val="20"/>
                <w:szCs w:val="20"/>
                <w:color w:val="auto"/>
              </w:rPr>
            </w:pPr>
            <w:r>
              <w:rPr>
                <w:rFonts w:ascii="Arial" w:cs="Arial" w:eastAsia="Arial" w:hAnsi="Arial"/>
                <w:sz w:val="16"/>
                <w:szCs w:val="16"/>
                <w:color w:val="auto"/>
              </w:rPr>
              <w:t>Q2</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88,988</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85,648</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3,340</w:t>
            </w:r>
          </w:p>
        </w:tc>
        <w:tc>
          <w:tcPr>
            <w:tcW w:w="118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2"/>
                <w:szCs w:val="22"/>
                <w:color w:val="auto"/>
              </w:rPr>
            </w:pP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111,273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100,257</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11,016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42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68,686</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65,543</w:t>
            </w:r>
          </w:p>
        </w:tc>
        <w:tc>
          <w:tcPr>
            <w:tcW w:w="12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3,143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96,872</w:t>
            </w:r>
          </w:p>
        </w:tc>
        <w:tc>
          <w:tcPr>
            <w:tcW w:w="3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87,999</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8,873</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10.1%</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4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October</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28,535</w:t>
            </w:r>
          </w:p>
        </w:tc>
        <w:tc>
          <w:tcPr>
            <w:tcW w:w="420" w:type="dxa"/>
            <w:vAlign w:val="bottom"/>
          </w:tcPr>
          <w:p>
            <w:pPr>
              <w:spacing w:after="0"/>
              <w:rPr>
                <w:sz w:val="22"/>
                <w:szCs w:val="22"/>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27,372</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1,163</w:t>
            </w:r>
          </w:p>
        </w:tc>
        <w:tc>
          <w:tcPr>
            <w:tcW w:w="118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2"/>
                <w:szCs w:val="22"/>
                <w:color w:val="auto"/>
              </w:rPr>
            </w:pP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21,907</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19,972</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1,935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4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November</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21,360</w:t>
            </w: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22,228</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(868)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12,752</w:t>
            </w:r>
          </w:p>
        </w:tc>
        <w:tc>
          <w:tcPr>
            <w:tcW w:w="1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December</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23,034</w:t>
            </w:r>
          </w:p>
        </w:tc>
        <w:tc>
          <w:tcPr>
            <w:tcW w:w="4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22,689</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345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(4)</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10,187</w:t>
            </w:r>
          </w:p>
        </w:tc>
        <w:tc>
          <w:tcPr>
            <w:tcW w:w="1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72,929</w:t>
            </w:r>
          </w:p>
        </w:tc>
        <w:tc>
          <w:tcPr>
            <w:tcW w:w="4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72,289</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640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w:t>
            </w: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42,911</w:t>
            </w: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42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312,362</w:t>
            </w:r>
          </w:p>
        </w:tc>
        <w:tc>
          <w:tcPr>
            <w:tcW w:w="42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298,758</w:t>
            </w:r>
          </w:p>
        </w:tc>
        <w:tc>
          <w:tcPr>
            <w:tcW w:w="1200" w:type="dxa"/>
            <w:vAlign w:val="bottom"/>
            <w:tcBorders>
              <w:top w:val="single" w:sz="8" w:color="auto"/>
            </w:tcBorders>
            <w:vMerge w:val="restart"/>
          </w:tcPr>
          <w:p>
            <w:pPr>
              <w:jc w:val="right"/>
              <w:ind w:right="181"/>
              <w:spacing w:after="0"/>
              <w:rPr>
                <w:sz w:val="20"/>
                <w:szCs w:val="20"/>
                <w:color w:val="auto"/>
              </w:rPr>
            </w:pPr>
            <w:r>
              <w:rPr>
                <w:rFonts w:ascii="Arial" w:cs="Arial" w:eastAsia="Arial" w:hAnsi="Arial"/>
                <w:sz w:val="16"/>
                <w:szCs w:val="16"/>
                <w:color w:val="auto"/>
              </w:rPr>
              <w:t>13,604</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3"/>
                <w:szCs w:val="13"/>
                <w:color w:val="auto"/>
              </w:rPr>
            </w:pPr>
          </w:p>
        </w:tc>
        <w:tc>
          <w:tcPr>
            <w:tcW w:w="112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6"/>
                <w:szCs w:val="16"/>
                <w:color w:val="auto"/>
              </w:rPr>
              <w:t>284,284</w:t>
            </w:r>
          </w:p>
        </w:tc>
        <w:tc>
          <w:tcPr>
            <w:tcW w:w="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277,345</w:t>
            </w: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2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1420" w:type="dxa"/>
            <w:vAlign w:val="bottom"/>
            <w:tcBorders>
              <w:left w:val="single" w:sz="8" w:color="CCEEFF"/>
            </w:tcBorders>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1420" w:type="dxa"/>
            <w:vAlign w:val="bottom"/>
          </w:tcPr>
          <w:p>
            <w:pPr>
              <w:ind w:left="40"/>
              <w:spacing w:after="0"/>
              <w:rPr>
                <w:sz w:val="20"/>
                <w:szCs w:val="20"/>
                <w:color w:val="auto"/>
              </w:rPr>
            </w:pPr>
            <w:r>
              <w:rPr>
                <w:rFonts w:ascii="Arial" w:cs="Arial" w:eastAsia="Arial" w:hAnsi="Arial"/>
                <w:sz w:val="16"/>
                <w:szCs w:val="16"/>
                <w:color w:val="auto"/>
              </w:rPr>
              <w:t xml:space="preserve">YTD </w:t>
            </w:r>
            <w:r>
              <w:rPr>
                <w:rFonts w:ascii="Arial" w:cs="Arial" w:eastAsia="Arial" w:hAnsi="Arial"/>
                <w:sz w:val="21"/>
                <w:szCs w:val="21"/>
                <w:color w:val="auto"/>
                <w:vertAlign w:val="superscript"/>
              </w:rPr>
              <w:t>(5)</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267,968</w:t>
            </w:r>
          </w:p>
        </w:tc>
        <w:tc>
          <w:tcPr>
            <w:tcW w:w="420" w:type="dxa"/>
            <w:vAlign w:val="bottom"/>
          </w:tcPr>
          <w:p>
            <w:pPr>
              <w:spacing w:after="0"/>
              <w:rPr>
                <w:sz w:val="24"/>
                <w:szCs w:val="24"/>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253,841</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14,127</w:t>
            </w:r>
          </w:p>
        </w:tc>
        <w:tc>
          <w:tcPr>
            <w:tcW w:w="1180" w:type="dxa"/>
            <w:vAlign w:val="bottom"/>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284,284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254,406</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29,878</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300" w:hanging="332"/>
        <w:spacing w:after="0" w:line="22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Monthly and quarterly towable wholesale shipments are based upon the forecast prepared by Dr. Richard Curtin of the University of Michigan Consumer Survey Research Center for RVIA and reported in the Roadsigns RV Winter 2015 Industry Forecast Issue. The revised RVIA annual 2015 wholesale shipment forecast is 310,100 and the annual forecast for 2016 is 314,400.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retail demand for this period.</w:t>
      </w:r>
    </w:p>
    <w:p>
      <w:pPr>
        <w:ind w:left="340" w:hanging="332"/>
        <w:spacing w:after="0" w:line="19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YTD wholesale shipments and retail registrations include January through October.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Now that we have entered into the towable market, we are growing revenues and earnings in a market significantly larger than the motorized market.</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motorized production facilities are currently located in largely rural areas of northern Iowa. In addition, the unemployment rate in these areas is currently low. These factors limit our ability to increase motorized production volumes at a more rapid pace. To overcome these labor shortages we began expanding within the state of Iowa. In Fiscal 2014 we leased an additional manufacturing facility in Lake Mills which is now in production. In the third quarter of Fiscal 2015 we purchased a facility in Waverly, which will be ready for production later this fiscal year. On November 30, 2015 we purchased a production facility in Junction City, Oregon. We plan to invest a total of $15 - $20 million as we move production of select diesel products to this West Coast facility. We believe that this move will allow our Forest City facility to increase production of Class A gas and Class C motorhomes. These expansions are intended to facilitate the increased production rate and to reach additional labor markets.</w:t>
      </w:r>
    </w:p>
    <w:p>
      <w:pPr>
        <w:spacing w:after="0" w:line="18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addition to finding alternative locations, we have re-evaluated the manner in which we deploy labor in our Forest City facility. We are in the process of exiting our bus and aluminum extrusion operations. Both of these operations provided very low margins while consuming production labor. We intend to redeploy these labor resources to the higher-margin motorized operations. In October 2015, we sold assets related to our bus operations and we expect to exit aluminum extrusion operations by the end of the fiscal year.</w:t>
      </w:r>
    </w:p>
    <w:p>
      <w:pPr>
        <w:spacing w:after="0" w:line="17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Fiscal 2016 is a year in which we expect to continue investing and rebuilding for Winnebago’s future. We anticipate flat to modest motorized deliveries growth, which is in line with RVIA’s projection of 3% growth for the industry. We’ve taken steps to improve motorized labor efficiency and expect to see modest improvement in Fiscal 2016. In Towables, we anticipate building on our Fiscal 2015 results, with continued penetration of our new products and further expansion of our distribution base. We believe we can again achieve growth in excess of the overall towables market projections for Fiscal 2016.</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41"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unit order backlog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300" w:type="dxa"/>
            <w:vAlign w:val="bottom"/>
          </w:tcPr>
          <w:p>
            <w:pPr>
              <w:spacing w:after="0"/>
              <w:rPr>
                <w:sz w:val="17"/>
                <w:szCs w:val="17"/>
                <w:color w:val="auto"/>
              </w:rPr>
            </w:pPr>
          </w:p>
        </w:tc>
        <w:tc>
          <w:tcPr>
            <w:tcW w:w="2360" w:type="dxa"/>
            <w:vAlign w:val="bottom"/>
            <w:gridSpan w:val="3"/>
          </w:tcPr>
          <w:p>
            <w:pPr>
              <w:ind w:left="340"/>
              <w:spacing w:after="0"/>
              <w:rPr>
                <w:sz w:val="20"/>
                <w:szCs w:val="20"/>
                <w:color w:val="auto"/>
              </w:rPr>
            </w:pPr>
            <w:r>
              <w:rPr>
                <w:rFonts w:ascii="Arial" w:cs="Arial" w:eastAsia="Arial" w:hAnsi="Arial"/>
                <w:sz w:val="14"/>
                <w:szCs w:val="14"/>
                <w:b w:val="1"/>
                <w:bCs w:val="1"/>
                <w:color w:val="auto"/>
              </w:rPr>
              <w:t>November 28, 2015</w:t>
            </w:r>
          </w:p>
        </w:tc>
        <w:tc>
          <w:tcPr>
            <w:tcW w:w="300" w:type="dxa"/>
            <w:vAlign w:val="bottom"/>
          </w:tcPr>
          <w:p>
            <w:pPr>
              <w:spacing w:after="0"/>
              <w:rPr>
                <w:sz w:val="17"/>
                <w:szCs w:val="17"/>
                <w:color w:val="auto"/>
              </w:rPr>
            </w:pPr>
          </w:p>
        </w:tc>
        <w:tc>
          <w:tcPr>
            <w:tcW w:w="2360" w:type="dxa"/>
            <w:vAlign w:val="bottom"/>
            <w:gridSpan w:val="3"/>
          </w:tcPr>
          <w:p>
            <w:pPr>
              <w:ind w:left="340"/>
              <w:spacing w:after="0"/>
              <w:rPr>
                <w:sz w:val="20"/>
                <w:szCs w:val="20"/>
                <w:color w:val="auto"/>
              </w:rPr>
            </w:pPr>
            <w:r>
              <w:rPr>
                <w:rFonts w:ascii="Arial" w:cs="Arial" w:eastAsia="Arial" w:hAnsi="Arial"/>
                <w:sz w:val="14"/>
                <w:szCs w:val="14"/>
                <w:b w:val="1"/>
                <w:bCs w:val="1"/>
                <w:color w:val="auto"/>
              </w:rPr>
              <w:t>November 29, 2014</w:t>
            </w:r>
          </w:p>
        </w:tc>
        <w:tc>
          <w:tcPr>
            <w:tcW w:w="220" w:type="dxa"/>
            <w:vAlign w:val="bottom"/>
          </w:tcPr>
          <w:p>
            <w:pPr>
              <w:spacing w:after="0"/>
              <w:rPr>
                <w:sz w:val="17"/>
                <w:szCs w:val="17"/>
                <w:color w:val="auto"/>
              </w:rPr>
            </w:pPr>
          </w:p>
        </w:tc>
        <w:tc>
          <w:tcPr>
            <w:tcW w:w="1260" w:type="dxa"/>
            <w:vAlign w:val="bottom"/>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3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3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(114)</w:t>
            </w:r>
          </w:p>
        </w:tc>
        <w:tc>
          <w:tcPr>
            <w:tcW w:w="13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(26.6)%</w:t>
            </w: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(114)</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(37.6)%</w:t>
            </w: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3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(228)</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(31.1)%</w:t>
            </w:r>
          </w:p>
        </w:tc>
      </w:tr>
      <w:tr>
        <w:trPr>
          <w:trHeight w:val="260"/>
        </w:trPr>
        <w:tc>
          <w:tcPr>
            <w:tcW w:w="3280" w:type="dxa"/>
            <w:vAlign w:val="bottom"/>
          </w:tcPr>
          <w:p>
            <w:pPr>
              <w:ind w:left="40"/>
              <w:spacing w:after="0"/>
              <w:rPr>
                <w:sz w:val="20"/>
                <w:szCs w:val="20"/>
                <w:color w:val="auto"/>
              </w:rPr>
            </w:pPr>
            <w:r>
              <w:rPr>
                <w:rFonts w:ascii="Arial" w:cs="Arial" w:eastAsia="Arial" w:hAnsi="Arial"/>
                <w:sz w:val="16"/>
                <w:szCs w:val="16"/>
                <w:color w:val="auto"/>
              </w:rPr>
              <w:t>Class B</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110</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32.4 %</w:t>
            </w:r>
          </w:p>
        </w:tc>
      </w:tr>
      <w:tr>
        <w:trPr>
          <w:trHeight w:val="27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408</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38.9 %</w:t>
            </w:r>
          </w:p>
        </w:tc>
      </w:tr>
      <w:tr>
        <w:trPr>
          <w:trHeight w:val="283"/>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w:t>
            </w: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290</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13.7 %</w:t>
            </w:r>
          </w:p>
        </w:tc>
      </w:tr>
      <w:tr>
        <w:trPr>
          <w:trHeight w:val="251"/>
        </w:trPr>
        <w:tc>
          <w:tcPr>
            <w:tcW w:w="3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2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144</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153.2 %</w:t>
            </w:r>
          </w:p>
        </w:tc>
      </w:tr>
      <w:tr>
        <w:trPr>
          <w:trHeight w:val="27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14</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23.3 %</w:t>
            </w:r>
          </w:p>
        </w:tc>
      </w:tr>
      <w:tr>
        <w:trPr>
          <w:trHeight w:val="283"/>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158</w:t>
            </w: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102.6 %</w:t>
            </w:r>
          </w:p>
        </w:tc>
      </w:tr>
      <w:tr>
        <w:trPr>
          <w:trHeight w:val="251"/>
        </w:trPr>
        <w:tc>
          <w:tcPr>
            <w:tcW w:w="3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0"/>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r>
      <w:tr>
        <w:trPr>
          <w:trHeight w:val="25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222,055</w:t>
            </w: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201,373</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20,682</w:t>
            </w:r>
          </w:p>
        </w:tc>
        <w:tc>
          <w:tcPr>
            <w:tcW w:w="1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10.3 %</w:t>
            </w:r>
          </w:p>
        </w:tc>
      </w:tr>
      <w:tr>
        <w:trPr>
          <w:trHeight w:val="251"/>
        </w:trPr>
        <w:tc>
          <w:tcPr>
            <w:tcW w:w="3280" w:type="dxa"/>
            <w:vAlign w:val="bottom"/>
          </w:tcPr>
          <w:p>
            <w:pPr>
              <w:ind w:left="40"/>
              <w:spacing w:after="0"/>
              <w:rPr>
                <w:sz w:val="20"/>
                <w:szCs w:val="20"/>
                <w:color w:val="auto"/>
              </w:rPr>
            </w:pPr>
            <w:r>
              <w:rPr>
                <w:rFonts w:ascii="Arial" w:cs="Arial" w:eastAsia="Arial" w:hAnsi="Arial"/>
                <w:sz w:val="16"/>
                <w:szCs w:val="16"/>
                <w:color w:val="auto"/>
              </w:rPr>
              <w:t>Towables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7,249</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4,837</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2,412</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49.9 %</w:t>
            </w:r>
          </w:p>
        </w:tc>
      </w:tr>
    </w:tbl>
    <w:p>
      <w:pPr>
        <w:spacing w:after="0" w:line="24" w:lineRule="exact"/>
        <w:rPr>
          <w:sz w:val="20"/>
          <w:szCs w:val="20"/>
          <w:color w:val="auto"/>
        </w:rPr>
      </w:pPr>
    </w:p>
    <w:p>
      <w:pPr>
        <w:ind w:left="240" w:right="20" w:hanging="232"/>
        <w:spacing w:after="0" w:line="218" w:lineRule="auto"/>
        <w:tabs>
          <w:tab w:leader="none" w:pos="2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unit dealer inventory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3680" w:type="dxa"/>
            <w:vAlign w:val="bottom"/>
          </w:tcPr>
          <w:p>
            <w:pPr>
              <w:jc w:val="right"/>
              <w:ind w:right="163"/>
              <w:spacing w:after="0"/>
              <w:rPr>
                <w:sz w:val="20"/>
                <w:szCs w:val="20"/>
                <w:color w:val="auto"/>
              </w:rPr>
            </w:pPr>
            <w:r>
              <w:rPr>
                <w:rFonts w:ascii="Arial" w:cs="Arial" w:eastAsia="Arial" w:hAnsi="Arial"/>
                <w:sz w:val="14"/>
                <w:szCs w:val="14"/>
                <w:b w:val="1"/>
                <w:bCs w:val="1"/>
                <w:color w:val="auto"/>
              </w:rPr>
              <w:t>November 28,</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29,</w:t>
            </w:r>
          </w:p>
        </w:tc>
        <w:tc>
          <w:tcPr>
            <w:tcW w:w="1540" w:type="dxa"/>
            <w:vAlign w:val="bottom"/>
          </w:tcPr>
          <w:p>
            <w:pPr>
              <w:jc w:val="right"/>
              <w:ind w:right="383"/>
              <w:spacing w:after="0"/>
              <w:rPr>
                <w:sz w:val="20"/>
                <w:szCs w:val="20"/>
                <w:color w:val="auto"/>
              </w:rPr>
            </w:pPr>
            <w:r>
              <w:rPr>
                <w:rFonts w:ascii="Arial" w:cs="Arial" w:eastAsia="Arial" w:hAnsi="Arial"/>
                <w:sz w:val="14"/>
                <w:szCs w:val="14"/>
                <w:b w:val="1"/>
                <w:bCs w:val="1"/>
                <w:color w:val="auto"/>
              </w:rPr>
              <w:t>(Decrease)</w:t>
            </w:r>
          </w:p>
        </w:tc>
        <w:tc>
          <w:tcPr>
            <w:tcW w:w="13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196"/>
        </w:trPr>
        <w:tc>
          <w:tcPr>
            <w:tcW w:w="342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Increase</w:t>
            </w:r>
          </w:p>
        </w:tc>
        <w:tc>
          <w:tcPr>
            <w:tcW w:w="13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6"/>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6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4,115</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4,192</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rPr>
              <w:t>(77)</w:t>
            </w:r>
          </w:p>
        </w:tc>
        <w:tc>
          <w:tcPr>
            <w:tcW w:w="13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(1.8)%</w:t>
            </w:r>
          </w:p>
        </w:tc>
      </w:tr>
      <w:tr>
        <w:trPr>
          <w:trHeight w:val="251"/>
        </w:trPr>
        <w:tc>
          <w:tcPr>
            <w:tcW w:w="3420" w:type="dxa"/>
            <w:vAlign w:val="bottom"/>
          </w:tcPr>
          <w:p>
            <w:pPr>
              <w:ind w:left="40"/>
              <w:spacing w:after="0"/>
              <w:rPr>
                <w:sz w:val="20"/>
                <w:szCs w:val="20"/>
                <w:color w:val="auto"/>
              </w:rPr>
            </w:pPr>
            <w:r>
              <w:rPr>
                <w:rFonts w:ascii="Arial" w:cs="Arial" w:eastAsia="Arial" w:hAnsi="Arial"/>
                <w:sz w:val="16"/>
                <w:szCs w:val="16"/>
                <w:color w:val="auto"/>
              </w:rPr>
              <w:t>Towables</w:t>
            </w:r>
          </w:p>
        </w:tc>
        <w:tc>
          <w:tcPr>
            <w:tcW w:w="3680" w:type="dxa"/>
            <w:vAlign w:val="bottom"/>
          </w:tcPr>
          <w:p>
            <w:pPr>
              <w:jc w:val="right"/>
              <w:ind w:right="63"/>
              <w:spacing w:after="0"/>
              <w:rPr>
                <w:sz w:val="20"/>
                <w:szCs w:val="20"/>
                <w:color w:val="auto"/>
              </w:rPr>
            </w:pPr>
            <w:r>
              <w:rPr>
                <w:rFonts w:ascii="Arial" w:cs="Arial" w:eastAsia="Arial" w:hAnsi="Arial"/>
                <w:sz w:val="16"/>
                <w:szCs w:val="16"/>
                <w:color w:val="auto"/>
              </w:rPr>
              <w:t>1,838</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1,682</w:t>
            </w:r>
          </w:p>
        </w:tc>
        <w:tc>
          <w:tcPr>
            <w:tcW w:w="120" w:type="dxa"/>
            <w:vAlign w:val="bottom"/>
          </w:tcPr>
          <w:p>
            <w:pPr>
              <w:spacing w:after="0"/>
              <w:rPr>
                <w:sz w:val="21"/>
                <w:szCs w:val="21"/>
                <w:color w:val="auto"/>
              </w:rPr>
            </w:pPr>
          </w:p>
        </w:tc>
        <w:tc>
          <w:tcPr>
            <w:tcW w:w="1540" w:type="dxa"/>
            <w:vAlign w:val="bottom"/>
          </w:tcPr>
          <w:p>
            <w:pPr>
              <w:jc w:val="right"/>
              <w:ind w:right="343"/>
              <w:spacing w:after="0"/>
              <w:rPr>
                <w:sz w:val="20"/>
                <w:szCs w:val="20"/>
                <w:color w:val="auto"/>
              </w:rPr>
            </w:pPr>
            <w:r>
              <w:rPr>
                <w:rFonts w:ascii="Arial" w:cs="Arial" w:eastAsia="Arial" w:hAnsi="Arial"/>
                <w:sz w:val="16"/>
                <w:szCs w:val="16"/>
                <w:color w:val="auto"/>
              </w:rPr>
              <w:t>156</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9.3 %</w:t>
            </w:r>
          </w:p>
        </w:tc>
      </w:tr>
    </w:tbl>
    <w:p>
      <w:pPr>
        <w:spacing w:after="0" w:line="40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 key metric used to evaluate dealer inventory levels is the retail turn rate (12 month retail volume/current dealer inventory). At the end of the first quarter of Fiscal 2016 the retail turn rate was over 2.2 turns which we feel reflects the alignment between retail demand and our dealers' inventory.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At the December 2014 Board of Directors meeting, two strategic initiatives were approved and, as a result, commenced in the second quarter of Fiscal 2015.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Both of these projects represent significant investments that we believe will contribute to our future success.</w:t>
      </w:r>
    </w:p>
    <w:p>
      <w:pPr>
        <w:spacing w:after="0" w:line="194" w:lineRule="exact"/>
        <w:rPr>
          <w:sz w:val="20"/>
          <w:szCs w:val="20"/>
          <w:color w:val="auto"/>
        </w:rPr>
      </w:pPr>
    </w:p>
    <w:p>
      <w:pPr>
        <w:ind w:left="340" w:right="60" w:hanging="332"/>
        <w:spacing w:after="0" w:line="24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first strategic initiative, the execution of an ERP system implementation to replace all legacy business applications is progressing according to plans. During the first quarter of Fiscal 2016, the system has gone “live” for Finance and the Towables operation. The next two phases of implementation will involve launching the human resources/payroll areas and then to enable ERP functionality at our newly acquired West Coast Facilities. As we gain more experience and expertise with the new toolset and access to data the new ERP platform affords, we will continue to identify, and in some cases quantify, optimization opportunities in our supply chain, engineering, manufacturing and other business areas. We anticipate that approximately 40% of the cost will be immediately expensed over the life of the project and 60% will be capitalized. As components of the ERP are placed in service, we will depreciate over a 10-year life. The following table illustrates the project costs in Fiscal 2015 and 2016 thus far:</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Fiscal 2015</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Fiscal 2016</w:t>
            </w:r>
          </w:p>
        </w:tc>
        <w:tc>
          <w:tcPr>
            <w:tcW w:w="180" w:type="dxa"/>
            <w:vAlign w:val="bottom"/>
          </w:tcPr>
          <w:p>
            <w:pPr>
              <w:spacing w:after="0"/>
              <w:rPr>
                <w:sz w:val="19"/>
                <w:szCs w:val="19"/>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Cumulative</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0"/>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Q2</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Q3</w:t>
            </w:r>
          </w:p>
        </w:tc>
        <w:tc>
          <w:tcPr>
            <w:tcW w:w="5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Q4</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YTD</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Q1</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w:t>
            </w: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r>
        <w:trPr>
          <w:trHeight w:val="257"/>
        </w:trPr>
        <w:tc>
          <w:tcPr>
            <w:tcW w:w="2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4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64"/>
        </w:trPr>
        <w:tc>
          <w:tcPr>
            <w:tcW w:w="2360" w:type="dxa"/>
            <w:vAlign w:val="bottom"/>
            <w:gridSpan w:val="2"/>
          </w:tcPr>
          <w:p>
            <w:pPr>
              <w:ind w:left="40"/>
              <w:spacing w:after="0"/>
              <w:rPr>
                <w:sz w:val="20"/>
                <w:szCs w:val="20"/>
                <w:color w:val="auto"/>
              </w:rPr>
            </w:pPr>
            <w:r>
              <w:rPr>
                <w:rFonts w:ascii="Arial" w:cs="Arial" w:eastAsia="Arial" w:hAnsi="Arial"/>
                <w:sz w:val="16"/>
                <w:szCs w:val="16"/>
                <w:color w:val="auto"/>
              </w:rPr>
              <w:t>Expensed</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1,363</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w:t>
            </w: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51"/>
        </w:trPr>
        <w:tc>
          <w:tcPr>
            <w:tcW w:w="23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1,495</w:t>
            </w:r>
          </w:p>
        </w:tc>
        <w:tc>
          <w:tcPr>
            <w:tcW w:w="5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3,135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5,819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8,594</w:t>
            </w: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-167005</wp:posOffset>
            </wp:positionV>
            <wp:extent cx="68865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180340"/>
                    </a:xfrm>
                    <a:prstGeom prst="rect">
                      <a:avLst/>
                    </a:prstGeom>
                    <a:noFill/>
                  </pic:spPr>
                </pic:pic>
              </a:graphicData>
            </a:graphic>
          </wp:anchor>
        </w:drawing>
      </w:r>
    </w:p>
    <w:p>
      <w:pPr>
        <w:ind w:left="480" w:hanging="148"/>
        <w:spacing w:after="0" w:line="227" w:lineRule="auto"/>
        <w:tabs>
          <w:tab w:leader="none" w:pos="48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During the first quarter of Fiscal 2016, we placed in service $1.7 million of our cumulative capitalized investment.</w:t>
      </w:r>
    </w:p>
    <w:p>
      <w:pPr>
        <w:spacing w:after="0" w:line="200" w:lineRule="exact"/>
        <w:rPr>
          <w:rFonts w:ascii="Arial" w:cs="Arial" w:eastAsia="Arial" w:hAnsi="Arial"/>
          <w:sz w:val="18"/>
          <w:szCs w:val="18"/>
          <w:color w:val="auto"/>
          <w:vertAlign w:val="superscript"/>
        </w:rPr>
      </w:pPr>
    </w:p>
    <w:p>
      <w:pPr>
        <w:spacing w:after="0" w:line="219"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right="240"/>
        <w:spacing w:after="0" w:line="250" w:lineRule="auto"/>
        <w:rPr>
          <w:sz w:val="20"/>
          <w:szCs w:val="20"/>
          <w:color w:val="auto"/>
        </w:rPr>
      </w:pPr>
      <w:r>
        <w:rPr>
          <w:rFonts w:ascii="Arial" w:cs="Arial" w:eastAsia="Arial" w:hAnsi="Arial"/>
          <w:sz w:val="16"/>
          <w:szCs w:val="16"/>
          <w:color w:val="auto"/>
        </w:rPr>
        <w:t>Our original cost estimate for this project was $12 - $16 million to be completed over a three-year time frame that included software, external implementation assistance and increased internal staffing directly related to this initiative. Now that we have purchased additional facilities in Oregon for motorhome production expansion as well as determined that additional outside expertise is needed to integrate the Oregon facility into our PLM system and to support BOM simplification within our timetable, our total cost estimate for our ERP implementation project has increased to $25 million as illustrated in the the table below:</w:t>
      </w:r>
    </w:p>
    <w:p>
      <w:pPr>
        <w:spacing w:after="0" w:line="129"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auto"/>
              </w:rPr>
              <w:t>Original</w:t>
            </w:r>
          </w:p>
        </w:tc>
        <w:tc>
          <w:tcPr>
            <w:tcW w:w="22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West Coast</w:t>
            </w:r>
          </w:p>
        </w:tc>
        <w:tc>
          <w:tcPr>
            <w:tcW w:w="22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PLM</w:t>
            </w:r>
          </w:p>
        </w:tc>
        <w:tc>
          <w:tcPr>
            <w:tcW w:w="180" w:type="dxa"/>
            <w:vAlign w:val="bottom"/>
          </w:tcPr>
          <w:p>
            <w:pPr>
              <w:spacing w:after="0"/>
              <w:rPr>
                <w:sz w:val="16"/>
                <w:szCs w:val="16"/>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BOM</w:t>
            </w:r>
          </w:p>
        </w:tc>
        <w:tc>
          <w:tcPr>
            <w:tcW w:w="28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Revised</w:t>
            </w:r>
          </w:p>
        </w:tc>
      </w:tr>
      <w:tr>
        <w:trPr>
          <w:trHeight w:val="228"/>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Estimate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Expansion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Integration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Simplification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Estimate</w:t>
            </w: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r>
      <w:tr>
        <w:trPr>
          <w:trHeight w:val="237"/>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6,400</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w:t>
            </w: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r>
    </w:tbl>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still planning that this project will be completed in Fiscal 2017.</w:t>
      </w:r>
    </w:p>
    <w:p>
      <w:pPr>
        <w:spacing w:after="0" w:line="194" w:lineRule="exact"/>
        <w:rPr>
          <w:sz w:val="20"/>
          <w:szCs w:val="20"/>
          <w:color w:val="auto"/>
        </w:rPr>
      </w:pPr>
    </w:p>
    <w:p>
      <w:pPr>
        <w:ind w:left="340" w:right="100" w:hanging="332"/>
        <w:spacing w:after="0" w:line="248"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second initiative is a strategic sourcing project with the objective of obtaining long-term material cost savings through standardizing our purchasing processes, optimizing our supplier relationships and improving our current sourcing methodologies. We engaged external support with deep domain expertise to help us launch the project and incurred $1.6 million in general and administrative expenses for this assistance in Fiscal 2015. We incurred approximately $200,000 general and administrative expense in the first quarter of Fiscal 2016 ($140,000 was incurred in the prior year) related to this project, which is less than what was originally planned, as project management was transitioned to internal resources in the first quarter. When all commodities have been through the strategic sourcing process (expected by June 2016), we anticipate this project will provide gross margin expansion of 30 to 50 basis points as we increase our efficiency in acquiring raw materials.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9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4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28,</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29,</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214,223</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224,403</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(10,180)</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r>
      <w:tr>
        <w:trPr>
          <w:trHeight w:val="264"/>
        </w:trPr>
        <w:tc>
          <w:tcPr>
            <w:tcW w:w="2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188,974</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200,017</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(11,043)</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r>
      <w:tr>
        <w:trPr>
          <w:trHeight w:val="25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25,249</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24,386</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863</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3.5 %</w:t>
            </w:r>
          </w:p>
        </w:tc>
      </w:tr>
      <w:tr>
        <w:trPr>
          <w:trHeight w:val="284"/>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5,015</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4,707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308</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6.5 %</w:t>
            </w:r>
          </w:p>
        </w:tc>
      </w:tr>
      <w:tr>
        <w:trPr>
          <w:trHeight w:val="264"/>
        </w:trPr>
        <w:tc>
          <w:tcPr>
            <w:tcW w:w="2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7,475</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5,237</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2,238</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42.7 %</w:t>
            </w:r>
          </w:p>
        </w:tc>
      </w:tr>
      <w:tr>
        <w:trPr>
          <w:trHeight w:val="25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12,490</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9,944</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2,546</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25.6 %</w:t>
            </w:r>
          </w:p>
        </w:tc>
      </w:tr>
      <w:tr>
        <w:trPr>
          <w:trHeight w:val="284"/>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12,759</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14,442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(1,683)</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r>
      <w:tr>
        <w:trPr>
          <w:trHeight w:val="264"/>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135</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128</w:t>
            </w:r>
          </w:p>
        </w:tc>
        <w:tc>
          <w:tcPr>
            <w:tcW w:w="1200" w:type="dxa"/>
            <w:vAlign w:val="bottom"/>
          </w:tcPr>
          <w:p>
            <w:pPr>
              <w:ind w:left="480"/>
              <w:spacing w:after="0"/>
              <w:rPr>
                <w:sz w:val="20"/>
                <w:szCs w:val="20"/>
                <w:color w:val="auto"/>
              </w:rPr>
            </w:pPr>
            <w:r>
              <w:rPr>
                <w:rFonts w:ascii="Arial" w:cs="Arial" w:eastAsia="Arial" w:hAnsi="Arial"/>
                <w:sz w:val="16"/>
                <w:szCs w:val="16"/>
                <w:color w:val="auto"/>
              </w:rPr>
              <w:t>NMF</w:t>
            </w:r>
          </w:p>
        </w:tc>
      </w:tr>
      <w:tr>
        <w:trPr>
          <w:trHeight w:val="257"/>
        </w:trPr>
        <w:tc>
          <w:tcPr>
            <w:tcW w:w="29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12,894</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14,449</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(1,555)</w:t>
            </w:r>
          </w:p>
        </w:tc>
        <w:tc>
          <w:tcPr>
            <w:tcW w:w="1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r>
      <w:tr>
        <w:trPr>
          <w:trHeight w:val="264"/>
        </w:trPr>
        <w:tc>
          <w:tcPr>
            <w:tcW w:w="2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4,336</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4,554</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(218)</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w:t>
            </w:r>
          </w:p>
        </w:tc>
      </w:tr>
      <w:tr>
        <w:trPr>
          <w:trHeight w:val="24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8,558</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9,895</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(1,337)</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0.32</w:t>
            </w: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0.37</w:t>
            </w: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(0.05)</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r>
      <w:tr>
        <w:trPr>
          <w:trHeight w:val="251"/>
        </w:trPr>
        <w:tc>
          <w:tcPr>
            <w:tcW w:w="294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tcPr>
          <w:p>
            <w:pPr>
              <w:spacing w:after="0"/>
              <w:rPr>
                <w:sz w:val="21"/>
                <w:szCs w:val="21"/>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27,067</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27,078</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 %</w:t>
            </w:r>
          </w:p>
        </w:tc>
      </w:tr>
    </w:tbl>
    <w:p>
      <w:pPr>
        <w:spacing w:after="0" w:line="44"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286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60"/>
        </w:trPr>
        <w:tc>
          <w:tcPr>
            <w:tcW w:w="5800" w:type="dxa"/>
            <w:vAlign w:val="bottom"/>
            <w:gridSpan w:val="7"/>
          </w:tcPr>
          <w:p>
            <w:pPr>
              <w:spacing w:after="0"/>
              <w:rPr>
                <w:sz w:val="20"/>
                <w:szCs w:val="20"/>
                <w:color w:val="auto"/>
              </w:rPr>
            </w:pPr>
            <w:r>
              <w:rPr>
                <w:rFonts w:ascii="Arial" w:cs="Arial" w:eastAsia="Arial" w:hAnsi="Arial"/>
                <w:sz w:val="16"/>
                <w:szCs w:val="16"/>
                <w:color w:val="auto"/>
              </w:rPr>
              <w:t>Motorhome unit deliveries and ASP, net of discounts, consisted of the following:</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28,</w:t>
            </w:r>
          </w:p>
        </w:tc>
        <w:tc>
          <w:tcPr>
            <w:tcW w:w="1520" w:type="dxa"/>
            <w:vAlign w:val="bottom"/>
            <w:gridSpan w:val="2"/>
          </w:tcPr>
          <w:p>
            <w:pPr>
              <w:ind w:left="400"/>
              <w:spacing w:after="0"/>
              <w:rPr>
                <w:sz w:val="20"/>
                <w:szCs w:val="20"/>
                <w:color w:val="auto"/>
              </w:rPr>
            </w:pPr>
            <w:r>
              <w:rPr>
                <w:rFonts w:ascii="Arial" w:cs="Arial" w:eastAsia="Arial" w:hAnsi="Arial"/>
                <w:sz w:val="16"/>
                <w:szCs w:val="16"/>
                <w:b w:val="1"/>
                <w:bCs w:val="1"/>
                <w:color w:val="auto"/>
              </w:rPr>
              <w:t>Product</w:t>
            </w: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29,</w:t>
            </w:r>
          </w:p>
        </w:tc>
        <w:tc>
          <w:tcPr>
            <w:tcW w:w="1540" w:type="dxa"/>
            <w:vAlign w:val="bottom"/>
            <w:gridSpan w:val="2"/>
          </w:tcPr>
          <w:p>
            <w:pPr>
              <w:ind w:left="40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1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42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440" w:type="dxa"/>
            <w:vAlign w:val="bottom"/>
            <w:tcBorders>
              <w:bottom w:val="single" w:sz="8" w:color="auto"/>
            </w:tcBorders>
          </w:tcPr>
          <w:p>
            <w:pPr>
              <w:ind w:left="40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 deliveries (in units):</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60" w:type="dxa"/>
            <w:vAlign w:val="bottom"/>
            <w:gridSpan w:val="3"/>
          </w:tcPr>
          <w:p>
            <w:pPr>
              <w:ind w:left="180"/>
              <w:spacing w:after="0"/>
              <w:rPr>
                <w:sz w:val="20"/>
                <w:szCs w:val="20"/>
                <w:color w:val="auto"/>
              </w:rPr>
            </w:pPr>
            <w:r>
              <w:rPr>
                <w:rFonts w:ascii="Arial" w:cs="Arial" w:eastAsia="Arial" w:hAnsi="Arial"/>
                <w:sz w:val="16"/>
                <w:szCs w:val="16"/>
                <w:color w:val="auto"/>
              </w:rPr>
              <w:t>Class A gas</w:t>
            </w:r>
          </w:p>
        </w:tc>
        <w:tc>
          <w:tcPr>
            <w:tcW w:w="14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(8.1)%</w:t>
            </w:r>
          </w:p>
        </w:tc>
      </w:tr>
      <w:tr>
        <w:trPr>
          <w:trHeight w:val="273"/>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(126)</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(40.4)%</w:t>
            </w:r>
          </w:p>
        </w:tc>
      </w:tr>
      <w:tr>
        <w:trPr>
          <w:trHeight w:val="247"/>
        </w:trPr>
        <w:tc>
          <w:tcPr>
            <w:tcW w:w="2860" w:type="dxa"/>
            <w:vAlign w:val="bottom"/>
            <w:gridSpan w:val="3"/>
          </w:tcPr>
          <w:p>
            <w:pPr>
              <w:ind w:left="180"/>
              <w:spacing w:after="0"/>
              <w:rPr>
                <w:sz w:val="20"/>
                <w:szCs w:val="20"/>
                <w:color w:val="auto"/>
              </w:rPr>
            </w:pPr>
            <w:r>
              <w:rPr>
                <w:rFonts w:ascii="Arial" w:cs="Arial" w:eastAsia="Arial" w:hAnsi="Arial"/>
                <w:sz w:val="16"/>
                <w:szCs w:val="16"/>
                <w:color w:val="auto"/>
              </w:rPr>
              <w:t>Total Class A</w:t>
            </w:r>
          </w:p>
        </w:tc>
        <w:tc>
          <w:tcPr>
            <w:tcW w:w="14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751</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927</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(176)</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(19.0)%</w:t>
            </w:r>
          </w:p>
        </w:tc>
      </w:tr>
      <w:tr>
        <w:trPr>
          <w:trHeight w:val="280"/>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51</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27.1 %</w:t>
            </w:r>
          </w:p>
        </w:tc>
      </w:tr>
      <w:tr>
        <w:trPr>
          <w:trHeight w:val="264"/>
        </w:trPr>
        <w:tc>
          <w:tcPr>
            <w:tcW w:w="2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931</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916</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15</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1.6 %</w:t>
            </w:r>
          </w:p>
        </w:tc>
      </w:tr>
      <w:tr>
        <w:trPr>
          <w:trHeight w:val="240"/>
        </w:trPr>
        <w:tc>
          <w:tcPr>
            <w:tcW w:w="2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1,921</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2,031</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(110)</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w:t>
            </w:r>
          </w:p>
        </w:tc>
      </w:tr>
      <w:tr>
        <w:trPr>
          <w:trHeight w:val="20"/>
        </w:trPr>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2860" w:type="dxa"/>
            <w:vAlign w:val="bottom"/>
            <w:gridSpan w:val="3"/>
          </w:tcPr>
          <w:p>
            <w:pPr>
              <w:ind w:left="180"/>
              <w:spacing w:after="0"/>
              <w:rPr>
                <w:sz w:val="20"/>
                <w:szCs w:val="20"/>
                <w:color w:val="auto"/>
              </w:rPr>
            </w:pPr>
            <w:r>
              <w:rPr>
                <w:rFonts w:ascii="Arial" w:cs="Arial" w:eastAsia="Arial" w:hAnsi="Arial"/>
                <w:sz w:val="16"/>
                <w:szCs w:val="16"/>
                <w:color w:val="auto"/>
              </w:rPr>
              <w:t>Class A gas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102,535</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96,843</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5,692</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5.9 %</w:t>
            </w:r>
          </w:p>
        </w:tc>
      </w:tr>
      <w:tr>
        <w:trPr>
          <w:trHeight w:val="273"/>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190,842</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188,829</w:t>
            </w: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2,013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1.1 %</w:t>
            </w:r>
          </w:p>
        </w:tc>
      </w:tr>
      <w:tr>
        <w:trPr>
          <w:trHeight w:val="247"/>
        </w:trPr>
        <w:tc>
          <w:tcPr>
            <w:tcW w:w="2860" w:type="dxa"/>
            <w:vAlign w:val="bottom"/>
            <w:gridSpan w:val="3"/>
          </w:tcPr>
          <w:p>
            <w:pPr>
              <w:ind w:left="180"/>
              <w:spacing w:after="0"/>
              <w:rPr>
                <w:sz w:val="20"/>
                <w:szCs w:val="20"/>
                <w:color w:val="auto"/>
              </w:rPr>
            </w:pPr>
            <w:r>
              <w:rPr>
                <w:rFonts w:ascii="Arial" w:cs="Arial" w:eastAsia="Arial" w:hAnsi="Arial"/>
                <w:sz w:val="16"/>
                <w:szCs w:val="16"/>
                <w:color w:val="auto"/>
              </w:rPr>
              <w:t>Total Class 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124,406</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127,803</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(3,397)</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(2.7)%</w:t>
            </w:r>
          </w:p>
        </w:tc>
      </w:tr>
      <w:tr>
        <w:trPr>
          <w:trHeight w:val="280"/>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72,886</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76,795</w:t>
            </w: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(3,909)</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r>
      <w:tr>
        <w:trPr>
          <w:trHeight w:val="264"/>
        </w:trPr>
        <w:tc>
          <w:tcPr>
            <w:tcW w:w="2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82,914</w:t>
            </w:r>
          </w:p>
        </w:tc>
        <w:tc>
          <w:tcPr>
            <w:tcW w:w="1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72,859</w:t>
            </w: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10,055</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13.8 %</w:t>
            </w:r>
          </w:p>
        </w:tc>
      </w:tr>
      <w:tr>
        <w:trPr>
          <w:trHeight w:val="240"/>
        </w:trPr>
        <w:tc>
          <w:tcPr>
            <w:tcW w:w="2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Total motorhome ASP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97,887</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98,301</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(414)</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8890</wp:posOffset>
            </wp:positionV>
            <wp:extent cx="1689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8890</wp:posOffset>
            </wp:positionV>
            <wp:extent cx="900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8890</wp:posOffset>
            </wp:positionV>
            <wp:extent cx="900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160" w:hanging="152"/>
        <w:spacing w:after="0" w:line="236"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Towables 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28,</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29,</w:t>
            </w: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7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340" w:type="dxa"/>
            <w:vAlign w:val="bottom"/>
            <w:tcBorders>
              <w:bottom w:val="single" w:sz="8" w:color="auto"/>
            </w:tcBorders>
          </w:tcPr>
          <w:p>
            <w:pPr>
              <w:ind w:left="3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 deliveries (in units):</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0"/>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14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724</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263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57.0 %</w:t>
            </w:r>
          </w:p>
        </w:tc>
      </w:tr>
      <w:tr>
        <w:trPr>
          <w:trHeight w:val="273"/>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8.2 %</w:t>
            </w:r>
          </w:p>
        </w:tc>
      </w:tr>
      <w:tr>
        <w:trPr>
          <w:trHeight w:val="280"/>
        </w:trPr>
        <w:tc>
          <w:tcPr>
            <w:tcW w:w="2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Towables deliveries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816</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270</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49.5 %</w:t>
            </w:r>
          </w:p>
        </w:tc>
      </w:tr>
      <w:tr>
        <w:trPr>
          <w:trHeight w:val="267"/>
        </w:trPr>
        <w:tc>
          <w:tcPr>
            <w:tcW w:w="2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ASP:</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Travel trailer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18,375</w:t>
            </w: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20,845</w:t>
            </w: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(2,470)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r>
      <w:tr>
        <w:trPr>
          <w:trHeight w:val="264"/>
        </w:trPr>
        <w:tc>
          <w:tcPr>
            <w:tcW w:w="2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38,865</w:t>
            </w:r>
          </w:p>
        </w:tc>
        <w:tc>
          <w:tcPr>
            <w:tcW w:w="1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47,965</w:t>
            </w: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(9,100)</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w:t>
            </w:r>
          </w:p>
        </w:tc>
      </w:tr>
      <w:tr>
        <w:trPr>
          <w:trHeight w:val="24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Towables ASP</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20,685</w:t>
            </w: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25,067</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(4,382)</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8890</wp:posOffset>
            </wp:positionV>
            <wp:extent cx="909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932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8890</wp:posOffset>
            </wp:positionV>
            <wp:extent cx="909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ind w:left="160" w:hanging="152"/>
        <w:spacing w:after="0" w:line="236"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November 28,</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November 29,</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191,495</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203,042</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(11,547)</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w:t>
            </w: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520" w:type="dxa"/>
            <w:vAlign w:val="bottom"/>
          </w:tcPr>
          <w:p>
            <w:pPr>
              <w:jc w:val="right"/>
              <w:ind w:right="619"/>
              <w:spacing w:after="0"/>
              <w:rPr>
                <w:sz w:val="20"/>
                <w:szCs w:val="20"/>
                <w:color w:val="auto"/>
              </w:rPr>
            </w:pPr>
            <w:r>
              <w:rPr>
                <w:rFonts w:ascii="Arial" w:cs="Arial" w:eastAsia="Arial" w:hAnsi="Arial"/>
                <w:sz w:val="16"/>
                <w:szCs w:val="16"/>
                <w:color w:val="auto"/>
              </w:rPr>
              <w:t>16,883</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0" w:type="dxa"/>
            <w:vAlign w:val="bottom"/>
          </w:tcPr>
          <w:p>
            <w:pPr>
              <w:jc w:val="right"/>
              <w:ind w:right="619"/>
              <w:spacing w:after="0"/>
              <w:rPr>
                <w:sz w:val="20"/>
                <w:szCs w:val="20"/>
                <w:color w:val="auto"/>
              </w:rPr>
            </w:pPr>
            <w:r>
              <w:rPr>
                <w:rFonts w:ascii="Arial" w:cs="Arial" w:eastAsia="Arial" w:hAnsi="Arial"/>
                <w:sz w:val="16"/>
                <w:szCs w:val="16"/>
                <w:color w:val="auto"/>
              </w:rPr>
              <w:t>13,606</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3,277</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24.1 %</w:t>
            </w:r>
          </w:p>
        </w:tc>
      </w:tr>
      <w:tr>
        <w:trPr>
          <w:trHeight w:val="264"/>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5,845</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7,755</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(1,910)</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(24.6)%</w:t>
            </w:r>
          </w:p>
        </w:tc>
      </w:tr>
      <w:tr>
        <w:trPr>
          <w:trHeight w:val="237"/>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619"/>
              <w:spacing w:after="0"/>
              <w:rPr>
                <w:sz w:val="20"/>
                <w:szCs w:val="20"/>
                <w:color w:val="auto"/>
              </w:rPr>
            </w:pPr>
            <w:r>
              <w:rPr>
                <w:rFonts w:ascii="Arial" w:cs="Arial" w:eastAsia="Arial" w:hAnsi="Arial"/>
                <w:sz w:val="16"/>
                <w:szCs w:val="16"/>
                <w:color w:val="auto"/>
              </w:rPr>
              <w:t>214,223</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619"/>
              <w:spacing w:after="0"/>
              <w:rPr>
                <w:sz w:val="20"/>
                <w:szCs w:val="20"/>
                <w:color w:val="auto"/>
              </w:rPr>
            </w:pPr>
            <w:r>
              <w:rPr>
                <w:rFonts w:ascii="Arial" w:cs="Arial" w:eastAsia="Arial" w:hAnsi="Arial"/>
                <w:sz w:val="16"/>
                <w:szCs w:val="16"/>
                <w:color w:val="auto"/>
              </w:rPr>
              <w:t>224,403</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(10,180)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 and net motorhome lease revenue.</w:t>
      </w:r>
    </w:p>
    <w:p>
      <w:pPr>
        <w:ind w:left="260" w:hanging="238"/>
        <w:spacing w:after="0" w:line="199" w:lineRule="auto"/>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Motorhome net revenues decreased $11.5 million or 5.7% in the first quarter of Fiscal 2016 attributed primarily to a 5.4% decrease in unit deliveries mostly due to a decrease in Class A products shifting to Class B and C unit sales in the first quarter of Fiscal 2016. This trend in part reflects the limited motorized labor capacity and the decision we’ve made regarding where to best allocate production capacity. Additionally, the lower unit volume is due in part to renewed focus on line completion rates and production quality.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increase in Towables revenues of $3.3 million or 24.1% was attributed to a 49.5% increase in unit deliveries partially offset by a decrease in ASP of 17.5% as compared to the first quarter of Fiscal 2015. The decrease in ASP was primarily a result of a mix shift of to lower priced travel trailers.</w:t>
      </w:r>
    </w:p>
    <w:p>
      <w:pPr>
        <w:spacing w:after="0" w:line="169"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Cost of goods sold was $189.0 million, or 88.2% of net revenues for the first quarter of Fiscal 2016 compared to $200.0 million, or 89.1% of net revenues for the same period a year ago due to the following:</w:t>
      </w:r>
    </w:p>
    <w:p>
      <w:pPr>
        <w:ind w:left="340" w:right="2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from 83.9% to 83.6%.</w:t>
      </w:r>
    </w:p>
    <w:p>
      <w:pPr>
        <w:ind w:left="340" w:right="10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from 5.2% to 4.7% of net revenues due to greater absorption of fixed costs.</w:t>
      </w:r>
    </w:p>
    <w:p>
      <w:pPr>
        <w:ind w:left="340" w:right="20" w:hanging="332"/>
        <w:spacing w:after="0" w:line="25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10.9% to 11.8% of net revenues. Both motorhomes and Towables showed improved margins in the first quarter of Fiscal 2016 compared to the same period in Fiscal 2015. Motorized margins improved as a result of the following key items: improved product mix, lower workers' compensation expense, and cost savings from our strategic sourcing project. Partially offsetting these reductions were cost pressures from labor-related manufacturing inefficiencies and increased warranty expense.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Selling expenses were $5.0 million and $4.7 million, or 2.3% and 2.1% of net revenues in the first quarter of Fiscal 2016 and Fiscal 2015,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first quarter of Fiscal 2016 included additional advertising and product promotion expenses as compared to the prior year.</w:t>
      </w:r>
    </w:p>
    <w:p>
      <w:pPr>
        <w:spacing w:after="0" w:line="19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General and administrative expenses were $7.5 million and $5.2 million, or 3.5% and 2.3% of net revenues in the first quarter of Fiscal 2016 and Fiscal 2015, respectively. Increases in the first quarter of Fiscal 2016 were primarily related to $1.4 million of incremental costs associated with ERP implementation and increased professional and legal fees.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of $135,000 in the first quarter of Fiscal 2016 was primarily due to proceeds from our COLI policies.</w:t>
      </w:r>
    </w:p>
    <w:p>
      <w:pPr>
        <w:spacing w:after="0" w:line="275"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The overall effective income tax rate for the first quarter of Fiscal 2016 was 33.6% compared to the effective tax rate of 31.5% for the same period in Fiscal 2015. The increase in tax rate for the first quarter of Fiscal 2016 is primarily a result of a lower level of tax planning initiatives recorded during the quarter compared to the same period last year.</w:t>
      </w:r>
    </w:p>
    <w:p>
      <w:pPr>
        <w:spacing w:after="0" w:line="148"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Net income and diluted income per share were $8.6 million and $0.32 per share, respectively, for the first quarter of Fiscal 2016. In the first quarter of Fiscal 2015, net income was $9.9 million and diluted income was $0.37 per share.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Balance Sheet Changes</w:t>
      </w:r>
    </w:p>
    <w:p>
      <w:pPr>
        <w:spacing w:after="0" w:line="22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discussed in Note 8, in the first quarter of Fiscal 2016 we announced a plan amendment reducing our postretirement health care benefits. As a result of the plan amendment, our postretirement health care liability was reduced from $34.5 million at August 29, 2015 to $5.9 million at November 28, 2015, or a reduction of $28.6 million; our deferred tax assets decreased by $10.9 million and AOCI increased by $17.7 million.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20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Cash and cash equivalents decreased $14.5 million during the first three months of Fiscal 2016 and totaled $55.7 million as of November 28, 2015. Significant liquidity events that occurred during the first three months of Fiscal 2016 were:</w:t>
      </w:r>
    </w:p>
    <w:p>
      <w:pPr>
        <w:spacing w:after="0" w:line="12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Generation of net income of $8.6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Purchases of property and equipment of $3.1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in inventory of $24.1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Dividend payments of $2.7 million</w:t>
      </w:r>
    </w:p>
    <w:p>
      <w:pPr>
        <w:spacing w:after="0" w:line="19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have the ability to borrow $35.0 million through our Amended Credit Agreement with GECC, a revolving credit facility based on our eligible inventory and certain receivables. In addition, the Amended Credit Agreement also includes a framework to expand the size of the facility up to $50.0 million, based on mutually agreeable terms at the time of the expansion. We are in compliance with all material terms in the Amended Credit Agreement and have no outstanding borrowings at November 28, 2015.</w:t>
      </w:r>
    </w:p>
    <w:p>
      <w:pPr>
        <w:spacing w:after="0" w:line="23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43"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Working capital at November 28, 2015 and August 29, 2015 was $178.2 million and $184.6 million, respectively, a decrease of $6.4 million. We currently expect cash on hand, cash collected on receivables, funds generated from operations and the availability under a credit facility to be sufficient to cover both short-term and long-term operating requirements for Fiscal 2016. We</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40" w:top="141" w:right="29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anticipate capital expenditures in Fiscal 2016 to be approximately $20 - $30 million. In addition to the normal $8 - $10 million of maintenance spend for our current facilities, we will continue to invest in our ERP system and capacity expansion investments.</w:t>
      </w:r>
    </w:p>
    <w:p>
      <w:pPr>
        <w:spacing w:after="0" w:line="223"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made share repurchases of $705,000 in the first three months of Fiscal 2016. If we believe the common stock is trading at attractive levels and reflects a prudent use of our capital, subject to compliance with our agreement with GECC, we may purchase additional shares in the remainder of Fiscal 2016. At November 28, 2015 we have $6.4 million remaining on our board repurchase authorization. See Part II, Item 2 of this Form 10-Q.</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was $8.1 million for the three months ended November 28, 2015 compared to $19.6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29, 2014. In Fiscal 2016 the combination of net income of $8.6 million and changes in non-cash charges (e.g., depreciation, LIFO,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deferred income taxes) provided $9.8 million of operating cash. Changes in assets and liabilities (primarily an increase in inventories)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$17.8 million of operating cash. In the first three months of Fiscal 2015, the combination of net income of $9.9 million and changes in non-cash charges (e.g.,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 LIFO, stock-based compensation, deferred income taxes) provided $11.4 million of operating cash. Changes in assets and liabilities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in inventories) used $31.1 million of operating cash.</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7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Cash used in investing activities of $3.0 million for the three months ended November 28, 2015 was due primarily to capital expenditures of $3.1 million. In the three months ended November 29, 2014, cash used in investing activities of $2.0 million was due primarily to capital expenditures of $2.3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Cash used in financing activities of $3.4 million for the three months ended November 28, 2015 was primarily due to $2.7 million for the payment of dividends and $705,000 in repurchases of our stock. Cash used in financing activities of $8.4 million for the three months ended November 29, 2014 was primarily due to $6.0 million for repurchases of our stock and $2.4 million for payments of dividends.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1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29, 2015.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29, 2015.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0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and believes such controls and procedures are effective at the reasonable assurance level.</w:t>
      </w:r>
    </w:p>
    <w:p>
      <w:pPr>
        <w:spacing w:after="0" w:line="16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During the first quarter of Fiscal 2016, we had a change in our internal control over financial reporting that occurred as a result of our implementation of a new ERP system that has materially affected, or is reasonably likely to materially affect, our internal control over financial reporting. During the first quarter of Fiscal 2016, our new ERP system replaced our legacy system for our Finance</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141"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area and the Towables business. Our new ERP system is intended to provide us with enhanced transactional processing and management tools compared to our legacy system. The new system was subject to extensive testing and data reconciliation during implementation.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jc w:val="both"/>
        <w:ind w:right="76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7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For the past several years we have been involved in litigation in Australia seeking to recover from Knott Investments for damages for using our name without our approval. On December 2, 2015 the Federal Court of Australia, New South Wales District Registry, General Division, entered judgment in favor of Winnebago Industries, Inc. and against Knott Investments for damages arising out of its use of the Winnebago name. Damages awarded were 1% of the total sales of Winnebago branded recreation vehicles from October 14, 2004, through October 17, 2013, plus interest. That award is likely to exceed $5.0 million, plus attorneys’ fees. An appeal by Knott Investments is anticipated.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20"/>
        <w:spacing w:after="0" w:line="192"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29, 2015.</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2016, 35,628 shares were repurchased under the authorization, at an aggregate cost of $705,000. All of these shares were repurchased from employees who vested in Winnebago Industries shares during the first quarter of Fiscal 2016 and elected to pay their payroll tax via shares as opposed to cash. As of November 28, 2015, there was approximately $6.4 million remaining under this authorization.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2016 were: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08/30/15 - 10/03/15</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19.67</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7,048,000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10/04/15 - 10/31/15</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34,861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19.79</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34,861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6,358,000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11/01/15 - 11/28/15</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6,358,000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35,628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19.79</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35,628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6,358,000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Amended Credit Agreement contains covenants that limit our ability to pay certain cash dividends without impacting financial ratio covenants.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Executive Officer pursuant to Section 302 of the Sarbanes-Oxley Act of 2002 dated December 23, 2015.</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Financial Officer pursuant to Section 302 of the Sarbanes-Oxley Act of 2002 dated December 23, 2015.</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Executive Officer pursuant to Section 1350, as adopted pursuant to Section 906 of the Sarbanes-Oxley Act of 2002</w:t>
            </w:r>
          </w:p>
        </w:tc>
      </w:tr>
      <w:tr>
        <w:trPr>
          <w:trHeight w:val="195"/>
        </w:trPr>
        <w:tc>
          <w:tcPr>
            <w:tcW w:w="860" w:type="dxa"/>
            <w:vAlign w:val="bottom"/>
          </w:tcPr>
          <w:p>
            <w:pPr>
              <w:spacing w:after="0"/>
              <w:rPr>
                <w:sz w:val="16"/>
                <w:szCs w:val="16"/>
                <w:color w:val="auto"/>
              </w:rPr>
            </w:pPr>
          </w:p>
        </w:tc>
        <w:tc>
          <w:tcPr>
            <w:tcW w:w="10180" w:type="dxa"/>
            <w:vAlign w:val="bottom"/>
          </w:tcPr>
          <w:p>
            <w:pPr>
              <w:ind w:left="120"/>
              <w:spacing w:after="0"/>
              <w:rPr>
                <w:sz w:val="20"/>
                <w:szCs w:val="20"/>
                <w:color w:val="auto"/>
              </w:rPr>
            </w:pPr>
            <w:r>
              <w:rPr>
                <w:rFonts w:ascii="Arial" w:cs="Arial" w:eastAsia="Arial" w:hAnsi="Arial"/>
                <w:sz w:val="16"/>
                <w:szCs w:val="16"/>
                <w:color w:val="auto"/>
              </w:rPr>
              <w:t>dated December 23, 2015.</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32.2</w:t>
            </w:r>
          </w:p>
        </w:tc>
        <w:tc>
          <w:tcPr>
            <w:tcW w:w="10180" w:type="dxa"/>
            <w:vAlign w:val="bottom"/>
          </w:tcPr>
          <w:p>
            <w:pPr>
              <w:ind w:left="120"/>
              <w:spacing w:after="0"/>
              <w:rPr>
                <w:sz w:val="20"/>
                <w:szCs w:val="20"/>
                <w:color w:val="auto"/>
              </w:rPr>
            </w:pPr>
            <w:r>
              <w:rPr>
                <w:rFonts w:ascii="Arial" w:cs="Arial" w:eastAsia="Arial" w:hAnsi="Arial"/>
                <w:sz w:val="16"/>
                <w:szCs w:val="16"/>
                <w:color w:val="auto"/>
              </w:rPr>
              <w:t>Certification by the Chief Financial Officer pursuant to Section 1350, as adopted pursuant to Section 906 of the Sarbanes-Oxley Act of 2002</w:t>
            </w:r>
          </w:p>
        </w:tc>
      </w:tr>
      <w:tr>
        <w:trPr>
          <w:trHeight w:val="195"/>
        </w:trPr>
        <w:tc>
          <w:tcPr>
            <w:tcW w:w="860" w:type="dxa"/>
            <w:vAlign w:val="bottom"/>
          </w:tcPr>
          <w:p>
            <w:pPr>
              <w:spacing w:after="0"/>
              <w:rPr>
                <w:sz w:val="16"/>
                <w:szCs w:val="16"/>
                <w:color w:val="auto"/>
              </w:rPr>
            </w:pPr>
          </w:p>
        </w:tc>
        <w:tc>
          <w:tcPr>
            <w:tcW w:w="10180" w:type="dxa"/>
            <w:vAlign w:val="bottom"/>
          </w:tcPr>
          <w:p>
            <w:pPr>
              <w:ind w:left="120"/>
              <w:spacing w:after="0"/>
              <w:rPr>
                <w:sz w:val="20"/>
                <w:szCs w:val="20"/>
                <w:color w:val="auto"/>
              </w:rPr>
            </w:pPr>
            <w:r>
              <w:rPr>
                <w:rFonts w:ascii="Arial" w:cs="Arial" w:eastAsia="Arial" w:hAnsi="Arial"/>
                <w:sz w:val="16"/>
                <w:szCs w:val="16"/>
                <w:color w:val="auto"/>
              </w:rPr>
              <w:t>dated December 23, 2015.</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101.INS*</w:t>
            </w:r>
          </w:p>
        </w:tc>
        <w:tc>
          <w:tcPr>
            <w:tcW w:w="10180" w:type="dxa"/>
            <w:vAlign w:val="bottom"/>
          </w:tcPr>
          <w:p>
            <w:pPr>
              <w:ind w:left="120"/>
              <w:spacing w:after="0"/>
              <w:rPr>
                <w:sz w:val="20"/>
                <w:szCs w:val="20"/>
                <w:color w:val="auto"/>
              </w:rPr>
            </w:pPr>
            <w:r>
              <w:rPr>
                <w:rFonts w:ascii="Arial" w:cs="Arial" w:eastAsia="Arial" w:hAnsi="Arial"/>
                <w:sz w:val="16"/>
                <w:szCs w:val="16"/>
                <w:color w:val="auto"/>
              </w:rPr>
              <w:t>XBRL Instance Document</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101.SCH*</w:t>
            </w:r>
          </w:p>
        </w:tc>
        <w:tc>
          <w:tcPr>
            <w:tcW w:w="10180" w:type="dxa"/>
            <w:vAlign w:val="bottom"/>
          </w:tcPr>
          <w:p>
            <w:pPr>
              <w:ind w:left="120"/>
              <w:spacing w:after="0"/>
              <w:rPr>
                <w:sz w:val="20"/>
                <w:szCs w:val="20"/>
                <w:color w:val="auto"/>
              </w:rPr>
            </w:pPr>
            <w:r>
              <w:rPr>
                <w:rFonts w:ascii="Arial" w:cs="Arial" w:eastAsia="Arial" w:hAnsi="Arial"/>
                <w:sz w:val="16"/>
                <w:szCs w:val="16"/>
                <w:color w:val="auto"/>
              </w:rPr>
              <w:t>XBRL Taxonomy Extension Schema Document</w:t>
            </w:r>
          </w:p>
        </w:tc>
      </w:tr>
      <w:tr>
        <w:trPr>
          <w:trHeight w:val="594"/>
        </w:trPr>
        <w:tc>
          <w:tcPr>
            <w:tcW w:w="860" w:type="dxa"/>
            <w:vAlign w:val="bottom"/>
          </w:tcPr>
          <w:p>
            <w:pPr>
              <w:spacing w:after="0"/>
              <w:rPr>
                <w:sz w:val="24"/>
                <w:szCs w:val="24"/>
                <w:color w:val="auto"/>
              </w:rPr>
            </w:pPr>
          </w:p>
        </w:tc>
        <w:tc>
          <w:tcPr>
            <w:tcW w:w="10180" w:type="dxa"/>
            <w:vAlign w:val="bottom"/>
          </w:tcPr>
          <w:p>
            <w:pPr>
              <w:ind w:left="4760"/>
              <w:spacing w:after="0"/>
              <w:rPr>
                <w:sz w:val="20"/>
                <w:szCs w:val="20"/>
                <w:color w:val="auto"/>
              </w:rPr>
            </w:pPr>
            <w:r>
              <w:rPr>
                <w:rFonts w:ascii="Arial" w:cs="Arial" w:eastAsia="Arial" w:hAnsi="Arial"/>
                <w:sz w:val="16"/>
                <w:szCs w:val="16"/>
                <w:color w:val="auto"/>
              </w:rPr>
              <w:t>20</w:t>
            </w:r>
          </w:p>
        </w:tc>
      </w:tr>
    </w:tbl>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41" w:right="2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November 28, 2015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Lawrence A. Erickson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Interim Chief Executive Officer, Chairman of the Board</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41" w:right="25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Lawrence A. Erickson,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Lawrence A. Erickson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Interim Chief Executive Officer,</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30"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28, 2015, I, Lawrence A. Erickson,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40" w:hanging="328"/>
        <w:spacing w:after="0" w:line="25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28, 2015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Lawrence A.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Lawrence A. Erickson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Interim Chief Executive Officer,</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00"/>
          </w:cols>
          <w:pgMar w:left="240" w:top="630"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28, 2015,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hanging="328"/>
        <w:spacing w:after="0" w:line="25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28, 2015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23,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2019-12-29T12:50:02Z</dcterms:created>
  <dcterms:modified xsi:type="dcterms:W3CDTF">2019-12-29T12:50:02Z</dcterms:modified>
</cp:coreProperties>
</file>