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8-K</w:t>
      </w:r>
    </w:p>
    <w:p>
      <w:pPr>
        <w:spacing w:after="0" w:line="27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Date of report (Date of earliest event reported) December 15,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156210</wp:posOffset>
            </wp:positionV>
            <wp:extent cx="34201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10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85" w:lineRule="exact"/>
        <w:rPr>
          <w:sz w:val="24"/>
          <w:szCs w:val="24"/>
          <w:color w:val="auto"/>
        </w:rPr>
      </w:pPr>
    </w:p>
    <w:tbl>
      <w:tblPr>
        <w:tblLayout w:type="fixed"/>
        <w:tblInd w:w="1020" w:type="dxa"/>
        <w:tblCellMar>
          <w:top w:w="0" w:type="dxa"/>
          <w:left w:w="0" w:type="dxa"/>
          <w:bottom w:w="0" w:type="dxa"/>
          <w:right w:w="0" w:type="dxa"/>
        </w:tblCellMar>
      </w:tblPr>
      <w:tr>
        <w:trPr>
          <w:trHeight w:val="218"/>
        </w:trPr>
        <w:tc>
          <w:tcPr>
            <w:tcW w:w="1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Iowa</w:t>
            </w:r>
          </w:p>
        </w:tc>
        <w:tc>
          <w:tcPr>
            <w:tcW w:w="1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001-06403</w:t>
            </w:r>
          </w:p>
        </w:tc>
        <w:tc>
          <w:tcPr>
            <w:tcW w:w="18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b w:val="1"/>
                <w:bCs w:val="1"/>
                <w:color w:val="auto"/>
              </w:rPr>
              <w:t>42-0802678</w:t>
            </w:r>
          </w:p>
        </w:tc>
      </w:tr>
      <w:tr>
        <w:trPr>
          <w:trHeight w:val="174"/>
        </w:trPr>
        <w:tc>
          <w:tcPr>
            <w:tcW w:w="4080" w:type="dxa"/>
            <w:vAlign w:val="bottom"/>
            <w:gridSpan w:val="3"/>
          </w:tcPr>
          <w:p>
            <w:pPr>
              <w:jc w:val="center"/>
              <w:spacing w:after="0" w:line="174" w:lineRule="exact"/>
              <w:rPr>
                <w:sz w:val="20"/>
                <w:szCs w:val="20"/>
                <w:color w:val="auto"/>
              </w:rPr>
            </w:pPr>
            <w:r>
              <w:rPr>
                <w:rFonts w:ascii="Arial" w:cs="Arial" w:eastAsia="Arial" w:hAnsi="Arial"/>
                <w:sz w:val="16"/>
                <w:szCs w:val="16"/>
                <w:color w:val="auto"/>
              </w:rPr>
              <w:t>(State or Other Jurisdiction of Incorporation)</w:t>
            </w:r>
          </w:p>
        </w:tc>
        <w:tc>
          <w:tcPr>
            <w:tcW w:w="1860" w:type="dxa"/>
            <w:vAlign w:val="bottom"/>
            <w:gridSpan w:val="2"/>
          </w:tcPr>
          <w:p>
            <w:pPr>
              <w:jc w:val="center"/>
              <w:ind w:right="200"/>
              <w:spacing w:after="0" w:line="174" w:lineRule="exact"/>
              <w:rPr>
                <w:sz w:val="20"/>
                <w:szCs w:val="20"/>
                <w:color w:val="auto"/>
              </w:rPr>
            </w:pPr>
            <w:r>
              <w:rPr>
                <w:rFonts w:ascii="Arial" w:cs="Arial" w:eastAsia="Arial" w:hAnsi="Arial"/>
                <w:sz w:val="16"/>
                <w:szCs w:val="16"/>
                <w:color w:val="auto"/>
              </w:rPr>
              <w:t>(Commission File</w:t>
            </w:r>
          </w:p>
        </w:tc>
        <w:tc>
          <w:tcPr>
            <w:tcW w:w="3260" w:type="dxa"/>
            <w:vAlign w:val="bottom"/>
          </w:tcPr>
          <w:p>
            <w:pPr>
              <w:jc w:val="center"/>
              <w:ind w:right="99"/>
              <w:spacing w:after="0" w:line="174" w:lineRule="exact"/>
              <w:rPr>
                <w:sz w:val="20"/>
                <w:szCs w:val="20"/>
                <w:color w:val="auto"/>
              </w:rPr>
            </w:pPr>
            <w:r>
              <w:rPr>
                <w:rFonts w:ascii="Arial" w:cs="Arial" w:eastAsia="Arial" w:hAnsi="Arial"/>
                <w:sz w:val="16"/>
                <w:szCs w:val="16"/>
                <w:color w:val="auto"/>
              </w:rPr>
              <w:t>(IRS Employer Identification No.)</w:t>
            </w:r>
          </w:p>
        </w:tc>
      </w:tr>
      <w:tr>
        <w:trPr>
          <w:trHeight w:val="195"/>
        </w:trPr>
        <w:tc>
          <w:tcPr>
            <w:tcW w:w="13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6"/>
                <w:szCs w:val="16"/>
                <w:color w:val="auto"/>
                <w:w w:val="99"/>
              </w:rPr>
              <w:t>Number)</w:t>
            </w:r>
          </w:p>
        </w:tc>
        <w:tc>
          <w:tcPr>
            <w:tcW w:w="3260" w:type="dxa"/>
            <w:vAlign w:val="bottom"/>
          </w:tcPr>
          <w:p>
            <w:pPr>
              <w:spacing w:after="0"/>
              <w:rPr>
                <w:sz w:val="16"/>
                <w:szCs w:val="16"/>
                <w:color w:val="auto"/>
              </w:rPr>
            </w:pPr>
          </w:p>
        </w:tc>
      </w:tr>
      <w:tr>
        <w:trPr>
          <w:trHeight w:val="556"/>
        </w:trPr>
        <w:tc>
          <w:tcPr>
            <w:tcW w:w="132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P.O. Box 152</w:t>
            </w:r>
          </w:p>
        </w:tc>
        <w:tc>
          <w:tcPr>
            <w:tcW w:w="15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Forest City</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Iowa</w:t>
            </w:r>
          </w:p>
        </w:tc>
        <w:tc>
          <w:tcPr>
            <w:tcW w:w="16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419"/>
              <w:spacing w:after="0"/>
              <w:rPr>
                <w:sz w:val="20"/>
                <w:szCs w:val="20"/>
                <w:color w:val="auto"/>
              </w:rPr>
            </w:pPr>
            <w:r>
              <w:rPr>
                <w:rFonts w:ascii="Arial" w:cs="Arial" w:eastAsia="Arial" w:hAnsi="Arial"/>
                <w:sz w:val="16"/>
                <w:szCs w:val="16"/>
                <w:b w:val="1"/>
                <w:bCs w:val="1"/>
                <w:color w:val="auto"/>
              </w:rPr>
              <w:t>50436</w:t>
            </w:r>
          </w:p>
        </w:tc>
      </w:tr>
      <w:tr>
        <w:trPr>
          <w:trHeight w:val="233"/>
        </w:trPr>
        <w:tc>
          <w:tcPr>
            <w:tcW w:w="4080" w:type="dxa"/>
            <w:vAlign w:val="bottom"/>
            <w:gridSpan w:val="3"/>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1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60" w:type="dxa"/>
            <w:vAlign w:val="bottom"/>
          </w:tcPr>
          <w:p>
            <w:pPr>
              <w:jc w:val="center"/>
              <w:ind w:right="99"/>
              <w:spacing w:after="0"/>
              <w:rPr>
                <w:sz w:val="20"/>
                <w:szCs w:val="20"/>
                <w:color w:val="auto"/>
              </w:rPr>
            </w:pPr>
            <w:r>
              <w:rPr>
                <w:rFonts w:ascii="Arial" w:cs="Arial" w:eastAsia="Arial" w:hAnsi="Arial"/>
                <w:sz w:val="16"/>
                <w:szCs w:val="16"/>
                <w:color w:val="auto"/>
              </w:rPr>
              <w:t>(Zip Code)</w:t>
            </w:r>
          </w:p>
        </w:tc>
      </w:tr>
      <w:tr>
        <w:trPr>
          <w:trHeight w:val="534"/>
        </w:trPr>
        <w:tc>
          <w:tcPr>
            <w:tcW w:w="1320" w:type="dxa"/>
            <w:vAlign w:val="bottom"/>
          </w:tcPr>
          <w:p>
            <w:pPr>
              <w:spacing w:after="0"/>
              <w:rPr>
                <w:sz w:val="24"/>
                <w:szCs w:val="24"/>
                <w:color w:val="auto"/>
              </w:rPr>
            </w:pPr>
          </w:p>
        </w:tc>
        <w:tc>
          <w:tcPr>
            <w:tcW w:w="4620" w:type="dxa"/>
            <w:vAlign w:val="bottom"/>
            <w:gridSpan w:val="4"/>
          </w:tcPr>
          <w:p>
            <w:pPr>
              <w:ind w:left="86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9"/>
              <w:spacing w:after="0"/>
              <w:rPr>
                <w:sz w:val="20"/>
                <w:szCs w:val="20"/>
                <w:color w:val="auto"/>
              </w:rPr>
            </w:pPr>
            <w:r>
              <w:rPr>
                <w:rFonts w:ascii="Arial" w:cs="Arial" w:eastAsia="Arial" w:hAnsi="Arial"/>
                <w:sz w:val="16"/>
                <w:szCs w:val="16"/>
                <w:b w:val="1"/>
                <w:bCs w:val="1"/>
                <w:color w:val="auto"/>
              </w:rPr>
              <w:t>641-585-3535</w:t>
            </w:r>
          </w:p>
        </w:tc>
      </w:tr>
      <w:tr>
        <w:trPr>
          <w:trHeight w:val="189"/>
        </w:trPr>
        <w:tc>
          <w:tcPr>
            <w:tcW w:w="1320" w:type="dxa"/>
            <w:vAlign w:val="bottom"/>
          </w:tcPr>
          <w:p>
            <w:pPr>
              <w:spacing w:after="0"/>
              <w:rPr>
                <w:sz w:val="16"/>
                <w:szCs w:val="16"/>
                <w:color w:val="auto"/>
              </w:rPr>
            </w:pPr>
          </w:p>
        </w:tc>
        <w:tc>
          <w:tcPr>
            <w:tcW w:w="7880" w:type="dxa"/>
            <w:vAlign w:val="bottom"/>
            <w:gridSpan w:val="5"/>
          </w:tcPr>
          <w:p>
            <w:pPr>
              <w:jc w:val="right"/>
              <w:ind w:right="1339"/>
              <w:spacing w:after="0"/>
              <w:rPr>
                <w:sz w:val="20"/>
                <w:szCs w:val="20"/>
                <w:color w:val="auto"/>
              </w:rPr>
            </w:pPr>
            <w:r>
              <w:rPr>
                <w:rFonts w:ascii="Arial" w:cs="Arial" w:eastAsia="Arial" w:hAnsi="Arial"/>
                <w:sz w:val="16"/>
                <w:szCs w:val="16"/>
                <w:color w:val="auto"/>
              </w:rPr>
              <w:t>______________________________________________________________________</w:t>
            </w:r>
          </w:p>
        </w:tc>
      </w:tr>
      <w:tr>
        <w:trPr>
          <w:trHeight w:val="195"/>
        </w:trPr>
        <w:tc>
          <w:tcPr>
            <w:tcW w:w="1320" w:type="dxa"/>
            <w:vAlign w:val="bottom"/>
          </w:tcPr>
          <w:p>
            <w:pPr>
              <w:spacing w:after="0"/>
              <w:rPr>
                <w:sz w:val="16"/>
                <w:szCs w:val="16"/>
                <w:color w:val="auto"/>
              </w:rPr>
            </w:pPr>
          </w:p>
        </w:tc>
        <w:tc>
          <w:tcPr>
            <w:tcW w:w="7880" w:type="dxa"/>
            <w:vAlign w:val="bottom"/>
            <w:gridSpan w:val="5"/>
          </w:tcPr>
          <w:p>
            <w:pPr>
              <w:ind w:left="880"/>
              <w:spacing w:after="0"/>
              <w:rPr>
                <w:sz w:val="20"/>
                <w:szCs w:val="20"/>
                <w:color w:val="auto"/>
              </w:rPr>
            </w:pPr>
            <w:r>
              <w:rPr>
                <w:rFonts w:ascii="Arial" w:cs="Arial" w:eastAsia="Arial" w:hAnsi="Arial"/>
                <w:sz w:val="16"/>
                <w:szCs w:val="16"/>
                <w:color w:val="auto"/>
              </w:rPr>
              <w:t>(Former Name or Former Address, if Changed Since Last Report.)</w:t>
            </w:r>
          </w:p>
        </w:tc>
      </w:tr>
    </w:tbl>
    <w:p>
      <w:pPr>
        <w:spacing w:after="0" w:line="237" w:lineRule="exact"/>
        <w:rPr>
          <w:sz w:val="24"/>
          <w:szCs w:val="24"/>
          <w:color w:val="auto"/>
        </w:rPr>
      </w:pPr>
    </w:p>
    <w:p>
      <w:pPr>
        <w:ind w:right="2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right="2880" w:firstLine="8"/>
        <w:spacing w:after="0" w:line="483" w:lineRule="auto"/>
        <w:tabs>
          <w:tab w:leader="none" w:pos="3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07"/>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10"/>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WGO</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339" w:lineRule="exact"/>
        <w:rPr>
          <w:sz w:val="24"/>
          <w:szCs w:val="24"/>
          <w:color w:val="auto"/>
        </w:rPr>
      </w:pPr>
    </w:p>
    <w:p>
      <w:pPr>
        <w:jc w:val="both"/>
        <w:ind w:right="20"/>
        <w:spacing w:after="0" w:line="24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Exchange Act of 1934 (§240.12b-2 of this chapter).</w:t>
      </w:r>
    </w:p>
    <w:p>
      <w:pPr>
        <w:ind w:left="6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2" w:lineRule="exact"/>
        <w:rPr>
          <w:sz w:val="24"/>
          <w:szCs w:val="24"/>
          <w:color w:val="auto"/>
        </w:rPr>
      </w:pPr>
    </w:p>
    <w:p>
      <w:pPr>
        <w:ind w:right="16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541655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998"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5.07 Submission of Matters to a Vote of Security Holders.</w:t>
      </w:r>
    </w:p>
    <w:p>
      <w:pPr>
        <w:spacing w:after="0" w:line="25"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Winnebago Industries, Inc. ("the Company") held its annual meeting of shareholders (the “Annual Meeting”) on December 15, 2020. At the Annual Meeting, the Company's shareholders were asked to vote on the following proposals: (1) the election of three Class III directors, (2) the advisory approval of executive compensation, (3) the ratification of the appointment of Deloitte &amp; Touche LLP as the Company's independent registered public accountant for the fiscal year ending August 28, 2021, and (4) the amendment of the Company's Articles of Incorporation to increase the authorized Common Stock. The results of the shareholder vote are set forth below.</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 Election of Directors.</w:t>
      </w:r>
    </w:p>
    <w:p>
      <w:pPr>
        <w:spacing w:after="0" w:line="268"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Company shareholders elected the following nominees: Sara E. Armbruster, William C. Fisher and Michael J. Happe as Class III directors to hold office until the annual meeting of shareholders to be held following the Company's Fiscal 2023 or until their respective successors are duly elected and qualified. Information as to the vote on each director standing for election is provided below:</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700" w:type="dxa"/>
            <w:vAlign w:val="bottom"/>
            <w:tcBorders>
              <w:bottom w:val="single" w:sz="8" w:color="auto"/>
            </w:tcBorders>
          </w:tcPr>
          <w:p>
            <w:pPr>
              <w:ind w:left="1140"/>
              <w:spacing w:after="0"/>
              <w:rPr>
                <w:sz w:val="20"/>
                <w:szCs w:val="20"/>
                <w:color w:val="auto"/>
              </w:rPr>
            </w:pPr>
            <w:r>
              <w:rPr>
                <w:rFonts w:ascii="Arial" w:cs="Arial" w:eastAsia="Arial" w:hAnsi="Arial"/>
                <w:sz w:val="16"/>
                <w:szCs w:val="16"/>
                <w:b w:val="1"/>
                <w:bCs w:val="1"/>
                <w:color w:val="auto"/>
              </w:rPr>
              <w:t>Name</w:t>
            </w:r>
          </w:p>
        </w:tc>
        <w:tc>
          <w:tcPr>
            <w:tcW w:w="120" w:type="dxa"/>
            <w:vAlign w:val="bottom"/>
            <w:tcBorders>
              <w:bottom w:val="single" w:sz="8" w:color="CCEEFF"/>
            </w:tcBorders>
          </w:tcPr>
          <w:p>
            <w:pPr>
              <w:spacing w:after="0"/>
              <w:rPr>
                <w:sz w:val="18"/>
                <w:szCs w:val="18"/>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Votes For</w:t>
            </w:r>
          </w:p>
        </w:tc>
        <w:tc>
          <w:tcPr>
            <w:tcW w:w="120" w:type="dxa"/>
            <w:vAlign w:val="bottom"/>
            <w:tcBorders>
              <w:bottom w:val="single" w:sz="8" w:color="CCEEFF"/>
            </w:tcBorders>
          </w:tcPr>
          <w:p>
            <w:pPr>
              <w:spacing w:after="0"/>
              <w:rPr>
                <w:sz w:val="18"/>
                <w:szCs w:val="18"/>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Votes Withheld</w:t>
            </w:r>
          </w:p>
        </w:tc>
        <w:tc>
          <w:tcPr>
            <w:tcW w:w="100" w:type="dxa"/>
            <w:vAlign w:val="bottom"/>
            <w:tcBorders>
              <w:bottom w:val="single" w:sz="8" w:color="CCEEFF"/>
            </w:tcBorders>
          </w:tcPr>
          <w:p>
            <w:pPr>
              <w:spacing w:after="0"/>
              <w:rPr>
                <w:sz w:val="18"/>
                <w:szCs w:val="18"/>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Broker Non-Votes</w:t>
            </w:r>
          </w:p>
        </w:tc>
      </w:tr>
      <w:tr>
        <w:trPr>
          <w:trHeight w:val="212"/>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Sara E. Armbruster</w:t>
            </w:r>
          </w:p>
        </w:tc>
        <w:tc>
          <w:tcPr>
            <w:tcW w:w="2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22,640,845</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1,627,721</w:t>
            </w:r>
          </w:p>
        </w:tc>
        <w:tc>
          <w:tcPr>
            <w:tcW w:w="10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4,474,865</w:t>
            </w:r>
          </w:p>
        </w:tc>
      </w:tr>
      <w:tr>
        <w:trPr>
          <w:trHeight w:val="213"/>
        </w:trPr>
        <w:tc>
          <w:tcPr>
            <w:tcW w:w="2820" w:type="dxa"/>
            <w:vAlign w:val="bottom"/>
            <w:gridSpan w:val="2"/>
          </w:tcPr>
          <w:p>
            <w:pPr>
              <w:ind w:left="20"/>
              <w:spacing w:after="0"/>
              <w:rPr>
                <w:sz w:val="20"/>
                <w:szCs w:val="20"/>
                <w:color w:val="auto"/>
              </w:rPr>
            </w:pPr>
            <w:r>
              <w:rPr>
                <w:rFonts w:ascii="Arial" w:cs="Arial" w:eastAsia="Arial" w:hAnsi="Arial"/>
                <w:sz w:val="16"/>
                <w:szCs w:val="16"/>
                <w:color w:val="auto"/>
              </w:rPr>
              <w:t>William C. Fisher</w:t>
            </w:r>
          </w:p>
        </w:tc>
        <w:tc>
          <w:tcPr>
            <w:tcW w:w="2720" w:type="dxa"/>
            <w:vAlign w:val="bottom"/>
          </w:tcPr>
          <w:p>
            <w:pPr>
              <w:jc w:val="center"/>
              <w:spacing w:after="0"/>
              <w:rPr>
                <w:sz w:val="20"/>
                <w:szCs w:val="20"/>
                <w:color w:val="auto"/>
              </w:rPr>
            </w:pPr>
            <w:r>
              <w:rPr>
                <w:rFonts w:ascii="Arial" w:cs="Arial" w:eastAsia="Arial" w:hAnsi="Arial"/>
                <w:sz w:val="16"/>
                <w:szCs w:val="16"/>
                <w:color w:val="auto"/>
                <w:w w:val="99"/>
              </w:rPr>
              <w:t>22,109,770</w:t>
            </w:r>
          </w:p>
        </w:tc>
        <w:tc>
          <w:tcPr>
            <w:tcW w:w="1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6"/>
                <w:szCs w:val="16"/>
                <w:color w:val="auto"/>
              </w:rPr>
              <w:t>2,158,796</w:t>
            </w:r>
          </w:p>
        </w:tc>
        <w:tc>
          <w:tcPr>
            <w:tcW w:w="10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6"/>
                <w:szCs w:val="16"/>
                <w:color w:val="auto"/>
              </w:rPr>
              <w:t>4,474,865</w:t>
            </w:r>
          </w:p>
        </w:tc>
      </w:tr>
      <w:tr>
        <w:trPr>
          <w:trHeight w:val="219"/>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Michael J. Happe</w:t>
            </w:r>
          </w:p>
        </w:tc>
        <w:tc>
          <w:tcPr>
            <w:tcW w:w="2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22,617,177</w:t>
            </w:r>
          </w:p>
        </w:tc>
        <w:tc>
          <w:tcPr>
            <w:tcW w:w="120" w:type="dxa"/>
            <w:vAlign w:val="bottom"/>
            <w:shd w:val="clear" w:color="auto" w:fill="CCEEFF"/>
          </w:tcPr>
          <w:p>
            <w:pPr>
              <w:spacing w:after="0"/>
              <w:rPr>
                <w:sz w:val="19"/>
                <w:szCs w:val="19"/>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1,651,389</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4,474,865</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 Advisory Approval Vote on Executive Compensation (the “Say on Pay” Vote).</w:t>
      </w:r>
    </w:p>
    <w:p>
      <w:pPr>
        <w:spacing w:after="0" w:line="268"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Company shareholders approved, on an advisory basis, the compensation of certain executives as disclosed in the Compensation Discussion and Analysis, the compensation tables, and other narrative executive compensation disclosures in the definitive proxy statement relating to the Annual Meeting, as set forth below:</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Votes For</w:t>
            </w:r>
          </w:p>
        </w:tc>
        <w:tc>
          <w:tcPr>
            <w:tcW w:w="28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Votes Against</w:t>
            </w:r>
          </w:p>
        </w:tc>
        <w:tc>
          <w:tcPr>
            <w:tcW w:w="2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Abstentions</w:t>
            </w:r>
          </w:p>
        </w:tc>
        <w:tc>
          <w:tcPr>
            <w:tcW w:w="2740" w:type="dxa"/>
            <w:vAlign w:val="bottom"/>
          </w:tcPr>
          <w:p>
            <w:pPr>
              <w:jc w:val="center"/>
              <w:spacing w:after="0"/>
              <w:rPr>
                <w:sz w:val="20"/>
                <w:szCs w:val="20"/>
                <w:color w:val="auto"/>
              </w:rPr>
            </w:pPr>
            <w:r>
              <w:rPr>
                <w:rFonts w:ascii="Arial" w:cs="Arial" w:eastAsia="Arial" w:hAnsi="Arial"/>
                <w:sz w:val="16"/>
                <w:szCs w:val="16"/>
                <w:b w:val="1"/>
                <w:bCs w:val="1"/>
                <w:color w:val="auto"/>
              </w:rPr>
              <w:t>Broker Non-Votes</w:t>
            </w:r>
          </w:p>
        </w:tc>
      </w:tr>
      <w:tr>
        <w:trPr>
          <w:trHeight w:val="212"/>
        </w:trPr>
        <w:tc>
          <w:tcPr>
            <w:tcW w:w="2720" w:type="dxa"/>
            <w:vAlign w:val="bottom"/>
            <w:tcBorders>
              <w:top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rPr>
              <w:t>23,792,117</w:t>
            </w:r>
          </w:p>
        </w:tc>
        <w:tc>
          <w:tcPr>
            <w:tcW w:w="10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rPr>
              <w:t>419,057</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right"/>
              <w:ind w:right="1039"/>
              <w:spacing w:after="0"/>
              <w:rPr>
                <w:sz w:val="20"/>
                <w:szCs w:val="20"/>
                <w:color w:val="auto"/>
              </w:rPr>
            </w:pPr>
            <w:r>
              <w:rPr>
                <w:rFonts w:ascii="Arial" w:cs="Arial" w:eastAsia="Arial" w:hAnsi="Arial"/>
                <w:sz w:val="16"/>
                <w:szCs w:val="16"/>
                <w:color w:val="auto"/>
              </w:rPr>
              <w:t>57,392</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rPr>
              <w:t>4,474,865</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 Ratification of the Appointment of Independent Registered Public Accountants for the Fiscal Year Ending August 28, 2021.</w:t>
      </w:r>
    </w:p>
    <w:p>
      <w:pPr>
        <w:spacing w:after="0" w:line="268"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Company shareholders ratified the appointment of Deloitte &amp; Touche LLP as the Company's independent registered public accountants for the fiscal year ending August 28, 2021, as set forth below:</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7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Votes For</w:t>
            </w:r>
          </w:p>
        </w:tc>
        <w:tc>
          <w:tcPr>
            <w:tcW w:w="37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Votes Against</w:t>
            </w: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Abstentions</w:t>
            </w:r>
          </w:p>
        </w:tc>
      </w:tr>
      <w:tr>
        <w:trPr>
          <w:trHeight w:val="213"/>
        </w:trPr>
        <w:tc>
          <w:tcPr>
            <w:tcW w:w="3660" w:type="dxa"/>
            <w:vAlign w:val="bottom"/>
            <w:tcBorders>
              <w:top w:val="single" w:sz="8" w:color="auto"/>
            </w:tcBorders>
            <w:shd w:val="clear" w:color="auto" w:fill="CCEEFF"/>
          </w:tcPr>
          <w:p>
            <w:pPr>
              <w:jc w:val="right"/>
              <w:ind w:right="1339"/>
              <w:spacing w:after="0"/>
              <w:rPr>
                <w:sz w:val="20"/>
                <w:szCs w:val="20"/>
                <w:color w:val="auto"/>
              </w:rPr>
            </w:pPr>
            <w:r>
              <w:rPr>
                <w:rFonts w:ascii="Arial" w:cs="Arial" w:eastAsia="Arial" w:hAnsi="Arial"/>
                <w:sz w:val="16"/>
                <w:szCs w:val="16"/>
                <w:color w:val="auto"/>
              </w:rPr>
              <w:t>28,008,369</w:t>
            </w:r>
          </w:p>
        </w:tc>
        <w:tc>
          <w:tcPr>
            <w:tcW w:w="100" w:type="dxa"/>
            <w:vAlign w:val="bottom"/>
            <w:tcBorders>
              <w:top w:val="single" w:sz="8" w:color="CCEEFF"/>
            </w:tcBorders>
            <w:shd w:val="clear" w:color="auto" w:fill="CCEEFF"/>
          </w:tcPr>
          <w:p>
            <w:pPr>
              <w:spacing w:after="0"/>
              <w:rPr>
                <w:sz w:val="18"/>
                <w:szCs w:val="18"/>
                <w:color w:val="auto"/>
              </w:rPr>
            </w:pPr>
          </w:p>
        </w:tc>
        <w:tc>
          <w:tcPr>
            <w:tcW w:w="3660" w:type="dxa"/>
            <w:vAlign w:val="bottom"/>
            <w:tcBorders>
              <w:top w:val="single" w:sz="8" w:color="auto"/>
            </w:tcBorders>
            <w:shd w:val="clear" w:color="auto" w:fill="CCEEFF"/>
          </w:tcPr>
          <w:p>
            <w:pPr>
              <w:jc w:val="right"/>
              <w:ind w:right="1459"/>
              <w:spacing w:after="0"/>
              <w:rPr>
                <w:sz w:val="20"/>
                <w:szCs w:val="20"/>
                <w:color w:val="auto"/>
              </w:rPr>
            </w:pPr>
            <w:r>
              <w:rPr>
                <w:rFonts w:ascii="Arial" w:cs="Arial" w:eastAsia="Arial" w:hAnsi="Arial"/>
                <w:sz w:val="16"/>
                <w:szCs w:val="16"/>
                <w:color w:val="auto"/>
              </w:rPr>
              <w:t>705,180</w:t>
            </w:r>
          </w:p>
        </w:tc>
        <w:tc>
          <w:tcPr>
            <w:tcW w:w="100" w:type="dxa"/>
            <w:vAlign w:val="bottom"/>
            <w:tcBorders>
              <w:top w:val="single" w:sz="8" w:color="CCEEFF"/>
            </w:tcBorders>
            <w:shd w:val="clear" w:color="auto" w:fill="CCEEFF"/>
          </w:tcPr>
          <w:p>
            <w:pPr>
              <w:spacing w:after="0"/>
              <w:rPr>
                <w:sz w:val="18"/>
                <w:szCs w:val="18"/>
                <w:color w:val="auto"/>
              </w:rPr>
            </w:pPr>
          </w:p>
        </w:tc>
        <w:tc>
          <w:tcPr>
            <w:tcW w:w="3680" w:type="dxa"/>
            <w:vAlign w:val="bottom"/>
            <w:tcBorders>
              <w:top w:val="single" w:sz="8" w:color="auto"/>
            </w:tcBorders>
            <w:shd w:val="clear" w:color="auto" w:fill="CCEEFF"/>
          </w:tcPr>
          <w:p>
            <w:pPr>
              <w:jc w:val="right"/>
              <w:ind w:right="1499"/>
              <w:spacing w:after="0"/>
              <w:rPr>
                <w:sz w:val="20"/>
                <w:szCs w:val="20"/>
                <w:color w:val="auto"/>
              </w:rPr>
            </w:pPr>
            <w:r>
              <w:rPr>
                <w:rFonts w:ascii="Arial" w:cs="Arial" w:eastAsia="Arial" w:hAnsi="Arial"/>
                <w:sz w:val="16"/>
                <w:szCs w:val="16"/>
                <w:color w:val="auto"/>
              </w:rPr>
              <w:t>29,882</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 Amendment of Articles of Incorporation</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Company shareholders approved an amendment to the Company's Articles of Incorporation to increase the authorized common stock, as set forth below:</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7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Votes For</w:t>
            </w:r>
          </w:p>
        </w:tc>
        <w:tc>
          <w:tcPr>
            <w:tcW w:w="37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Votes Against</w:t>
            </w:r>
          </w:p>
        </w:tc>
        <w:tc>
          <w:tcPr>
            <w:tcW w:w="372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rPr>
              <w:t>Abstentions</w:t>
            </w:r>
          </w:p>
        </w:tc>
      </w:tr>
      <w:tr>
        <w:trPr>
          <w:trHeight w:val="213"/>
        </w:trPr>
        <w:tc>
          <w:tcPr>
            <w:tcW w:w="3660" w:type="dxa"/>
            <w:vAlign w:val="bottom"/>
            <w:tcBorders>
              <w:top w:val="single" w:sz="8" w:color="auto"/>
            </w:tcBorders>
            <w:shd w:val="clear" w:color="auto" w:fill="CCEEFF"/>
          </w:tcPr>
          <w:p>
            <w:pPr>
              <w:jc w:val="right"/>
              <w:ind w:right="1339"/>
              <w:spacing w:after="0"/>
              <w:rPr>
                <w:sz w:val="20"/>
                <w:szCs w:val="20"/>
                <w:color w:val="auto"/>
              </w:rPr>
            </w:pPr>
            <w:r>
              <w:rPr>
                <w:rFonts w:ascii="Arial" w:cs="Arial" w:eastAsia="Arial" w:hAnsi="Arial"/>
                <w:sz w:val="16"/>
                <w:szCs w:val="16"/>
                <w:color w:val="auto"/>
              </w:rPr>
              <w:t>25,767,269</w:t>
            </w:r>
          </w:p>
        </w:tc>
        <w:tc>
          <w:tcPr>
            <w:tcW w:w="100" w:type="dxa"/>
            <w:vAlign w:val="bottom"/>
            <w:tcBorders>
              <w:top w:val="single" w:sz="8" w:color="CCEEFF"/>
            </w:tcBorders>
            <w:shd w:val="clear" w:color="auto" w:fill="CCEEFF"/>
          </w:tcPr>
          <w:p>
            <w:pPr>
              <w:spacing w:after="0"/>
              <w:rPr>
                <w:sz w:val="18"/>
                <w:szCs w:val="18"/>
                <w:color w:val="auto"/>
              </w:rPr>
            </w:pPr>
          </w:p>
        </w:tc>
        <w:tc>
          <w:tcPr>
            <w:tcW w:w="3660" w:type="dxa"/>
            <w:vAlign w:val="bottom"/>
            <w:tcBorders>
              <w:top w:val="single" w:sz="8" w:color="auto"/>
            </w:tcBorders>
            <w:shd w:val="clear" w:color="auto" w:fill="CCEEFF"/>
          </w:tcPr>
          <w:p>
            <w:pPr>
              <w:jc w:val="right"/>
              <w:ind w:right="1379"/>
              <w:spacing w:after="0"/>
              <w:rPr>
                <w:sz w:val="20"/>
                <w:szCs w:val="20"/>
                <w:color w:val="auto"/>
              </w:rPr>
            </w:pPr>
            <w:r>
              <w:rPr>
                <w:rFonts w:ascii="Arial" w:cs="Arial" w:eastAsia="Arial" w:hAnsi="Arial"/>
                <w:sz w:val="16"/>
                <w:szCs w:val="16"/>
                <w:color w:val="auto"/>
              </w:rPr>
              <w:t>2,871,790</w:t>
            </w:r>
          </w:p>
        </w:tc>
        <w:tc>
          <w:tcPr>
            <w:tcW w:w="100" w:type="dxa"/>
            <w:vAlign w:val="bottom"/>
            <w:tcBorders>
              <w:top w:val="single" w:sz="8" w:color="CCEEFF"/>
            </w:tcBorders>
            <w:shd w:val="clear" w:color="auto" w:fill="CCEEFF"/>
          </w:tcPr>
          <w:p>
            <w:pPr>
              <w:spacing w:after="0"/>
              <w:rPr>
                <w:sz w:val="18"/>
                <w:szCs w:val="18"/>
                <w:color w:val="auto"/>
              </w:rPr>
            </w:pPr>
          </w:p>
        </w:tc>
        <w:tc>
          <w:tcPr>
            <w:tcW w:w="3680" w:type="dxa"/>
            <w:vAlign w:val="bottom"/>
            <w:tcBorders>
              <w:top w:val="single" w:sz="8" w:color="auto"/>
            </w:tcBorders>
            <w:shd w:val="clear" w:color="auto" w:fill="CCEEFF"/>
          </w:tcPr>
          <w:p>
            <w:pPr>
              <w:jc w:val="right"/>
              <w:ind w:right="1459"/>
              <w:spacing w:after="0"/>
              <w:rPr>
                <w:sz w:val="20"/>
                <w:szCs w:val="20"/>
                <w:color w:val="auto"/>
              </w:rPr>
            </w:pPr>
            <w:r>
              <w:rPr>
                <w:rFonts w:ascii="Arial" w:cs="Arial" w:eastAsia="Arial" w:hAnsi="Arial"/>
                <w:sz w:val="16"/>
                <w:szCs w:val="16"/>
                <w:color w:val="auto"/>
              </w:rPr>
              <w:t>104,372</w:t>
            </w:r>
          </w:p>
        </w:tc>
        <w:tc>
          <w:tcPr>
            <w:tcW w:w="40" w:type="dxa"/>
            <w:vAlign w:val="bottom"/>
          </w:tcPr>
          <w:p>
            <w:pPr>
              <w:spacing w:after="0"/>
              <w:rPr>
                <w:sz w:val="18"/>
                <w:szCs w:val="18"/>
                <w:color w:val="auto"/>
              </w:rPr>
            </w:pPr>
          </w:p>
        </w:tc>
      </w:tr>
      <w:tr>
        <w:trPr>
          <w:trHeight w:val="979"/>
        </w:trPr>
        <w:tc>
          <w:tcPr>
            <w:tcW w:w="3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w:t>
      </w:r>
    </w:p>
    <w:p>
      <w:pPr>
        <w:spacing w:after="0" w:line="17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59"/>
        </w:trPr>
        <w:tc>
          <w:tcPr>
            <w:tcW w:w="56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7300" w:type="dxa"/>
            <w:vAlign w:val="bottom"/>
            <w:gridSpan w:val="2"/>
          </w:tcPr>
          <w:p>
            <w:pPr>
              <w:ind w:left="7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433"/>
        </w:trPr>
        <w:tc>
          <w:tcPr>
            <w:tcW w:w="560" w:type="dxa"/>
            <w:vAlign w:val="bottom"/>
          </w:tcPr>
          <w:p>
            <w:pPr>
              <w:spacing w:after="0"/>
              <w:rPr>
                <w:sz w:val="20"/>
                <w:szCs w:val="20"/>
                <w:color w:val="auto"/>
              </w:rPr>
            </w:pPr>
            <w:r>
              <w:rPr>
                <w:rFonts w:ascii="Arial" w:cs="Arial" w:eastAsia="Arial" w:hAnsi="Arial"/>
                <w:sz w:val="16"/>
                <w:szCs w:val="16"/>
                <w:color w:val="auto"/>
              </w:rPr>
              <w:t>Date:</w:t>
            </w:r>
          </w:p>
        </w:tc>
        <w:tc>
          <w:tcPr>
            <w:tcW w:w="2340" w:type="dxa"/>
            <w:vAlign w:val="bottom"/>
          </w:tcPr>
          <w:p>
            <w:pPr>
              <w:ind w:left="160"/>
              <w:spacing w:after="0"/>
              <w:rPr>
                <w:sz w:val="20"/>
                <w:szCs w:val="20"/>
                <w:color w:val="auto"/>
              </w:rPr>
            </w:pPr>
            <w:r>
              <w:rPr>
                <w:rFonts w:ascii="Arial" w:cs="Arial" w:eastAsia="Arial" w:hAnsi="Arial"/>
                <w:sz w:val="16"/>
                <w:szCs w:val="16"/>
                <w:color w:val="auto"/>
              </w:rPr>
              <w:t>December 18, 2020</w:t>
            </w:r>
          </w:p>
        </w:tc>
        <w:tc>
          <w:tcPr>
            <w:tcW w:w="1580" w:type="dxa"/>
            <w:vAlign w:val="bottom"/>
          </w:tcPr>
          <w:p>
            <w:pPr>
              <w:ind w:left="760"/>
              <w:spacing w:after="0"/>
              <w:rPr>
                <w:sz w:val="20"/>
                <w:szCs w:val="20"/>
                <w:color w:val="auto"/>
              </w:rPr>
            </w:pPr>
            <w:r>
              <w:rPr>
                <w:rFonts w:ascii="Arial" w:cs="Arial" w:eastAsia="Arial" w:hAnsi="Arial"/>
                <w:sz w:val="16"/>
                <w:szCs w:val="16"/>
                <w:color w:val="auto"/>
              </w:rPr>
              <w:t>By:</w:t>
            </w:r>
          </w:p>
        </w:tc>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Stacy L. Bogart</w:t>
            </w:r>
          </w:p>
        </w:tc>
      </w:tr>
      <w:tr>
        <w:trPr>
          <w:trHeight w:val="207"/>
        </w:trPr>
        <w:tc>
          <w:tcPr>
            <w:tcW w:w="5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580" w:type="dxa"/>
            <w:vAlign w:val="bottom"/>
          </w:tcPr>
          <w:p>
            <w:pPr>
              <w:ind w:left="760"/>
              <w:spacing w:after="0"/>
              <w:rPr>
                <w:sz w:val="20"/>
                <w:szCs w:val="20"/>
                <w:color w:val="auto"/>
              </w:rPr>
            </w:pPr>
            <w:r>
              <w:rPr>
                <w:rFonts w:ascii="Arial" w:cs="Arial" w:eastAsia="Arial" w:hAnsi="Arial"/>
                <w:sz w:val="16"/>
                <w:szCs w:val="16"/>
                <w:color w:val="auto"/>
              </w:rPr>
              <w:t>Name:</w:t>
            </w:r>
          </w:p>
        </w:tc>
        <w:tc>
          <w:tcPr>
            <w:tcW w:w="5720" w:type="dxa"/>
            <w:vAlign w:val="bottom"/>
          </w:tcPr>
          <w:p>
            <w:pPr>
              <w:ind w:left="20"/>
              <w:spacing w:after="0"/>
              <w:rPr>
                <w:sz w:val="20"/>
                <w:szCs w:val="20"/>
                <w:color w:val="auto"/>
              </w:rPr>
            </w:pPr>
            <w:r>
              <w:rPr>
                <w:rFonts w:ascii="Arial" w:cs="Arial" w:eastAsia="Arial" w:hAnsi="Arial"/>
                <w:sz w:val="16"/>
                <w:szCs w:val="16"/>
                <w:color w:val="auto"/>
              </w:rPr>
              <w:t>Stacy L. Bogart</w:t>
            </w:r>
          </w:p>
        </w:tc>
      </w:tr>
      <w:tr>
        <w:trPr>
          <w:trHeight w:val="183"/>
        </w:trPr>
        <w:tc>
          <w:tcPr>
            <w:tcW w:w="5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720" w:type="dxa"/>
            <w:vAlign w:val="bottom"/>
          </w:tcPr>
          <w:p>
            <w:pPr>
              <w:ind w:left="20"/>
              <w:spacing w:after="0"/>
              <w:rPr>
                <w:sz w:val="20"/>
                <w:szCs w:val="20"/>
                <w:color w:val="auto"/>
              </w:rPr>
            </w:pPr>
            <w:r>
              <w:rPr>
                <w:rFonts w:ascii="Arial" w:cs="Arial" w:eastAsia="Arial" w:hAnsi="Arial"/>
                <w:sz w:val="16"/>
                <w:szCs w:val="16"/>
                <w:color w:val="auto"/>
              </w:rPr>
              <w:t>Senior Vice President, General Counsel, Secretary and Corporate</w:t>
            </w:r>
          </w:p>
        </w:tc>
      </w:tr>
      <w:tr>
        <w:trPr>
          <w:trHeight w:val="195"/>
        </w:trPr>
        <w:tc>
          <w:tcPr>
            <w:tcW w:w="5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580" w:type="dxa"/>
            <w:vAlign w:val="bottom"/>
          </w:tcPr>
          <w:p>
            <w:pPr>
              <w:ind w:left="760"/>
              <w:spacing w:after="0"/>
              <w:rPr>
                <w:sz w:val="20"/>
                <w:szCs w:val="20"/>
                <w:color w:val="auto"/>
              </w:rPr>
            </w:pPr>
            <w:r>
              <w:rPr>
                <w:rFonts w:ascii="Arial" w:cs="Arial" w:eastAsia="Arial" w:hAnsi="Arial"/>
                <w:sz w:val="16"/>
                <w:szCs w:val="16"/>
                <w:color w:val="auto"/>
              </w:rPr>
              <w:t>Title:</w:t>
            </w:r>
          </w:p>
        </w:tc>
        <w:tc>
          <w:tcPr>
            <w:tcW w:w="5720" w:type="dxa"/>
            <w:vAlign w:val="bottom"/>
          </w:tcPr>
          <w:p>
            <w:pPr>
              <w:ind w:left="20"/>
              <w:spacing w:after="0"/>
              <w:rPr>
                <w:sz w:val="20"/>
                <w:szCs w:val="20"/>
                <w:color w:val="auto"/>
              </w:rPr>
            </w:pPr>
            <w:r>
              <w:rPr>
                <w:rFonts w:ascii="Arial" w:cs="Arial" w:eastAsia="Arial" w:hAnsi="Arial"/>
                <w:sz w:val="16"/>
                <w:szCs w:val="16"/>
                <w:color w:val="auto"/>
              </w:rPr>
              <w:t>Responsibility</w:t>
            </w:r>
          </w:p>
        </w:tc>
      </w:tr>
    </w:tbl>
    <w:p>
      <w:pPr>
        <w:spacing w:after="0" w:line="1" w:lineRule="exact"/>
        <w:rPr>
          <w:sz w:val="20"/>
          <w:szCs w:val="20"/>
          <w:color w:val="auto"/>
        </w:rPr>
      </w:pPr>
    </w:p>
    <w:sectPr>
      <w:pgSz w:w="11900" w:h="16838" w:orient="portrait"/>
      <w:cols w:equalWidth="0" w:num="1">
        <w:col w:w="11220"/>
      </w:cols>
      <w:pgMar w:left="320" w:top="88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2020-12-18T15:10:23Z</dcterms:created>
  <dcterms:modified xsi:type="dcterms:W3CDTF">2020-12-18T15:10:23Z</dcterms:modified>
</cp:coreProperties>
</file>