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Donald Jeff</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280"/>
              <w:spacing w:after="0" w:line="187" w:lineRule="exact"/>
              <w:rPr>
                <w:sz w:val="20"/>
                <w:szCs w:val="20"/>
                <w:color w:val="auto"/>
              </w:rPr>
            </w:pPr>
            <w:r>
              <w:rPr>
                <w:rFonts w:ascii="Times New Roman" w:cs="Times New Roman" w:eastAsia="Times New Roman" w:hAnsi="Times New Roman"/>
                <w:sz w:val="17"/>
                <w:szCs w:val="17"/>
                <w:color w:val="0000FF"/>
              </w:rPr>
              <w:t>President - Grand Design</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12/28/2020</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12/28/2020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17,497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64.04</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751,990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12/29/2020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182,503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61.04</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569,487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17,497 shares of common stock of Winnebago Industries, Inc. sold by the reporting person in multiple transactions on December 28, 2020 with sale prices ranging from $64.00 to $64.10 per share. The reporting person undertakes to provide upon request by the U.S.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182,503 shares of common stock of Winnebago Industries, Inc. sold by the reporting person in multiple transactions on December 29, 2020 with sale prices ranging from $60.50 to $62.21 per share. The reporting person undertakes to provide upon request by the U.S. Securities and Exchange Commission staff, the issuer, or a security holder of the issuer, full information regarding the number of shares sold at each separate price.</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8970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2020-12-30T16:30:39Z</dcterms:created>
  <dcterms:modified xsi:type="dcterms:W3CDTF">2020-12-30T16:30:39Z</dcterms:modified>
</cp:coreProperties>
</file>