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137795</wp:posOffset>
            </wp:positionV>
            <wp:extent cx="3823335"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333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8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rPr>
              <w:t>Minnesota</w:t>
            </w:r>
          </w:p>
        </w:tc>
        <w:tc>
          <w:tcPr>
            <w:tcW w:w="1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001-06403</w:t>
            </w:r>
          </w:p>
        </w:tc>
        <w:tc>
          <w:tcPr>
            <w:tcW w:w="48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tcPr>
          <w:p>
            <w:pPr>
              <w:jc w:val="right"/>
              <w:ind w:right="1730"/>
              <w:spacing w:after="0"/>
              <w:rPr>
                <w:sz w:val="20"/>
                <w:szCs w:val="20"/>
                <w:color w:val="auto"/>
              </w:rPr>
            </w:pPr>
            <w:r>
              <w:rPr>
                <w:rFonts w:ascii="Arial" w:cs="Arial" w:eastAsia="Arial" w:hAnsi="Arial"/>
                <w:sz w:val="18"/>
                <w:szCs w:val="18"/>
                <w:b w:val="1"/>
                <w:bCs w:val="1"/>
                <w:color w:val="auto"/>
              </w:rPr>
              <w:t>42-0802678</w:t>
            </w:r>
          </w:p>
        </w:tc>
      </w:tr>
      <w:tr>
        <w:trPr>
          <w:trHeight w:val="177"/>
        </w:trPr>
        <w:tc>
          <w:tcPr>
            <w:tcW w:w="4740" w:type="dxa"/>
            <w:vAlign w:val="bottom"/>
            <w:gridSpan w:val="3"/>
          </w:tcPr>
          <w:p>
            <w:pPr>
              <w:jc w:val="center"/>
              <w:spacing w:after="0" w:line="177" w:lineRule="exact"/>
              <w:rPr>
                <w:sz w:val="20"/>
                <w:szCs w:val="20"/>
                <w:color w:val="auto"/>
              </w:rPr>
            </w:pPr>
            <w:r>
              <w:rPr>
                <w:rFonts w:ascii="Arial" w:cs="Arial" w:eastAsia="Arial" w:hAnsi="Arial"/>
                <w:sz w:val="18"/>
                <w:szCs w:val="18"/>
                <w:color w:val="auto"/>
                <w:w w:val="99"/>
              </w:rPr>
              <w:t>(State or Other Jurisdiction of Incorporation)</w:t>
            </w:r>
          </w:p>
        </w:tc>
        <w:tc>
          <w:tcPr>
            <w:tcW w:w="2380" w:type="dxa"/>
            <w:vAlign w:val="bottom"/>
            <w:gridSpan w:val="2"/>
          </w:tcPr>
          <w:p>
            <w:pPr>
              <w:jc w:val="center"/>
              <w:ind w:right="480"/>
              <w:spacing w:after="0" w:line="177" w:lineRule="exact"/>
              <w:rPr>
                <w:sz w:val="20"/>
                <w:szCs w:val="20"/>
                <w:color w:val="auto"/>
              </w:rPr>
            </w:pPr>
            <w:r>
              <w:rPr>
                <w:rFonts w:ascii="Arial" w:cs="Arial" w:eastAsia="Arial" w:hAnsi="Arial"/>
                <w:sz w:val="18"/>
                <w:szCs w:val="18"/>
                <w:color w:val="auto"/>
                <w:w w:val="99"/>
              </w:rPr>
              <w:t>(Commission File</w:t>
            </w:r>
          </w:p>
        </w:tc>
        <w:tc>
          <w:tcPr>
            <w:tcW w:w="4120" w:type="dxa"/>
            <w:vAlign w:val="bottom"/>
          </w:tcPr>
          <w:p>
            <w:pPr>
              <w:jc w:val="center"/>
              <w:ind w:right="410"/>
              <w:spacing w:after="0" w:line="177" w:lineRule="exact"/>
              <w:rPr>
                <w:sz w:val="20"/>
                <w:szCs w:val="20"/>
                <w:color w:val="auto"/>
              </w:rPr>
            </w:pPr>
            <w:r>
              <w:rPr>
                <w:rFonts w:ascii="Arial" w:cs="Arial" w:eastAsia="Arial" w:hAnsi="Arial"/>
                <w:sz w:val="18"/>
                <w:szCs w:val="18"/>
                <w:color w:val="auto"/>
                <w:w w:val="99"/>
              </w:rPr>
              <w:t>(IRS Employer Identification No.)</w:t>
            </w:r>
          </w:p>
        </w:tc>
      </w:tr>
      <w:tr>
        <w:trPr>
          <w:trHeight w:val="239"/>
        </w:trPr>
        <w:tc>
          <w:tcPr>
            <w:tcW w:w="1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80" w:type="dxa"/>
            <w:vAlign w:val="bottom"/>
            <w:gridSpan w:val="2"/>
          </w:tcPr>
          <w:p>
            <w:pPr>
              <w:jc w:val="center"/>
              <w:ind w:right="480"/>
              <w:spacing w:after="0"/>
              <w:rPr>
                <w:sz w:val="20"/>
                <w:szCs w:val="20"/>
                <w:color w:val="auto"/>
              </w:rPr>
            </w:pPr>
            <w:r>
              <w:rPr>
                <w:rFonts w:ascii="Arial" w:cs="Arial" w:eastAsia="Arial" w:hAnsi="Arial"/>
                <w:sz w:val="18"/>
                <w:szCs w:val="18"/>
                <w:color w:val="auto"/>
                <w:w w:val="99"/>
              </w:rPr>
              <w:t>Number)</w:t>
            </w:r>
          </w:p>
        </w:tc>
        <w:tc>
          <w:tcPr>
            <w:tcW w:w="4120" w:type="dxa"/>
            <w:vAlign w:val="bottom"/>
          </w:tcPr>
          <w:p>
            <w:pPr>
              <w:spacing w:after="0"/>
              <w:rPr>
                <w:sz w:val="20"/>
                <w:szCs w:val="20"/>
                <w:color w:val="auto"/>
              </w:rPr>
            </w:pPr>
          </w:p>
        </w:tc>
      </w:tr>
      <w:tr>
        <w:trPr>
          <w:trHeight w:val="388"/>
        </w:trPr>
        <w:tc>
          <w:tcPr>
            <w:tcW w:w="18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13200 Pioneer Trail</w:t>
            </w:r>
          </w:p>
        </w:tc>
        <w:tc>
          <w:tcPr>
            <w:tcW w:w="15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Eden Prairie</w:t>
            </w: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Minnesota</w:t>
            </w:r>
          </w:p>
        </w:tc>
        <w:tc>
          <w:tcPr>
            <w:tcW w:w="19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jc w:val="right"/>
              <w:ind w:right="1970"/>
              <w:spacing w:after="0"/>
              <w:rPr>
                <w:sz w:val="20"/>
                <w:szCs w:val="20"/>
                <w:color w:val="auto"/>
              </w:rPr>
            </w:pPr>
            <w:r>
              <w:rPr>
                <w:rFonts w:ascii="Arial" w:cs="Arial" w:eastAsia="Arial" w:hAnsi="Arial"/>
                <w:sz w:val="18"/>
                <w:szCs w:val="18"/>
                <w:b w:val="1"/>
                <w:bCs w:val="1"/>
                <w:color w:val="auto"/>
              </w:rPr>
              <w:t>55347</w:t>
            </w:r>
          </w:p>
        </w:tc>
      </w:tr>
      <w:tr>
        <w:trPr>
          <w:trHeight w:val="232"/>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120" w:type="dxa"/>
            <w:vAlign w:val="bottom"/>
          </w:tcPr>
          <w:p>
            <w:pPr>
              <w:jc w:val="center"/>
              <w:ind w:right="390"/>
              <w:spacing w:after="0"/>
              <w:rPr>
                <w:sz w:val="20"/>
                <w:szCs w:val="20"/>
                <w:color w:val="auto"/>
              </w:rPr>
            </w:pPr>
            <w:r>
              <w:rPr>
                <w:rFonts w:ascii="Arial" w:cs="Arial" w:eastAsia="Arial" w:hAnsi="Arial"/>
                <w:sz w:val="18"/>
                <w:szCs w:val="18"/>
                <w:color w:val="auto"/>
                <w:w w:val="98"/>
              </w:rPr>
              <w:t>(Zip Code)</w:t>
            </w:r>
          </w:p>
        </w:tc>
      </w:tr>
      <w:tr>
        <w:trPr>
          <w:trHeight w:val="394"/>
        </w:trPr>
        <w:tc>
          <w:tcPr>
            <w:tcW w:w="1880" w:type="dxa"/>
            <w:vAlign w:val="bottom"/>
          </w:tcPr>
          <w:p>
            <w:pPr>
              <w:spacing w:after="0"/>
              <w:rPr>
                <w:sz w:val="24"/>
                <w:szCs w:val="24"/>
                <w:color w:val="auto"/>
              </w:rPr>
            </w:pPr>
          </w:p>
        </w:tc>
        <w:tc>
          <w:tcPr>
            <w:tcW w:w="5240" w:type="dxa"/>
            <w:vAlign w:val="bottom"/>
            <w:gridSpan w:val="4"/>
          </w:tcPr>
          <w:p>
            <w:pPr>
              <w:ind w:left="1060"/>
              <w:spacing w:after="0"/>
              <w:rPr>
                <w:sz w:val="20"/>
                <w:szCs w:val="20"/>
                <w:color w:val="auto"/>
              </w:rPr>
            </w:pPr>
            <w:r>
              <w:rPr>
                <w:rFonts w:ascii="Arial" w:cs="Arial" w:eastAsia="Arial" w:hAnsi="Arial"/>
                <w:sz w:val="18"/>
                <w:szCs w:val="18"/>
                <w:color w:val="auto"/>
              </w:rPr>
              <w:t>Registrant's telephone number, including area code</w:t>
            </w:r>
          </w:p>
        </w:tc>
        <w:tc>
          <w:tcPr>
            <w:tcW w:w="4120" w:type="dxa"/>
            <w:vAlign w:val="bottom"/>
          </w:tcPr>
          <w:p>
            <w:pPr>
              <w:jc w:val="right"/>
              <w:ind w:right="2850"/>
              <w:spacing w:after="0"/>
              <w:rPr>
                <w:sz w:val="20"/>
                <w:szCs w:val="20"/>
                <w:color w:val="auto"/>
              </w:rPr>
            </w:pPr>
            <w:r>
              <w:rPr>
                <w:rFonts w:ascii="Arial" w:cs="Arial" w:eastAsia="Arial" w:hAnsi="Arial"/>
                <w:sz w:val="18"/>
                <w:szCs w:val="18"/>
                <w:b w:val="1"/>
                <w:bCs w:val="1"/>
                <w:color w:val="auto"/>
              </w:rPr>
              <w:t>952-829-8600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98" w:lineRule="exact"/>
        <w:rPr>
          <w:sz w:val="24"/>
          <w:szCs w:val="24"/>
          <w:color w:val="auto"/>
        </w:rPr>
      </w:pPr>
    </w:p>
    <w:p>
      <w:pPr>
        <w:jc w:val="both"/>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1920" w:firstLine="8"/>
        <w:spacing w:after="0" w:line="488" w:lineRule="auto"/>
        <w:tabs>
          <w:tab w:leader="none" w:pos="4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9"/>
        </w:trPr>
        <w:tc>
          <w:tcPr>
            <w:tcW w:w="48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63"/>
        </w:trPr>
        <w:tc>
          <w:tcPr>
            <w:tcW w:w="4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$0.50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WGO</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184" w:lineRule="exact"/>
        <w:rPr>
          <w:sz w:val="24"/>
          <w:szCs w:val="24"/>
          <w:color w:val="auto"/>
        </w:rPr>
      </w:pPr>
    </w:p>
    <w:p>
      <w:pPr>
        <w:jc w:val="both"/>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2" w:lineRule="exact"/>
        <w:rPr>
          <w:sz w:val="24"/>
          <w:szCs w:val="24"/>
          <w:color w:val="auto"/>
        </w:rPr>
      </w:pPr>
    </w:p>
    <w:p>
      <w:pPr>
        <w:ind w:left="16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0"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July 15, 2022, Winnebago Industries, Inc., Winnebago of Indiana, LLC, Grand Design RV, LLC and Newmar Corporation (collectively, the “Borrowers”) entered into a Second Amended and Restated Credit Agreement (the “Credit Agreement”) among the Borrowers, the other loan parties party thereto from time to time, the lenders party thereto from time to time and JPMorgan Chase Bank, N.A., as the administrative agent (the “Administrative Agent”).</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Credit Agreement amends and restates in its entirety that certain Amended and Restated Credit Agreement dated as of October 22, 2019, as amended on November 15, 2019 and July 8, 2020, among the Borrowers, the other loan parties party thereto, the lenders party thereto from time to time and the Administrative Agent (the “Existing Credit Agreement”), which provided for a five-year asset-based lending credit facility of up to $192.5 million.</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Among other things, the new Credit Agreement increases the maximum commitments available under the credit facility by $157.5 million to $350 million and extends the maturity date to July 15, 2027, subject to certain factors which may accelerate the maturity date.</w:t>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Borrowers’ obligations to repay amounts borrowed under the Credit Agreement are secured by liens on substantially all of the assets of the Borrowers and certain of their subsidiaries, and the amount available for borrowing under the Credit Agreement is limited to the lesser of the facility total and the calculated borrowing base, which is based on certain loan percentages applied to eligible accounts receivable and eligible inventories of the Borrowers. Borrowings under the Credit Agreement, subject to availability, may be made at the election of the Borrowers based on various rates plus applicable spreads depending on the amount of borrowings outstanding. Borrowings under the Credit Agreement bear interest at a floating rate consisting of an applicable spread of between 1.25%-1.75% (the “Applicable Spread”) based upon the average daily amount of the facility available but unused during the most recent quarter plus, at the Borrower’s election, either term SOFR or REVSOFR30 (plus, in each case, a credit spread adjustment of 0.10%), as well as a commitment fee of between 0.25%-0.75% based upon the average daily amount of the facility available but unused during the most recent quarter. The Borrowers currently have no borrowings outstanding and, so long as at least 66% of the aggregate commitment under the facility remains available but unused during the most recent fiscal quarter, would pay an Applicable Spread of 1.25% plus the floating rates set forth above on any future borrowings under the Credit Agreement and currently pay a commitment fee of 0.25% on the average daily amount of the facility available, but unused. The Credit Agreement contains customary representations, warranties, affirmative and negative covenants, limitations and events of default, consistent with the Existing Credit Agreement.</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foregoing description of the Credit Agreement is qualified in its entirety by reference to the full text of the Credit Amendment filed as Exhibit 10.1 hereto.</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7"/>
          <w:szCs w:val="17"/>
          <w:b w:val="1"/>
          <w:bCs w:val="1"/>
          <w:color w:val="auto"/>
        </w:rPr>
        <w:t>Creation of a Direct Financial Obligation or an Off-Balance Sheet Arrangement.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in Item 1.01 of this Current Report on Form 8-K is incorporated in its entirety into this Item 2.03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20" w:type="dxa"/>
            <w:vAlign w:val="bottom"/>
          </w:tcPr>
          <w:p>
            <w:pPr>
              <w:spacing w:after="0"/>
              <w:rPr>
                <w:sz w:val="21"/>
                <w:szCs w:val="21"/>
                <w:color w:val="auto"/>
              </w:rPr>
            </w:pPr>
          </w:p>
        </w:tc>
        <w:tc>
          <w:tcPr>
            <w:tcW w:w="10060" w:type="dxa"/>
            <w:vAlign w:val="bottom"/>
            <w:gridSpan w:val="5"/>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97"/>
        </w:trPr>
        <w:tc>
          <w:tcPr>
            <w:tcW w:w="118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9"/>
        </w:trPr>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11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Number</w:t>
            </w:r>
          </w:p>
        </w:tc>
        <w:tc>
          <w:tcPr>
            <w:tcW w:w="10080" w:type="dxa"/>
            <w:vAlign w:val="bottom"/>
            <w:gridSpan w:val="6"/>
          </w:tcPr>
          <w:p>
            <w:pPr>
              <w:spacing w:after="0" w:line="195"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0" w:type="dxa"/>
            <w:vAlign w:val="bottom"/>
          </w:tcPr>
          <w:p>
            <w:pPr>
              <w:spacing w:after="0" w:line="19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80" w:type="dxa"/>
            <w:vAlign w:val="bottom"/>
            <w:gridSpan w:val="6"/>
          </w:tcPr>
          <w:p>
            <w:pPr>
              <w:spacing w:after="0" w:line="196" w:lineRule="exact"/>
              <w:rPr>
                <w:sz w:val="20"/>
                <w:szCs w:val="20"/>
                <w:color w:val="auto"/>
              </w:rPr>
            </w:pPr>
            <w:r>
              <w:rPr>
                <w:rFonts w:ascii="Arial" w:cs="Arial" w:eastAsia="Arial" w:hAnsi="Arial"/>
                <w:sz w:val="18"/>
                <w:szCs w:val="18"/>
                <w:color w:val="0000EE"/>
                <w:w w:val="99"/>
              </w:rPr>
              <w:t>Second Amended and Restated Credit Agreement dated as of July 15, 2022 among Winnebago Industries, Inc., Winnebago of</w:t>
            </w:r>
          </w:p>
        </w:tc>
      </w:tr>
      <w:tr>
        <w:trPr>
          <w:trHeight w:val="183"/>
        </w:trPr>
        <w:tc>
          <w:tcPr>
            <w:tcW w:w="400" w:type="dxa"/>
            <w:vAlign w:val="bottom"/>
            <w:tcBorders>
              <w:top w:val="single" w:sz="8" w:color="0000EE"/>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4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Indiana, LLC, Grand Design RV, LLC and Newmar Corporation, the other loan parties party thereto from time to time, the</w:t>
            </w:r>
          </w:p>
        </w:tc>
        <w:tc>
          <w:tcPr>
            <w:tcW w:w="20" w:type="dxa"/>
            <w:vAlign w:val="bottom"/>
          </w:tcPr>
          <w:p>
            <w:pPr>
              <w:spacing w:after="0"/>
              <w:rPr>
                <w:sz w:val="15"/>
                <w:szCs w:val="15"/>
                <w:color w:val="auto"/>
              </w:rPr>
            </w:pPr>
          </w:p>
        </w:tc>
      </w:tr>
      <w:tr>
        <w:trPr>
          <w:trHeight w:val="183"/>
        </w:trPr>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74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lenders party thereto from time to time and JPMorgan Chase Bank, N.A.</w:t>
            </w:r>
          </w:p>
        </w:tc>
        <w:tc>
          <w:tcPr>
            <w:tcW w:w="4300" w:type="dxa"/>
            <w:vAlign w:val="bottom"/>
            <w:tcBorders>
              <w:top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30"/>
        </w:trPr>
        <w:tc>
          <w:tcPr>
            <w:tcW w:w="40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630"/>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7460" w:type="dxa"/>
            <w:vAlign w:val="bottom"/>
            <w:gridSpan w:val="2"/>
          </w:tcPr>
          <w:p>
            <w:pPr>
              <w:ind w:left="1820"/>
              <w:spacing w:after="0"/>
              <w:rPr>
                <w:sz w:val="20"/>
                <w:szCs w:val="20"/>
                <w:color w:val="auto"/>
              </w:rPr>
            </w:pPr>
            <w:r>
              <w:rPr>
                <w:rFonts w:ascii="Arial" w:cs="Arial" w:eastAsia="Arial" w:hAnsi="Arial"/>
                <w:sz w:val="20"/>
                <w:szCs w:val="20"/>
                <w:color w:val="auto"/>
              </w:rPr>
              <w:t>W</w:t>
            </w:r>
            <w:r>
              <w:rPr>
                <w:rFonts w:ascii="Arial" w:cs="Arial" w:eastAsia="Arial" w:hAnsi="Arial"/>
                <w:sz w:val="13"/>
                <w:szCs w:val="13"/>
                <w:color w:val="auto"/>
              </w:rPr>
              <w:t>innebago</w:t>
            </w:r>
            <w:r>
              <w:rPr>
                <w:rFonts w:ascii="Arial" w:cs="Arial" w:eastAsia="Arial" w:hAnsi="Arial"/>
                <w:sz w:val="20"/>
                <w:szCs w:val="20"/>
                <w:color w:val="auto"/>
              </w:rPr>
              <w:t xml:space="preserve">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67"/>
        </w:trPr>
        <w:tc>
          <w:tcPr>
            <w:tcW w:w="680" w:type="dxa"/>
            <w:vAlign w:val="bottom"/>
          </w:tcPr>
          <w:p>
            <w:pPr>
              <w:ind w:left="20"/>
              <w:spacing w:after="0"/>
              <w:rPr>
                <w:sz w:val="20"/>
                <w:szCs w:val="20"/>
                <w:color w:val="auto"/>
              </w:rPr>
            </w:pPr>
            <w:r>
              <w:rPr>
                <w:rFonts w:ascii="Arial" w:cs="Arial" w:eastAsia="Arial" w:hAnsi="Arial"/>
                <w:sz w:val="18"/>
                <w:szCs w:val="18"/>
                <w:color w:val="auto"/>
              </w:rPr>
              <w:t>Date:</w:t>
            </w:r>
          </w:p>
        </w:tc>
        <w:tc>
          <w:tcPr>
            <w:tcW w:w="3100" w:type="dxa"/>
            <w:vAlign w:val="bottom"/>
          </w:tcPr>
          <w:p>
            <w:pPr>
              <w:ind w:left="220"/>
              <w:spacing w:after="0"/>
              <w:rPr>
                <w:sz w:val="20"/>
                <w:szCs w:val="20"/>
                <w:color w:val="auto"/>
              </w:rPr>
            </w:pPr>
            <w:r>
              <w:rPr>
                <w:rFonts w:ascii="Arial" w:cs="Arial" w:eastAsia="Arial" w:hAnsi="Arial"/>
                <w:sz w:val="18"/>
                <w:szCs w:val="18"/>
                <w:color w:val="auto"/>
              </w:rPr>
              <w:t>July 19, 2022</w:t>
            </w:r>
          </w:p>
        </w:tc>
        <w:tc>
          <w:tcPr>
            <w:tcW w:w="2740" w:type="dxa"/>
            <w:vAlign w:val="bottom"/>
          </w:tcPr>
          <w:p>
            <w:pPr>
              <w:ind w:left="1960"/>
              <w:spacing w:after="0"/>
              <w:rPr>
                <w:sz w:val="20"/>
                <w:szCs w:val="20"/>
                <w:color w:val="auto"/>
              </w:rPr>
            </w:pPr>
            <w:r>
              <w:rPr>
                <w:rFonts w:ascii="Arial" w:cs="Arial" w:eastAsia="Arial" w:hAnsi="Arial"/>
                <w:sz w:val="18"/>
                <w:szCs w:val="18"/>
                <w:color w:val="auto"/>
              </w:rPr>
              <w:t>By:</w:t>
            </w:r>
          </w:p>
        </w:tc>
        <w:tc>
          <w:tcPr>
            <w:tcW w:w="4720" w:type="dxa"/>
            <w:vAlign w:val="bottom"/>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Stacy L. Bogart</w:t>
            </w:r>
          </w:p>
        </w:tc>
        <w:tc>
          <w:tcPr>
            <w:tcW w:w="0" w:type="dxa"/>
            <w:vAlign w:val="bottom"/>
          </w:tcPr>
          <w:p>
            <w:pPr>
              <w:spacing w:after="0"/>
              <w:rPr>
                <w:sz w:val="1"/>
                <w:szCs w:val="1"/>
                <w:color w:val="auto"/>
              </w:rPr>
            </w:pPr>
          </w:p>
        </w:tc>
      </w:tr>
      <w:tr>
        <w:trPr>
          <w:trHeight w:val="50"/>
        </w:trPr>
        <w:tc>
          <w:tcPr>
            <w:tcW w:w="680" w:type="dxa"/>
            <w:vAlign w:val="bottom"/>
          </w:tcPr>
          <w:p>
            <w:pPr>
              <w:spacing w:after="0"/>
              <w:rPr>
                <w:sz w:val="4"/>
                <w:szCs w:val="4"/>
                <w:color w:val="auto"/>
              </w:rPr>
            </w:pPr>
          </w:p>
        </w:tc>
        <w:tc>
          <w:tcPr>
            <w:tcW w:w="3100" w:type="dxa"/>
            <w:vAlign w:val="bottom"/>
          </w:tcPr>
          <w:p>
            <w:pPr>
              <w:spacing w:after="0"/>
              <w:rPr>
                <w:sz w:val="4"/>
                <w:szCs w:val="4"/>
                <w:color w:val="auto"/>
              </w:rPr>
            </w:pPr>
          </w:p>
        </w:tc>
        <w:tc>
          <w:tcPr>
            <w:tcW w:w="2740" w:type="dxa"/>
            <w:vAlign w:val="bottom"/>
            <w:vMerge w:val="restart"/>
          </w:tcPr>
          <w:p>
            <w:pPr>
              <w:ind w:left="1960"/>
              <w:spacing w:after="0"/>
              <w:rPr>
                <w:sz w:val="20"/>
                <w:szCs w:val="20"/>
                <w:color w:val="auto"/>
              </w:rPr>
            </w:pPr>
            <w:r>
              <w:rPr>
                <w:rFonts w:ascii="Arial" w:cs="Arial" w:eastAsia="Arial" w:hAnsi="Arial"/>
                <w:sz w:val="18"/>
                <w:szCs w:val="18"/>
                <w:color w:val="auto"/>
              </w:rPr>
              <w:t>Name:</w:t>
            </w:r>
          </w:p>
        </w:tc>
        <w:tc>
          <w:tcPr>
            <w:tcW w:w="4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40" w:type="dxa"/>
            <w:vAlign w:val="bottom"/>
            <w:vMerge w:val="continue"/>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Stacy L. Bogart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40" w:type="dxa"/>
            <w:vAlign w:val="bottom"/>
          </w:tcPr>
          <w:p>
            <w:pPr>
              <w:ind w:left="1960"/>
              <w:spacing w:after="0"/>
              <w:rPr>
                <w:sz w:val="20"/>
                <w:szCs w:val="20"/>
                <w:color w:val="auto"/>
              </w:rPr>
            </w:pPr>
            <w:r>
              <w:rPr>
                <w:rFonts w:ascii="Arial" w:cs="Arial" w:eastAsia="Arial" w:hAnsi="Arial"/>
                <w:sz w:val="18"/>
                <w:szCs w:val="18"/>
                <w:color w:val="auto"/>
              </w:rPr>
              <w:t>Title:</w:t>
            </w:r>
          </w:p>
        </w:tc>
        <w:tc>
          <w:tcPr>
            <w:tcW w:w="4720" w:type="dxa"/>
            <w:vAlign w:val="bottom"/>
          </w:tcPr>
          <w:p>
            <w:pPr>
              <w:ind w:left="20"/>
              <w:spacing w:after="0"/>
              <w:rPr>
                <w:sz w:val="20"/>
                <w:szCs w:val="20"/>
                <w:color w:val="auto"/>
              </w:rPr>
            </w:pPr>
            <w:r>
              <w:rPr>
                <w:rFonts w:ascii="Arial" w:cs="Arial" w:eastAsia="Arial" w:hAnsi="Arial"/>
                <w:sz w:val="18"/>
                <w:szCs w:val="18"/>
                <w:color w:val="auto"/>
              </w:rPr>
              <w:t>Senior Vice President, General Counsel,</w:t>
            </w:r>
          </w:p>
        </w:tc>
        <w:tc>
          <w:tcPr>
            <w:tcW w:w="0" w:type="dxa"/>
            <w:vAlign w:val="bottom"/>
          </w:tcPr>
          <w:p>
            <w:pPr>
              <w:spacing w:after="0"/>
              <w:rPr>
                <w:sz w:val="1"/>
                <w:szCs w:val="1"/>
                <w:color w:val="auto"/>
              </w:rPr>
            </w:pPr>
          </w:p>
        </w:tc>
      </w:tr>
      <w:tr>
        <w:trPr>
          <w:trHeight w:val="239"/>
        </w:trPr>
        <w:tc>
          <w:tcPr>
            <w:tcW w:w="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Secretary and Corporate Responsibility</w:t>
            </w:r>
          </w:p>
        </w:tc>
        <w:tc>
          <w:tcPr>
            <w:tcW w:w="0" w:type="dxa"/>
            <w:vAlign w:val="bottom"/>
          </w:tcPr>
          <w:p>
            <w:pPr>
              <w:spacing w:after="0"/>
              <w:rPr>
                <w:sz w:val="1"/>
                <w:szCs w:val="1"/>
                <w:color w:val="auto"/>
              </w:rPr>
            </w:pPr>
          </w:p>
        </w:tc>
      </w:tr>
      <w:tr>
        <w:trPr>
          <w:trHeight w:val="657"/>
        </w:trPr>
        <w:tc>
          <w:tcPr>
            <w:tcW w:w="6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1899920</wp:posOffset>
            </wp:positionH>
            <wp:positionV relativeFrom="paragraph">
              <wp:posOffset>213995</wp:posOffset>
            </wp:positionV>
            <wp:extent cx="1928495"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849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SECOND AMENDED AND RESTATED</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dated as of</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July 15, 2022</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among</w:t>
      </w:r>
    </w:p>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color w:val="auto"/>
        </w:rPr>
        <w:t>WINNEBAGO INDUSTRIES, INC.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WINNEBAGO OF INDIANA, LLC</w:t>
      </w:r>
    </w:p>
    <w:p>
      <w:pPr>
        <w:spacing w:after="0" w:line="22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color w:val="auto"/>
        </w:rPr>
        <w:t>GRAND DESIGN RV, LLC</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NEWMAR CORPORATION</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The Other Loan Parties Party Hereto</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BMO HARRIS BANK N.A.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180340</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JPMORGAN CHASE BANK, N.A. and BMO CAPITAL MARKETS CORP.</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Joint Bookrunners and Joint Lead Arrangers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0"/>
          <w:szCs w:val="20"/>
          <w:b w:val="1"/>
          <w:bCs w:val="1"/>
          <w:color w:val="auto"/>
        </w:rPr>
        <w:t>ASSET BASED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170815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187960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650875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4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Page</w:t>
            </w:r>
          </w:p>
        </w:tc>
      </w:tr>
      <w:tr>
        <w:trPr>
          <w:trHeight w:val="701"/>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ARTICLE I DEFINITIONS</w:t>
            </w:r>
          </w:p>
        </w:tc>
        <w:tc>
          <w:tcPr>
            <w:tcW w:w="7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417"/>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1.01.</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Defined Terms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1.02.</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1.03.</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Terms Generally</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1.04.</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Accounting Terms; GAAP; Pro Forma Calculations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1.05.</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Status of Obligations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1.06.</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Rates; Benchmark Notifications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8"/>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1.07.</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Amendment and Restatement of the Existing Credit Agreement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446"/>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w w:val="98"/>
              </w:rPr>
              <w:t>ARTICLE II THE CREDITS</w:t>
            </w:r>
          </w:p>
        </w:tc>
        <w:tc>
          <w:tcPr>
            <w:tcW w:w="76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417"/>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2.01.</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Commitments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2.02.</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Loans and Borrowings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2.03.</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Requests for Borrowings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2.04.</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Protective Advances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2.05.</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Swingline Loans and Overadvances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2.06.</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Letters of Credit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2.07.</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Funding of Borrowings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2.08.</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Elections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2.09.</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Termination and Reduction of Commitments; Increase in Commitments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2.10.</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Repayment of Loans; Evidence of Debt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2.11.</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Prepayment of Loans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2.12.</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Fees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2.13.</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2.14.</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Alternate Rate of Interest; Illegality</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2.15.</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Increased Costs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2.16.</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Break Funding Payments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2.17.</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2.18.</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Payments Generally; Allocation of Proceeds; Pro Rata Treatment; Sharing of Set-offs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2.19.</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2.20.</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Defaulting Lenders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2.21.</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Returned Payments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58"/>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2.22.</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Banking Services and Swap Agreements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445"/>
        </w:trPr>
        <w:tc>
          <w:tcPr>
            <w:tcW w:w="10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REPRESENTATIONS AND WARRANTIES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417"/>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3.01.</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Organization; Powers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3.02.</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Authorization; Enforceability</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3.03.</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Governmental Approvals; No Conflicts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3.04.</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Financial Condition; No Material Adverse Change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3.05.</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Properties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3.06.</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Litigation and Environmental Matters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3.07.</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Compliance with Laws and Agreements; No Default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3.08.</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Investment Company Status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3.09.</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Taxes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29"/>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3.10.</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ERISA</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30"/>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3.11.</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Disclosure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58"/>
        </w:trPr>
        <w:tc>
          <w:tcPr>
            <w:tcW w:w="23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3.12.</w:t>
            </w:r>
          </w:p>
        </w:tc>
        <w:tc>
          <w:tcPr>
            <w:tcW w:w="76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Material Agreements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w:t>
            </w:r>
          </w:p>
        </w:tc>
      </w:tr>
    </w:tbl>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3.13.</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Margin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3.14.</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3.15.</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Capitalization and Subsidiaries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3.16.</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 Burdensome Restrictions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3.17.</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Solvency</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3.18.</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3.19.</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Security Interest in Collateral</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3.20.</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Employment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3.21.</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Anti-Corruption Laws and Sanctions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3.22.</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3.23.</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Use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8"/>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3.24.</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Plan Assets; Prohibited Transactions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446"/>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w w:val="98"/>
              </w:rPr>
              <w:t>ARTICLE IV CONDITIONS</w:t>
            </w:r>
          </w:p>
        </w:tc>
        <w:tc>
          <w:tcPr>
            <w:tcW w:w="77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417"/>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4.01.</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Effective Date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58"/>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4.02.</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Each Other Credit Event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445"/>
        </w:trPr>
        <w:tc>
          <w:tcPr>
            <w:tcW w:w="10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AFFIRMATIVE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417"/>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5.01.</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Financial Statements; Borrowing Base and Other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5.02.</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5.03.</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Existence; Conduct of Business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5.04.</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Payment of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5.05.</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5.06.</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Books and Records; Inspection Rights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5.07.</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Compliance with Laws and Material Contractual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5.08.</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Use of Proceeds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5.09.</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Insurance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5.10.</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Casualty and Condemnation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5.11.</w:t>
            </w:r>
          </w:p>
        </w:tc>
        <w:tc>
          <w:tcPr>
            <w:tcW w:w="7760" w:type="dxa"/>
            <w:vAlign w:val="bottom"/>
          </w:tcPr>
          <w:p>
            <w:pPr>
              <w:spacing w:after="0"/>
              <w:rPr>
                <w:sz w:val="20"/>
                <w:szCs w:val="20"/>
                <w:color w:val="auto"/>
              </w:rPr>
            </w:pPr>
            <w:r>
              <w:rPr>
                <w:rFonts w:ascii="Times New Roman" w:cs="Times New Roman" w:eastAsia="Times New Roman" w:hAnsi="Times New Roman"/>
                <w:sz w:val="20"/>
                <w:szCs w:val="20"/>
                <w:color w:val="auto"/>
              </w:rPr>
              <w:t>Appraisals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5.12.</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Field Examinations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5.13.</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Accuracy of Information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5.14.</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Additional Collateral; Further Assurances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58"/>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5.15.</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Post-Closing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445"/>
        </w:trPr>
        <w:tc>
          <w:tcPr>
            <w:tcW w:w="101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NEGATIVE COVENANTS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417"/>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6.01.</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Indebtedness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6.02.</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Liens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6.03.</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Fundamental Changes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6.04.</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Investments, Loans, Advances, Guarantees and Acquisitions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6.05.</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Asset Sales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6.06.</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Sale and Leaseback Transactions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6.07.</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Swap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6.08.</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6.09.</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Restricted Payments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6.10.</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Subordinated Indebtedness and Amendments to Subordinated Indebtedness Documents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6.11.</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Restrictive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229"/>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6.12.</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Fixed Charge Coverage Ratio</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30"/>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6.13.</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[Intentionally Omitted]</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58"/>
        </w:trPr>
        <w:tc>
          <w:tcPr>
            <w:tcW w:w="23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6.14.</w:t>
            </w:r>
          </w:p>
        </w:tc>
        <w:tc>
          <w:tcPr>
            <w:tcW w:w="77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Depository Banks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bl>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8"/>
        </w:trPr>
        <w:tc>
          <w:tcPr>
            <w:tcW w:w="9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EVENTS OF DEFAULT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446"/>
        </w:trPr>
        <w:tc>
          <w:tcPr>
            <w:tcW w:w="9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THE ADMINISTRATIVE AGENT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417"/>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8.01.</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Authorization and Action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8.02.</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Administrative Agent’s Reliance, Indemnification, Etc.</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8.03.</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Posting of Communications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8.04.</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Administrative Agent Individually</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8.05.</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8.06.</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Acknowledgements of Lenders and Issuing Bank</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8.07.</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Collateral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8.08.</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Credit Bidding</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8.09.</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Certain ERISA Matters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58"/>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8.10.</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Flood Laws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445"/>
        </w:trPr>
        <w:tc>
          <w:tcPr>
            <w:tcW w:w="9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MISCELLANEOUS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417"/>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9.01.</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Notices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9.02.</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Waivers; Amendments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9.03.</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Expenses; Limitation of Liability; Indemnity; Damage Waiver</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9.04.</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Successors and Assigns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9.05.</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Survival</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9.06.</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Counterparts; Integration; Effectiveness; Electronic Execution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9.07.</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Severability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9.08.</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 of Setoff</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9.09.</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Governing Law; Jurisdiction; Consent to Service of Process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9.10.</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WAIVER OF JURY TRIAL</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9.11.</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Headings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9.12.</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Confidentiality</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9.13.</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USA PATRIOT Act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9.14.</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Several Obligations; Nonreliance; Violation of Law</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9.15.</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Disclosure</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9.16.</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Appointment for Perfection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9.17.</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Rate Limitation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9.18.</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Release of Loan Guarantors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9.19.</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Intercreditor Agreements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9.20.</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Marketing Consent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9.21.</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9.22.</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 Fiduciary Duty, etc.</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r>
      <w:tr>
        <w:trPr>
          <w:trHeight w:val="258"/>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9.23.</w:t>
            </w:r>
          </w:p>
        </w:tc>
        <w:tc>
          <w:tcPr>
            <w:tcW w:w="74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445"/>
        </w:trPr>
        <w:tc>
          <w:tcPr>
            <w:tcW w:w="9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LOAN GUARANTY</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417"/>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10.01.</w:t>
            </w:r>
          </w:p>
        </w:tc>
        <w:tc>
          <w:tcPr>
            <w:tcW w:w="7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Guaranty</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10.02.</w:t>
            </w:r>
          </w:p>
        </w:tc>
        <w:tc>
          <w:tcPr>
            <w:tcW w:w="7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Guaranty of Payment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10.03.</w:t>
            </w:r>
          </w:p>
        </w:tc>
        <w:tc>
          <w:tcPr>
            <w:tcW w:w="7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No Discharge or Diminishment of Loan Guaranty</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10.04.</w:t>
            </w:r>
          </w:p>
        </w:tc>
        <w:tc>
          <w:tcPr>
            <w:tcW w:w="7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Defenses Waived</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10.05.</w:t>
            </w:r>
          </w:p>
        </w:tc>
        <w:tc>
          <w:tcPr>
            <w:tcW w:w="7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Rights of Subrogation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10.06.</w:t>
            </w:r>
          </w:p>
        </w:tc>
        <w:tc>
          <w:tcPr>
            <w:tcW w:w="7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Reinstatement; Stay of Acceleration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10.07.</w:t>
            </w:r>
          </w:p>
        </w:tc>
        <w:tc>
          <w:tcPr>
            <w:tcW w:w="7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10.08.</w:t>
            </w:r>
          </w:p>
        </w:tc>
        <w:tc>
          <w:tcPr>
            <w:tcW w:w="7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Termination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29"/>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10.09.</w:t>
            </w:r>
          </w:p>
        </w:tc>
        <w:tc>
          <w:tcPr>
            <w:tcW w:w="7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Taxes</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30"/>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10.10.</w:t>
            </w:r>
          </w:p>
        </w:tc>
        <w:tc>
          <w:tcPr>
            <w:tcW w:w="7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Maximum Liability</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58"/>
        </w:trPr>
        <w:tc>
          <w:tcPr>
            <w:tcW w:w="22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10.11.</w:t>
            </w:r>
          </w:p>
        </w:tc>
        <w:tc>
          <w:tcPr>
            <w:tcW w:w="74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Contribution</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bl>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22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10.12.</w:t>
            </w:r>
          </w:p>
        </w:tc>
        <w:tc>
          <w:tcPr>
            <w:tcW w:w="8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Liability Cumulative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58"/>
        </w:trPr>
        <w:tc>
          <w:tcPr>
            <w:tcW w:w="22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10.13.</w:t>
            </w:r>
          </w:p>
        </w:tc>
        <w:tc>
          <w:tcPr>
            <w:tcW w:w="8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Keepwell</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446"/>
        </w:trPr>
        <w:tc>
          <w:tcPr>
            <w:tcW w:w="108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XI THE BORROWER REPRESENTATIVE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417"/>
        </w:trPr>
        <w:tc>
          <w:tcPr>
            <w:tcW w:w="22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11.01.</w:t>
            </w:r>
          </w:p>
        </w:tc>
        <w:tc>
          <w:tcPr>
            <w:tcW w:w="856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Appointment; Nature of Relationship</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29"/>
        </w:trPr>
        <w:tc>
          <w:tcPr>
            <w:tcW w:w="22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11.02.</w:t>
            </w:r>
          </w:p>
        </w:tc>
        <w:tc>
          <w:tcPr>
            <w:tcW w:w="8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Powers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30"/>
        </w:trPr>
        <w:tc>
          <w:tcPr>
            <w:tcW w:w="22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11.03.</w:t>
            </w:r>
          </w:p>
        </w:tc>
        <w:tc>
          <w:tcPr>
            <w:tcW w:w="8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Employment of Agents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29"/>
        </w:trPr>
        <w:tc>
          <w:tcPr>
            <w:tcW w:w="22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11.04.</w:t>
            </w:r>
          </w:p>
        </w:tc>
        <w:tc>
          <w:tcPr>
            <w:tcW w:w="8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Notices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30"/>
        </w:trPr>
        <w:tc>
          <w:tcPr>
            <w:tcW w:w="22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11.05.</w:t>
            </w:r>
          </w:p>
        </w:tc>
        <w:tc>
          <w:tcPr>
            <w:tcW w:w="8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Successor Borrower Representative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29"/>
        </w:trPr>
        <w:tc>
          <w:tcPr>
            <w:tcW w:w="22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11.06.</w:t>
            </w:r>
          </w:p>
        </w:tc>
        <w:tc>
          <w:tcPr>
            <w:tcW w:w="8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Execution of Loan Documents; Borrowing Base Certificate</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r>
      <w:tr>
        <w:trPr>
          <w:trHeight w:val="258"/>
        </w:trPr>
        <w:tc>
          <w:tcPr>
            <w:tcW w:w="22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11.07.</w:t>
            </w:r>
          </w:p>
        </w:tc>
        <w:tc>
          <w:tcPr>
            <w:tcW w:w="85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Reporting</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r>
      <w:tr>
        <w:trPr>
          <w:trHeight w:val="45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SCHEDULES:</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0"/>
        </w:trPr>
        <w:tc>
          <w:tcPr>
            <w:tcW w:w="1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Commitment Schedule</w:t>
            </w:r>
          </w:p>
        </w:tc>
        <w:tc>
          <w:tcPr>
            <w:tcW w:w="3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 3.15</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Capitalizations and Subsidiaries</w:t>
            </w:r>
          </w:p>
        </w:tc>
        <w:tc>
          <w:tcPr>
            <w:tcW w:w="44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 3.18</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Insurance</w:t>
            </w:r>
          </w:p>
        </w:tc>
        <w:tc>
          <w:tcPr>
            <w:tcW w:w="440" w:type="dxa"/>
            <w:vAlign w:val="bottom"/>
          </w:tcPr>
          <w:p>
            <w:pPr>
              <w:spacing w:after="0"/>
              <w:rPr>
                <w:sz w:val="19"/>
                <w:szCs w:val="19"/>
                <w:color w:val="auto"/>
              </w:rPr>
            </w:pP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 6.01</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Existing Indebtedness</w:t>
            </w:r>
          </w:p>
        </w:tc>
        <w:tc>
          <w:tcPr>
            <w:tcW w:w="440" w:type="dxa"/>
            <w:vAlign w:val="bottom"/>
          </w:tcPr>
          <w:p>
            <w:pPr>
              <w:spacing w:after="0"/>
              <w:rPr>
                <w:sz w:val="19"/>
                <w:szCs w:val="19"/>
                <w:color w:val="auto"/>
              </w:rPr>
            </w:pP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 6.02</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Existing Liens</w:t>
            </w:r>
          </w:p>
        </w:tc>
        <w:tc>
          <w:tcPr>
            <w:tcW w:w="44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 6.04</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Existing Investments</w:t>
            </w:r>
          </w:p>
        </w:tc>
        <w:tc>
          <w:tcPr>
            <w:tcW w:w="440" w:type="dxa"/>
            <w:vAlign w:val="bottom"/>
          </w:tcPr>
          <w:p>
            <w:pPr>
              <w:spacing w:after="0"/>
              <w:rPr>
                <w:sz w:val="19"/>
                <w:szCs w:val="19"/>
                <w:color w:val="auto"/>
              </w:rPr>
            </w:pP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 6.05</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Dispositions</w:t>
            </w:r>
          </w:p>
        </w:tc>
        <w:tc>
          <w:tcPr>
            <w:tcW w:w="440" w:type="dxa"/>
            <w:vAlign w:val="bottom"/>
          </w:tcPr>
          <w:p>
            <w:pPr>
              <w:spacing w:after="0"/>
              <w:rPr>
                <w:sz w:val="19"/>
                <w:szCs w:val="19"/>
                <w:color w:val="auto"/>
              </w:rPr>
            </w:pP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 6.08</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440" w:type="dxa"/>
            <w:vAlign w:val="bottom"/>
          </w:tcPr>
          <w:p>
            <w:pPr>
              <w:spacing w:after="0"/>
              <w:rPr>
                <w:sz w:val="19"/>
                <w:szCs w:val="19"/>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Schedule 6.11</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Restrictive Agreements</w:t>
            </w:r>
          </w:p>
        </w:tc>
        <w:tc>
          <w:tcPr>
            <w:tcW w:w="440" w:type="dxa"/>
            <w:vAlign w:val="bottom"/>
          </w:tcPr>
          <w:p>
            <w:pPr>
              <w:spacing w:after="0"/>
              <w:rPr>
                <w:sz w:val="22"/>
                <w:szCs w:val="22"/>
                <w:color w:val="auto"/>
              </w:rPr>
            </w:pPr>
          </w:p>
        </w:tc>
      </w:tr>
      <w:tr>
        <w:trPr>
          <w:trHeight w:val="45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EXHIBITS:</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Assignment and Assumption</w:t>
            </w:r>
          </w:p>
        </w:tc>
        <w:tc>
          <w:tcPr>
            <w:tcW w:w="440" w:type="dxa"/>
            <w:vAlign w:val="bottom"/>
          </w:tcPr>
          <w:p>
            <w:pPr>
              <w:spacing w:after="0"/>
              <w:rPr>
                <w:sz w:val="24"/>
                <w:szCs w:val="24"/>
                <w:color w:val="auto"/>
              </w:rPr>
            </w:pP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B-1</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Borrowing Base Certificate</w:t>
            </w:r>
          </w:p>
        </w:tc>
        <w:tc>
          <w:tcPr>
            <w:tcW w:w="44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B-2</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Aggregate Borrowing Base Certificate</w:t>
            </w:r>
          </w:p>
        </w:tc>
        <w:tc>
          <w:tcPr>
            <w:tcW w:w="44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Compliance Certificate</w:t>
            </w:r>
          </w:p>
        </w:tc>
        <w:tc>
          <w:tcPr>
            <w:tcW w:w="44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List of Closing Documents</w:t>
            </w:r>
          </w:p>
        </w:tc>
        <w:tc>
          <w:tcPr>
            <w:tcW w:w="44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E</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Joinder Agreement</w:t>
            </w:r>
          </w:p>
        </w:tc>
        <w:tc>
          <w:tcPr>
            <w:tcW w:w="440" w:type="dxa"/>
            <w:vAlign w:val="bottom"/>
          </w:tcPr>
          <w:p>
            <w:pPr>
              <w:spacing w:after="0"/>
              <w:rPr>
                <w:sz w:val="19"/>
                <w:szCs w:val="19"/>
                <w:color w:val="auto"/>
              </w:rPr>
            </w:pP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F-1</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U.S. Tax Certificate (For Foreign Lenders that are not Partnerships for U.S. Federal Income Tax Purposes)</w:t>
            </w:r>
          </w:p>
        </w:tc>
        <w:tc>
          <w:tcPr>
            <w:tcW w:w="44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F-2</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U.S. Tax Certificate (For Foreign Participants that are not Partnerships for U.S. Federal Income Tax Purposes)</w:t>
            </w:r>
          </w:p>
        </w:tc>
        <w:tc>
          <w:tcPr>
            <w:tcW w:w="44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F-3</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U.S. Tax Certificate (For Foreign Participants that are Partnerships for U.S. Federal Income Tax Purposes)</w:t>
            </w:r>
          </w:p>
        </w:tc>
        <w:tc>
          <w:tcPr>
            <w:tcW w:w="44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F-4</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U.S. Tax Certificate (For Foreign that are Partnerships for U.S. Federal Income Tax Purposes)</w:t>
            </w:r>
          </w:p>
        </w:tc>
        <w:tc>
          <w:tcPr>
            <w:tcW w:w="440" w:type="dxa"/>
            <w:vAlign w:val="bottom"/>
          </w:tcPr>
          <w:p>
            <w:pPr>
              <w:spacing w:after="0"/>
              <w:rPr>
                <w:sz w:val="19"/>
                <w:szCs w:val="19"/>
                <w:color w:val="auto"/>
              </w:rPr>
            </w:pPr>
          </w:p>
        </w:tc>
      </w:tr>
      <w:tr>
        <w:trPr>
          <w:trHeight w:val="229"/>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G-1</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Borrowing Request</w:t>
            </w:r>
          </w:p>
        </w:tc>
        <w:tc>
          <w:tcPr>
            <w:tcW w:w="440" w:type="dxa"/>
            <w:vAlign w:val="bottom"/>
          </w:tcPr>
          <w:p>
            <w:pPr>
              <w:spacing w:after="0"/>
              <w:rPr>
                <w:sz w:val="19"/>
                <w:szCs w:val="19"/>
                <w:color w:val="auto"/>
              </w:rPr>
            </w:pPr>
          </w:p>
        </w:tc>
      </w:tr>
      <w:tr>
        <w:trPr>
          <w:trHeight w:val="258"/>
        </w:trPr>
        <w:tc>
          <w:tcPr>
            <w:tcW w:w="1280" w:type="dxa"/>
            <w:vAlign w:val="bottom"/>
          </w:tcPr>
          <w:p>
            <w:pPr>
              <w:spacing w:after="0"/>
              <w:rPr>
                <w:sz w:val="20"/>
                <w:szCs w:val="20"/>
                <w:color w:val="auto"/>
              </w:rPr>
            </w:pPr>
            <w:r>
              <w:rPr>
                <w:rFonts w:ascii="Times New Roman" w:cs="Times New Roman" w:eastAsia="Times New Roman" w:hAnsi="Times New Roman"/>
                <w:sz w:val="20"/>
                <w:szCs w:val="20"/>
                <w:color w:val="auto"/>
              </w:rPr>
              <w:t>Exhibit G-2</w:t>
            </w:r>
          </w:p>
        </w:tc>
        <w:tc>
          <w:tcPr>
            <w:tcW w:w="6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9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Interest Election Request</w:t>
            </w:r>
          </w:p>
        </w:tc>
        <w:tc>
          <w:tcPr>
            <w:tcW w:w="440" w:type="dxa"/>
            <w:vAlign w:val="bottom"/>
          </w:tcPr>
          <w:p>
            <w:pPr>
              <w:spacing w:after="0"/>
              <w:rPr>
                <w:sz w:val="22"/>
                <w:szCs w:val="22"/>
                <w:color w:val="auto"/>
              </w:rPr>
            </w:pPr>
          </w:p>
        </w:tc>
      </w:tr>
    </w:tbl>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schedules and exhibits listed above have been omitted. The registrant agrees to furnish these to the Securities and Exchange Commission upon request.</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9" w:name="page10"/>
    <w:bookmarkEnd w:id="9"/>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SECOND AMENDED AND RESTATED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July 15, 2022 by and among WINNEBAGO INDUSTRIES, INC., WINNEBAGO OF INDIANA, LLC, GRAND DESIGN RV, LLC and NEWMAR CORPORATION, as Borrowers, the other LOAN PARTIES from time to time party hereto, the LENDERS from time to time party hereto and JPMORGAN CHASE BANK, N.A., as Administrative Agent.</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Loan Parties, certain of the Lenders and the Administrative Agent are currently party to the Amended and Restated Credit Agreement, dated as of October 22, 2019 (as amended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WHEREAS, the Borrowers, the other Loan Parties, the Lenders and the Administrative Agent have agreed to enter into this Agreement in order to (i) amend and restate the Existing Credit Agreement in its entirety; (ii) modify and re-evidence the “</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under, and as defined in, the Existing Credit Agreement, which shall be repayable in accordance with the terms of this Agreement and the other Loan Documents; and (iii) set forth the terms and conditions under which the Lenders will, from time to time, make loans and extend other financial accommodations to or for the benefit of the Loan Parties;</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it is the intent of the parties hereto that this Agreement not constitute a novation of the obligations and liabilities of the parties under the Existing Credit Agreement or be deemed to evidence or constitute full repayment of such obligations and liabilities, but that this Agreement amend and restate in its entirety the Existing Credit Agreement and re-evidence the obligations and liabilities of the Borrowers and the other Loan Parties outstanding thereunder, which shall be payable in accordance with the terms hereof; and</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WHEREAS, it is also the intent of the Borrowers and the “</w:t>
      </w:r>
      <w:r>
        <w:rPr>
          <w:rFonts w:ascii="Times New Roman" w:cs="Times New Roman" w:eastAsia="Times New Roman" w:hAnsi="Times New Roman"/>
          <w:sz w:val="20"/>
          <w:szCs w:val="20"/>
          <w:u w:val="single" w:color="auto"/>
          <w:color w:val="auto"/>
        </w:rPr>
        <w:t>Loan Guarantors</w:t>
      </w:r>
      <w:r>
        <w:rPr>
          <w:rFonts w:ascii="Times New Roman" w:cs="Times New Roman" w:eastAsia="Times New Roman" w:hAnsi="Times New Roman"/>
          <w:sz w:val="20"/>
          <w:szCs w:val="20"/>
          <w:color w:val="auto"/>
        </w:rPr>
        <w:t>” (as referred to and defined in the Existing Credit Agreement) to confirm that all obligations under the “</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(as referred to and defined in the Existing Credit Agreement) shall continue in full force and effect as modified and/or restated by the Loan Documents and that, from and after the Effective Date, all references to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contained in any such existing “</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shall be deemed to refer to this Agreement;</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the parties hereto hereby agree that the Existing Credit Agreement is hereby amended and restated as follows: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have the meanings specified below: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when used in reference to: (a) a rate of interest, refers to the Adjusted REVSOFR30 Rate, and (b) any Loan or Borrowing, refers to whether such Loan, or the Loans comprising such Borrowing, bear interest at a rate determined by reference to the Adjusted REVSOFR30 Rate.</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 Priority Collateral</w:t>
      </w:r>
      <w:r>
        <w:rPr>
          <w:rFonts w:ascii="Times New Roman" w:cs="Times New Roman" w:eastAsia="Times New Roman" w:hAnsi="Times New Roman"/>
          <w:sz w:val="20"/>
          <w:szCs w:val="20"/>
          <w:color w:val="auto"/>
        </w:rPr>
        <w:t>” has the meaning assigned thereto in the ABL/Fixed Asset Intercreditor Agreement, and is intended to indicate that portion of the Collateral subject to a prior Lien in favor of the Administrative Agent on behalf of the Secured Parties.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ABL/Fixed Asset Intercreditor Agreement</w:t>
      </w:r>
      <w:r>
        <w:rPr>
          <w:rFonts w:ascii="Times New Roman" w:cs="Times New Roman" w:eastAsia="Times New Roman" w:hAnsi="Times New Roman"/>
          <w:sz w:val="20"/>
          <w:szCs w:val="20"/>
          <w:color w:val="auto"/>
        </w:rPr>
        <w:t>” means the Intercreditor Agreement, dated as of July 8, 2020, by and among the Administrative Agent, as ABL Representative,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as collateral trustee for the Fixed Asset Secured Parties (as defined therein), and each of the Loan Parties party thereto.</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Field Examination</w:t>
      </w:r>
      <w:r>
        <w:rPr>
          <w:rFonts w:ascii="Times New Roman" w:cs="Times New Roman" w:eastAsia="Times New Roman" w:hAnsi="Times New Roman"/>
          <w:sz w:val="20"/>
          <w:szCs w:val="20"/>
          <w:color w:val="auto"/>
        </w:rPr>
        <w:t>” means, with respect to any assets of any Loan Party, a field examination conducted by the Administrative Agent or its designee of such assets and related working capital matters and of such Loan Party’s related data processing and other systems, the results of which shall be satisfactory to the Administrative Agent in its Permitted Discretion.</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Inventory Appraisal</w:t>
      </w:r>
      <w:r>
        <w:rPr>
          <w:rFonts w:ascii="Times New Roman" w:cs="Times New Roman" w:eastAsia="Times New Roman" w:hAnsi="Times New Roman"/>
          <w:sz w:val="20"/>
          <w:szCs w:val="20"/>
          <w:color w:val="auto"/>
        </w:rPr>
        <w:t>” means, with respect to any Inventory, an appraisal of such Inventory from one or more firms satisfactory to the Administrative Agent, which appraisals shall be satisfactory to the Administrative Agent in its Permitted Discretion.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has the meaning assigned to such term in the Security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 Debtor</w:t>
      </w:r>
      <w:r>
        <w:rPr>
          <w:rFonts w:ascii="Times New Roman" w:cs="Times New Roman" w:eastAsia="Times New Roman" w:hAnsi="Times New Roman"/>
          <w:sz w:val="20"/>
          <w:szCs w:val="20"/>
          <w:color w:val="auto"/>
        </w:rPr>
        <w:t>” means any Person obligated on an Account.</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w:t>
      </w:r>
      <w:r>
        <w:rPr>
          <w:rFonts w:ascii="Times New Roman" w:cs="Times New Roman" w:eastAsia="Times New Roman" w:hAnsi="Times New Roman"/>
          <w:sz w:val="20"/>
          <w:szCs w:val="20"/>
          <w:color w:val="auto"/>
        </w:rPr>
        <w:t>” means any transaction, or any series of related transactions, consummated on or after the Effective Date, by which any Loan Party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SOFR</w:t>
      </w:r>
      <w:r>
        <w:rPr>
          <w:rFonts w:ascii="Times New Roman" w:cs="Times New Roman" w:eastAsia="Times New Roman" w:hAnsi="Times New Roman"/>
          <w:sz w:val="20"/>
          <w:szCs w:val="20"/>
          <w:color w:val="auto"/>
        </w:rPr>
        <w:t xml:space="preserve">” means an interest rate per annum equal to (a) the Daily Simple SOFR, plus (b) 0.10%;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Daily Simple SOFR as so determined would be less than the Floor, such rate shall be deemed to be equal to the Floor for the purposes of this Agreement.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REVSOFR30 Rate</w:t>
      </w:r>
      <w:r>
        <w:rPr>
          <w:rFonts w:ascii="Times New Roman" w:cs="Times New Roman" w:eastAsia="Times New Roman" w:hAnsi="Times New Roman"/>
          <w:sz w:val="19"/>
          <w:szCs w:val="19"/>
          <w:color w:val="auto"/>
        </w:rPr>
        <w:t xml:space="preserve">” (i) means an interest rate per annum equal to (a) the REVSOFR30 Rate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0.10%;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33" w:lineRule="exact"/>
        <w:rPr>
          <w:sz w:val="20"/>
          <w:szCs w:val="20"/>
          <w:color w:val="auto"/>
        </w:rPr>
      </w:pPr>
    </w:p>
    <w:p>
      <w:pPr>
        <w:jc w:val="both"/>
        <w:ind w:firstLine="8"/>
        <w:spacing w:after="0" w:line="241" w:lineRule="auto"/>
        <w:tabs>
          <w:tab w:leader="none" w:pos="29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Adjusted REVSOFR30 Rate as so determined would be less than the Floor, such rate shall be deemed to be equal to the Floor for the purposes of this Agreement and (y) if the REVSOFR30 Rate shall not be available, then the Adjusted REVSOFR30 Rate shall be equal to the Alternate Base Rate (unless an alternate rate is established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and (ii) when used in reference to any Loan or Borrowing, refers to whether such Loan, or the Loans comprising such Borrowing, are bearing interest at a rate determined by reference to the Adjusted REVSOFR30 Rate.</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xml:space="preserve">” means, for any Interest Period, an interest rate per annum equal to (a) the Term SOFR Rate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0.10%;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Term SOFR Rate as so determined would be less than the Floor, such rate shall be deemed to be equal to the Floor for the purposes of this Agreement.</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JPMorgan Chase Bank, N.A. (including its successors, branches and affiliates), in its capacity as administrative agent for the Lenders hereunder.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 w:name="page12"/>
    <w:bookmarkEnd w:id="11"/>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Indemnitee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Availability</w:t>
      </w:r>
      <w:r>
        <w:rPr>
          <w:rFonts w:ascii="Times New Roman" w:cs="Times New Roman" w:eastAsia="Times New Roman" w:hAnsi="Times New Roman"/>
          <w:sz w:val="20"/>
          <w:szCs w:val="20"/>
          <w:color w:val="auto"/>
        </w:rPr>
        <w:t>” means, at any time, the aggregate Availability of all the Borrowers.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Borrowing Base</w:t>
      </w:r>
      <w:r>
        <w:rPr>
          <w:rFonts w:ascii="Times New Roman" w:cs="Times New Roman" w:eastAsia="Times New Roman" w:hAnsi="Times New Roman"/>
          <w:sz w:val="20"/>
          <w:szCs w:val="20"/>
          <w:color w:val="auto"/>
        </w:rPr>
        <w:t>” means the aggregate of the Borrowing Bases of all the Borrowers.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Borrowing Base Certificate</w:t>
      </w:r>
      <w:r>
        <w:rPr>
          <w:rFonts w:ascii="Times New Roman" w:cs="Times New Roman" w:eastAsia="Times New Roman" w:hAnsi="Times New Roman"/>
          <w:sz w:val="20"/>
          <w:szCs w:val="20"/>
          <w:color w:val="auto"/>
        </w:rPr>
        <w:t xml:space="preserve">” means a certificate, signed and certified as accurate and complete by a Financial Officer of the Borrower Representative, in substantially the form of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xml:space="preserve"> or another form which is acceptable to the Administrative Agent in its sole discretion.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w:t>
      </w:r>
      <w:r>
        <w:rPr>
          <w:rFonts w:ascii="Times New Roman" w:cs="Times New Roman" w:eastAsia="Times New Roman" w:hAnsi="Times New Roman"/>
          <w:sz w:val="20"/>
          <w:szCs w:val="20"/>
          <w:color w:val="auto"/>
        </w:rPr>
        <w:t>” means the aggregate of the Commitments of all of the Lenders, as reduced or increased from time to time pursuant to the terms and conditions hereof. Subject to the other terms set forth herein, as of the Effective Date, the Aggregate Commitment is $350,000,000.</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Exposure</w:t>
      </w:r>
      <w:r>
        <w:rPr>
          <w:rFonts w:ascii="Times New Roman" w:cs="Times New Roman" w:eastAsia="Times New Roman" w:hAnsi="Times New Roman"/>
          <w:sz w:val="20"/>
          <w:szCs w:val="20"/>
          <w:color w:val="auto"/>
        </w:rPr>
        <w:t>” means, at any time, the aggregate Revolving Exposures of all the Lenders at such time.</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xml:space="preserve">” means, for any day, a rate per annum equal to the greatest of (a) the Prime Rate in effect on such day, (b) the NYFRB Rate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½ of 1% and (c) the Adjusted Term SOFR Rate for a one month Interest Period as published two (2) U.S. Government Securities Business Days prior to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(for the avoidance of doubt, only until the Benchmark Replacement has been determined pursuant to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xml:space="preserve">), then the Alternate Base Rate shall be the greater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For the avoidance of doubt, if the Alternate Base Rate as determined pursuant to the foregoing would be less than 1.00%, such rate shall be deemed to be 1.00% for purposes of this Agreement.</w:t>
      </w:r>
    </w:p>
    <w:p>
      <w:pPr>
        <w:spacing w:after="0" w:line="20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Company or its Subsidiaries from time to time concerning or relating to bribery or corruption.</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with respect to any Lender, a percentage equal to a fraction the numerator of which is such Lender’s Commitment and the denominator of which is the Aggregate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Commitments have terminated or expired, the Applicable Percentage with respect to any Lender shall be determined based upon such Lender’s share of the Aggregate Revolving Exposure at such time. Notwithstanding the foregoing, in accordance with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so long as any Lender shall be a Defaulting Lender, such Defaulting Lender’s Commitment shall be disregarded in the foregoing calculations.</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2" w:name="page13"/>
    <w:bookmarkEnd w:id="12"/>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Pledge Percentage</w:t>
      </w:r>
      <w:r>
        <w:rPr>
          <w:rFonts w:ascii="Times New Roman" w:cs="Times New Roman" w:eastAsia="Times New Roman" w:hAnsi="Times New Roman"/>
          <w:sz w:val="20"/>
          <w:szCs w:val="20"/>
          <w:color w:val="auto"/>
        </w:rPr>
        <w:t>” means (a) in the case of a pledge by the Company or any Subsidiary of its voting Equity Interests in an Excluded Domestic Subsidiary or an Excluded Foreign Subsidiary, 65%, and (b) in all other cases, 100%.</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 with respect to any Loan, the applicable rate per annum set forth below under the caption “</w:t>
      </w:r>
      <w:r>
        <w:rPr>
          <w:rFonts w:ascii="Times New Roman" w:cs="Times New Roman" w:eastAsia="Times New Roman" w:hAnsi="Times New Roman"/>
          <w:sz w:val="20"/>
          <w:szCs w:val="20"/>
          <w:u w:val="single" w:color="auto"/>
          <w:color w:val="auto"/>
        </w:rPr>
        <w:t>Term Benchmark or REVSOFR30 Spread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RFR Spread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Alternate Base Rate Spread</w:t>
      </w:r>
      <w:r>
        <w:rPr>
          <w:rFonts w:ascii="Times New Roman" w:cs="Times New Roman" w:eastAsia="Times New Roman" w:hAnsi="Times New Roman"/>
          <w:sz w:val="20"/>
          <w:szCs w:val="20"/>
          <w:color w:val="auto"/>
        </w:rPr>
        <w:t xml:space="preserve">”, as the case may be, based upon the Average Quarterly Availability during the most recently ended fiscal quarter of the Company (it being understood and agreed, for purposes of clarity, that the “Term Benchmark or REVSOFR30 Spread” shall be applicable to ABR Loans at all times that ABR Loans bear interest by reference to the Adjusted REVSOFR30 Rate and the “Alternate Base Rate Spread” shall be applicable to ABR Loans at all times that ABR Loans bear interest by reference to the Alternate Base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Rate” shall be the applicable rates per annum set forth below in Category 1 during the period from the Effective Date to, but excluding, the first day following the end of the first full fiscal quarter of the Company ending after the Effective Date: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040" w:type="dxa"/>
            <w:vAlign w:val="bottom"/>
            <w:tcBorders>
              <w:top w:val="single" w:sz="8" w:color="auto"/>
              <w:left w:val="single" w:sz="8" w:color="auto"/>
            </w:tcBorders>
            <w:shd w:val="clear" w:color="auto" w:fill="D9D9D9"/>
          </w:tcPr>
          <w:p>
            <w:pPr>
              <w:spacing w:after="0"/>
              <w:rPr>
                <w:sz w:val="19"/>
                <w:szCs w:val="19"/>
                <w:color w:val="auto"/>
              </w:rPr>
            </w:pPr>
          </w:p>
        </w:tc>
        <w:tc>
          <w:tcPr>
            <w:tcW w:w="160" w:type="dxa"/>
            <w:vAlign w:val="bottom"/>
            <w:tcBorders>
              <w:top w:val="single" w:sz="8" w:color="auto"/>
            </w:tcBorders>
            <w:shd w:val="clear" w:color="auto" w:fill="D9D9D9"/>
          </w:tcPr>
          <w:p>
            <w:pPr>
              <w:spacing w:after="0"/>
              <w:rPr>
                <w:sz w:val="19"/>
                <w:szCs w:val="19"/>
                <w:color w:val="auto"/>
              </w:rPr>
            </w:pPr>
          </w:p>
        </w:tc>
        <w:tc>
          <w:tcPr>
            <w:tcW w:w="120" w:type="dxa"/>
            <w:vAlign w:val="bottom"/>
            <w:tcBorders>
              <w:top w:val="single" w:sz="8" w:color="auto"/>
            </w:tcBorders>
            <w:shd w:val="clear" w:color="auto" w:fill="D9D9D9"/>
          </w:tcPr>
          <w:p>
            <w:pPr>
              <w:spacing w:after="0"/>
              <w:rPr>
                <w:sz w:val="19"/>
                <w:szCs w:val="19"/>
                <w:color w:val="auto"/>
              </w:rPr>
            </w:pPr>
          </w:p>
        </w:tc>
        <w:tc>
          <w:tcPr>
            <w:tcW w:w="2380" w:type="dxa"/>
            <w:vAlign w:val="bottom"/>
            <w:tcBorders>
              <w:top w:val="single" w:sz="8" w:color="auto"/>
            </w:tcBorders>
            <w:shd w:val="clear" w:color="auto" w:fill="D9D9D9"/>
          </w:tcPr>
          <w:p>
            <w:pPr>
              <w:spacing w:after="0"/>
              <w:rPr>
                <w:sz w:val="19"/>
                <w:szCs w:val="19"/>
                <w:color w:val="auto"/>
              </w:rPr>
            </w:pPr>
          </w:p>
        </w:tc>
        <w:tc>
          <w:tcPr>
            <w:tcW w:w="60" w:type="dxa"/>
            <w:vAlign w:val="bottom"/>
            <w:tcBorders>
              <w:top w:val="single" w:sz="8" w:color="auto"/>
            </w:tcBorders>
            <w:shd w:val="clear" w:color="auto" w:fill="D9D9D9"/>
          </w:tcPr>
          <w:p>
            <w:pPr>
              <w:spacing w:after="0"/>
              <w:rPr>
                <w:sz w:val="19"/>
                <w:szCs w:val="19"/>
                <w:color w:val="auto"/>
              </w:rPr>
            </w:pPr>
          </w:p>
        </w:tc>
        <w:tc>
          <w:tcPr>
            <w:tcW w:w="100" w:type="dxa"/>
            <w:vAlign w:val="bottom"/>
            <w:tcBorders>
              <w:top w:val="single" w:sz="8" w:color="auto"/>
            </w:tcBorders>
            <w:shd w:val="clear" w:color="auto" w:fill="D9D9D9"/>
          </w:tcPr>
          <w:p>
            <w:pPr>
              <w:spacing w:after="0"/>
              <w:rPr>
                <w:sz w:val="19"/>
                <w:szCs w:val="19"/>
                <w:color w:val="auto"/>
              </w:rPr>
            </w:pPr>
          </w:p>
        </w:tc>
        <w:tc>
          <w:tcPr>
            <w:tcW w:w="1220" w:type="dxa"/>
            <w:vAlign w:val="bottom"/>
            <w:tcBorders>
              <w:top w:val="single" w:sz="8" w:color="auto"/>
              <w:right w:val="single" w:sz="8" w:color="auto"/>
            </w:tcBorders>
            <w:shd w:val="clear" w:color="auto" w:fill="D9D9D9"/>
          </w:tcPr>
          <w:p>
            <w:pPr>
              <w:spacing w:after="0"/>
              <w:rPr>
                <w:sz w:val="19"/>
                <w:szCs w:val="19"/>
                <w:color w:val="auto"/>
              </w:rPr>
            </w:pPr>
          </w:p>
        </w:tc>
        <w:tc>
          <w:tcPr>
            <w:tcW w:w="2120" w:type="dxa"/>
            <w:vAlign w:val="bottom"/>
            <w:tcBorders>
              <w:top w:val="single" w:sz="8" w:color="auto"/>
              <w:right w:val="single" w:sz="8" w:color="auto"/>
            </w:tcBorders>
            <w:gridSpan w:val="7"/>
            <w:shd w:val="clear" w:color="auto" w:fill="D9D9D9"/>
          </w:tcPr>
          <w:p>
            <w:pPr>
              <w:jc w:val="center"/>
              <w:ind w:right="20"/>
              <w:spacing w:after="0"/>
              <w:rPr>
                <w:sz w:val="20"/>
                <w:szCs w:val="20"/>
                <w:color w:val="auto"/>
              </w:rPr>
            </w:pPr>
            <w:r>
              <w:rPr>
                <w:rFonts w:ascii="Times New Roman" w:cs="Times New Roman" w:eastAsia="Times New Roman" w:hAnsi="Times New Roman"/>
                <w:sz w:val="20"/>
                <w:szCs w:val="20"/>
                <w:color w:val="auto"/>
                <w:w w:val="97"/>
              </w:rPr>
              <w:t>Term Benchmark or</w:t>
            </w:r>
          </w:p>
        </w:tc>
        <w:tc>
          <w:tcPr>
            <w:tcW w:w="460" w:type="dxa"/>
            <w:vAlign w:val="bottom"/>
            <w:tcBorders>
              <w:top w:val="single" w:sz="8" w:color="auto"/>
            </w:tcBorders>
            <w:shd w:val="clear" w:color="auto" w:fill="D9D9D9"/>
          </w:tcPr>
          <w:p>
            <w:pPr>
              <w:spacing w:after="0"/>
              <w:rPr>
                <w:sz w:val="19"/>
                <w:szCs w:val="19"/>
                <w:color w:val="auto"/>
              </w:rPr>
            </w:pPr>
          </w:p>
        </w:tc>
        <w:tc>
          <w:tcPr>
            <w:tcW w:w="980" w:type="dxa"/>
            <w:vAlign w:val="bottom"/>
            <w:tcBorders>
              <w:top w:val="single" w:sz="8" w:color="auto"/>
            </w:tcBorders>
            <w:shd w:val="clear" w:color="auto" w:fill="D9D9D9"/>
          </w:tcPr>
          <w:p>
            <w:pPr>
              <w:spacing w:after="0"/>
              <w:rPr>
                <w:sz w:val="19"/>
                <w:szCs w:val="19"/>
                <w:color w:val="auto"/>
              </w:rPr>
            </w:pPr>
          </w:p>
        </w:tc>
        <w:tc>
          <w:tcPr>
            <w:tcW w:w="480" w:type="dxa"/>
            <w:vAlign w:val="bottom"/>
            <w:tcBorders>
              <w:top w:val="single" w:sz="8" w:color="auto"/>
              <w:right w:val="single" w:sz="8" w:color="auto"/>
            </w:tcBorders>
            <w:shd w:val="clear" w:color="auto" w:fill="D9D9D9"/>
          </w:tcPr>
          <w:p>
            <w:pPr>
              <w:spacing w:after="0"/>
              <w:rPr>
                <w:sz w:val="19"/>
                <w:szCs w:val="19"/>
                <w:color w:val="auto"/>
              </w:rPr>
            </w:pPr>
          </w:p>
        </w:tc>
        <w:tc>
          <w:tcPr>
            <w:tcW w:w="460" w:type="dxa"/>
            <w:vAlign w:val="bottom"/>
            <w:tcBorders>
              <w:top w:val="single" w:sz="8" w:color="auto"/>
            </w:tcBorders>
            <w:shd w:val="clear" w:color="auto" w:fill="D9D9D9"/>
          </w:tcPr>
          <w:p>
            <w:pPr>
              <w:spacing w:after="0"/>
              <w:rPr>
                <w:sz w:val="19"/>
                <w:szCs w:val="19"/>
                <w:color w:val="auto"/>
              </w:rPr>
            </w:pPr>
          </w:p>
        </w:tc>
        <w:tc>
          <w:tcPr>
            <w:tcW w:w="1660" w:type="dxa"/>
            <w:vAlign w:val="bottom"/>
            <w:tcBorders>
              <w:top w:val="single" w:sz="8" w:color="auto"/>
              <w:right w:val="single" w:sz="8" w:color="auto"/>
            </w:tcBorders>
            <w:gridSpan w:val="4"/>
            <w:vMerge w:val="restart"/>
            <w:shd w:val="clear" w:color="auto" w:fill="D9D9D9"/>
          </w:tcPr>
          <w:p>
            <w:pPr>
              <w:jc w:val="center"/>
              <w:ind w:right="480"/>
              <w:spacing w:after="0"/>
              <w:rPr>
                <w:sz w:val="20"/>
                <w:szCs w:val="20"/>
                <w:color w:val="auto"/>
              </w:rPr>
            </w:pPr>
            <w:r>
              <w:rPr>
                <w:rFonts w:ascii="Times New Roman" w:cs="Times New Roman" w:eastAsia="Times New Roman" w:hAnsi="Times New Roman"/>
                <w:sz w:val="20"/>
                <w:szCs w:val="20"/>
                <w:color w:val="auto"/>
                <w:w w:val="99"/>
              </w:rPr>
              <w:t>Alternate Base</w:t>
            </w:r>
          </w:p>
        </w:tc>
        <w:tc>
          <w:tcPr>
            <w:tcW w:w="0" w:type="dxa"/>
            <w:vAlign w:val="bottom"/>
          </w:tcPr>
          <w:p>
            <w:pPr>
              <w:spacing w:after="0"/>
              <w:rPr>
                <w:sz w:val="1"/>
                <w:szCs w:val="1"/>
                <w:color w:val="auto"/>
              </w:rPr>
            </w:pPr>
          </w:p>
        </w:tc>
      </w:tr>
      <w:tr>
        <w:trPr>
          <w:trHeight w:val="209"/>
        </w:trPr>
        <w:tc>
          <w:tcPr>
            <w:tcW w:w="1040" w:type="dxa"/>
            <w:vAlign w:val="bottom"/>
            <w:tcBorders>
              <w:top w:val="single" w:sz="8" w:color="D9D9D9"/>
              <w:left w:val="single" w:sz="8" w:color="auto"/>
            </w:tcBorders>
            <w:shd w:val="clear" w:color="auto" w:fill="D9D9D9"/>
          </w:tcPr>
          <w:p>
            <w:pPr>
              <w:spacing w:after="0"/>
              <w:rPr>
                <w:sz w:val="18"/>
                <w:szCs w:val="18"/>
                <w:color w:val="auto"/>
              </w:rPr>
            </w:pPr>
          </w:p>
        </w:tc>
        <w:tc>
          <w:tcPr>
            <w:tcW w:w="160" w:type="dxa"/>
            <w:vAlign w:val="bottom"/>
            <w:tcBorders>
              <w:top w:val="single" w:sz="8" w:color="D9D9D9"/>
            </w:tcBorders>
            <w:shd w:val="clear" w:color="auto" w:fill="D9D9D9"/>
          </w:tcPr>
          <w:p>
            <w:pPr>
              <w:spacing w:after="0"/>
              <w:rPr>
                <w:sz w:val="18"/>
                <w:szCs w:val="18"/>
                <w:color w:val="auto"/>
              </w:rPr>
            </w:pPr>
          </w:p>
        </w:tc>
        <w:tc>
          <w:tcPr>
            <w:tcW w:w="120" w:type="dxa"/>
            <w:vAlign w:val="bottom"/>
            <w:tcBorders>
              <w:top w:val="single" w:sz="8" w:color="D9D9D9"/>
            </w:tcBorders>
            <w:shd w:val="clear" w:color="auto" w:fill="D9D9D9"/>
          </w:tcPr>
          <w:p>
            <w:pPr>
              <w:spacing w:after="0"/>
              <w:rPr>
                <w:sz w:val="18"/>
                <w:szCs w:val="18"/>
                <w:color w:val="auto"/>
              </w:rPr>
            </w:pPr>
          </w:p>
        </w:tc>
        <w:tc>
          <w:tcPr>
            <w:tcW w:w="3760" w:type="dxa"/>
            <w:vAlign w:val="bottom"/>
            <w:tcBorders>
              <w:top w:val="single" w:sz="8" w:color="D9D9D9"/>
              <w:right w:val="single" w:sz="8" w:color="auto"/>
            </w:tcBorders>
            <w:gridSpan w:val="4"/>
            <w:vMerge w:val="restart"/>
            <w:shd w:val="clear" w:color="auto" w:fill="D9D9D9"/>
          </w:tcPr>
          <w:p>
            <w:pPr>
              <w:jc w:val="center"/>
              <w:ind w:right="1320"/>
              <w:spacing w:after="0"/>
              <w:rPr>
                <w:sz w:val="20"/>
                <w:szCs w:val="20"/>
                <w:color w:val="auto"/>
              </w:rPr>
            </w:pPr>
            <w:r>
              <w:rPr>
                <w:rFonts w:ascii="Times New Roman" w:cs="Times New Roman" w:eastAsia="Times New Roman" w:hAnsi="Times New Roman"/>
                <w:sz w:val="20"/>
                <w:szCs w:val="20"/>
                <w:color w:val="auto"/>
                <w:w w:val="97"/>
              </w:rPr>
              <w:t>Average Quarterly Availability</w:t>
            </w:r>
          </w:p>
        </w:tc>
        <w:tc>
          <w:tcPr>
            <w:tcW w:w="260" w:type="dxa"/>
            <w:vAlign w:val="bottom"/>
            <w:tcBorders>
              <w:top w:val="single" w:sz="8" w:color="D9D9D9"/>
            </w:tcBorders>
            <w:shd w:val="clear" w:color="auto" w:fill="D9D9D9"/>
          </w:tcPr>
          <w:p>
            <w:pPr>
              <w:spacing w:after="0"/>
              <w:rPr>
                <w:sz w:val="18"/>
                <w:szCs w:val="18"/>
                <w:color w:val="auto"/>
              </w:rPr>
            </w:pPr>
          </w:p>
        </w:tc>
        <w:tc>
          <w:tcPr>
            <w:tcW w:w="1580" w:type="dxa"/>
            <w:vAlign w:val="bottom"/>
            <w:tcBorders>
              <w:top w:val="single" w:sz="8" w:color="auto"/>
            </w:tcBorders>
            <w:gridSpan w:val="5"/>
            <w:shd w:val="clear" w:color="auto" w:fill="D9D9D9"/>
          </w:tcPr>
          <w:p>
            <w:pPr>
              <w:jc w:val="center"/>
              <w:ind w:right="40"/>
              <w:spacing w:after="0" w:line="209" w:lineRule="exact"/>
              <w:rPr>
                <w:sz w:val="20"/>
                <w:szCs w:val="20"/>
                <w:color w:val="auto"/>
              </w:rPr>
            </w:pPr>
            <w:r>
              <w:rPr>
                <w:rFonts w:ascii="Times New Roman" w:cs="Times New Roman" w:eastAsia="Times New Roman" w:hAnsi="Times New Roman"/>
                <w:sz w:val="20"/>
                <w:szCs w:val="20"/>
                <w:color w:val="auto"/>
                <w:w w:val="99"/>
              </w:rPr>
              <w:t>REVSOFR 30</w:t>
            </w:r>
          </w:p>
        </w:tc>
        <w:tc>
          <w:tcPr>
            <w:tcW w:w="280" w:type="dxa"/>
            <w:vAlign w:val="bottom"/>
            <w:tcBorders>
              <w:top w:val="single" w:sz="8" w:color="D9D9D9"/>
              <w:right w:val="single" w:sz="8" w:color="auto"/>
            </w:tcBorders>
            <w:shd w:val="clear" w:color="auto" w:fill="D9D9D9"/>
          </w:tcPr>
          <w:p>
            <w:pPr>
              <w:spacing w:after="0"/>
              <w:rPr>
                <w:sz w:val="18"/>
                <w:szCs w:val="18"/>
                <w:color w:val="auto"/>
              </w:rPr>
            </w:pPr>
          </w:p>
        </w:tc>
        <w:tc>
          <w:tcPr>
            <w:tcW w:w="1920" w:type="dxa"/>
            <w:vAlign w:val="bottom"/>
            <w:tcBorders>
              <w:top w:val="single" w:sz="8" w:color="D9D9D9"/>
              <w:right w:val="single" w:sz="8" w:color="auto"/>
            </w:tcBorders>
            <w:gridSpan w:val="3"/>
            <w:vMerge w:val="restart"/>
            <w:shd w:val="clear" w:color="auto" w:fill="D9D9D9"/>
          </w:tcPr>
          <w:p>
            <w:pPr>
              <w:jc w:val="center"/>
              <w:ind w:right="20"/>
              <w:spacing w:after="0"/>
              <w:rPr>
                <w:sz w:val="20"/>
                <w:szCs w:val="20"/>
                <w:color w:val="auto"/>
              </w:rPr>
            </w:pPr>
            <w:r>
              <w:rPr>
                <w:rFonts w:ascii="Times New Roman" w:cs="Times New Roman" w:eastAsia="Times New Roman" w:hAnsi="Times New Roman"/>
                <w:sz w:val="20"/>
                <w:szCs w:val="20"/>
                <w:color w:val="auto"/>
                <w:w w:val="99"/>
              </w:rPr>
              <w:t>RFR Spread</w:t>
            </w:r>
          </w:p>
        </w:tc>
        <w:tc>
          <w:tcPr>
            <w:tcW w:w="460" w:type="dxa"/>
            <w:vAlign w:val="bottom"/>
            <w:tcBorders>
              <w:top w:val="single" w:sz="8" w:color="D9D9D9"/>
            </w:tcBorders>
            <w:shd w:val="clear" w:color="auto" w:fill="D9D9D9"/>
          </w:tcPr>
          <w:p>
            <w:pPr>
              <w:spacing w:after="0"/>
              <w:rPr>
                <w:sz w:val="18"/>
                <w:szCs w:val="18"/>
                <w:color w:val="auto"/>
              </w:rPr>
            </w:pPr>
          </w:p>
        </w:tc>
        <w:tc>
          <w:tcPr>
            <w:tcW w:w="1660" w:type="dxa"/>
            <w:vAlign w:val="bottom"/>
            <w:tcBorders>
              <w:top w:val="single" w:sz="8" w:color="auto"/>
              <w:right w:val="single" w:sz="8" w:color="auto"/>
            </w:tcBorders>
            <w:gridSpan w:val="4"/>
            <w:vMerge w:val="continue"/>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040" w:type="dxa"/>
            <w:vAlign w:val="bottom"/>
            <w:tcBorders>
              <w:top w:val="single" w:sz="8" w:color="D9D9D9"/>
              <w:left w:val="single" w:sz="8" w:color="auto"/>
              <w:bottom w:val="single" w:sz="8" w:color="auto"/>
            </w:tcBorders>
            <w:shd w:val="clear" w:color="auto" w:fill="D9D9D9"/>
          </w:tcPr>
          <w:p>
            <w:pPr>
              <w:spacing w:after="0"/>
              <w:rPr>
                <w:sz w:val="24"/>
                <w:szCs w:val="24"/>
                <w:color w:val="auto"/>
              </w:rPr>
            </w:pPr>
          </w:p>
        </w:tc>
        <w:tc>
          <w:tcPr>
            <w:tcW w:w="160" w:type="dxa"/>
            <w:vAlign w:val="bottom"/>
            <w:tcBorders>
              <w:top w:val="single" w:sz="8" w:color="D9D9D9"/>
              <w:bottom w:val="single" w:sz="8" w:color="auto"/>
            </w:tcBorders>
            <w:shd w:val="clear" w:color="auto" w:fill="D9D9D9"/>
          </w:tcPr>
          <w:p>
            <w:pPr>
              <w:spacing w:after="0"/>
              <w:rPr>
                <w:sz w:val="24"/>
                <w:szCs w:val="24"/>
                <w:color w:val="auto"/>
              </w:rPr>
            </w:pPr>
          </w:p>
        </w:tc>
        <w:tc>
          <w:tcPr>
            <w:tcW w:w="120" w:type="dxa"/>
            <w:vAlign w:val="bottom"/>
            <w:tcBorders>
              <w:top w:val="single" w:sz="8" w:color="D9D9D9"/>
              <w:bottom w:val="single" w:sz="8" w:color="auto"/>
            </w:tcBorders>
            <w:shd w:val="clear" w:color="auto" w:fill="D9D9D9"/>
          </w:tcPr>
          <w:p>
            <w:pPr>
              <w:spacing w:after="0"/>
              <w:rPr>
                <w:sz w:val="24"/>
                <w:szCs w:val="24"/>
                <w:color w:val="auto"/>
              </w:rPr>
            </w:pPr>
          </w:p>
        </w:tc>
        <w:tc>
          <w:tcPr>
            <w:tcW w:w="3760" w:type="dxa"/>
            <w:vAlign w:val="bottom"/>
            <w:tcBorders>
              <w:top w:val="single" w:sz="8" w:color="D9D9D9"/>
              <w:bottom w:val="single" w:sz="8" w:color="auto"/>
              <w:right w:val="single" w:sz="8" w:color="auto"/>
            </w:tcBorders>
            <w:gridSpan w:val="4"/>
            <w:vMerge w:val="continue"/>
            <w:shd w:val="clear" w:color="auto" w:fill="D9D9D9"/>
          </w:tcPr>
          <w:p>
            <w:pPr>
              <w:spacing w:after="0"/>
              <w:rPr>
                <w:sz w:val="24"/>
                <w:szCs w:val="24"/>
                <w:color w:val="auto"/>
              </w:rPr>
            </w:pPr>
          </w:p>
        </w:tc>
        <w:tc>
          <w:tcPr>
            <w:tcW w:w="260" w:type="dxa"/>
            <w:vAlign w:val="bottom"/>
            <w:tcBorders>
              <w:top w:val="single" w:sz="8" w:color="D9D9D9"/>
              <w:bottom w:val="single" w:sz="8" w:color="auto"/>
            </w:tcBorders>
            <w:shd w:val="clear" w:color="auto" w:fill="D9D9D9"/>
          </w:tcPr>
          <w:p>
            <w:pPr>
              <w:spacing w:after="0"/>
              <w:rPr>
                <w:sz w:val="24"/>
                <w:szCs w:val="24"/>
                <w:color w:val="auto"/>
              </w:rPr>
            </w:pPr>
          </w:p>
        </w:tc>
        <w:tc>
          <w:tcPr>
            <w:tcW w:w="200" w:type="dxa"/>
            <w:vAlign w:val="bottom"/>
            <w:tcBorders>
              <w:top w:val="single" w:sz="8" w:color="D9D9D9"/>
              <w:bottom w:val="single" w:sz="8" w:color="auto"/>
            </w:tcBorders>
            <w:shd w:val="clear" w:color="auto" w:fill="D9D9D9"/>
          </w:tcPr>
          <w:p>
            <w:pPr>
              <w:spacing w:after="0"/>
              <w:rPr>
                <w:sz w:val="24"/>
                <w:szCs w:val="24"/>
                <w:color w:val="auto"/>
              </w:rPr>
            </w:pPr>
          </w:p>
        </w:tc>
        <w:tc>
          <w:tcPr>
            <w:tcW w:w="1180" w:type="dxa"/>
            <w:vAlign w:val="bottom"/>
            <w:tcBorders>
              <w:top w:val="single" w:sz="8" w:color="auto"/>
              <w:bottom w:val="single" w:sz="8" w:color="auto"/>
            </w:tcBorders>
            <w:gridSpan w:val="3"/>
            <w:shd w:val="clear" w:color="auto" w:fill="D9D9D9"/>
          </w:tcPr>
          <w:p>
            <w:pPr>
              <w:jc w:val="center"/>
              <w:spacing w:after="0" w:line="209" w:lineRule="exact"/>
              <w:rPr>
                <w:sz w:val="20"/>
                <w:szCs w:val="20"/>
                <w:color w:val="auto"/>
              </w:rPr>
            </w:pPr>
            <w:r>
              <w:rPr>
                <w:rFonts w:ascii="Times New Roman" w:cs="Times New Roman" w:eastAsia="Times New Roman" w:hAnsi="Times New Roman"/>
                <w:sz w:val="20"/>
                <w:szCs w:val="20"/>
                <w:color w:val="auto"/>
                <w:w w:val="97"/>
              </w:rPr>
              <w:t>Spread</w:t>
            </w:r>
          </w:p>
        </w:tc>
        <w:tc>
          <w:tcPr>
            <w:tcW w:w="480" w:type="dxa"/>
            <w:vAlign w:val="bottom"/>
            <w:tcBorders>
              <w:top w:val="single" w:sz="8" w:color="D9D9D9"/>
              <w:bottom w:val="single" w:sz="8" w:color="auto"/>
              <w:right w:val="single" w:sz="8" w:color="auto"/>
            </w:tcBorders>
            <w:gridSpan w:val="2"/>
            <w:shd w:val="clear" w:color="auto" w:fill="D9D9D9"/>
          </w:tcPr>
          <w:p>
            <w:pPr>
              <w:spacing w:after="0"/>
              <w:rPr>
                <w:sz w:val="24"/>
                <w:szCs w:val="24"/>
                <w:color w:val="auto"/>
              </w:rPr>
            </w:pPr>
          </w:p>
        </w:tc>
        <w:tc>
          <w:tcPr>
            <w:tcW w:w="1920" w:type="dxa"/>
            <w:vAlign w:val="bottom"/>
            <w:tcBorders>
              <w:top w:val="single" w:sz="8" w:color="D9D9D9"/>
              <w:bottom w:val="single" w:sz="8" w:color="auto"/>
              <w:right w:val="single" w:sz="8" w:color="auto"/>
            </w:tcBorders>
            <w:gridSpan w:val="3"/>
            <w:vMerge w:val="continue"/>
            <w:shd w:val="clear" w:color="auto" w:fill="D9D9D9"/>
          </w:tcPr>
          <w:p>
            <w:pPr>
              <w:spacing w:after="0"/>
              <w:rPr>
                <w:sz w:val="24"/>
                <w:szCs w:val="24"/>
                <w:color w:val="auto"/>
              </w:rPr>
            </w:pPr>
          </w:p>
        </w:tc>
        <w:tc>
          <w:tcPr>
            <w:tcW w:w="460" w:type="dxa"/>
            <w:vAlign w:val="bottom"/>
            <w:tcBorders>
              <w:top w:val="single" w:sz="8" w:color="D9D9D9"/>
              <w:bottom w:val="single" w:sz="8" w:color="auto"/>
            </w:tcBorders>
            <w:shd w:val="clear" w:color="auto" w:fill="D9D9D9"/>
          </w:tcPr>
          <w:p>
            <w:pPr>
              <w:spacing w:after="0"/>
              <w:rPr>
                <w:sz w:val="24"/>
                <w:szCs w:val="24"/>
                <w:color w:val="auto"/>
              </w:rPr>
            </w:pPr>
          </w:p>
        </w:tc>
        <w:tc>
          <w:tcPr>
            <w:tcW w:w="120" w:type="dxa"/>
            <w:vAlign w:val="bottom"/>
            <w:tcBorders>
              <w:top w:val="single" w:sz="8" w:color="auto"/>
              <w:bottom w:val="single" w:sz="8" w:color="auto"/>
            </w:tcBorders>
            <w:shd w:val="clear" w:color="auto" w:fill="D9D9D9"/>
          </w:tcPr>
          <w:p>
            <w:pPr>
              <w:spacing w:after="0"/>
              <w:rPr>
                <w:sz w:val="24"/>
                <w:szCs w:val="24"/>
                <w:color w:val="auto"/>
              </w:rPr>
            </w:pPr>
          </w:p>
        </w:tc>
        <w:tc>
          <w:tcPr>
            <w:tcW w:w="1060" w:type="dxa"/>
            <w:vAlign w:val="bottom"/>
            <w:tcBorders>
              <w:top w:val="single" w:sz="8" w:color="auto"/>
              <w:bottom w:val="single" w:sz="8" w:color="auto"/>
            </w:tcBorders>
            <w:gridSpan w:val="2"/>
            <w:shd w:val="clear" w:color="auto" w:fill="D9D9D9"/>
          </w:tcPr>
          <w:p>
            <w:pPr>
              <w:jc w:val="center"/>
              <w:ind w:right="100"/>
              <w:spacing w:after="0" w:line="209" w:lineRule="exact"/>
              <w:rPr>
                <w:sz w:val="20"/>
                <w:szCs w:val="20"/>
                <w:color w:val="auto"/>
              </w:rPr>
            </w:pPr>
            <w:r>
              <w:rPr>
                <w:rFonts w:ascii="Times New Roman" w:cs="Times New Roman" w:eastAsia="Times New Roman" w:hAnsi="Times New Roman"/>
                <w:sz w:val="20"/>
                <w:szCs w:val="20"/>
                <w:color w:val="auto"/>
                <w:w w:val="98"/>
              </w:rPr>
              <w:t>Rate Spread</w:t>
            </w:r>
          </w:p>
        </w:tc>
        <w:tc>
          <w:tcPr>
            <w:tcW w:w="480" w:type="dxa"/>
            <w:vAlign w:val="bottom"/>
            <w:tcBorders>
              <w:top w:val="single" w:sz="8" w:color="D9D9D9"/>
              <w:bottom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right w:val="single" w:sz="8" w:color="auto"/>
            </w:tcBorders>
            <w:gridSpan w:val="4"/>
          </w:tcPr>
          <w:p>
            <w:pPr>
              <w:jc w:val="center"/>
              <w:ind w:right="1320"/>
              <w:spacing w:after="0" w:line="200" w:lineRule="exact"/>
              <w:rPr>
                <w:sz w:val="20"/>
                <w:szCs w:val="20"/>
                <w:color w:val="auto"/>
              </w:rPr>
            </w:pPr>
            <w:r>
              <w:rPr>
                <w:rFonts w:ascii="Times New Roman" w:cs="Times New Roman" w:eastAsia="Times New Roman" w:hAnsi="Times New Roman"/>
                <w:sz w:val="20"/>
                <w:szCs w:val="20"/>
                <w:color w:val="auto"/>
                <w:w w:val="99"/>
              </w:rPr>
              <w:t>Category 1</w:t>
            </w:r>
          </w:p>
        </w:tc>
        <w:tc>
          <w:tcPr>
            <w:tcW w:w="1320" w:type="dxa"/>
            <w:vAlign w:val="bottom"/>
            <w:gridSpan w:val="4"/>
            <w:vMerge w:val="restart"/>
          </w:tcPr>
          <w:p>
            <w:pPr>
              <w:jc w:val="center"/>
              <w:ind w:left="681"/>
              <w:spacing w:after="0"/>
              <w:rPr>
                <w:sz w:val="20"/>
                <w:szCs w:val="20"/>
                <w:color w:val="auto"/>
              </w:rPr>
            </w:pPr>
            <w:r>
              <w:rPr>
                <w:rFonts w:ascii="Times New Roman" w:cs="Times New Roman" w:eastAsia="Times New Roman" w:hAnsi="Times New Roman"/>
                <w:sz w:val="20"/>
                <w:szCs w:val="20"/>
                <w:color w:val="auto"/>
                <w:w w:val="96"/>
              </w:rPr>
              <w:t>1.25%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440" w:type="dxa"/>
            <w:vAlign w:val="bottom"/>
            <w:gridSpan w:val="2"/>
            <w:vMerge w:val="restart"/>
          </w:tcPr>
          <w:p>
            <w:pPr>
              <w:jc w:val="center"/>
              <w:ind w:left="381"/>
              <w:spacing w:after="0"/>
              <w:rPr>
                <w:sz w:val="20"/>
                <w:szCs w:val="20"/>
                <w:color w:val="auto"/>
              </w:rPr>
            </w:pPr>
            <w:r>
              <w:rPr>
                <w:rFonts w:ascii="Times New Roman" w:cs="Times New Roman" w:eastAsia="Times New Roman" w:hAnsi="Times New Roman"/>
                <w:sz w:val="20"/>
                <w:szCs w:val="20"/>
                <w:color w:val="auto"/>
              </w:rPr>
              <w:t>1.25%</w:t>
            </w:r>
          </w:p>
        </w:tc>
        <w:tc>
          <w:tcPr>
            <w:tcW w:w="480" w:type="dxa"/>
            <w:vAlign w:val="bottom"/>
            <w:tcBorders>
              <w:right w:val="single" w:sz="8" w:color="auto"/>
            </w:tcBorders>
          </w:tcPr>
          <w:p>
            <w:pPr>
              <w:spacing w:after="0"/>
              <w:rPr>
                <w:sz w:val="17"/>
                <w:szCs w:val="17"/>
                <w:color w:val="auto"/>
              </w:rPr>
            </w:pPr>
          </w:p>
        </w:tc>
        <w:tc>
          <w:tcPr>
            <w:tcW w:w="1540" w:type="dxa"/>
            <w:vAlign w:val="bottom"/>
            <w:gridSpan w:val="3"/>
            <w:vMerge w:val="restart"/>
          </w:tcPr>
          <w:p>
            <w:pPr>
              <w:jc w:val="center"/>
              <w:ind w:left="461"/>
              <w:spacing w:after="0"/>
              <w:rPr>
                <w:sz w:val="20"/>
                <w:szCs w:val="20"/>
                <w:color w:val="auto"/>
              </w:rPr>
            </w:pPr>
            <w:r>
              <w:rPr>
                <w:rFonts w:ascii="Times New Roman" w:cs="Times New Roman" w:eastAsia="Times New Roman" w:hAnsi="Times New Roman"/>
                <w:sz w:val="20"/>
                <w:szCs w:val="20"/>
                <w:color w:val="auto"/>
                <w:w w:val="96"/>
              </w:rPr>
              <w:t>0.25%</w:t>
            </w:r>
          </w:p>
        </w:tc>
        <w:tc>
          <w:tcPr>
            <w:tcW w:w="10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40" w:type="dxa"/>
            <w:vAlign w:val="bottom"/>
            <w:tcBorders>
              <w:left w:val="single" w:sz="8" w:color="auto"/>
            </w:tcBorders>
          </w:tcPr>
          <w:p>
            <w:pPr>
              <w:spacing w:after="0"/>
              <w:rPr>
                <w:sz w:val="18"/>
                <w:szCs w:val="18"/>
                <w:color w:val="auto"/>
              </w:rPr>
            </w:pPr>
          </w:p>
        </w:tc>
        <w:tc>
          <w:tcPr>
            <w:tcW w:w="4040" w:type="dxa"/>
            <w:vAlign w:val="bottom"/>
            <w:tcBorders>
              <w:right w:val="single" w:sz="8" w:color="auto"/>
            </w:tcBorders>
            <w:gridSpan w:val="6"/>
          </w:tcPr>
          <w:p>
            <w:pPr>
              <w:jc w:val="center"/>
              <w:ind w:right="1040"/>
              <w:spacing w:after="0" w:line="212" w:lineRule="exact"/>
              <w:rPr>
                <w:sz w:val="20"/>
                <w:szCs w:val="20"/>
                <w:color w:val="auto"/>
              </w:rPr>
            </w:pPr>
            <w:r>
              <w:rPr>
                <w:rFonts w:ascii="Times New Roman" w:cs="Times New Roman" w:eastAsia="Times New Roman" w:hAnsi="Times New Roman"/>
                <w:sz w:val="20"/>
                <w:szCs w:val="20"/>
                <w:color w:val="auto"/>
                <w:w w:val="99"/>
              </w:rPr>
              <w:t>&gt; 66% of the Aggregate Commitment</w:t>
            </w:r>
          </w:p>
        </w:tc>
        <w:tc>
          <w:tcPr>
            <w:tcW w:w="1320" w:type="dxa"/>
            <w:vAlign w:val="bottom"/>
            <w:gridSpan w:val="4"/>
            <w:vMerge w:val="continue"/>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right w:val="single" w:sz="8" w:color="auto"/>
            </w:tcBorders>
            <w:gridSpan w:val="4"/>
          </w:tcPr>
          <w:p>
            <w:pPr>
              <w:jc w:val="center"/>
              <w:ind w:right="1320"/>
              <w:spacing w:after="0" w:line="200" w:lineRule="exact"/>
              <w:rPr>
                <w:sz w:val="20"/>
                <w:szCs w:val="20"/>
                <w:color w:val="auto"/>
              </w:rPr>
            </w:pPr>
            <w:r>
              <w:rPr>
                <w:rFonts w:ascii="Times New Roman" w:cs="Times New Roman" w:eastAsia="Times New Roman" w:hAnsi="Times New Roman"/>
                <w:sz w:val="20"/>
                <w:szCs w:val="20"/>
                <w:color w:val="auto"/>
                <w:w w:val="99"/>
              </w:rPr>
              <w:t>Category 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80" w:type="dxa"/>
            <w:vAlign w:val="bottom"/>
            <w:tcBorders>
              <w:left w:val="single" w:sz="8" w:color="auto"/>
              <w:right w:val="single" w:sz="8" w:color="auto"/>
            </w:tcBorders>
            <w:gridSpan w:val="7"/>
          </w:tcPr>
          <w:p>
            <w:pPr>
              <w:jc w:val="center"/>
              <w:spacing w:after="0" w:line="212" w:lineRule="exact"/>
              <w:rPr>
                <w:sz w:val="20"/>
                <w:szCs w:val="20"/>
                <w:color w:val="auto"/>
              </w:rPr>
            </w:pPr>
            <w:r>
              <w:rPr>
                <w:rFonts w:ascii="Times New Roman" w:cs="Times New Roman" w:eastAsia="Times New Roman" w:hAnsi="Times New Roman"/>
                <w:sz w:val="20"/>
                <w:szCs w:val="20"/>
                <w:color w:val="auto"/>
                <w:w w:val="98"/>
              </w:rPr>
              <w:t>&lt; 66% of the Aggregate Commitment but &gt; 33% of the</w:t>
            </w:r>
          </w:p>
        </w:tc>
        <w:tc>
          <w:tcPr>
            <w:tcW w:w="1320" w:type="dxa"/>
            <w:vAlign w:val="bottom"/>
            <w:gridSpan w:val="4"/>
            <w:vMerge w:val="restart"/>
          </w:tcPr>
          <w:p>
            <w:pPr>
              <w:jc w:val="center"/>
              <w:ind w:left="681"/>
              <w:spacing w:after="0"/>
              <w:rPr>
                <w:sz w:val="20"/>
                <w:szCs w:val="20"/>
                <w:color w:val="auto"/>
              </w:rPr>
            </w:pPr>
            <w:r>
              <w:rPr>
                <w:rFonts w:ascii="Times New Roman" w:cs="Times New Roman" w:eastAsia="Times New Roman" w:hAnsi="Times New Roman"/>
                <w:sz w:val="20"/>
                <w:szCs w:val="20"/>
                <w:color w:val="auto"/>
                <w:w w:val="96"/>
              </w:rPr>
              <w:t>1.50%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440" w:type="dxa"/>
            <w:vAlign w:val="bottom"/>
            <w:gridSpan w:val="2"/>
            <w:vMerge w:val="restart"/>
          </w:tcPr>
          <w:p>
            <w:pPr>
              <w:jc w:val="center"/>
              <w:ind w:left="381"/>
              <w:spacing w:after="0"/>
              <w:rPr>
                <w:sz w:val="20"/>
                <w:szCs w:val="20"/>
                <w:color w:val="auto"/>
              </w:rPr>
            </w:pPr>
            <w:r>
              <w:rPr>
                <w:rFonts w:ascii="Times New Roman" w:cs="Times New Roman" w:eastAsia="Times New Roman" w:hAnsi="Times New Roman"/>
                <w:sz w:val="20"/>
                <w:szCs w:val="20"/>
                <w:color w:val="auto"/>
              </w:rPr>
              <w:t>1.50%</w:t>
            </w:r>
          </w:p>
        </w:tc>
        <w:tc>
          <w:tcPr>
            <w:tcW w:w="480" w:type="dxa"/>
            <w:vAlign w:val="bottom"/>
            <w:tcBorders>
              <w:right w:val="single" w:sz="8" w:color="auto"/>
            </w:tcBorders>
          </w:tcPr>
          <w:p>
            <w:pPr>
              <w:spacing w:after="0"/>
              <w:rPr>
                <w:sz w:val="18"/>
                <w:szCs w:val="18"/>
                <w:color w:val="auto"/>
              </w:rPr>
            </w:pPr>
          </w:p>
        </w:tc>
        <w:tc>
          <w:tcPr>
            <w:tcW w:w="1540" w:type="dxa"/>
            <w:vAlign w:val="bottom"/>
            <w:gridSpan w:val="3"/>
            <w:vMerge w:val="restart"/>
          </w:tcPr>
          <w:p>
            <w:pPr>
              <w:jc w:val="center"/>
              <w:ind w:left="461"/>
              <w:spacing w:after="0"/>
              <w:rPr>
                <w:sz w:val="20"/>
                <w:szCs w:val="20"/>
                <w:color w:val="auto"/>
              </w:rPr>
            </w:pPr>
            <w:r>
              <w:rPr>
                <w:rFonts w:ascii="Times New Roman" w:cs="Times New Roman" w:eastAsia="Times New Roman" w:hAnsi="Times New Roman"/>
                <w:sz w:val="20"/>
                <w:szCs w:val="20"/>
                <w:color w:val="auto"/>
                <w:w w:val="96"/>
              </w:rPr>
              <w:t>0.50%</w:t>
            </w:r>
          </w:p>
        </w:tc>
        <w:tc>
          <w:tcPr>
            <w:tcW w:w="1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Aggregate Commitment</w:t>
            </w:r>
          </w:p>
        </w:tc>
        <w:tc>
          <w:tcPr>
            <w:tcW w:w="160" w:type="dxa"/>
            <w:vAlign w:val="bottom"/>
            <w:tcBorders>
              <w:top w:val="single" w:sz="8" w:color="auto"/>
              <w:bottom w:val="single" w:sz="8" w:color="auto"/>
            </w:tcBorders>
            <w:gridSpan w:val="2"/>
          </w:tcPr>
          <w:p>
            <w:pPr>
              <w:spacing w:after="0"/>
              <w:rPr>
                <w:sz w:val="21"/>
                <w:szCs w:val="21"/>
                <w:color w:val="auto"/>
              </w:rPr>
            </w:pPr>
          </w:p>
        </w:tc>
        <w:tc>
          <w:tcPr>
            <w:tcW w:w="122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tcBorders>
            <w:gridSpan w:val="4"/>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gridSpan w:val="2"/>
            <w:vMerge w:val="continue"/>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tcBorders>
            <w:gridSpan w:val="3"/>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04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60" w:type="dxa"/>
            <w:vAlign w:val="bottom"/>
            <w:tcBorders>
              <w:right w:val="single" w:sz="8" w:color="auto"/>
            </w:tcBorders>
            <w:gridSpan w:val="4"/>
          </w:tcPr>
          <w:p>
            <w:pPr>
              <w:jc w:val="center"/>
              <w:ind w:right="1320"/>
              <w:spacing w:after="0" w:line="200" w:lineRule="exact"/>
              <w:rPr>
                <w:sz w:val="20"/>
                <w:szCs w:val="20"/>
                <w:color w:val="auto"/>
              </w:rPr>
            </w:pPr>
            <w:r>
              <w:rPr>
                <w:rFonts w:ascii="Times New Roman" w:cs="Times New Roman" w:eastAsia="Times New Roman" w:hAnsi="Times New Roman"/>
                <w:sz w:val="20"/>
                <w:szCs w:val="20"/>
                <w:color w:val="auto"/>
                <w:w w:val="99"/>
              </w:rPr>
              <w:t>Category 3</w:t>
            </w:r>
          </w:p>
        </w:tc>
        <w:tc>
          <w:tcPr>
            <w:tcW w:w="1320" w:type="dxa"/>
            <w:vAlign w:val="bottom"/>
            <w:gridSpan w:val="4"/>
            <w:vMerge w:val="restart"/>
          </w:tcPr>
          <w:p>
            <w:pPr>
              <w:jc w:val="center"/>
              <w:ind w:left="681"/>
              <w:spacing w:after="0"/>
              <w:rPr>
                <w:sz w:val="20"/>
                <w:szCs w:val="20"/>
                <w:color w:val="auto"/>
              </w:rPr>
            </w:pPr>
            <w:r>
              <w:rPr>
                <w:rFonts w:ascii="Times New Roman" w:cs="Times New Roman" w:eastAsia="Times New Roman" w:hAnsi="Times New Roman"/>
                <w:sz w:val="20"/>
                <w:szCs w:val="20"/>
                <w:color w:val="auto"/>
                <w:w w:val="96"/>
              </w:rPr>
              <w:t>1.75%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1440" w:type="dxa"/>
            <w:vAlign w:val="bottom"/>
            <w:gridSpan w:val="2"/>
            <w:vMerge w:val="restart"/>
          </w:tcPr>
          <w:p>
            <w:pPr>
              <w:jc w:val="center"/>
              <w:ind w:left="381"/>
              <w:spacing w:after="0"/>
              <w:rPr>
                <w:sz w:val="20"/>
                <w:szCs w:val="20"/>
                <w:color w:val="auto"/>
              </w:rPr>
            </w:pPr>
            <w:r>
              <w:rPr>
                <w:rFonts w:ascii="Times New Roman" w:cs="Times New Roman" w:eastAsia="Times New Roman" w:hAnsi="Times New Roman"/>
                <w:sz w:val="20"/>
                <w:szCs w:val="20"/>
                <w:color w:val="auto"/>
              </w:rPr>
              <w:t>1.75%</w:t>
            </w:r>
          </w:p>
        </w:tc>
        <w:tc>
          <w:tcPr>
            <w:tcW w:w="480" w:type="dxa"/>
            <w:vAlign w:val="bottom"/>
            <w:tcBorders>
              <w:right w:val="single" w:sz="8" w:color="auto"/>
            </w:tcBorders>
          </w:tcPr>
          <w:p>
            <w:pPr>
              <w:spacing w:after="0"/>
              <w:rPr>
                <w:sz w:val="17"/>
                <w:szCs w:val="17"/>
                <w:color w:val="auto"/>
              </w:rPr>
            </w:pPr>
          </w:p>
        </w:tc>
        <w:tc>
          <w:tcPr>
            <w:tcW w:w="1540" w:type="dxa"/>
            <w:vAlign w:val="bottom"/>
            <w:gridSpan w:val="3"/>
            <w:vMerge w:val="restart"/>
          </w:tcPr>
          <w:p>
            <w:pPr>
              <w:jc w:val="center"/>
              <w:ind w:left="461"/>
              <w:spacing w:after="0"/>
              <w:rPr>
                <w:sz w:val="20"/>
                <w:szCs w:val="20"/>
                <w:color w:val="auto"/>
              </w:rPr>
            </w:pPr>
            <w:r>
              <w:rPr>
                <w:rFonts w:ascii="Times New Roman" w:cs="Times New Roman" w:eastAsia="Times New Roman" w:hAnsi="Times New Roman"/>
                <w:sz w:val="20"/>
                <w:szCs w:val="20"/>
                <w:color w:val="auto"/>
                <w:w w:val="96"/>
              </w:rPr>
              <w:t>0.75%</w:t>
            </w:r>
          </w:p>
        </w:tc>
        <w:tc>
          <w:tcPr>
            <w:tcW w:w="10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080" w:type="dxa"/>
            <w:vAlign w:val="bottom"/>
            <w:tcBorders>
              <w:left w:val="single" w:sz="8" w:color="auto"/>
              <w:bottom w:val="single" w:sz="8" w:color="auto"/>
              <w:right w:val="single" w:sz="8" w:color="auto"/>
            </w:tcBorders>
            <w:gridSpan w:val="7"/>
          </w:tcPr>
          <w:p>
            <w:pPr>
              <w:jc w:val="center"/>
              <w:spacing w:after="0"/>
              <w:rPr>
                <w:sz w:val="20"/>
                <w:szCs w:val="20"/>
                <w:color w:val="auto"/>
              </w:rPr>
            </w:pPr>
            <w:r>
              <w:rPr>
                <w:rFonts w:ascii="Times New Roman" w:cs="Times New Roman" w:eastAsia="Times New Roman" w:hAnsi="Times New Roman"/>
                <w:sz w:val="20"/>
                <w:szCs w:val="20"/>
                <w:color w:val="auto"/>
                <w:w w:val="99"/>
              </w:rPr>
              <w:t>&lt; 33% of the Aggregate Commitment</w:t>
            </w:r>
          </w:p>
        </w:tc>
        <w:tc>
          <w:tcPr>
            <w:tcW w:w="1320" w:type="dxa"/>
            <w:vAlign w:val="bottom"/>
            <w:tcBorders>
              <w:bottom w:val="single" w:sz="8" w:color="auto"/>
            </w:tcBorders>
            <w:gridSpan w:val="4"/>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tcBorders>
            <w:gridSpan w:val="2"/>
            <w:vMerge w:val="continue"/>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tcBorders>
            <w:gridSpan w:val="3"/>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For purposes of the foregoing, each change in the Applicable Rate shall be effective during the period commencing on and including the first day of each fiscal quarter of the Company and ending on the last day of such fiscal quarter, it being understood and agreed that, for purposes of determining the Applicable Rate on the first day of any fiscal quarter of the Company, the Average Quarterly Availability during the most recently ended fiscal quarter of the Company shall be used.</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the foregoing, the Average Quarterly Availability shall be deemed to be in </w:t>
      </w:r>
      <w:r>
        <w:rPr>
          <w:rFonts w:ascii="Times New Roman" w:cs="Times New Roman" w:eastAsia="Times New Roman" w:hAnsi="Times New Roman"/>
          <w:sz w:val="20"/>
          <w:szCs w:val="20"/>
          <w:u w:val="single" w:color="auto"/>
          <w:color w:val="auto"/>
        </w:rPr>
        <w:t>Category 3</w:t>
      </w:r>
      <w:r>
        <w:rPr>
          <w:rFonts w:ascii="Times New Roman" w:cs="Times New Roman" w:eastAsia="Times New Roman" w:hAnsi="Times New Roman"/>
          <w:sz w:val="20"/>
          <w:szCs w:val="20"/>
          <w:color w:val="auto"/>
        </w:rPr>
        <w:t xml:space="preserve"> at the option of the Administrative Agent or at the request of the Required Lenders if the Borrowers fail to deliver any Aggregate Borrowing Base Certificate or Borrowing Base Certificate required to be delivered by them pursuant to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during the period from the expiration of the time for delivery thereof until five (5) days after the date each such Aggregate Borrowing Base Certificate or Borrowing Base Certificates, as applicable, are so delivered.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8.03(a)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(with the consent of any party whose consent is required by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accepted by the Administrative Agent,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records generated by the use of an electronic platform) approved by the Administrative Agent.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means, at any time:</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3" w:name="page14"/>
    <w:bookmarkEnd w:id="13"/>
    <w:p>
      <w:pPr>
        <w:ind w:left="1420" w:hanging="764"/>
        <w:spacing w:after="0"/>
        <w:tabs>
          <w:tab w:leader="none" w:pos="1420"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the Company, an amount equal to the lesser of (i) an amount equal to (x) the Aggregate Commitment </w:t>
      </w:r>
      <w:r>
        <w:rPr>
          <w:rFonts w:ascii="Times New Roman" w:cs="Times New Roman" w:eastAsia="Times New Roman" w:hAnsi="Times New Roman"/>
          <w:sz w:val="19"/>
          <w:szCs w:val="19"/>
          <w:u w:val="single" w:color="auto"/>
          <w:color w:val="auto"/>
        </w:rPr>
        <w:t>minus</w:t>
      </w:r>
    </w:p>
    <w:p>
      <w:pPr>
        <w:spacing w:after="0" w:line="33" w:lineRule="exact"/>
        <w:rPr>
          <w:rFonts w:ascii="Times New Roman" w:cs="Times New Roman" w:eastAsia="Times New Roman" w:hAnsi="Times New Roman"/>
          <w:sz w:val="19"/>
          <w:szCs w:val="19"/>
          <w:color w:val="auto"/>
        </w:rPr>
      </w:pPr>
    </w:p>
    <w:p>
      <w:pPr>
        <w:ind w:firstLine="8"/>
        <w:spacing w:after="0" w:line="246" w:lineRule="auto"/>
        <w:tabs>
          <w:tab w:leader="none" w:pos="29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Revolving Exposure and (ii) an amount equal to (x) the Aggregate Borrowing Base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Aggregate Revolving Exposure;</w:t>
      </w:r>
    </w:p>
    <w:p>
      <w:pPr>
        <w:spacing w:after="0" w:line="195" w:lineRule="exact"/>
        <w:rPr>
          <w:rFonts w:ascii="Times New Roman" w:cs="Times New Roman" w:eastAsia="Times New Roman" w:hAnsi="Times New Roman"/>
          <w:sz w:val="20"/>
          <w:szCs w:val="20"/>
          <w:color w:val="auto"/>
        </w:rPr>
      </w:pPr>
    </w:p>
    <w:p>
      <w:pPr>
        <w:jc w:val="both"/>
        <w:ind w:firstLine="656"/>
        <w:spacing w:after="0" w:line="245" w:lineRule="auto"/>
        <w:tabs>
          <w:tab w:leader="none" w:pos="182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Winnebago of Indiana, an amount equal to the lesser of (i) an amount equal to (x) the Aggregate Commitment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Aggregate Revolving Exposure and (ii) an amount equal to (x) the sum of Winnebago of Indiana’s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Company’s Borrowing Base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sum of (A) the Winnebago of Indiana Revolving Exposures of all Lenders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excess, if any, of the aggregate Company Revolving Exposures of all Lenders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an amount equal to the sum of (x) the Excess Grand Design Borrowing Base plus (y) the Excess Newmar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an amount equal to the sum of (x) the Grand Design Utilization and (y) the Newmar Utilization;</w:t>
      </w:r>
    </w:p>
    <w:p>
      <w:pPr>
        <w:spacing w:after="0" w:line="197" w:lineRule="exact"/>
        <w:rPr>
          <w:rFonts w:ascii="Times New Roman" w:cs="Times New Roman" w:eastAsia="Times New Roman" w:hAnsi="Times New Roman"/>
          <w:sz w:val="20"/>
          <w:szCs w:val="20"/>
          <w:color w:val="auto"/>
        </w:rPr>
      </w:pPr>
    </w:p>
    <w:p>
      <w:pPr>
        <w:ind w:left="1400" w:hanging="744"/>
        <w:spacing w:after="0"/>
        <w:tabs>
          <w:tab w:leader="none" w:pos="1400"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with respect to Grand Design, an amount equal to the lesser of (i) an amount equal to (x) the Aggregate Commitment </w:t>
      </w:r>
      <w:r>
        <w:rPr>
          <w:rFonts w:ascii="Times New Roman" w:cs="Times New Roman" w:eastAsia="Times New Roman" w:hAnsi="Times New Roman"/>
          <w:sz w:val="19"/>
          <w:szCs w:val="19"/>
          <w:u w:val="single" w:color="auto"/>
          <w:color w:val="auto"/>
        </w:rPr>
        <w:t>minus</w:t>
      </w:r>
    </w:p>
    <w:p>
      <w:pPr>
        <w:spacing w:after="0" w:line="33" w:lineRule="exact"/>
        <w:rPr>
          <w:rFonts w:ascii="Times New Roman" w:cs="Times New Roman" w:eastAsia="Times New Roman" w:hAnsi="Times New Roman"/>
          <w:sz w:val="19"/>
          <w:szCs w:val="19"/>
          <w:color w:val="auto"/>
        </w:rPr>
      </w:pPr>
    </w:p>
    <w:p>
      <w:pPr>
        <w:jc w:val="both"/>
        <w:ind w:firstLine="8"/>
        <w:spacing w:after="0" w:line="252" w:lineRule="auto"/>
        <w:tabs>
          <w:tab w:leader="none" w:pos="30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Aggregate Revolving Exposure and (ii) an amount equal to (x) the sum of Grand Design’s Borrowing Base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Company’s Borrowing Base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(y) the sum of (A) the Grand Design Revolving Exposures of all Lenders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excess, if any, of the aggregate Company Revolving Exposures of all Lenders </w:t>
      </w:r>
      <w:r>
        <w:rPr>
          <w:rFonts w:ascii="Times New Roman" w:cs="Times New Roman" w:eastAsia="Times New Roman" w:hAnsi="Times New Roman"/>
          <w:sz w:val="19"/>
          <w:szCs w:val="19"/>
          <w:u w:val="single" w:color="auto"/>
          <w:color w:val="auto"/>
        </w:rPr>
        <w:t>over</w:t>
      </w:r>
      <w:r>
        <w:rPr>
          <w:rFonts w:ascii="Times New Roman" w:cs="Times New Roman" w:eastAsia="Times New Roman" w:hAnsi="Times New Roman"/>
          <w:sz w:val="19"/>
          <w:szCs w:val="19"/>
          <w:color w:val="auto"/>
        </w:rPr>
        <w:t xml:space="preserve"> an amount equal to the sum of (x) the Excess Winnebago of Indiana Borrowing Base plus</w:t>
      </w:r>
    </w:p>
    <w:p>
      <w:pPr>
        <w:ind w:firstLine="8"/>
        <w:spacing w:after="0" w:line="246" w:lineRule="auto"/>
        <w:tabs>
          <w:tab w:leader="none" w:pos="30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Excess Newmar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an amount equal to the sum of (x) the Winnebago of Indiana Utilization and (y) the Newmar Utilization; and</w:t>
      </w:r>
    </w:p>
    <w:p>
      <w:pPr>
        <w:spacing w:after="0" w:line="195" w:lineRule="exact"/>
        <w:rPr>
          <w:rFonts w:ascii="Times New Roman" w:cs="Times New Roman" w:eastAsia="Times New Roman" w:hAnsi="Times New Roman"/>
          <w:sz w:val="20"/>
          <w:szCs w:val="20"/>
          <w:color w:val="auto"/>
        </w:rPr>
      </w:pPr>
    </w:p>
    <w:p>
      <w:pPr>
        <w:jc w:val="both"/>
        <w:ind w:firstLine="656"/>
        <w:spacing w:after="0" w:line="245" w:lineRule="auto"/>
        <w:tabs>
          <w:tab w:leader="none" w:pos="1463"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Newmar, an amount equal to the lesser of (i) an amount equal to (x) the Aggregate Commitment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Aggregate Revolving Exposure and (ii) an amount equal to (x) the sum of Newmar’s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Company’s Borrowing Base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sum of (A) the Newmar Revolving Exposures of all Lenders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excess, if any, of the aggregate Company Revolving Exposures of all Lenders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an amount equal to the sum of (x) the Excess Winnebago of Indiana Borrowing Base plus (y) the Excess Grand Design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an amount equal to the sum of (x) the Winnebago of Indiana Utilization and (y) the Grand Design Utilization.</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the period from and including the Effective Date to but excluding the earlier of the Maturity Date and the date of termination of the Commitments.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Commitment</w:t>
      </w:r>
      <w:r>
        <w:rPr>
          <w:rFonts w:ascii="Times New Roman" w:cs="Times New Roman" w:eastAsia="Times New Roman" w:hAnsi="Times New Roman"/>
          <w:sz w:val="20"/>
          <w:szCs w:val="20"/>
          <w:color w:val="auto"/>
        </w:rPr>
        <w:t>” means, with respect to any Lender at any time, such Lender’s Commitment minus such Lender’s Revolving Exposure.</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Average Quarterly Availability</w:t>
      </w:r>
      <w:r>
        <w:rPr>
          <w:rFonts w:ascii="Times New Roman" w:cs="Times New Roman" w:eastAsia="Times New Roman" w:hAnsi="Times New Roman"/>
          <w:sz w:val="20"/>
          <w:szCs w:val="20"/>
          <w:color w:val="auto"/>
        </w:rPr>
        <w:t xml:space="preserve">” means, for any fiscal quarter of the Company, an amount equal to the average daily Aggregate Availability during such fiscal quarter,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order to determine Aggregate Availability on any day for purposes of this definition, the Aggregate Borrowing Base and each Borrower’s Borrowing Base for such day shall be determined by reference to the most recent Aggregate Borrowing Base Certificate and each other Borrowing Base Certificate delivered to the Administrative Agent pursuant to </w:t>
      </w:r>
      <w:r>
        <w:rPr>
          <w:rFonts w:ascii="Times New Roman" w:cs="Times New Roman" w:eastAsia="Times New Roman" w:hAnsi="Times New Roman"/>
          <w:sz w:val="20"/>
          <w:szCs w:val="20"/>
          <w:u w:val="single" w:color="auto"/>
          <w:color w:val="auto"/>
        </w:rPr>
        <w:t>Section 5.01(f)</w:t>
      </w:r>
      <w:r>
        <w:rPr>
          <w:rFonts w:ascii="Times New Roman" w:cs="Times New Roman" w:eastAsia="Times New Roman" w:hAnsi="Times New Roman"/>
          <w:sz w:val="20"/>
          <w:szCs w:val="20"/>
          <w:color w:val="auto"/>
        </w:rPr>
        <w:t xml:space="preserve"> as of such day.</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 w:name="page15"/>
    <w:bookmarkEnd w:id="14"/>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8"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Banking Services</w:t>
      </w:r>
      <w:r>
        <w:rPr>
          <w:rFonts w:ascii="Times New Roman" w:cs="Times New Roman" w:eastAsia="Times New Roman" w:hAnsi="Times New Roman"/>
          <w:sz w:val="19"/>
          <w:szCs w:val="19"/>
          <w:color w:val="auto"/>
        </w:rPr>
        <w:t>” means each and any of the following bank services provided to the Company or any Subsidiary by any Lender or any of its Affiliates: (a) credit cards for commercial customers (including, without limitation, commercial credit cards and purchasing cards),</w:t>
      </w:r>
    </w:p>
    <w:p>
      <w:pPr>
        <w:jc w:val="both"/>
        <w:ind w:firstLine="8"/>
        <w:spacing w:after="0" w:line="242" w:lineRule="auto"/>
        <w:tabs>
          <w:tab w:leader="none" w:pos="332"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stored value cards, (c) merchant processing services, (d) treasury management services (including, without limitation, controlled disbursement, automated clearinghouse transactions, return items, any direct debit scheme or arrangement, overdrafts and interstate depository network services) and (e) Lease Financing.</w:t>
      </w:r>
    </w:p>
    <w:p>
      <w:pPr>
        <w:spacing w:after="0" w:line="20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Agreement</w:t>
      </w:r>
      <w:r>
        <w:rPr>
          <w:rFonts w:ascii="Times New Roman" w:cs="Times New Roman" w:eastAsia="Times New Roman" w:hAnsi="Times New Roman"/>
          <w:sz w:val="20"/>
          <w:szCs w:val="20"/>
          <w:color w:val="auto"/>
        </w:rPr>
        <w:t>” means any agreement entered into by the Company or any Subsidiary in connection with Banking Services.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Obligations</w:t>
      </w:r>
      <w:r>
        <w:rPr>
          <w:rFonts w:ascii="Times New Roman" w:cs="Times New Roman" w:eastAsia="Times New Roman" w:hAnsi="Times New Roman"/>
          <w:sz w:val="20"/>
          <w:szCs w:val="20"/>
          <w:color w:val="auto"/>
        </w:rPr>
        <w:t xml:space="preserve">” means any and all obligations of the Company and its Subsidiaries, whether absolute or contingent and howsoever and whensoever created, arising, evidenced or acquired (including all renewals, extensions and modifications thereof and substitutions therefor) in connection with Banking Services;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Banking Services Obligations in respect of Lease Financing shall be limited to Lease Deficiency Obligations.</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Banking Services Reserves</w:t>
      </w:r>
      <w:r>
        <w:rPr>
          <w:rFonts w:ascii="Times New Roman" w:cs="Times New Roman" w:eastAsia="Times New Roman" w:hAnsi="Times New Roman"/>
          <w:sz w:val="20"/>
          <w:szCs w:val="20"/>
          <w:color w:val="auto"/>
        </w:rPr>
        <w:t>” means all Reserves which the Administrative Agent from time to time establishes in its Permitted Discretion for Banking Services then provided or outstanding.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Bankruptcy Code</w:t>
      </w:r>
      <w:r>
        <w:rPr>
          <w:rFonts w:ascii="Times New Roman" w:cs="Times New Roman" w:eastAsia="Times New Roman" w:hAnsi="Times New Roman"/>
          <w:sz w:val="19"/>
          <w:szCs w:val="19"/>
          <w:color w:val="auto"/>
        </w:rPr>
        <w:t>” means Title 11 of the United States Code entitled “Bankruptcy”, as now and hereafter in effect, or any successor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statute.</w:t>
      </w:r>
    </w:p>
    <w:p>
      <w:pPr>
        <w:spacing w:after="0" w:line="20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with respect to any (i) RFR Loan, the Daily Simple SOFR, (ii) Adjusted REVSOFR30 Rate Loan, the REVSOFR30 Rate or (iii) Term Benchmark Loan, the Term SOFR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and the related Benchmark Replacement Date have occurred with respect to the Daily Simple SOFR, the REVSOFR30 Rate or the Term SOFR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 w:name="page16"/>
    <w:bookmarkEnd w:id="15"/>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for any Available Tenor, the first alternative set forth in the order below that can be determined by the Administrative Agent for the applicable Benchmark Replacement Date: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(1)      the Adjusted Daily Simple SOFR; or</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(2)      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Benchmark Replacement as determined pursuant to clause (1) or (2) above would be less than the Floor, the Benchmark Replacement will be deemed to be the Floor for the purposes of this Agreement and the other Loan Documents.</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means, with respect to any Benchmark Replacement and/or any Term Benchmark Loan or Adjusted REVSOFR30 Rate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20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color w:val="auto"/>
        </w:rPr>
        <w:t>permanently or indefinitely ceases to provide all Available Tenors of such Benchmark (or such component thereof); or</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at the time of such statement or publication, there is no successor administrator that will continue to provide any Available Tenor of such Benchmark (or such component thereof);</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at the time of such statement or publication, there is no successor administrator that will continue to provide any Available Tenor of such Benchmark (or such component thereof); or</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all purposes hereunder and under any Loan Document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(y) ending at the time that a Benchmark Replacement has replaced such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or control as required by the Beneficial Ownership Regulation.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Benefit Plan</w:t>
      </w:r>
      <w:r>
        <w:rPr>
          <w:rFonts w:ascii="Times New Roman" w:cs="Times New Roman" w:eastAsia="Times New Roman" w:hAnsi="Times New Roman"/>
          <w:sz w:val="19"/>
          <w:szCs w:val="19"/>
          <w:color w:val="auto"/>
        </w:rPr>
        <w:t>” means any of (a) an “employee benefit plan” (as defined in Section 3(3) of ERISA) that is subject to Title I of ERISA,</w:t>
      </w:r>
    </w:p>
    <w:p>
      <w:pPr>
        <w:spacing w:after="0" w:line="33" w:lineRule="exact"/>
        <w:rPr>
          <w:sz w:val="20"/>
          <w:szCs w:val="20"/>
          <w:color w:val="auto"/>
        </w:rPr>
      </w:pPr>
    </w:p>
    <w:p>
      <w:pPr>
        <w:jc w:val="both"/>
        <w:ind w:firstLine="8"/>
        <w:spacing w:after="0" w:line="242" w:lineRule="auto"/>
        <w:tabs>
          <w:tab w:leader="none" w:pos="28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Bond Hedge Transaction</w:t>
      </w:r>
      <w:r>
        <w:rPr>
          <w:rFonts w:ascii="Times New Roman" w:cs="Times New Roman" w:eastAsia="Times New Roman" w:hAnsi="Times New Roman"/>
          <w:sz w:val="20"/>
          <w:szCs w:val="20"/>
          <w:color w:val="auto"/>
        </w:rPr>
        <w:t>” has the meaning assigned to such term in the definition of “Permitted Call Spread Swap Agreement”.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means, individually or collectively, (a) the Company, (b) Winnebago of Indiana, (c) Grand Design and (d) Newmar.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Representative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Loans of the same Type, made, converted or continued on the same date and, in the case of Term Benchmark Loans, as to which a single Interest Period is in effect, (b) Loans of the same Type, made, converted or continued on the same date and, in the case of Term Benchmark Loans, as to which a single Interest Period is in effect, (c) a Swingline Loan, (d) a Protective Advance and (e) an Overadvance.</w:t>
      </w:r>
    </w:p>
    <w:p>
      <w:pPr>
        <w:spacing w:after="0" w:line="19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w:t>
      </w:r>
      <w:r>
        <w:rPr>
          <w:rFonts w:ascii="Times New Roman" w:cs="Times New Roman" w:eastAsia="Times New Roman" w:hAnsi="Times New Roman"/>
          <w:sz w:val="20"/>
          <w:szCs w:val="20"/>
          <w:color w:val="auto"/>
        </w:rPr>
        <w:t xml:space="preserve">” means, at any time, with respect to each Borrower, the sum of (a) 90% (less the Dilution Percentage then in effect) of an amount equal to (i) such Borrower’s Eligible Accounts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Specified Reserves with respect to such Borrower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lesser of (i) 75% of such Borrower’s Eligible Inventory (other than any Eligible Non-Perpetual Inventory and any Eligible Non-U16 Inventory), at such time, valued at the lower of cost or market value, determined on a first-in-first-out basis and (ii) the product of 85%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the Net Orderly Liquidation Value percentage identified in the most recent inventory appraisal ordered by the Administrative Agent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such Borrower’s Eligible Inventory (other than any Eligible Non-Perpetual Inventory and any Eligible Non-U16 Inventory), valued at the lower of cost or market value, determined on a first-in-first-out basis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the lesser of (i) 55% of such Borrower’s Eligible Non-Perpetual Inventory and Eligible Non-U16 Inventory, at such time, valued at the lower of cost or market value, determined on a first-in-first-out basis and (ii) the product of 65%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the Net Orderly Liquidation Value percentage identified in the most recent inventory appraisal ordered by the Administrative Agent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such Borrower’s Eligible Non-Perpetual Inventory and Eligible Non-U16 Inventory, valued at the lower of cost or market value, determined on a first-in-first-out basis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(d) Reserves (other than the Specified Reserves or any Reserves related to dilution of Accounts that are captured in the definition of Dilution Percentage) related to such Borrower, such Eligible Accounts or such Eligible Inventory.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8" w:name="page19"/>
    <w:bookmarkEnd w:id="18"/>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the foregoing, no assets acquired pursuant to any Acquisition shall be included in the calculation of any Borrowing Base until such time as the Administrative Agent shall have received an Acceptable Inventory Appraisal and an Acceptable Field Examination shall have been completed with respect to such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Eligible Accounts and Eligible Inventory acquired pursuant to any Acquisition but for which no Acceptable Inventory Appraisal has been received or no Acceptable Field Examination has been completed may be included in a Borrowing Base for a period of up to ninety (90) days following such Acquisition (or such longer period as the Administrative Agent may agree to in its sole discretion), so long as (i) the aggregate amount of such acquired assets included in such Borrowing Base shall not exceed an amount equal to 20% of such Borrowing Base (prior to giving effect to such acquired assets) at any time and (ii) subject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this proviso, such Eligible Accounts and Eligible Inventory shall be included in such Borrowing Base with the following adjustments: (A) the advance rate set forth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shall be 75% and (B) in lieu of including such Eligible Inventory in any Borrowing Base in accordance with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the applicable Borrowing Base shall include an amount equal to 50% of such Eligible Inventory, valued at the lower of cost or market value, determined on a first-in-first-out basis. For purposes of clarity, any such assets included in any Borrowing Base pursuant to the proviso of the preceding sentence shall be subject to all future appraisals and field examinations conducted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as applicable, after the acquisition thereof.</w:t>
      </w:r>
    </w:p>
    <w:p>
      <w:pPr>
        <w:spacing w:after="0" w:line="21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Certificate</w:t>
      </w:r>
      <w:r>
        <w:rPr>
          <w:rFonts w:ascii="Times New Roman" w:cs="Times New Roman" w:eastAsia="Times New Roman" w:hAnsi="Times New Roman"/>
          <w:sz w:val="20"/>
          <w:szCs w:val="20"/>
          <w:color w:val="auto"/>
        </w:rPr>
        <w:t xml:space="preserve">” means a certificate, signed and certified as accurate and complete by a Financial Officer of the Borrower Representative, in substantially the form of </w:t>
      </w: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xml:space="preserve"> or another form which is acceptable to the Administrative Agent in its sole discretion.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the Borrower Representative for a Borrowing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Burdensome Restrictions</w:t>
      </w:r>
      <w:r>
        <w:rPr>
          <w:rFonts w:ascii="Times New Roman" w:cs="Times New Roman" w:eastAsia="Times New Roman" w:hAnsi="Times New Roman"/>
          <w:sz w:val="20"/>
          <w:szCs w:val="20"/>
          <w:color w:val="auto"/>
        </w:rPr>
        <w:t xml:space="preserve">” means any consensual encumbrance or restriction of the type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(without giving effect to any exceptions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the proviso to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means any day (other than a Saturday or a Sunday) on which banks are open for business in New York City or Chicago;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relation to RFR Loans and any interest rate settings, fundings, disbursements, settlements or payments of any such RFR Loan, or any other dealings of such RFR Loan, any such day that is only a U.S. Government Securities Business Day.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Cdn.$</w:t>
      </w:r>
      <w:r>
        <w:rPr>
          <w:rFonts w:ascii="Times New Roman" w:cs="Times New Roman" w:eastAsia="Times New Roman" w:hAnsi="Times New Roman"/>
          <w:sz w:val="20"/>
          <w:szCs w:val="20"/>
          <w:color w:val="auto"/>
        </w:rPr>
        <w:t>” means dollars in the lawful currency of Canada.</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for any period, (a) the additions to property, plant and equipment and other capital expenditures of the Company and its Subsidiaries that are (or should be) set forth in a consolidated statement of cash flows of the Company and its Subsidiaries for such period prepared in accordance with GAAP, excluding (i) any such expenditures made to restore, replace or rebuild assets to the condition of such assets immediately prior to any casualty or other insured damage to, or any taking under power of eminent domain or by condemnation or similar proceeding of, such assets to the extent such expenditures are made with insurance proceeds, condemnation awards or damage recovery proceeds relating to any such casualty, damage, taking, condemnation or similar proceeding, (ii) any such expenditures constituting Permitted Acquisitions or any other acquisition of all the Equity Interests in, or all or substantially all the assets of (or the assets constituting a business unit, division, product line or line of business of), any Person and related costs and expenses and (iii) any such expenditures in the form of a substantially contemporaneous exchange of similar property, plant, equipment or other capital assets, except to the extent of cash or other consideration (other than the assets so exchanged), if any, paid or payable by the Company and its Subsidiaries, and (b) such portion of principal payments on Finance Lease Obligations made by the Company and its Subsidiaries during such period as is attributable to additions 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9" w:name="page20"/>
    <w:bookmarkEnd w:id="19"/>
    <w:p>
      <w:pPr>
        <w:jc w:val="both"/>
        <w:spacing w:after="0" w:line="269" w:lineRule="auto"/>
        <w:rPr>
          <w:sz w:val="20"/>
          <w:szCs w:val="20"/>
          <w:color w:val="auto"/>
        </w:rPr>
      </w:pPr>
      <w:r>
        <w:rPr>
          <w:rFonts w:ascii="Times New Roman" w:cs="Times New Roman" w:eastAsia="Times New Roman" w:hAnsi="Times New Roman"/>
          <w:sz w:val="20"/>
          <w:szCs w:val="20"/>
          <w:color w:val="auto"/>
        </w:rPr>
        <w:t>property, plant and equipment that have not otherwise been reflected on the consolidated statement of cash flows as additions to property, plant and equipment for such period.</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any Subsidiary organized under the laws of any jurisdiction other than the United States of America, any state thereof or the District of Columbia, that is a “controlled foreign corporation” for purposes of Section 957 of the Code.</w:t>
      </w:r>
    </w:p>
    <w:p>
      <w:pPr>
        <w:spacing w:after="0" w:line="1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Company; (b) occupation at any time of a majority of the seats (other than vacant seats) on the board of directors of the Company by Persons who were neither (i) nominated, appointed or approved for consideration by shareholders for election by the board of directors of the Company nor (ii) appointed by the directors of the Company so nominated, appointed or approved; (c) the acquisition of direct or indirect Control of the Company by any Person or group; (d) the occurrence of a change in control, or other similar provision, as defined in any agreement or instrument evidencing any Material Indebtedness (triggering a default or mandatory prepayment, which default or mandatory prepayment has not been waived in writing); or (e) the Company ceases to own, directly or indirectly, and Control 100% (other than directors’ qualifying shares) of the ordinary voting and economic power of any Borrower.</w:t>
      </w:r>
    </w:p>
    <w:p>
      <w:pPr>
        <w:spacing w:after="0" w:line="20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any Issuing Bank (or, for purposes of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by any lending office of such Lender or by such Lender’s or such Issuing Bank’s holding company, if any) with any request, rules, guideline, requirement or directive (whether or not having the force of law) by any Governmental Authority;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regardless of the date enacted, adopted, issued or implemented.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when used in reference to any Loan or Borrowing, refers to whether such Loan, or the Loans comprising such Borrowing, are Revolving Loans, Swingline Loans, Protective Advances or Overadvances.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 Term SOFR Administrator</w:t>
      </w:r>
      <w:r>
        <w:rPr>
          <w:rFonts w:ascii="Times New Roman" w:cs="Times New Roman" w:eastAsia="Times New Roman" w:hAnsi="Times New Roman"/>
          <w:sz w:val="20"/>
          <w:szCs w:val="20"/>
          <w:color w:val="auto"/>
        </w:rPr>
        <w:t>” means CME Group Benchmark Administration Limited as administrator of the forward-looking term SOFR (or a successor administrator).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 from time to time.</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means any and all property owned by a Person covered by the Collateral Documents and any and all other property of any Loan Party, now existing or hereafter acquired, that may at any time be or become subject to a security interest or Lien in favor of the Administrative Agent, on behalf of itself and the Secured Parties, to secure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case shall the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include any Excluded Assets.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Access Agreement</w:t>
      </w:r>
      <w:r>
        <w:rPr>
          <w:rFonts w:ascii="Times New Roman" w:cs="Times New Roman" w:eastAsia="Times New Roman" w:hAnsi="Times New Roman"/>
          <w:sz w:val="20"/>
          <w:szCs w:val="20"/>
          <w:color w:val="auto"/>
        </w:rPr>
        <w:t>” has the meaning assigned to such term in the Security Agreement.</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Security Agreement, the Mortgages and all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heretofore, now, or hereafter executed by the Company or any of its Subsidiaries and delivered to the Administrative Agent.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Collection Account</w:t>
      </w:r>
      <w:r>
        <w:rPr>
          <w:rFonts w:ascii="Times New Roman" w:cs="Times New Roman" w:eastAsia="Times New Roman" w:hAnsi="Times New Roman"/>
          <w:sz w:val="20"/>
          <w:szCs w:val="20"/>
          <w:color w:val="auto"/>
        </w:rPr>
        <w:t>” has the meaning assigned to such term in the Security Agreement.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Commercial LC Exposure</w:t>
      </w:r>
      <w:r>
        <w:rPr>
          <w:rFonts w:ascii="Times New Roman" w:cs="Times New Roman" w:eastAsia="Times New Roman" w:hAnsi="Times New Roman"/>
          <w:sz w:val="20"/>
          <w:szCs w:val="20"/>
          <w:color w:val="auto"/>
        </w:rPr>
        <w:t xml:space="preserve">” means, at any time, the sum of (a) the aggregate undrawn amount of all outstanding commercial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aggregate amount of all LC Disbursements relating to commercial Letters of Credit that have not yet been reimbursed by or on behalf of the Borrowers. The Commercial LC Exposure of any Lender at any time shall be its Applicable Percentage of the aggregate Commercial LC Exposure at such time.</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with respect to each Lender, the commitment, if any, of such Lender to make Revolving Loans and to acquire participations in Letters of Credit, Overadvances, Protective Advances and Swingline Loans hereunder, expressed as an amount representing the maximum aggregate permitted amount of such Lender’s Revolving Exposure hereunder, as such commitment may be reduced or increased from time to time pursuant to (a)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(b) assignments by or to such Lender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The initial amount of each Lender’s Commitment is set forth on the </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or in the Assignment and Assumption pursuant to which such Lender shall have assumed its Commitment, as applicable.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Schedule</w:t>
      </w:r>
      <w:r>
        <w:rPr>
          <w:rFonts w:ascii="Times New Roman" w:cs="Times New Roman" w:eastAsia="Times New Roman" w:hAnsi="Times New Roman"/>
          <w:sz w:val="20"/>
          <w:szCs w:val="20"/>
          <w:color w:val="auto"/>
        </w:rPr>
        <w:t>” means the Schedule attached hereto identified as such.</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means Winnebago Industries, Inc., a Minnesota corporation.</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Revolving Exposures</w:t>
      </w:r>
      <w:r>
        <w:rPr>
          <w:rFonts w:ascii="Times New Roman" w:cs="Times New Roman" w:eastAsia="Times New Roman" w:hAnsi="Times New Roman"/>
          <w:sz w:val="20"/>
          <w:szCs w:val="20"/>
          <w:color w:val="auto"/>
        </w:rPr>
        <w:t xml:space="preserve">” means, with respect to any Lender at any time, and without duplication, the sum of (a) the outstanding principal amount of the Revolving Loans made by such Lender to the Company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such Lender’s LC Exposure with respect to Letters of Credit issued for the account of the Company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such Lender’s Swingline Exposure with respect to Swingline Loans made to the Company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an amount equal to its Applicable Percentage of the aggregate principal amount of outstanding Protective Advances made to the Company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(e) an amount equal to its Applicable Percentage of the aggregate principal amount of outstanding Overadvances made to the Company at such time.</w:t>
      </w:r>
    </w:p>
    <w:p>
      <w:pPr>
        <w:spacing w:after="0" w:line="19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7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Consolidated Net Income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to the extent deducted from revenues in determining Consolidated Net Income, (i) Consolidated Interest Expense, (ii) expense for taxes paid or accrued, (iii) depreciation, (iv) amortization, (v) extraordinary losses incurred other than in the ordinary course of business, (vi) non-cash charges, expenses or losses, (vii) any losses for such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attributable to early extinguishment of Indebtedness or obligations under any Swap Agreement, (viii) any unrealized losses for such period attributable to the application of “mark to market” accounting in respect of Swap Agreements, (ix) the cumulative effect for such period of a change in accounting principles, (x) non-recurring out-of-pocket transactional fees, costs and expenses relating to Permitted Acquisitions (or any failed Acquisitions), Investments, Indebtedness, securities offerings and Dispositions, including legal fees, advisory fees and upfront financing fees, (xi) non-recurring out-of-pocket fees, costs and expenses relating to the incurrence, refinancing, amendment or modification of Indebtedness on or prior to the Effective Date, (xii) (A) non-recurring restructuring charges (including, without limitation, relocation costs and costs relating to the opening, closure and/or consolidation of facilities) that are paid or to be paid in cash and (B) with respect to any acquisition or disposition, or issuance, incurrence or assumption of Indebtedness, or other transaction occurring during such period, (1) any projected cost savings (net of continuing associated expenses) expected to be realized as a result of such event, to the extent such cost savings would be permitted to be reflected in financial statements prepared in compliance with Article 11 of Regulation S-X under the Securities Act and (2) any other demonstrable cost-savings (net of continuing associated expenses) not included in the foregoing </w:t>
      </w:r>
      <w:r>
        <w:rPr>
          <w:rFonts w:ascii="Times New Roman" w:cs="Times New Roman" w:eastAsia="Times New Roman" w:hAnsi="Times New Roman"/>
          <w:sz w:val="19"/>
          <w:szCs w:val="19"/>
          <w:u w:val="single" w:color="auto"/>
          <w:color w:val="auto"/>
        </w:rPr>
        <w:t>subclause (B)(1)</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clause (xii)</w:t>
      </w:r>
      <w:r>
        <w:rPr>
          <w:rFonts w:ascii="Times New Roman" w:cs="Times New Roman" w:eastAsia="Times New Roman" w:hAnsi="Times New Roman"/>
          <w:sz w:val="19"/>
          <w:szCs w:val="19"/>
          <w:color w:val="auto"/>
        </w:rPr>
        <w:t xml:space="preserve"> that are reasonably projected in good faith by the Borrower Representative to be achieved in connection with any such event within the 18-month period following the consummation of such event, that are reasonably identifiable, quantifiable and factually supportable in the good faith judgment of the Company and that are set forth in reasonable detail in a certificate of a Financial Officer of the Company (in the case of each of the foregoing </w:t>
      </w:r>
      <w:r>
        <w:rPr>
          <w:rFonts w:ascii="Times New Roman" w:cs="Times New Roman" w:eastAsia="Times New Roman" w:hAnsi="Times New Roman"/>
          <w:sz w:val="19"/>
          <w:szCs w:val="19"/>
          <w:u w:val="single" w:color="auto"/>
          <w:color w:val="auto"/>
        </w:rPr>
        <w:t>subclauses (B)(1)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(B)(2)</w:t>
      </w:r>
      <w:r>
        <w:rPr>
          <w:rFonts w:ascii="Times New Roman" w:cs="Times New Roman" w:eastAsia="Times New Roman" w:hAnsi="Times New Roman"/>
          <w:sz w:val="19"/>
          <w:szCs w:val="19"/>
          <w:color w:val="auto"/>
        </w:rPr>
        <w:t xml:space="preserve">, calculated on a pro forma basis as though such cost savings had been realized on the first day of such period, net of the amount of actual benefits realized during such period from such event);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9" w:lineRule="exact"/>
        <w:rPr>
          <w:sz w:val="20"/>
          <w:szCs w:val="20"/>
          <w:color w:val="auto"/>
        </w:rPr>
      </w:pPr>
    </w:p>
    <w:p>
      <w:pPr>
        <w:jc w:val="both"/>
        <w:ind w:firstLine="8"/>
        <w:spacing w:after="0" w:line="239" w:lineRule="auto"/>
        <w:tabs>
          <w:tab w:leader="none" w:pos="29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Consolidated EBITDA for any period of four (4) consecutive fiscal quarters, the aggregate amount added back under </w:t>
      </w:r>
      <w:r>
        <w:rPr>
          <w:rFonts w:ascii="Times New Roman" w:cs="Times New Roman" w:eastAsia="Times New Roman" w:hAnsi="Times New Roman"/>
          <w:sz w:val="20"/>
          <w:szCs w:val="20"/>
          <w:u w:val="single" w:color="auto"/>
          <w:color w:val="auto"/>
        </w:rPr>
        <w:t>subclauses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(B)(2)</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(xii)</w:t>
      </w:r>
      <w:r>
        <w:rPr>
          <w:rFonts w:ascii="Times New Roman" w:cs="Times New Roman" w:eastAsia="Times New Roman" w:hAnsi="Times New Roman"/>
          <w:sz w:val="20"/>
          <w:szCs w:val="20"/>
          <w:color w:val="auto"/>
        </w:rPr>
        <w:t xml:space="preserve"> in respect of such period shall not exceed fifteen percent (15%) of Consolidated EBITDA (as calculated without giving effect to </w:t>
      </w:r>
      <w:r>
        <w:rPr>
          <w:rFonts w:ascii="Times New Roman" w:cs="Times New Roman" w:eastAsia="Times New Roman" w:hAnsi="Times New Roman"/>
          <w:sz w:val="20"/>
          <w:szCs w:val="20"/>
          <w:u w:val="single" w:color="auto"/>
          <w:color w:val="auto"/>
        </w:rPr>
        <w:t>subclauses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(B)(2)</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(xii)</w:t>
      </w:r>
      <w:r>
        <w:rPr>
          <w:rFonts w:ascii="Times New Roman" w:cs="Times New Roman" w:eastAsia="Times New Roman" w:hAnsi="Times New Roman"/>
          <w:sz w:val="20"/>
          <w:szCs w:val="20"/>
          <w:color w:val="auto"/>
        </w:rPr>
        <w:t xml:space="preserve">), (y) all adjustments pursuant to the foregoing </w:t>
      </w:r>
      <w:r>
        <w:rPr>
          <w:rFonts w:ascii="Times New Roman" w:cs="Times New Roman" w:eastAsia="Times New Roman" w:hAnsi="Times New Roman"/>
          <w:sz w:val="20"/>
          <w:szCs w:val="20"/>
          <w:u w:val="single" w:color="auto"/>
          <w:color w:val="auto"/>
        </w:rPr>
        <w:t>subclause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(xii)</w:t>
      </w:r>
      <w:r>
        <w:rPr>
          <w:rFonts w:ascii="Times New Roman" w:cs="Times New Roman" w:eastAsia="Times New Roman" w:hAnsi="Times New Roman"/>
          <w:sz w:val="20"/>
          <w:szCs w:val="20"/>
          <w:color w:val="auto"/>
        </w:rPr>
        <w:t xml:space="preserve"> will be without duplication of any amounts that are otherwise included or added back in computing Consolidated EBITDA in accordance with this definition and (z) with respect to the foregoing </w:t>
      </w:r>
      <w:r>
        <w:rPr>
          <w:rFonts w:ascii="Times New Roman" w:cs="Times New Roman" w:eastAsia="Times New Roman" w:hAnsi="Times New Roman"/>
          <w:sz w:val="20"/>
          <w:szCs w:val="20"/>
          <w:u w:val="single" w:color="auto"/>
          <w:color w:val="auto"/>
        </w:rPr>
        <w:t>subclause (B)(2)</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(xii)</w:t>
      </w:r>
      <w:r>
        <w:rPr>
          <w:rFonts w:ascii="Times New Roman" w:cs="Times New Roman" w:eastAsia="Times New Roman" w:hAnsi="Times New Roman"/>
          <w:sz w:val="20"/>
          <w:szCs w:val="20"/>
          <w:color w:val="auto"/>
        </w:rPr>
        <w:t xml:space="preserve">, if any cost savings included in any pro forma calculations based on the anticipation that such cost savings will be achieved within such 18-month period shall at any time cease to be reasonably anticipated by the Company to be so achieved, then on and after such time, such cost savings shall no longer be added to Consolidated EBITDA pursuant to this </w:t>
      </w:r>
      <w:r>
        <w:rPr>
          <w:rFonts w:ascii="Times New Roman" w:cs="Times New Roman" w:eastAsia="Times New Roman" w:hAnsi="Times New Roman"/>
          <w:sz w:val="20"/>
          <w:szCs w:val="20"/>
          <w:u w:val="single" w:color="auto"/>
          <w:color w:val="auto"/>
        </w:rPr>
        <w:t>clause (xii)</w:t>
      </w:r>
      <w:r>
        <w:rPr>
          <w:rFonts w:ascii="Times New Roman" w:cs="Times New Roman" w:eastAsia="Times New Roman" w:hAnsi="Times New Roman"/>
          <w:sz w:val="20"/>
          <w:szCs w:val="20"/>
          <w:color w:val="auto"/>
        </w:rPr>
        <w:t xml:space="preserve"> and (xiii) fees, costs and expenses incurred in connection with the Company’s implementation of enterprise resource planning (ERP);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determining Consolidated EBITDA for any period of four (4) consecutive fiscal quarters of the Company, the aggregate amount added back under this </w:t>
      </w:r>
      <w:r>
        <w:rPr>
          <w:rFonts w:ascii="Times New Roman" w:cs="Times New Roman" w:eastAsia="Times New Roman" w:hAnsi="Times New Roman"/>
          <w:sz w:val="20"/>
          <w:szCs w:val="20"/>
          <w:u w:val="single" w:color="auto"/>
          <w:color w:val="auto"/>
        </w:rPr>
        <w:t>clause (xiii)</w:t>
      </w:r>
      <w:r>
        <w:rPr>
          <w:rFonts w:ascii="Times New Roman" w:cs="Times New Roman" w:eastAsia="Times New Roman" w:hAnsi="Times New Roman"/>
          <w:sz w:val="20"/>
          <w:szCs w:val="20"/>
          <w:color w:val="auto"/>
        </w:rPr>
        <w:t xml:space="preserve"> in respect of such period shall not exceed $8,000,000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to the extent included in Consolidated Net Income, (1) interest income, (2) any cash payments made during such period in respect of items described in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xml:space="preserve"> above subsequent to the fiscal quarter in which the relevant non-cash expenses or losses were incurred, (3) extraordinary gains realized other than in the ordinary course of business, (4) any non-cash gains for such period, including with respect to write-ups of assets or goodwill, determined on a consolidated basis in accordance with GAAP, (5) any gains attributable to the early extinguishment of Indebtedness or obligations under any Swap Agreement, determined on a consolidated basis in accordance with GAAP, (6) the cumulative effect for such period of a change in accounting principles and (7) any unrealized gains for such period attributable to the application of “mark to market” accounting in respect of Swap Agreements, all calculated for the Company and its Subsidiaries in accordance with GAAP on a consolidated basis. For the purposes of calculating Consolidated EBITDA for any period of four consecutive fiscal quarters (each such period, a “</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(i) if at any time during such Reference Period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Company or any Subsidiary shall have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2" w:name="page23"/>
    <w:bookmarkEnd w:id="22"/>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made a Material Acquisition, Consolidated EBITDA for such Reference Period shall be calculated after giving pro forma effect thereto (in the manner described in </w:t>
      </w:r>
      <w:r>
        <w:rPr>
          <w:rFonts w:ascii="Times New Roman" w:cs="Times New Roman" w:eastAsia="Times New Roman" w:hAnsi="Times New Roman"/>
          <w:sz w:val="20"/>
          <w:szCs w:val="20"/>
          <w:u w:val="single" w:color="auto"/>
          <w:color w:val="auto"/>
        </w:rPr>
        <w:t>Section 1.04(b)</w:t>
      </w:r>
      <w:r>
        <w:rPr>
          <w:rFonts w:ascii="Times New Roman" w:cs="Times New Roman" w:eastAsia="Times New Roman" w:hAnsi="Times New Roman"/>
          <w:sz w:val="20"/>
          <w:szCs w:val="20"/>
          <w:color w:val="auto"/>
        </w:rPr>
        <w:t>) as if such Material Acquisition occurred on the first day of such Reference Period. As used in this Agreement, “</w:t>
      </w:r>
      <w:r>
        <w:rPr>
          <w:rFonts w:ascii="Times New Roman" w:cs="Times New Roman" w:eastAsia="Times New Roman" w:hAnsi="Times New Roman"/>
          <w:sz w:val="20"/>
          <w:szCs w:val="20"/>
          <w:u w:val="single" w:color="auto"/>
          <w:color w:val="auto"/>
        </w:rPr>
        <w:t>Material Acquisition</w:t>
      </w:r>
      <w:r>
        <w:rPr>
          <w:rFonts w:ascii="Times New Roman" w:cs="Times New Roman" w:eastAsia="Times New Roman" w:hAnsi="Times New Roman"/>
          <w:sz w:val="20"/>
          <w:szCs w:val="20"/>
          <w:color w:val="auto"/>
        </w:rPr>
        <w:t>” means any acquisition of property or series of related acquisitions of property that (a) constitutes</w:t>
      </w:r>
    </w:p>
    <w:p>
      <w:pPr>
        <w:jc w:val="both"/>
        <w:ind w:firstLine="8"/>
        <w:spacing w:after="0" w:line="241" w:lineRule="auto"/>
        <w:tabs>
          <w:tab w:leader="none" w:pos="24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$20,000,000; and “</w:t>
      </w:r>
      <w:r>
        <w:rPr>
          <w:rFonts w:ascii="Times New Roman" w:cs="Times New Roman" w:eastAsia="Times New Roman" w:hAnsi="Times New Roman"/>
          <w:sz w:val="20"/>
          <w:szCs w:val="20"/>
          <w:u w:val="single" w:color="auto"/>
          <w:color w:val="auto"/>
        </w:rPr>
        <w:t>Material Disposition</w:t>
      </w:r>
      <w:r>
        <w:rPr>
          <w:rFonts w:ascii="Times New Roman" w:cs="Times New Roman" w:eastAsia="Times New Roman" w:hAnsi="Times New Roman"/>
          <w:sz w:val="20"/>
          <w:szCs w:val="20"/>
          <w:color w:val="auto"/>
        </w:rPr>
        <w:t>” means any Disposition of property or series of related sales, transfers, or dispositions of property that yields gross proceeds to the Company or any of its Subsidiaries in excess of $20,000,000.</w:t>
      </w:r>
    </w:p>
    <w:p>
      <w:pPr>
        <w:spacing w:after="0" w:line="2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means, with reference to any period, the interest expense (including without limitation interest expense under Finance Lease Obligations that is treated as interest in accordance with GAAP) of the Company and its Subsidiaries calculated on a consolidated basis for such period with respect to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In the event that the Company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means, with reference to any period, the net income (or loss) of the Company and its Subsidiaries calculated in accordance with GAAP on a consolidated basis (without duplication) for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any income (or loss) of any Person other than the Company or a Subsidiary, but any such income so excluded may be included in such period or any later period to the extent of any cash dividends or distributions actually paid in the relevant period to the Company or any Subsidiary of the Company.</w:t>
      </w:r>
    </w:p>
    <w:p>
      <w:pPr>
        <w:spacing w:after="0" w:line="198"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means, as of the date of any determination thereof, total assets of the Company and its Subsidiaries calculated in accordance with GAAP on a consolidated basis as of the last day of the most recent Test Period, determined on a pro forma basis.</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Indebtedness</w:t>
      </w:r>
      <w:r>
        <w:rPr>
          <w:rFonts w:ascii="Times New Roman" w:cs="Times New Roman" w:eastAsia="Times New Roman" w:hAnsi="Times New Roman"/>
          <w:sz w:val="20"/>
          <w:szCs w:val="20"/>
          <w:color w:val="auto"/>
        </w:rPr>
        <w:t xml:space="preserve">” means at any time the sum, without duplication, of (a) the aggregate Indebtedness of the Company and its Subsidiaries calculated on a consolidated basis as of such time in accordance with GAAP, (b) the aggregate amount of Indebtedness of the Company and its Subsidiaries relating to the maximum drawing amount of all letters of credit outstanding and bankers’ acceptances and (c) Indebtedness of the type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hereof of another Person guaranteed by the Company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Total Indebtedness shall exclude the aggregate amount of Indebtedness of the Company and its Subsidiaries in respect of undrawn performance and commercial letters of credit, Guarantees related thereto, obligations with respect to deposits and advances in the ordinary course of business, and obligations in respect of Repurchase Agreements.</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Secured Indebtedness</w:t>
      </w:r>
      <w:r>
        <w:rPr>
          <w:rFonts w:ascii="Times New Roman" w:cs="Times New Roman" w:eastAsia="Times New Roman" w:hAnsi="Times New Roman"/>
          <w:sz w:val="20"/>
          <w:szCs w:val="20"/>
          <w:color w:val="auto"/>
        </w:rPr>
        <w:t>” means, as of any date of determination, any Consolidated Total Indebtedness that is secured by Liens on any assets or property of the Company or any of its Subsidiaries.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3" w:name="page24"/>
    <w:bookmarkEnd w:id="23"/>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“covered entity” as that term is defined in, and interpreted in accordance with, 12 C.F.R. § 252.82(b);</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“covered bank” as that term is defined in, and interpreted in accordance with, 12 C.F.R. § 47.3(b); or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“covered FSI” as that term is defined in, and interpreted in accordance with, 12 C.F.R. § 382.2(b).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means a Borrowing, the issuance, amendment, renewal or extension of a Letter of Credit, an LC Disbursement or any of the foregoing.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each Issuing Bank, the Swingline Lender or any other Lender.</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a rate per annum equal to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DDA Access Product</w:t>
      </w:r>
      <w:r>
        <w:rPr>
          <w:rFonts w:ascii="Times New Roman" w:cs="Times New Roman" w:eastAsia="Times New Roman" w:hAnsi="Times New Roman"/>
          <w:sz w:val="20"/>
          <w:szCs w:val="20"/>
          <w:color w:val="auto"/>
        </w:rPr>
        <w:t>” means the bank service provided to any Loan Party by JPMCB in its sole discretion consisting of direct access to schedule payments from the Funding Account by electronic, internet or other access mechanisms that may be agreed upon from time to time by JPMCB and the funding of such payments under the Loan Borrowing Option in the DDA Access Product Agreement.</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DDA Access Product Agreement</w:t>
      </w:r>
      <w:r>
        <w:rPr>
          <w:rFonts w:ascii="Times New Roman" w:cs="Times New Roman" w:eastAsia="Times New Roman" w:hAnsi="Times New Roman"/>
          <w:sz w:val="20"/>
          <w:szCs w:val="20"/>
          <w:color w:val="auto"/>
        </w:rPr>
        <w:t>” means JPMCB’s Treasury Services End of Day Investment &amp; Loan Sweep Service Terms, as in effect on the date of this Agreement, as the same may be amended from time to time.</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any Lender that (a) has failed, within two (2) Business Days of the date required to be funded or paid, to</w:t>
      </w:r>
    </w:p>
    <w:p>
      <w:pPr>
        <w:spacing w:after="0" w:line="33" w:lineRule="exact"/>
        <w:rPr>
          <w:sz w:val="20"/>
          <w:szCs w:val="20"/>
          <w:color w:val="auto"/>
        </w:rPr>
      </w:pPr>
    </w:p>
    <w:p>
      <w:pPr>
        <w:jc w:val="both"/>
        <w:ind w:firstLine="8"/>
        <w:spacing w:after="0" w:line="241" w:lineRule="auto"/>
        <w:tabs>
          <w:tab w:leader="none" w:pos="25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fund any portion of its Loans, (ii) fund any portion of its participations in Letters of Credit or Swingline Loans or (iii) pay over to any Credit Party any other amount required to be paid by it hereunder, unless,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such Credit Party’s receipt of such certification in form and substance satisfactory to it and the Administrative Agent, or (d) has become the subject of (A) a Bankruptcy Event or (B) a Bail-In Action.</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Dilution Percentage</w:t>
      </w:r>
      <w:r>
        <w:rPr>
          <w:rFonts w:ascii="Times New Roman" w:cs="Times New Roman" w:eastAsia="Times New Roman" w:hAnsi="Times New Roman"/>
          <w:sz w:val="20"/>
          <w:szCs w:val="20"/>
          <w:color w:val="auto"/>
        </w:rPr>
        <w:t>” means, with respect to each Borrower at any time, for any twelve-month period, a percentage (rounded to the nearest tenth of one percent) determined by the Administrative Agent, based on information contained in the most recent field examination conducted by or on behalf of the Administrative Agent (or, in the Permitted Discretion of the Administrative Agent, based on updated information provided to the Administrative Agent by the Borrowers), that reflects the amount of dilution of such Borrower’s Accounts expressed as a percentage of gross sales for the applicable twelve-month measurement period.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w:t>
      </w:r>
      <w:r>
        <w:rPr>
          <w:rFonts w:ascii="Times New Roman" w:cs="Times New Roman" w:eastAsia="Times New Roman" w:hAnsi="Times New Roman"/>
          <w:sz w:val="20"/>
          <w:szCs w:val="20"/>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5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is or becomes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is redeemable (other than solely for Equity Interests in such Person that do not constitute Disqualified Equity Interests and cash in lieu of fractional shares of such Equity Interests) or is required to be repurchased by the Company or any Subsidiary, in whole or in part, at the option of the holder thereof;</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in each case, on or prior to the date that is ninety one (91) days after the Maturity Date (determined as of the date of issuance thereof or, in the case of any such Equity Interests outstanding on the Effective Date,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repayment in full of all the Loans and all other Secured Obligations that are accrued and payable, the cancellation or expiration of all Letters of Credit and the termination or expiration of the Commitments and (ii) an Equity Interest in any Person that is issued to any employee or to any plan for the benefit of employees or by any such plan to such employees shall not constitute a Disqualified Equity Interest solely because it may be required to be repurchased by such Person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5" w:name="page26"/>
    <w:bookmarkEnd w:id="25"/>
    <w:p>
      <w:pPr>
        <w:jc w:val="both"/>
        <w:spacing w:after="0" w:line="269" w:lineRule="auto"/>
        <w:rPr>
          <w:sz w:val="20"/>
          <w:szCs w:val="20"/>
          <w:color w:val="auto"/>
        </w:rPr>
      </w:pPr>
      <w:r>
        <w:rPr>
          <w:rFonts w:ascii="Times New Roman" w:cs="Times New Roman" w:eastAsia="Times New Roman" w:hAnsi="Times New Roman"/>
          <w:sz w:val="20"/>
          <w:szCs w:val="20"/>
          <w:color w:val="auto"/>
        </w:rPr>
        <w:t>or any of its subsidiaries in order to satisfy applicable statutory or regulatory obligations or as a result of such employee’s termination, death or disability.</w:t>
      </w:r>
    </w:p>
    <w:p>
      <w:pPr>
        <w:spacing w:after="0" w:line="1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Lenders</w:t>
      </w:r>
      <w:r>
        <w:rPr>
          <w:rFonts w:ascii="Times New Roman" w:cs="Times New Roman" w:eastAsia="Times New Roman" w:hAnsi="Times New Roman"/>
          <w:sz w:val="20"/>
          <w:szCs w:val="20"/>
          <w:color w:val="auto"/>
        </w:rPr>
        <w:t xml:space="preserve">” means (a) entities that have been specifically identified by the Company to the Administrative Agent in writing prior to November 8, 2016, (b) entities that are reasonably determined by the Company to be competitors of the Company or its subsidiaries (including Grand Design and its subsidiaries) and which are specifically identified by the Company to the Administrative Agent in writing prior to November 8, 2016 and (c) in the case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any of such entities’ Affiliates to the extent such Affiliates (x)(i) are clearly identifiable as Affiliates of such entities based solely on the similarity of such Affiliates’ and such entities’ names and (ii) are not bona fide debt investment funds or (y)(i) upon reasonable notice to the Administrative Agent after the Effective Date, are identified as Affiliates in writing after the Effective Date in a written supplement to the list of “</w:t>
      </w:r>
      <w:r>
        <w:rPr>
          <w:rFonts w:ascii="Times New Roman" w:cs="Times New Roman" w:eastAsia="Times New Roman" w:hAnsi="Times New Roman"/>
          <w:sz w:val="20"/>
          <w:szCs w:val="20"/>
          <w:u w:val="single" w:color="auto"/>
          <w:color w:val="auto"/>
        </w:rPr>
        <w:t>Disqualified Lenders</w:t>
      </w:r>
      <w:r>
        <w:rPr>
          <w:rFonts w:ascii="Times New Roman" w:cs="Times New Roman" w:eastAsia="Times New Roman" w:hAnsi="Times New Roman"/>
          <w:sz w:val="20"/>
          <w:szCs w:val="20"/>
          <w:color w:val="auto"/>
        </w:rPr>
        <w:t xml:space="preserve">”, which supplement shall become effective three (3) Business Days after delivery to the Administrative Agent and the Lenders, but which shall not apply retroactively to disqualify any parties that have previously acquired an assignment or participation interest in the Loans and (ii) are not bona fide debt investment funds. It is understood and agreed that (i) any supplement to the list of Persons that are Disqualified Lenders contemplated by the foregoing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shall not apply retroactively to disqualify any Persons that have previously acquired an assignment or participation interest in the Loans (but solely with respect to such Loans), (ii) the Administrative Agent shall have no responsibility or liability to determine or monitor whether any Lender or potential Lender is a Disqualified Lender, (iii) the Company’s failure to deliver such list (or supplement thereto) in accordance with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shall render such list (or supplement) not received and not effective and (iv) “</w:t>
      </w:r>
      <w:r>
        <w:rPr>
          <w:rFonts w:ascii="Times New Roman" w:cs="Times New Roman" w:eastAsia="Times New Roman" w:hAnsi="Times New Roman"/>
          <w:sz w:val="20"/>
          <w:szCs w:val="20"/>
          <w:u w:val="single" w:color="auto"/>
          <w:color w:val="auto"/>
        </w:rPr>
        <w:t>Disqualified Lender</w:t>
      </w:r>
      <w:r>
        <w:rPr>
          <w:rFonts w:ascii="Times New Roman" w:cs="Times New Roman" w:eastAsia="Times New Roman" w:hAnsi="Times New Roman"/>
          <w:sz w:val="20"/>
          <w:szCs w:val="20"/>
          <w:color w:val="auto"/>
        </w:rPr>
        <w:t>” shall exclude any Person that the Company has designated as no longer being a “</w:t>
      </w:r>
      <w:r>
        <w:rPr>
          <w:rFonts w:ascii="Times New Roman" w:cs="Times New Roman" w:eastAsia="Times New Roman" w:hAnsi="Times New Roman"/>
          <w:sz w:val="20"/>
          <w:szCs w:val="20"/>
          <w:u w:val="single" w:color="auto"/>
          <w:color w:val="auto"/>
        </w:rPr>
        <w:t>Disqualified Lender</w:t>
      </w:r>
      <w:r>
        <w:rPr>
          <w:rFonts w:ascii="Times New Roman" w:cs="Times New Roman" w:eastAsia="Times New Roman" w:hAnsi="Times New Roman"/>
          <w:sz w:val="20"/>
          <w:szCs w:val="20"/>
          <w:color w:val="auto"/>
        </w:rPr>
        <w:t xml:space="preserve">” by written notice delivered to the Administrative Agent from time to time in accordance with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has the meaning assigned to it in the definition of “</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w:t>
      </w:r>
      <w:r>
        <w:rPr>
          <w:rFonts w:ascii="Times New Roman" w:cs="Times New Roman" w:eastAsia="Times New Roman" w:hAnsi="Times New Roman"/>
          <w:sz w:val="20"/>
          <w:szCs w:val="20"/>
          <w:color w:val="auto"/>
        </w:rPr>
        <w:t>” means the division of the assets, liabilities and/or obligations of a Person (the “</w:t>
      </w:r>
      <w:r>
        <w:rPr>
          <w:rFonts w:ascii="Times New Roman" w:cs="Times New Roman" w:eastAsia="Times New Roman" w:hAnsi="Times New Roman"/>
          <w:sz w:val="20"/>
          <w:szCs w:val="20"/>
          <w:u w:val="single" w:color="auto"/>
          <w:color w:val="auto"/>
        </w:rPr>
        <w:t>Dividing Person</w:t>
      </w:r>
      <w:r>
        <w:rPr>
          <w:rFonts w:ascii="Times New Roman" w:cs="Times New Roman" w:eastAsia="Times New Roman" w:hAnsi="Times New Roman"/>
          <w:sz w:val="20"/>
          <w:szCs w:val="20"/>
          <w:color w:val="auto"/>
        </w:rPr>
        <w:t>”) among two or more Persons (whether pursuant to a “plan of division” or similar arrangement), which may or may not include the Dividing Person and pursuant to which the Dividing Person may or may not survive.</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Division Successor</w:t>
      </w:r>
      <w:r>
        <w:rPr>
          <w:rFonts w:ascii="Times New Roman" w:cs="Times New Roman" w:eastAsia="Times New Roman" w:hAnsi="Times New Roman"/>
          <w:sz w:val="20"/>
          <w:szCs w:val="20"/>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Document</w:t>
      </w:r>
      <w:r>
        <w:rPr>
          <w:rFonts w:ascii="Times New Roman" w:cs="Times New Roman" w:eastAsia="Times New Roman" w:hAnsi="Times New Roman"/>
          <w:sz w:val="20"/>
          <w:szCs w:val="20"/>
          <w:color w:val="auto"/>
        </w:rPr>
        <w:t>” has the meaning assigned to such term in the Security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Foreign Holdco Subsidiary</w:t>
      </w:r>
      <w:r>
        <w:rPr>
          <w:rFonts w:ascii="Times New Roman" w:cs="Times New Roman" w:eastAsia="Times New Roman" w:hAnsi="Times New Roman"/>
          <w:sz w:val="20"/>
          <w:szCs w:val="20"/>
          <w:color w:val="auto"/>
        </w:rPr>
        <w:t>” means any Domestic Subsidiary substantially all of the assets of which consist of the Equity Interests (or Equity Interests and Indebtedness) of one or more CFCs.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Subsidiary organized under the laws of a jurisdiction located in the United States of America.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9.04(e)(iv)</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6" w:name="page27"/>
    <w:bookmarkEnd w:id="26"/>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ECP</w:t>
      </w:r>
      <w:r>
        <w:rPr>
          <w:rFonts w:ascii="Times New Roman" w:cs="Times New Roman" w:eastAsia="Times New Roman" w:hAnsi="Times New Roman"/>
          <w:sz w:val="20"/>
          <w:szCs w:val="20"/>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means the date on which the conditions specified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System</w:t>
      </w:r>
      <w:r>
        <w:rPr>
          <w:rFonts w:ascii="Times New Roman" w:cs="Times New Roman" w:eastAsia="Times New Roman" w:hAnsi="Times New Roman"/>
          <w:sz w:val="20"/>
          <w:szCs w:val="20"/>
          <w:color w:val="auto"/>
        </w:rPr>
        <w:t>” means any electronic system, including e-mail, e-fax, web portal access for any Borrower,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9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Accounts</w:t>
      </w:r>
      <w:r>
        <w:rPr>
          <w:rFonts w:ascii="Times New Roman" w:cs="Times New Roman" w:eastAsia="Times New Roman" w:hAnsi="Times New Roman"/>
          <w:sz w:val="20"/>
          <w:szCs w:val="20"/>
          <w:color w:val="auto"/>
        </w:rPr>
        <w:t>” means, at any time, the Accounts of any Borrower which the Administrative Agent determines in its Permitted Discretion are eligible as the basis for the extension of Revolving Loans and Swingline Loans and the issuance of Letters of Credit. Without limiting the Administrative Agent’s discretion provided herein, Eligible Accounts shall not include any Account of a Borrower:</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other than to the extent a Reserve is established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which is not subject to a first priority perfected security interest in favor of the Administrative Agent;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subject to any Lien, unless (i) such Lien constitutes (x) a Lien in favor of the Administrative Agent, (y) a Permitted Encumbrance which does not have priority over the Lien in favor of the Administrative Agent or (z) a Lien permitted under </w:t>
      </w:r>
      <w:r>
        <w:rPr>
          <w:rFonts w:ascii="Times New Roman" w:cs="Times New Roman" w:eastAsia="Times New Roman" w:hAnsi="Times New Roman"/>
          <w:sz w:val="20"/>
          <w:szCs w:val="20"/>
          <w:u w:val="single" w:color="auto"/>
          <w:color w:val="auto"/>
        </w:rPr>
        <w:t>Section 6.02(a)</w:t>
      </w:r>
    </w:p>
    <w:p>
      <w:pPr>
        <w:spacing w:after="0" w:line="2" w:lineRule="exact"/>
        <w:rPr>
          <w:sz w:val="20"/>
          <w:szCs w:val="20"/>
          <w:color w:val="auto"/>
        </w:rPr>
      </w:pPr>
    </w:p>
    <w:p>
      <w:pPr>
        <w:ind w:firstLine="8"/>
        <w:spacing w:after="0" w:line="246" w:lineRule="auto"/>
        <w:tabs>
          <w:tab w:leader="none" w:pos="317" w:val="left"/>
        </w:tabs>
        <w:numPr>
          <w:ilvl w:val="0"/>
          <w:numId w:val="1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or (ii) the Administrative Agent shall have established a Reserve in its Permitted Discretion for liabilities of such Borrower that are secured by such Lien;</w:t>
      </w:r>
    </w:p>
    <w:p>
      <w:pPr>
        <w:spacing w:after="0" w:line="19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which is unpaid more than ninety (90) days after the date of the original invoice therefor or more than sixty (60) days after the original due date therefor (“</w:t>
      </w:r>
      <w:r>
        <w:rPr>
          <w:rFonts w:ascii="Times New Roman" w:cs="Times New Roman" w:eastAsia="Times New Roman" w:hAnsi="Times New Roman"/>
          <w:sz w:val="20"/>
          <w:szCs w:val="20"/>
          <w:u w:val="single" w:color="auto"/>
          <w:color w:val="auto"/>
        </w:rPr>
        <w:t>Overage</w:t>
      </w:r>
      <w:r>
        <w:rPr>
          <w:rFonts w:ascii="Times New Roman" w:cs="Times New Roman" w:eastAsia="Times New Roman" w:hAnsi="Times New Roman"/>
          <w:sz w:val="20"/>
          <w:szCs w:val="20"/>
          <w:color w:val="auto"/>
        </w:rPr>
        <w:t xml:space="preserve">”) (when calculating the amount under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for the same Account Debtor, the Administrative Agent shall include the net amount of such Overage and add back any credits, but only to the extent that such credits do not exceed the total gross receivables from such Account Debtor), or (ii) which has been written off the books of such Borrower or otherwise designated as uncollectible;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7" w:name="page28"/>
    <w:bookmarkEnd w:id="27"/>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owing by an Account Debtor for which more than 50% of the Accounts owing from such Account Debtor and its Affiliates are ineligible under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w:t>
      </w:r>
    </w:p>
    <w:p>
      <w:pPr>
        <w:spacing w:after="0" w:line="17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which is owing by an Account Debtor to the extent the aggregate amount of Accounts owing from such Account Debtor and its Affiliates to the Borrowers exceeds 20% or such greater percentage as the Administrative Agent may determine from time to time in its Permitted Discretion of the aggregate amount of Eligible Accounts of all Borrowers (but will only be ineligible to the extent of such excess);</w:t>
      </w:r>
    </w:p>
    <w:p>
      <w:pPr>
        <w:spacing w:after="0" w:line="17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with respect to which any covenant, representation or warranty contained in any Loan Document has been breached or is not true in any material respect (or, with respect to any covenant, representation or warranty which is subject to any materiality qualifier, has been breached or is not true in any respect);</w:t>
      </w:r>
    </w:p>
    <w:p>
      <w:pPr>
        <w:spacing w:after="0" w:line="18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 does not arise from the sale of goods or performance of services in the ordinary course of business, (ii) is not evidenced by an invoice or other documentation reasonably satisfactory to the Administrative Agent which has been sent to the Account Debtor, (iii) represents a progress billing, (iv) is contingent upon such Borrower’s completion of any further performance, (v) represents a sale on a bill-and-hold, guaranteed sale, sale-and-return, sale on approval, consignment or cash-on-delivery basis (other than general product warranties given in the ordinary course of business) or (vi) relates to payments of interest (but only to the extent thereof);</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for which the goods giving rise to such Account have not been shipped to the Account Debtor or for which the services giving rise to such Account have not been performed by such Borrower or if such Account was invoiced more than once;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with respect to which any check or other instrument of payment has been returned uncollected for any reason;</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owed by an Account Debtor which has (i) applied for, suffered, or consented to the appointment of any receiver, custodian, trustee, administrative receiver, administrator, compulsory manager, liquidator or other similar officer of its assets, (ii) had possession of all or a material part of its property taken by any receiver, custodian, trustee, administrative receiver, administrator, compulsory manager, liquidator or other similar officer, (iii) filed, or had filed against it, any request or petition for liquidation, reorganization, arrangement, adjustment of debts, adjudication as bankrupt, administration, winding-up, or voluntary or involuntary case under any Federal, state or foreign bankruptcy, insolvency, receivership or similar law, (iv) admitted in writing its inability, or is generally unable to, pay its debts as they become due or has had a moratorium declared in respect of it, (v) become insolvent, or (vi) ceased operation of its business (other than, in any such case, post-petition accounts payable of an Account Debtor that is a debtor-in-possession under the United States Bankruptcy Code and reasonably acceptable to the Administrative Agent);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owed by any Account Debtor which has sold all or substantially all of its assets;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owed by an Account Debtor which (i) does not maintain its chief executive office in the U.S. or Canada or (ii) is not organized under applicable laws of the U.S., any state of the U.S., Canada or any province of Canada, unless, in any such case, such Account is backed by a letter of credit or bank guarantee reasonably acceptable to the Administrative Agent;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owed in any currency other than U.S. dollars or Canadian Dollars;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8" w:name="page29"/>
    <w:bookmarkEnd w:id="28"/>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owed by (i) any Governmental Authority of any country other than Canada (or any province or territory thereof) or the U.S. unless such Account is backed by a letter of credit or bank guarantee reasonably acceptable to the Administrative Agent or (ii) any Governmental Authority of the U.S., or any department, agency, public corporation, or instrumentality thereof, unless the Federal Assignment of Claims Act of 1940, as amended (31 U.S.C. § 3727 et seq. and 41 U.S.C. § 15 et seq.), and any other steps necessary to perfect the Lien of the Administrative Agent in such Account have been complied with to the Administrative Agent’s satisfaction;</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owed by any Affiliate of any Loan Party or any employee, officer, or director of any Loan Party or any of its Affiliates;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subject to any counterclaim, deduction, defense, setoff or dispute, but only to the extent of any such counterclaim, deduction, defense, setoff or dispute;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evidenced by any promissory note, chattel paper or instrument;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owed by an Account Debtor (i) located in any State of the U.S. which requires filing of a “</w:t>
      </w:r>
      <w:r>
        <w:rPr>
          <w:rFonts w:ascii="Times New Roman" w:cs="Times New Roman" w:eastAsia="Times New Roman" w:hAnsi="Times New Roman"/>
          <w:sz w:val="20"/>
          <w:szCs w:val="20"/>
          <w:u w:val="single" w:color="auto"/>
          <w:color w:val="auto"/>
        </w:rPr>
        <w:t>Notice of 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Activities Report</w:t>
      </w:r>
      <w:r>
        <w:rPr>
          <w:rFonts w:ascii="Times New Roman" w:cs="Times New Roman" w:eastAsia="Times New Roman" w:hAnsi="Times New Roman"/>
          <w:sz w:val="20"/>
          <w:szCs w:val="20"/>
          <w:color w:val="auto"/>
        </w:rPr>
        <w:t>” or other similar report in order to permit such Borrower to seek judicial enforcement in such jurisdiction of payment of such Account, unless such Borrower has filed such report or qualified to do business in such jurisdiction (or may do so at a later date without material penalty or prejudice and without affecting the collectability of such Account) or (ii) which is a Sanctioned Person;</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with respect to which such Borrower has made any agreement with the Account Debtor for any reduction thereof, other than discounts and adjustments given in the ordinary course of business (but only to the extent of any such reduction), or any Account which was partially paid and such Borrower created a new receivable for the unpaid portion of such Account;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does not comply in all material respects with the requirements of all applicable laws and regulations, whether Federal, state, foreign, provincial or local, including without limitation the Federal Consumer Credit Protection Act, the Federal Truth in Lending Act and Regulation Z of the Board;</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unless the Administrative Agent has established a Reserve in its Permitted Discretion, which is for goods that have been sold under a purchase order or pursuant to the terms of a contract or other agreement or understanding (written or oral) that indicates or purports that any Person other than such Borrower has or has had an ownership interest in such goods (including but not limited to by way of retention of title), or which indicates any party other than such Borrower as payee or remittance party;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was created on cash on delivery terms; or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(x)</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subject to any limitation on assignment or other restriction (whether arising by operation of law, by agreement or otherwise) which would under the local governing law of the contract have the effect of restricting the assignment for or by way of security or the creation of security, in each case, unless the Administrative Agent has determined that such limitation is not enforceable.</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the event that an Account of a Borrower which was previously an Eligible Account ceases to be an Eligible Account hereunder, such Borrower or the Borrower Representative shall notify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9" w:name="page30"/>
    <w:bookmarkEnd w:id="29"/>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Administrative Agent thereof on and at the time of submission to the Administrative Agent of the next Aggregate Borrowing Base Certificate and the Borrowing Base Certificate of such Borrower. In determining the amount of an Eligible Account of a Borrower, the face amount of an Account may, in the Administrative Agent’s Permitted Discretion, be reduced by, without duplication and to the extent not reflected in such face amount, (i) the amount of all accrued and actual discounts, claims, credits or credits pending, promotional program allowances, price adjustments, finance charges or other allowances (including any amount that such Borrower may be obligated to rebate to an Account Debtor pursuant to the terms of any agreement or understanding (written or oral)) and (ii) the aggregate amount of all cash received in respect of such Account but not yet applied by such Borrower to reduce the amount of such Account. Notwithstanding the foregoing, the eligibility criteria for “Eligible Accounts” may not be made more restrictive or newly established after the Effective Date (i) without at least three (3) Business Days’ prior notice to the Borrower Representative and (ii) in response to circumstances or events in existence on the Effective Date and disclosed to the Administrative Agent prior to the Effective Date (including under any field examinations or appraisals conducted prior to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limitation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apply in the event of a material change in the scope or magnitude of any such circumstances or events.</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Inventory</w:t>
      </w:r>
      <w:r>
        <w:rPr>
          <w:rFonts w:ascii="Times New Roman" w:cs="Times New Roman" w:eastAsia="Times New Roman" w:hAnsi="Times New Roman"/>
          <w:sz w:val="20"/>
          <w:szCs w:val="20"/>
          <w:color w:val="auto"/>
        </w:rPr>
        <w:t>” means, at any time, the Inventory of any Borrower which the Administrative Agent determines in its Permitted Discretion is eligible as the basis for the extension of Revolving Loans and Swingline Loans and the issuance of Letters of Credit. Without limiting the Administrative Agent’s discretion provided herein, Eligible Inventory of a Borrower shall not include any Inventory:</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other than to the extent a Reserve is established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which is not subject to a first priority perfected security interest in favor of the Administrative Agent;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subject to any Lien, unless (i) such Lien constitutes (x) a Lien in favor of the Administrative Agent, (y) a Permitted Encumbrance which does not have priority over the Lien in favor of the Administrative Agent or (z) a Lien permitted under </w:t>
      </w:r>
      <w:r>
        <w:rPr>
          <w:rFonts w:ascii="Times New Roman" w:cs="Times New Roman" w:eastAsia="Times New Roman" w:hAnsi="Times New Roman"/>
          <w:sz w:val="20"/>
          <w:szCs w:val="20"/>
          <w:u w:val="single" w:color="auto"/>
          <w:color w:val="auto"/>
        </w:rPr>
        <w:t>Section 6.02(a)</w:t>
      </w:r>
    </w:p>
    <w:p>
      <w:pPr>
        <w:spacing w:after="0" w:line="2" w:lineRule="exact"/>
        <w:rPr>
          <w:sz w:val="20"/>
          <w:szCs w:val="20"/>
          <w:color w:val="auto"/>
        </w:rPr>
      </w:pPr>
    </w:p>
    <w:p>
      <w:pPr>
        <w:ind w:firstLine="8"/>
        <w:spacing w:after="0" w:line="246" w:lineRule="auto"/>
        <w:tabs>
          <w:tab w:leader="none" w:pos="317" w:val="left"/>
        </w:tabs>
        <w:numPr>
          <w:ilvl w:val="0"/>
          <w:numId w:val="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or (ii) the Administrative Agent shall have established a Reserve in its Permitted Discretion for liabilities of such Borrower that are secured by such Lien;</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in the Administrative Agent’s Permitted Discretion, slow moving, obsolete, unmerchantable, defective, used, unfit for sale, not salable at prices approximating at least the cost of such Inventory in the ordinary course of business or unacceptable due to age, type, category and/or quantity;</w:t>
      </w:r>
    </w:p>
    <w:p>
      <w:pPr>
        <w:spacing w:after="0" w:line="18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with respect to which any covenant, representation or warranty contained in any Loan Document has been breached or is not true in any material respect (or, with respect to any covenant, representation or warranty which is subject to any materiality qualifier, has been breached or is not true in any respect) and which does not conform to all applicable standards imposed by any Governmental Authority;</w:t>
      </w:r>
    </w:p>
    <w:p>
      <w:pPr>
        <w:spacing w:after="0" w:line="17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which any Person other than such Borrower shall (i) have any direct or indirect ownership, interest or title (including, without limitation, any interest that a customer may have in any chassis included in such Inventory that were acquired by such customer using financing provided by any Loan Party) or (ii) be indicated on any purchase order or invoice with respect to such Inventory as having or purporting to have an interest therein;</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constitutes work-in-process (other than U16 Inventory), spare or replacement parts, subassemblies, packaging and shipping material, manufacturing supplies, samples, prototypes, displays or display items, bill-and-hold or ship-in-place goods, goods that are returned or marked for return (unless undamaged and able to be resold in the ordinary course of business), repossessed goods, repurchased goods, defective or damaged goods, goods held by such Borrower on consignment, or goods which are not of 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type held for sale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 to $70,000,000 of work-in-process Inventory (other than U16 Inventory) of the Borrowers that otherwise constitutes “Eligible Inventory” may be included as Eligible Inventory (such Inventory (subject to such cap), “</w:t>
      </w:r>
      <w:r>
        <w:rPr>
          <w:rFonts w:ascii="Times New Roman" w:cs="Times New Roman" w:eastAsia="Times New Roman" w:hAnsi="Times New Roman"/>
          <w:sz w:val="20"/>
          <w:szCs w:val="20"/>
          <w:u w:val="single" w:color="auto"/>
          <w:color w:val="auto"/>
        </w:rPr>
        <w:t>Eligible Non-U16 Inventory</w:t>
      </w:r>
      <w:r>
        <w:rPr>
          <w:rFonts w:ascii="Times New Roman" w:cs="Times New Roman" w:eastAsia="Times New Roman" w:hAnsi="Times New Roman"/>
          <w:sz w:val="20"/>
          <w:szCs w:val="20"/>
          <w:color w:val="auto"/>
        </w:rPr>
        <w:t>”) despite the foregoing provisions of this clause (f);</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not located in the U.S. (including any territory thereof) or Canada or in transit with a common carrier from vendors and suppliers,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 to $7,500,000 of Inventory in transit from vendors and suppliers may be included as Eligible Inventory despite the foregoing provision of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so long as:</w:t>
      </w:r>
    </w:p>
    <w:p>
      <w:pPr>
        <w:spacing w:after="0" w:line="188" w:lineRule="exact"/>
        <w:rPr>
          <w:sz w:val="20"/>
          <w:szCs w:val="20"/>
          <w:color w:val="auto"/>
        </w:rPr>
      </w:pPr>
    </w:p>
    <w:p>
      <w:pPr>
        <w:jc w:val="both"/>
        <w:ind w:left="660" w:right="20" w:firstLine="648"/>
        <w:spacing w:after="0" w:line="254"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shall have received (1) a true and correct copy of the bill of lading and other shipping documents for such Inventory and (2) evidence of satisfactory casualty insurance naming the Administrative Agent as lender loss payee and otherwise covering such risks as the Administrative Agent may reasonably request,</w:t>
      </w:r>
    </w:p>
    <w:p>
      <w:pPr>
        <w:spacing w:after="0" w:line="188"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bill of lading is non-negotiable, the Inventory must be in transit within the U.S., and the Administrative Agent shall have received, if requested, a duly executed Collateral Access Agreement, in form and substance satisfactory to the Administrative Agent, from the applicable customs broker, freight forwarder or carrier for such Inventory,</w:t>
      </w:r>
    </w:p>
    <w:p>
      <w:pPr>
        <w:spacing w:after="0" w:line="188" w:lineRule="exact"/>
        <w:rPr>
          <w:sz w:val="20"/>
          <w:szCs w:val="20"/>
          <w:color w:val="auto"/>
        </w:rPr>
      </w:pPr>
    </w:p>
    <w:p>
      <w:pPr>
        <w:jc w:val="both"/>
        <w:ind w:left="660" w:firstLine="648"/>
        <w:spacing w:after="0" w:line="245"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bill of lading is negotiable, the Inventory must be in transit from outside the U.S., and the Administrative Agent shall have received (1) confirmation that the bill is issued in the name of such Borrower and consigned to the order of the Administrative Agent, and an acceptable agreement has been executed with such Borrower’s customs broker, in which the customs broker agrees that it holds the negotiable bill as agent for the Administrative Agent and has granted the Administrative Agent access to the Inventory, (2) confirmation that such Borrower has paid for the goods, and (3) an estimate from such Borrower of the customs duties and customs fees associated with the Inventory in order to establish an appropriate Reserve,</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common carrier is not an Affiliate of the applicable vendor or supplier, and</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customs broker is not an Affiliate of such Borrower;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located in any location leased by such Borrower unless (i) the lessor has delivered to the Administrative Agent a Collateral Access Agreement or (ii) a Reserve for rent, charges and other amounts due or to become due with respect to such facility has been established by the Administrative Agent in its Permitted Discretion;</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located in any third party warehouse or is in the possession of a bailee (other than a third party processor) and is not evidenced by a Document, unless (i) such warehouseman or bailee has delivered to the Administrative Agent a Collateral Access Agreement and such other documentation as the Administrative Agent may require or (ii) an appropriate Reserve has been established by the Administrative Agent in its Permitted Discretion;</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being processed offsite at a third party location or outside processor, or is in-transit to or from such third party location or outside processor, unless (i) such processor has delivered to the Administrative Agent a Collateral Access Agreement and such other documentation as the Administrative Agent may require or (ii) an appropriate Reserve has been established by the Administrative Agent in its Permitted Discretion;</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a discontinued product or component thereof (unless such discontinuance does not adversely impact the salability of the remaining Inventory);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1" w:name="page32"/>
    <w:bookmarkEnd w:id="31"/>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the subject of a consignment by such Borrower as consignor;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consigned Inventory may be eligible if the applicable consignee has delivered to the Administrative Agent a Collateral Access Agreement and such other documentation and the Administrative Agent may reasonably require;</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contains or bears any intellectual property rights licensed to such Borrower unless the Administrative Agent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19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is not reflected in a current perpetual inventory report of such Borrower (unless such inventory (i) is reflected in a report to the Administrative Agent as “in transit” inventory or (ii) constitutes Eligible Non-U16 Inventory);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provisions of this </w:t>
      </w:r>
      <w:r>
        <w:rPr>
          <w:rFonts w:ascii="Times New Roman" w:cs="Times New Roman" w:eastAsia="Times New Roman" w:hAnsi="Times New Roman"/>
          <w:sz w:val="20"/>
          <w:szCs w:val="20"/>
          <w:u w:val="single" w:color="auto"/>
          <w:color w:val="auto"/>
        </w:rPr>
        <w:t>clause (n)</w:t>
      </w:r>
      <w:r>
        <w:rPr>
          <w:rFonts w:ascii="Times New Roman" w:cs="Times New Roman" w:eastAsia="Times New Roman" w:hAnsi="Times New Roman"/>
          <w:sz w:val="20"/>
          <w:szCs w:val="20"/>
          <w:color w:val="auto"/>
        </w:rPr>
        <w:t>, up to $35,000,000 of Inventory of the Borrowers not reflected in a current perpetual inventory report, which $35,000,000 limitation shall not apply to Eligible Non-U16 Inventory or “in-transit” inventory, and otherwise constituting “</w:t>
      </w:r>
      <w:r>
        <w:rPr>
          <w:rFonts w:ascii="Times New Roman" w:cs="Times New Roman" w:eastAsia="Times New Roman" w:hAnsi="Times New Roman"/>
          <w:sz w:val="20"/>
          <w:szCs w:val="20"/>
          <w:u w:val="single" w:color="auto"/>
          <w:color w:val="auto"/>
        </w:rPr>
        <w:t>Eligible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may be included as Eligible Inventory (such Inventory (subject to such cap), “</w:t>
      </w:r>
      <w:r>
        <w:rPr>
          <w:rFonts w:ascii="Times New Roman" w:cs="Times New Roman" w:eastAsia="Times New Roman" w:hAnsi="Times New Roman"/>
          <w:sz w:val="20"/>
          <w:szCs w:val="20"/>
          <w:u w:val="single" w:color="auto"/>
          <w:color w:val="auto"/>
        </w:rPr>
        <w:t>Eligible Non-Perpetual Inventory</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for which reclamation rights have been asserted by the seller;</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for which any contract or related documentation (such as invoices or purchase orders) relating to such Inventory includes retention of title rights in favor of the vendor or supplier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Inventory of a Borrower which may be subject to any rights of retention of title shall not be excluded from Eligible Inventory solely pursuant to this </w:t>
      </w:r>
      <w:r>
        <w:rPr>
          <w:rFonts w:ascii="Times New Roman" w:cs="Times New Roman" w:eastAsia="Times New Roman" w:hAnsi="Times New Roman"/>
          <w:sz w:val="20"/>
          <w:szCs w:val="20"/>
          <w:u w:val="single" w:color="auto"/>
          <w:color w:val="auto"/>
        </w:rPr>
        <w:t>clause (p)</w:t>
      </w:r>
      <w:r>
        <w:rPr>
          <w:rFonts w:ascii="Times New Roman" w:cs="Times New Roman" w:eastAsia="Times New Roman" w:hAnsi="Times New Roman"/>
          <w:sz w:val="20"/>
          <w:szCs w:val="20"/>
          <w:color w:val="auto"/>
        </w:rPr>
        <w:t xml:space="preserve"> in the event that (A) the Administrative Agent shall have received evidence satisfactory to it that the full purchase price of such Inventory has or will have been paid or (B) a Letter of Credit has been issued under and in accordance with the terms of this Agreement for the purchase of such Inventory;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which has been acquired from a Sanctioned Person; or</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other than to the extent permitted by the Administrative Agent in its Permitted Discretion, which constitutes raw materials of Winnebago of Indiana.</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In the event that Inventory of any Borrower which was previously Eligible Inventory ceases to be Eligible Inventory hereunder, such Borrower or the Borrower Representative shall notify the Administrative Agent thereof on and at the time of submission to the Administrative Agent of the next Aggregate Borrowing Base Certificate and the Borrowing Base Certificate of such Borrower. Notwithstanding the foregoing, the eligibility criteria for “Eligible Inventory” may not be made more restrictive or newly established after the Effective Date (i) without at least three (3) Business Days’ prior notice to the Borrower Representative and (ii) in response to circumstances or events in existence on the Effective Date and disclosed to the Administrative Agent prior to the Effective Date (including under any field examinations or appraisals conducted prior to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limitation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apply in the event of a material change in the scope or magnitude of any such circumstances or events.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Non-Perpetual Inventory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clause (n)</w:t>
      </w:r>
      <w:r>
        <w:rPr>
          <w:rFonts w:ascii="Times New Roman" w:cs="Times New Roman" w:eastAsia="Times New Roman" w:hAnsi="Times New Roman"/>
          <w:sz w:val="20"/>
          <w:szCs w:val="20"/>
          <w:color w:val="auto"/>
        </w:rPr>
        <w:t xml:space="preserve"> of the definition of “Eligible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Non-U16 Inventory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the definition of “Eligible Inventory”.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2" w:name="page33"/>
    <w:bookmarkEnd w:id="32"/>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Environmental Laws</w:t>
      </w:r>
      <w:r>
        <w:rPr>
          <w:rFonts w:ascii="Times New Roman" w:cs="Times New Roman" w:eastAsia="Times New Roman" w:hAnsi="Times New Roman"/>
          <w:sz w:val="19"/>
          <w:szCs w:val="19"/>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Company or any Subsidiary directly or indirectly resulting from or based upon</w:t>
      </w:r>
    </w:p>
    <w:p>
      <w:pPr>
        <w:spacing w:after="0" w:line="2" w:lineRule="exact"/>
        <w:rPr>
          <w:sz w:val="20"/>
          <w:szCs w:val="20"/>
          <w:color w:val="auto"/>
        </w:rPr>
      </w:pPr>
    </w:p>
    <w:p>
      <w:pPr>
        <w:jc w:val="both"/>
        <w:ind w:firstLine="8"/>
        <w:spacing w:after="0" w:line="252" w:lineRule="auto"/>
        <w:tabs>
          <w:tab w:leader="none" w:pos="28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violation of any Environmental Law, (b) the generation, use, handling, transportation, storage, treatment or disposal of any Hazardous Materials, (c) exposure to any Hazardous Materials, (d) the release or threatened release of any Hazardous Materials into the environment or</w:t>
      </w:r>
    </w:p>
    <w:p>
      <w:pPr>
        <w:ind w:firstLine="8"/>
        <w:spacing w:after="0" w:line="246" w:lineRule="auto"/>
        <w:tabs>
          <w:tab w:leader="none" w:pos="28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contract, agreement or other consensual arrangement pursuant to which liability is assumed or imposed with respect to any of the foregoing.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Equipment</w:t>
      </w:r>
      <w:r>
        <w:rPr>
          <w:rFonts w:ascii="Times New Roman" w:cs="Times New Roman" w:eastAsia="Times New Roman" w:hAnsi="Times New Roman"/>
          <w:sz w:val="20"/>
          <w:szCs w:val="20"/>
          <w:color w:val="auto"/>
        </w:rPr>
        <w:t>” has the meaning assigned to such term in the Security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rules and regulations promulgated thereunder.</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Company, is treated as a single employer under Section 414(b) or (c) of the Code or Section 4001(14) of ERISA or, solely for purposes of Section 302 of ERISA and Section 412 of the Code, is treated as a single employer under Section 414 of the Code.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w:t>
      </w:r>
    </w:p>
    <w:p>
      <w:pPr>
        <w:spacing w:after="0" w:line="1" w:lineRule="exact"/>
        <w:rPr>
          <w:sz w:val="20"/>
          <w:szCs w:val="20"/>
          <w:color w:val="auto"/>
        </w:rPr>
      </w:pPr>
    </w:p>
    <w:p>
      <w:pPr>
        <w:jc w:val="both"/>
        <w:ind w:firstLine="8"/>
        <w:spacing w:after="0" w:line="241" w:lineRule="auto"/>
        <w:tabs>
          <w:tab w:leader="none" w:pos="294"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in critical status or in reorganization, within the meaning of Title IV of ERISA.</w:t>
      </w:r>
    </w:p>
    <w:p>
      <w:pPr>
        <w:spacing w:after="0" w:line="202"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Grand Design Borrowing Base</w:t>
      </w:r>
      <w:r>
        <w:rPr>
          <w:rFonts w:ascii="Times New Roman" w:cs="Times New Roman" w:eastAsia="Times New Roman" w:hAnsi="Times New Roman"/>
          <w:sz w:val="20"/>
          <w:szCs w:val="20"/>
          <w:color w:val="auto"/>
        </w:rPr>
        <w:t>” means, at any time, the excess, if any, of (a) Grand Design’s Borrowing Base at such time over (b) the aggregate Grand Design Revolving Exposures of all Lenders at such time.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3" w:name="page34"/>
    <w:bookmarkEnd w:id="33"/>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Newmar Borrowing Base</w:t>
      </w:r>
      <w:r>
        <w:rPr>
          <w:rFonts w:ascii="Times New Roman" w:cs="Times New Roman" w:eastAsia="Times New Roman" w:hAnsi="Times New Roman"/>
          <w:sz w:val="20"/>
          <w:szCs w:val="20"/>
          <w:color w:val="auto"/>
        </w:rPr>
        <w:t>” means, at any time, the excess, if any, of (a) Newmar’s Borrowing Base at such time over (b) the aggregate Newmar Revolving Exposures of all Lenders at such time.</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Winnebago of Indiana Borrowing Base</w:t>
      </w:r>
      <w:r>
        <w:rPr>
          <w:rFonts w:ascii="Times New Roman" w:cs="Times New Roman" w:eastAsia="Times New Roman" w:hAnsi="Times New Roman"/>
          <w:sz w:val="20"/>
          <w:szCs w:val="20"/>
          <w:color w:val="auto"/>
        </w:rPr>
        <w:t>” means, at any time, the excess, if any, of (a) Winnebago of Indiana’s Borrowing Base at such time over (b) the aggregate Winnebago of Indiana Revolving Exposures of all Lenders at such time.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Accounts</w:t>
      </w:r>
      <w:r>
        <w:rPr>
          <w:rFonts w:ascii="Times New Roman" w:cs="Times New Roman" w:eastAsia="Times New Roman" w:hAnsi="Times New Roman"/>
          <w:sz w:val="20"/>
          <w:szCs w:val="20"/>
          <w:color w:val="auto"/>
        </w:rPr>
        <w:t>” means, collectively, (a) payroll accounts, trust accounts, employee benefit accounts and zero-balance disbursement accounts (that are not collection accounts) and (b) deposit accounts that have balances of no more than $250,000 individually or $1,000,000 in the aggregate for any period of thirty (30) consecutive days.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means, collectively: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fee-owned real property that does not constitute Material Real Property and all leasehold interests in real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“intent-to-use” application for registration of a trademark filed pursuant to Section 1(b) of the Lanham Act, 15 U.S.C.</w:t>
      </w:r>
    </w:p>
    <w:p>
      <w:pPr>
        <w:spacing w:after="0" w:line="22" w:lineRule="exact"/>
        <w:rPr>
          <w:sz w:val="20"/>
          <w:szCs w:val="20"/>
          <w:color w:val="auto"/>
        </w:rPr>
      </w:pPr>
    </w:p>
    <w:p>
      <w:pPr>
        <w:jc w:val="both"/>
        <w:ind w:firstLine="8"/>
        <w:spacing w:after="0" w:line="241" w:lineRule="auto"/>
        <w:tabs>
          <w:tab w:leader="none" w:pos="151"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assets in respect of which pledges and security interests are prohibited by applicable U.S. law, rule or regulation or agreements with any U.S. governmental authority (other than to the extent that such prohibition would be rendered ineffective pursuant to Sections 9-406, 9-407, 9-408, 9-409 or other applicable provisions of the UCC of any relevant jurisdiction or any other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upon the ineffectiveness, lapse or termination of any such prohibitions, such assets shall automatically cease to constitute Excluded Assets;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margin stock (within the meaning of Regulation U issued by the Board);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Equity Interests in any entity other than wholly-owned Material Subsidiaries and, to the extent not requiring the consent of one or more unaffiliated third parties or prohibited by the terms of any applicable organizational documents, joint venture agreement or shareholders’ agreement, other Material Subsidiaries and joint ventures;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letter of credit rights with a value of less than $5,000,000 (other than to the extent the security interest in such letter of credit right may be perfected by the filing of UCC financing statements) and commercial tort claims with a value of less than $5,000,000;</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lease, license, capital lease obligation or other agreement or any property subject to a purchase money security interest, similar agreement or other contractual restriction to the extent that a grant of a security interest therein would violate or invalidate such lease, license, capital lease obligation or agreement or purchase money arrangement or other contraction restriction or create a right of termination in favor of any other party thereto (other than a Loan Party) (other than (x) proceeds and receivables thereof, the assignment of which is expressly deemed effective under the UCC notwithstanding such prohibition, (y) to the extent that any such term has been waived or (z) to the extent that any such term would be rendered ineffective pursuant to Sections 9-406, 9-407, 9-408, 9-409 or other applicable provisions of the UCC 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4" w:name="page35"/>
    <w:bookmarkEnd w:id="34"/>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any relevant jurisdiction or any other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upon the ineffectiveness, lapse or termination of any such term, such assets shall automatically cease to constitute Excluded Assets;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foreign assets (including foreign intellectual property) (other than pledges of the Applicable Pledge Percentage of the issued and outstanding Equity Interests in any First Tier Foreign Subsidiary which is a Material Foreign Subsidiary as contemplated by this Agreement) or credit support;</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those assets as to which the Administrative Agent and the Company reasonably agree that the cost of obtaining such a security interest or perfection thereof are excessive in relation to the benefit to the Lenders of the security to be afforded thereby;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aircrafts and aircraft engines; and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Excluded Accounts.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Notwithstanding the foregoing, “Excluded Assets” shall not include any proceeds, products, substitutions or replacements of Excluded Assets (unless such proceeds, products, substitutions or replacements would otherwise constitute Excluded Assets).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Domestic Subsidiary</w:t>
      </w:r>
      <w:r>
        <w:rPr>
          <w:rFonts w:ascii="Times New Roman" w:cs="Times New Roman" w:eastAsia="Times New Roman" w:hAnsi="Times New Roman"/>
          <w:sz w:val="20"/>
          <w:szCs w:val="20"/>
          <w:color w:val="auto"/>
        </w:rPr>
        <w:t>” means (a) any Domestic Subsidiary whose Equity Interests are owned directly or indirectly by a CFC and (b) any Domestic Foreign Holdco Subsidiary.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Foreign Subsidiary</w:t>
      </w:r>
      <w:r>
        <w:rPr>
          <w:rFonts w:ascii="Times New Roman" w:cs="Times New Roman" w:eastAsia="Times New Roman" w:hAnsi="Times New Roman"/>
          <w:sz w:val="20"/>
          <w:szCs w:val="20"/>
          <w:color w:val="auto"/>
        </w:rPr>
        <w:t>” means a Foreign Subsidiary which is (a) a CFC or (b) a direct or indirect Foreign Subsidiary owned by a CFC or Domestic Foreign Holdco Subsidiary.</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w:t>
      </w:r>
    </w:p>
    <w:p>
      <w:pPr>
        <w:spacing w:after="0" w:line="1" w:lineRule="exact"/>
        <w:rPr>
          <w:sz w:val="20"/>
          <w:szCs w:val="20"/>
          <w:color w:val="auto"/>
        </w:rPr>
      </w:pPr>
    </w:p>
    <w:p>
      <w:pPr>
        <w:jc w:val="both"/>
        <w:ind w:firstLine="8"/>
        <w:spacing w:after="0" w:line="241" w:lineRule="auto"/>
        <w:tabs>
          <w:tab w:leader="none" w:pos="25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acquires such interest in the Loan, Letter of Credit or Commitment (other than pursuant to an assignment request by any Borrower under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and (d) any U.S. Federal withholding Taxes imposed under FATCA.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Extenuating Circumstance</w:t>
      </w:r>
      <w:r>
        <w:rPr>
          <w:rFonts w:ascii="Times New Roman" w:cs="Times New Roman" w:eastAsia="Times New Roman" w:hAnsi="Times New Roman"/>
          <w:sz w:val="20"/>
          <w:szCs w:val="20"/>
          <w:color w:val="auto"/>
        </w:rPr>
        <w:t>” means any period during which the Administrative Agent has determined in its sole discretion (a) that due to unforeseen and/or nonrecurring circumstances, it is impractical and/or not feasible to submit or receive a Borrowing Request or Interest Election Request by email or fax or through Electronic System, and (b) to accept a Borrowing Request or Interest Election Request telephonically.</w:t>
      </w:r>
    </w:p>
    <w:p>
      <w:pPr>
        <w:spacing w:after="0" w:line="19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FCCR Test Period</w:t>
      </w:r>
      <w:r>
        <w:rPr>
          <w:rFonts w:ascii="Times New Roman" w:cs="Times New Roman" w:eastAsia="Times New Roman" w:hAnsi="Times New Roman"/>
          <w:sz w:val="20"/>
          <w:szCs w:val="20"/>
          <w:color w:val="auto"/>
        </w:rPr>
        <w:t>” means any period (a) commencing on the last day of the most recently ended Test Period on or prior to the date Aggregate Availability is less than the greater of $30,000,000 and 10% of the Aggregate Commitment at any time and (b) ending on the day after Aggregate Availability has exceeded the greater of $30,000,000 and 10% of the Aggregate Commitment for thirty (30) consecutive days.</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Effective Rate as so determined would be less than zero, such rate shall be deemed to be zero for the purposes of this Agreement.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Finance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finance lease obligations on a balance sheet of such Person under GAAP, and the amount of such obligations shall be the capitalized amount thereof determined in accordance with GAAP.</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Release Conditions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9.19(c)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the chief financial officer, principal accounting officer, treasurer or controller of the Company.</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Tier Foreign Subsidiary</w:t>
      </w:r>
      <w:r>
        <w:rPr>
          <w:rFonts w:ascii="Times New Roman" w:cs="Times New Roman" w:eastAsia="Times New Roman" w:hAnsi="Times New Roman"/>
          <w:sz w:val="20"/>
          <w:szCs w:val="20"/>
          <w:color w:val="auto"/>
        </w:rPr>
        <w:t>” means each Foreign Subsidiary with respect to which any one or more of the Company and its Domestic Subsidiaries directly owns more than 50% of such Foreign Subsidiary’s issued and outstanding Equity Interests.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Asset Priority Collateral</w:t>
      </w:r>
      <w:r>
        <w:rPr>
          <w:rFonts w:ascii="Times New Roman" w:cs="Times New Roman" w:eastAsia="Times New Roman" w:hAnsi="Times New Roman"/>
          <w:sz w:val="20"/>
          <w:szCs w:val="20"/>
          <w:color w:val="auto"/>
        </w:rPr>
        <w:t>” has the meaning assigned thereto in the ABL/Fixed Asset Intercreditor Agreement, and is intended to indicate that portion of the Collateral subject to a prior Lien in favor of the Term Loans/Notes Agent.</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 Coverage Ratio</w:t>
      </w:r>
      <w:r>
        <w:rPr>
          <w:rFonts w:ascii="Times New Roman" w:cs="Times New Roman" w:eastAsia="Times New Roman" w:hAnsi="Times New Roman"/>
          <w:sz w:val="20"/>
          <w:szCs w:val="20"/>
          <w:color w:val="auto"/>
        </w:rPr>
        <w:t xml:space="preserve">” means, for any period, the ratio of (a) Consolidated EBITDA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Capital Expenditures (other than Capital Expenditures (i) financed with Indebtedness (other than Revolving Loans), (ii) made to restore, replace or rebuild assets subject to casualty or condemnation events to the extent made with the cash proceeds of insurance or condemnation awards, (iii) to the extent made with the cash proceeds of permitted asset dispositions and/or (iv) constituting capital assets acquired in 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6" w:name="page37"/>
    <w:bookmarkEnd w:id="36"/>
    <w:p>
      <w:pPr>
        <w:jc w:val="both"/>
        <w:spacing w:after="0" w:line="269" w:lineRule="auto"/>
        <w:rPr>
          <w:sz w:val="20"/>
          <w:szCs w:val="20"/>
          <w:color w:val="auto"/>
        </w:rPr>
      </w:pPr>
      <w:r>
        <w:rPr>
          <w:rFonts w:ascii="Times New Roman" w:cs="Times New Roman" w:eastAsia="Times New Roman" w:hAnsi="Times New Roman"/>
          <w:sz w:val="20"/>
          <w:szCs w:val="20"/>
          <w:color w:val="auto"/>
        </w:rPr>
        <w:t>Permitted Acquisition) to (b) Fixed Charges, all calculated for the Company and its Subsidiaries on a consolidated basis in accordance with GAAP.</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Charges</w:t>
      </w:r>
      <w:r>
        <w:rPr>
          <w:rFonts w:ascii="Times New Roman" w:cs="Times New Roman" w:eastAsia="Times New Roman" w:hAnsi="Times New Roman"/>
          <w:sz w:val="20"/>
          <w:szCs w:val="20"/>
          <w:color w:val="auto"/>
        </w:rPr>
        <w:t xml:space="preserve">” means, for any period, without duplication, (a) cash Consolidated Interest Expense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to the extent positive, expenses for income taxes paid in cash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scheduled cash principal payments made on Indebtedness for borrowed money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cash dividends paid by the Company,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(e) cash contributions to any Plan (to the extent not accounted for in the calculation of Consolidated EBITDA), all calculated for the Company and its Subsidiaries (except as provided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determining satisfaction of the Payment Condition, “Fixed Charges” shall also include, without duplication (i) all Restricted Payments paid in cash by the Company and its Subsidiaries on a consolidated basis during such period pursuant to </w:t>
      </w:r>
      <w:r>
        <w:rPr>
          <w:rFonts w:ascii="Times New Roman" w:cs="Times New Roman" w:eastAsia="Times New Roman" w:hAnsi="Times New Roman"/>
          <w:sz w:val="20"/>
          <w:szCs w:val="20"/>
          <w:u w:val="single" w:color="auto"/>
          <w:color w:val="auto"/>
        </w:rPr>
        <w:t>Section 6.09(g)</w:t>
      </w:r>
      <w:r>
        <w:rPr>
          <w:rFonts w:ascii="Times New Roman" w:cs="Times New Roman" w:eastAsia="Times New Roman" w:hAnsi="Times New Roman"/>
          <w:sz w:val="20"/>
          <w:szCs w:val="20"/>
          <w:color w:val="auto"/>
        </w:rPr>
        <w:t xml:space="preserve"> and (ii) cash payments of earn-out obligations.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means the benchmark rate floor, if any, provided in this Agreement initially (as of the execution of this Agreement, the modification, amendment or renewal of this Agreement or otherwise) with respect to the Adjusted Term SOFR Rate, the Adjusted REVSOFR30 Rate or the Adjusted Daily Simple SOFR, as applicable. For the avoidance of doubt, the initial Floor for each of the Adjusted Term SOFR Rate, the Adjusted REVSOFR30 Rate and the Adjusted Daily Simple SOFR shall be 0%.</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the applicable Borrower is a U.S. Person, a Lender, with respect to such Borrower, that is not a U.S. Person, and (b) if the applicable Borrower is not a U.S. Person, a Lender, with respect to such Borrower, that is resident or organized under the laws of a jurisdiction other than that in which such Borrower is resident for tax purposes.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4.01(f)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Grand Design</w:t>
      </w:r>
      <w:r>
        <w:rPr>
          <w:rFonts w:ascii="Times New Roman" w:cs="Times New Roman" w:eastAsia="Times New Roman" w:hAnsi="Times New Roman"/>
          <w:sz w:val="20"/>
          <w:szCs w:val="20"/>
          <w:color w:val="auto"/>
        </w:rPr>
        <w:t>” means Grand Design RV, LLC, an Indiana limited liability company.</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Grand Design Revolving Exposures</w:t>
      </w:r>
      <w:r>
        <w:rPr>
          <w:rFonts w:ascii="Times New Roman" w:cs="Times New Roman" w:eastAsia="Times New Roman" w:hAnsi="Times New Roman"/>
          <w:sz w:val="20"/>
          <w:szCs w:val="20"/>
          <w:color w:val="auto"/>
        </w:rPr>
        <w:t xml:space="preserve">” means, with respect to any Lender at any time, and without duplication, the sum of (a) the outstanding principal amount of the Revolving Loans made by such Lender to Grand Design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such Lender’s LC Exposure with respect to Letters of Credit issued for the account of Grand Design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such Lender’s Swingline Exposure with respect to Swingline Loans made to Grand Design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an amount equal to its Applicable Percentage of the aggregate principal amount of outstanding Protective Advances made to Grand Design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(e) an amount equal to its Applicable Percentage of the aggregate principal amount of outstanding Overadvances made to Grand Design at such time.</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Grand Design Utilization</w:t>
      </w:r>
      <w:r>
        <w:rPr>
          <w:rFonts w:ascii="Times New Roman" w:cs="Times New Roman" w:eastAsia="Times New Roman" w:hAnsi="Times New Roman"/>
          <w:sz w:val="20"/>
          <w:szCs w:val="20"/>
          <w:color w:val="auto"/>
        </w:rPr>
        <w:t>” means, at any time, the excess, if any, of (a) the aggregate Grand Design Revolving Exposures of all Lenders over (b) the Grand Design Borrowing Base.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7" w:name="page38"/>
    <w:bookmarkEnd w:id="37"/>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term Guarantee shall not include endorsements for collection or deposit in the ordinary course of business.</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Hostile Acquisition</w:t>
      </w:r>
      <w:r>
        <w:rPr>
          <w:rFonts w:ascii="Times New Roman" w:cs="Times New Roman" w:eastAsia="Times New Roman" w:hAnsi="Times New Roman"/>
          <w:sz w:val="20"/>
          <w:szCs w:val="20"/>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Loans/Notes Amount</w:t>
      </w:r>
      <w:r>
        <w:rPr>
          <w:rFonts w:ascii="Times New Roman" w:cs="Times New Roman" w:eastAsia="Times New Roman" w:hAnsi="Times New Roman"/>
          <w:sz w:val="20"/>
          <w:szCs w:val="20"/>
          <w:color w:val="auto"/>
        </w:rPr>
        <w:t>” means, at any time, an amount of Indebtedness such that, as of the most recently completed Test Period ending prior to the date of the incurrence of such Indebtedness, after giving pro forma effect to such incurrence and such acquisition in accordance with Section 1.04(b), the Secured Net Leverage Ratio calculated is less than or equal to 3.00 to 1.00.</w:t>
      </w:r>
    </w:p>
    <w:p>
      <w:pPr>
        <w:spacing w:after="0" w:line="18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Finance Lease Obligations of such Person, (i) all obligations, contingent or otherwise, of such Person as an account party in respect of letters of credit and letters of guaranty, (j) all obligations, contingent or otherwise, of such Person in respect of bankers’ acceptances and (k) obligations of such Person under Sale and Leaseback Transactions (other than such obligations constituting operating lease obligations).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 obligations incurred in connection with an acquisition), except in each case to the extent that such amount payable is, or becomes, reasonably determinable and contingencies have been resolved or such amount would otherwise be required to be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auto"/>
        </w:rPr>
        <w:t>reflected on a balance sheet prepared in accordance with GAAP; (ii) current accounts payable incurred in the ordinary course of business;</w:t>
      </w:r>
    </w:p>
    <w:p>
      <w:pPr>
        <w:spacing w:after="0" w:line="22" w:lineRule="exact"/>
        <w:rPr>
          <w:sz w:val="20"/>
          <w:szCs w:val="20"/>
          <w:color w:val="auto"/>
        </w:rPr>
      </w:pPr>
    </w:p>
    <w:p>
      <w:pPr>
        <w:ind w:right="20" w:firstLine="8"/>
        <w:spacing w:after="0" w:line="246" w:lineRule="auto"/>
        <w:tabs>
          <w:tab w:leader="none" w:pos="361"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non-competes and similar agreements; (iv) Swap Obligations; (v) Banking Services Obligations; (vi) licenses and operating leases; or (vii) Permitted Call Spread Swap Agreements, and any obligations thereunder.</w:t>
      </w:r>
    </w:p>
    <w:p>
      <w:pPr>
        <w:spacing w:after="0" w:line="195"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Indemnified Taxes</w:t>
      </w:r>
      <w:r>
        <w:rPr>
          <w:rFonts w:ascii="Times New Roman" w:cs="Times New Roman" w:eastAsia="Times New Roman" w:hAnsi="Times New Roman"/>
          <w:sz w:val="19"/>
          <w:szCs w:val="19"/>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Other Taxes.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Intercreditor Agreement</w:t>
      </w:r>
      <w:r>
        <w:rPr>
          <w:rFonts w:ascii="Times New Roman" w:cs="Times New Roman" w:eastAsia="Times New Roman" w:hAnsi="Times New Roman"/>
          <w:sz w:val="19"/>
          <w:szCs w:val="19"/>
          <w:color w:val="auto"/>
        </w:rPr>
        <w:t>” means (a) in respect of the Term Loans/Notes Facility, the ABL/Fixed Asset Intercreditor Agreement (b) in respect of any other Indebtedness intended to be secured by some or all of the Collateral on a pari passu basis with the Obligations, an intercreditor agreement reasonably acceptable to the Administrative Agent, the terms of which are consistent with market terms governing security arrangements for the sharing of Liens on a pari passu basis at the time such intercreditor agreement is proposed to be established in light of the type of Indebtedness to be secured by such Liens, as reasonably determined by the Administrative Agent and the Borrower Representative, (c) in respect of any other Indebtedness intended to be secured by some or all of the Collateral on a junior priority basis with the Obligations, an intercreditor agreement reasonably acceptable to the Administrative Agent the terms of which are consistent 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Borrower Representative and (d) in respect of any other Indebtedness intended to be secured (x) by the ABL Priority Collateral on a junior priority basis with the Obligations and (y) by the Fixed Asset Priority Collateral on a senior priority basis to the Obligations, an intercreditor agreement reasonably acceptable to the Administrative Agent the terms of which are consistent with market terms governing security arrangements for the sharing of Liens on such a basis at the time such intercreditor agreement is proposed to be established in light of the type of Indebtedness to be secured by such Liens, as reasonably determined by the Administrative Agent and the Borrower Representative.</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means a request by the Borrower Representative to convert or continue a Revolving Borrowing in accordance with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(other than a Swingline Loan), the first Business Day of January, April, July and October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and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Representative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 if 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Times New Roman" w:cs="Times New Roman" w:eastAsia="Times New Roman" w:hAnsi="Times New Roman"/>
          <w:sz w:val="19"/>
          <w:szCs w:val="19"/>
          <w:u w:val="single" w:color="auto"/>
          <w:color w:val="auto"/>
        </w:rPr>
        <w:t>Section 2.14(f)</w:t>
      </w:r>
      <w:r>
        <w:rPr>
          <w:rFonts w:ascii="Times New Roman" w:cs="Times New Roman" w:eastAsia="Times New Roman" w:hAnsi="Times New Roman"/>
          <w:sz w:val="19"/>
          <w:szCs w:val="19"/>
          <w:color w:val="auto"/>
        </w:rPr>
        <w:t xml:space="preserv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has the meaning assigned to such term in the Security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Investment</w:t>
      </w:r>
      <w:r>
        <w:rPr>
          <w:rFonts w:ascii="Times New Roman" w:cs="Times New Roman" w:eastAsia="Times New Roman" w:hAnsi="Times New Roman"/>
          <w:sz w:val="19"/>
          <w:szCs w:val="19"/>
          <w:color w:val="auto"/>
        </w:rPr>
        <w:t xml:space="preserve">” means, with respect to a specified Person, (a) any direct or indirect acquisition of or investment by such Person in any Equity Interests, evidences of Indebtedness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or other obligations of, or any other investment in, any other Person that are held or made by the specified Person and (b) the purchase or acquisition (in one transaction or a series of related transactions) of all or substantially all the property and assets or business of another Person or assets constituting a business unit, line of business, division or product line of such other Person. The amount, as of any date of determination, of (i) any Investment in the form of a loan or an advance shall be the principal amount thereof outstanding on such date (excluding any portion thereof representing paid-in-kind interest or principal accretion), without any adjustment for write-downs or write-offs (including as a result of forgiveness of any portion thereof) with respect to such loan or advance after the date thereof, (ii) any Investment in the form of a Guarantee shall be determined in accordance with the definition of the term “Guarantee”, (iii) any Investment in the form of a transfer of Equity Interests or other non-cash property by the investor to the investee, including any such transfer in the form of a capital contribution, shall be the fair value (as determined reasonably and in good faith by the Company in accordance with GAAP) of such Equity Interests or other property as of the time of the transfer,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any payments actually received in cash, or other property that has been converted into cash or is readily marketable for cash, by such specified Person representing a return of capital of, or dividends or other distributions in respect of, such Investment, but without any adjustment for increases or decreases in value of, or write-ups, write-downs or write-offs with respect to, such Investment after the date of such transfer, (iv) any Investment (other than any Investment referred to in </w:t>
      </w:r>
      <w:r>
        <w:rPr>
          <w:rFonts w:ascii="Times New Roman" w:cs="Times New Roman" w:eastAsia="Times New Roman" w:hAnsi="Times New Roman"/>
          <w:sz w:val="19"/>
          <w:szCs w:val="19"/>
          <w:u w:val="single" w:color="auto"/>
          <w:color w:val="auto"/>
        </w:rPr>
        <w:t>clause</w:t>
      </w:r>
    </w:p>
    <w:p>
      <w:pPr>
        <w:spacing w:after="0" w:line="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above) by the specified Person in the form of a purchase or other acquisition for value of any Equity Interests, evidences of Indebtedness, other securities or assets of any other Person shall be the original cost of such Investment (including any Indebtedness assumed in connection therewith),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cost of all additions, as of such date, thereto, and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amount, as of such date, of any portion of such Investment repaid to the investor in cash as a repayment of principal or a return of capital, and of any payments or other amounts actually received by such investor representing dividends, returns, interest, profits, distributions, income or similar amount, in respect of such Investment, as the case may be, but without any other adjustment for increases or decreases in value of, or write-ups, write-downs or write-offs with respect to, such Investment after the date of such Investment, and (v) any Investment (other than any Investment referred to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(ii), (iii) or (iv) above) by the specified Person in any other Person resulting from the issuance by such other Person of its Equity Interests to the specified Person shall be the fair value (as determined reasonably and in good faith by a Financial Officer of the Company) of such Equity Interests at the time of the issuance thereof. For purposes of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if an Investment involves the acquisition of more than one Person, the amount of such Investment shall be allocated among the acquired Persons in accordance with GAAP;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0" w:name="page41"/>
    <w:bookmarkEnd w:id="40"/>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pending the final determination of the amounts to be so allocated in accordance with GAAP, such allocation shall be as reasonably determined by a Financial Officer of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Issuing Bank</w:t>
      </w:r>
      <w:r>
        <w:rPr>
          <w:rFonts w:ascii="Times New Roman" w:cs="Times New Roman" w:eastAsia="Times New Roman" w:hAnsi="Times New Roman"/>
          <w:sz w:val="19"/>
          <w:szCs w:val="19"/>
          <w:color w:val="auto"/>
        </w:rPr>
        <w:t xml:space="preserve">” means, individually and collectively, each of (i) JPMCB, (ii) BMO Harris Bank N.A. and (iii) any other Lender from time to time designated by the Borrower Representative as an Issuing Bank, with the consent of such Lender and the Administrative Agent, in each case its capacity as an issuer of Letters of Credit hereunder, and their respective successors in such capacity as provided in </w:t>
      </w:r>
      <w:r>
        <w:rPr>
          <w:rFonts w:ascii="Times New Roman" w:cs="Times New Roman" w:eastAsia="Times New Roman" w:hAnsi="Times New Roman"/>
          <w:sz w:val="19"/>
          <w:szCs w:val="19"/>
          <w:u w:val="single" w:color="auto"/>
          <w:color w:val="auto"/>
        </w:rPr>
        <w:t>Section 2.06(i)</w:t>
      </w:r>
      <w:r>
        <w:rPr>
          <w:rFonts w:ascii="Times New Roman" w:cs="Times New Roman" w:eastAsia="Times New Roman" w:hAnsi="Times New Roman"/>
          <w:sz w:val="19"/>
          <w:szCs w:val="19"/>
          <w:color w:val="auto"/>
        </w:rPr>
        <w:t xml:space="preserve">.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w:t>
      </w:r>
      <w:r>
        <w:rPr>
          <w:rFonts w:ascii="Times New Roman" w:cs="Times New Roman" w:eastAsia="Times New Roman" w:hAnsi="Times New Roman"/>
          <w:sz w:val="19"/>
          <w:szCs w:val="19"/>
          <w:u w:val="single" w:color="auto"/>
          <w:color w:val="auto"/>
        </w:rPr>
        <w:t>Section 2.06</w:t>
      </w:r>
      <w:r>
        <w:rPr>
          <w:rFonts w:ascii="Times New Roman" w:cs="Times New Roman" w:eastAsia="Times New Roman" w:hAnsi="Times New Roman"/>
          <w:sz w:val="19"/>
          <w:szCs w:val="19"/>
          <w:color w:val="auto"/>
        </w:rPr>
        <w:t xml:space="preserve">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 Sublimits</w:t>
      </w:r>
      <w:r>
        <w:rPr>
          <w:rFonts w:ascii="Times New Roman" w:cs="Times New Roman" w:eastAsia="Times New Roman" w:hAnsi="Times New Roman"/>
          <w:sz w:val="20"/>
          <w:szCs w:val="20"/>
          <w:color w:val="auto"/>
        </w:rPr>
        <w:t xml:space="preserve">” means, as of the Effective Date, (i) in the case of JPMCB, $5,000,000, (ii) in the case of BMO Harris Bank N.A., $5,000,000 and (iii) in the case of any other Issuing Bank, such amount as shall be designated to the Administrative Agent and the Borrower Representative in writing by such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Issuing Bank shall be permitted at any time, with the consent of the Borrower Representative and the Administrative Agent, to increase or reduce its Issuing Bank Sublimit in its discretion (it being understood and agreed that any such increase may be limited to the issuance of a particular Letter of Credit).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JPMCB</w:t>
      </w:r>
      <w:r>
        <w:rPr>
          <w:rFonts w:ascii="Times New Roman" w:cs="Times New Roman" w:eastAsia="Times New Roman" w:hAnsi="Times New Roman"/>
          <w:sz w:val="20"/>
          <w:szCs w:val="20"/>
          <w:color w:val="auto"/>
        </w:rPr>
        <w:t>” means JPMorgan Chase Bank, N.A., a national banking association, in its individual capacity, and its successors.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2.06(j)</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Disbursement</w:t>
      </w:r>
      <w:r>
        <w:rPr>
          <w:rFonts w:ascii="Times New Roman" w:cs="Times New Roman" w:eastAsia="Times New Roman" w:hAnsi="Times New Roman"/>
          <w:sz w:val="20"/>
          <w:szCs w:val="20"/>
          <w:color w:val="auto"/>
        </w:rPr>
        <w:t>” means a payment made by an Issuing Bank pursuant to a Letter of Credit.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means, at any time, the sum of the Commercial LC Exposure and the Standby LC Exposure at such time. The LC Exposure of any Lender at any time shall be its Applicable Percentage of the total LC Exposure at such time.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Lead Arrangers</w:t>
      </w:r>
      <w:r>
        <w:rPr>
          <w:rFonts w:ascii="Times New Roman" w:cs="Times New Roman" w:eastAsia="Times New Roman" w:hAnsi="Times New Roman"/>
          <w:sz w:val="20"/>
          <w:szCs w:val="20"/>
          <w:color w:val="auto"/>
        </w:rPr>
        <w:t>” means each of JPMorgan Chase Bank, N.A. and BMO Capital Markets Corp. in their capacities as the joint lead arrangers and joint bookrunners for the credit facility evidenced by this Agreement.</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Lease Deficiency Obligation</w:t>
      </w:r>
      <w:r>
        <w:rPr>
          <w:rFonts w:ascii="Times New Roman" w:cs="Times New Roman" w:eastAsia="Times New Roman" w:hAnsi="Times New Roman"/>
          <w:sz w:val="20"/>
          <w:szCs w:val="20"/>
          <w:color w:val="auto"/>
        </w:rPr>
        <w:t>” means after default, repossession and disposition of the Equipment which is the subject of or which secures a Lease Financing, the amount, if any, by which (i) any and all obligations of the Loan Parties or their Subsidiaries to a Lessor, arising, evidenced or acquired (including all renewals, extensions and modifications thereof and substitutions therefor) in connection with a specific Lease Financing, exceeds (ii) the Net Proceeds realized by the Lessor upon the disposition of the Equipment which is the subject of or which secures the specific Lease Financing.</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Lease Financing</w:t>
      </w:r>
      <w:r>
        <w:rPr>
          <w:rFonts w:ascii="Times New Roman" w:cs="Times New Roman" w:eastAsia="Times New Roman" w:hAnsi="Times New Roman"/>
          <w:sz w:val="20"/>
          <w:szCs w:val="20"/>
          <w:color w:val="auto"/>
        </w:rPr>
        <w:t>” means (i) a lease of specific Equipment as defined in Article 2-A of the UCC, and (ii) a secured financing transaction secured by specific Equipment, whether that transaction is called a</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color w:val="auto"/>
        </w:rPr>
        <w:t>lease or a loan, entered into by any Loan Party or its Subsidiaries with any Lender or any of its Affiliates (in this context, the “</w:t>
      </w:r>
      <w:r>
        <w:rPr>
          <w:rFonts w:ascii="Times New Roman" w:cs="Times New Roman" w:eastAsia="Times New Roman" w:hAnsi="Times New Roman"/>
          <w:sz w:val="20"/>
          <w:szCs w:val="20"/>
          <w:u w:val="single" w:color="auto"/>
          <w:color w:val="auto"/>
        </w:rPr>
        <w:t>Lessor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Parent</w:t>
      </w:r>
      <w:r>
        <w:rPr>
          <w:rFonts w:ascii="Times New Roman" w:cs="Times New Roman" w:eastAsia="Times New Roman" w:hAnsi="Times New Roman"/>
          <w:sz w:val="20"/>
          <w:szCs w:val="20"/>
          <w:color w:val="auto"/>
        </w:rPr>
        <w:t>” means, with respect to any Lender, any Person as to which such Lender is, directly or indirectly, a subsidiary.</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on the Commitment Schedule and any other Person that shall have become a Lender hereunder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or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each Issuing Bank.</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Lessor</w:t>
      </w:r>
      <w:r>
        <w:rPr>
          <w:rFonts w:ascii="Times New Roman" w:cs="Times New Roman" w:eastAsia="Times New Roman" w:hAnsi="Times New Roman"/>
          <w:sz w:val="20"/>
          <w:szCs w:val="20"/>
          <w:color w:val="auto"/>
        </w:rPr>
        <w:t>” has the meaning assigned to such term in the definition of “Lease Financing”.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letter of credit issued pursuant to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2.06(b)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Borrowing Option</w:t>
      </w:r>
      <w:r>
        <w:rPr>
          <w:rFonts w:ascii="Times New Roman" w:cs="Times New Roman" w:eastAsia="Times New Roman" w:hAnsi="Times New Roman"/>
          <w:sz w:val="20"/>
          <w:szCs w:val="20"/>
          <w:color w:val="auto"/>
        </w:rPr>
        <w:t>” has the meaning assigned to such term in the DDA Access Product Agreement.</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collectively, this Agreement, the Collateral Documents, the Loan Guaranty, the Intercreditor Agreements, any promissory notes executed and delivered pursuant to </w:t>
      </w:r>
      <w:r>
        <w:rPr>
          <w:rFonts w:ascii="Times New Roman" w:cs="Times New Roman" w:eastAsia="Times New Roman" w:hAnsi="Times New Roman"/>
          <w:sz w:val="20"/>
          <w:szCs w:val="20"/>
          <w:u w:val="single" w:color="auto"/>
          <w:color w:val="auto"/>
        </w:rPr>
        <w:t>Section 2.10(e)</w:t>
      </w:r>
      <w:r>
        <w:rPr>
          <w:rFonts w:ascii="Times New Roman" w:cs="Times New Roman" w:eastAsia="Times New Roman" w:hAnsi="Times New Roman"/>
          <w:sz w:val="20"/>
          <w:szCs w:val="20"/>
          <w:color w:val="auto"/>
        </w:rPr>
        <w:t>, any Letter of Credit applications and any agreements between the Borrower Representative and the Issuing Bank regarding the Issuing Bank’s Issuing Bank Sublimit or the respective rights and obligations between any Borrower and the Issuing Bank in connection with the issuance of Letters of Credit, and any and all other instruments and documents executed and delivered in connection with any of the foregoing.</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Guarantor</w:t>
      </w:r>
      <w:r>
        <w:rPr>
          <w:rFonts w:ascii="Times New Roman" w:cs="Times New Roman" w:eastAsia="Times New Roman" w:hAnsi="Times New Roman"/>
          <w:sz w:val="20"/>
          <w:szCs w:val="20"/>
          <w:color w:val="auto"/>
        </w:rPr>
        <w:t>” means each Loan Party.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Guaranty</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of this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Borrowers, the Company’s Material Domestic Subsidiaries and any other Person who becomes a party to this Agreement pursuant to a Joinder Agreement and their successors and assigns, and the term “Loan Party” shall mean any one of them or all of them individually, as the context may require.</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and advances made by the Lenders pursuant to this Agreement, including Swingline Loans, Overadvances and Protective Advances.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means margin stock within the meaning of Regulations T, U and X, as applicable.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assets, operations, or financial condition of the Company and the Subsidiaries taken as a whole, (b) the ability of the Loan Parties, taken as a whole, to perform any of their respective payment obligations under this Agreement, (c)</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2" w:name="page43"/>
    <w:bookmarkEnd w:id="4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validity or enforceability of this Agreement or any and all other Loan Documents, or (d) the material rights or remedies of the Administrative Agent or the Lenders under the Loan Documents.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Domestic Subsidiary</w:t>
      </w:r>
      <w:r>
        <w:rPr>
          <w:rFonts w:ascii="Times New Roman" w:cs="Times New Roman" w:eastAsia="Times New Roman" w:hAnsi="Times New Roman"/>
          <w:sz w:val="20"/>
          <w:szCs w:val="20"/>
          <w:color w:val="auto"/>
        </w:rPr>
        <w:t>” means each Domestic Subsidiary (other than an Excluded Domestic Subsidiary) that constitutes a Material Subsidiary.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Foreign Subsidiary</w:t>
      </w:r>
      <w:r>
        <w:rPr>
          <w:rFonts w:ascii="Times New Roman" w:cs="Times New Roman" w:eastAsia="Times New Roman" w:hAnsi="Times New Roman"/>
          <w:sz w:val="20"/>
          <w:szCs w:val="20"/>
          <w:color w:val="auto"/>
        </w:rPr>
        <w:t>” means each Foreign Subsidiary that constitutes a Material Subsidiary.</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any Indebtedness (other than the Loans and Letters of Credit), or obligations in respect of one or more Swap Agreements, of any one or more of the Company and its Subsidiaries in an aggregate principal amount exceeding $30,000,000.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 xml:space="preserve">” means real property located in the United States with a book value (as reflected in the financial statements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(or, prior to the delivery of any such financial statements, the financial statements referred to in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of more than $10,000,000 that is owned by the Company or any Domestic Subsidiary that is a Loan Party.</w:t>
      </w:r>
    </w:p>
    <w:p>
      <w:pPr>
        <w:spacing w:after="0" w:line="18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xml:space="preserve">” means each Subsidiary (i) which, as of the most recent fiscal quarter of the Company during the Test Period, contributed greater than five percent (5%) of the Company’s Consolidated EBITDA for such period or (ii) which contributed greater than five percent (5%) of Consolidated Total Assets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any time the aggregate amount of Consolidated EBITDA or Consolidated Total Assets attributable to all Subsidiaries that are not Material Subsidiaries exceeds twenty percent (20%) of Consolidated EBITDA for any such period or twenty percent (20%) of Consolidated Total Assets as of the end of any such fiscal quarter, the Company (or, in the event the Company has failed to do so within ten days, the Administrative Agent) shall designate sufficient Subsidiaries as “Material Subsidiaries” to eliminate such excess, and such designated Subsidiaries shall for all purposes of this Agreement constitute Material Subsidiaries.</w:t>
      </w:r>
    </w:p>
    <w:p>
      <w:pPr>
        <w:spacing w:after="0" w:line="20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the earliest to occur of (i) July 15, 2027, (ii) the date on which the Commitments are reduced to zero or otherwise terminated pursuant to the terms hereof, (iii) the date that is ninety-one (91) days prior to the maturity date of the Term Loans/Notes Facility, if any Term Loans/Notes are outstanding on such date, (iv) the date that is ninety-one (91) days prior to the earliest maturity date of any outstanding Priority Lien Notes Debt (as defined in the Term Loans/Notes Agreement as of July 8, 2020), if any Priority Lien Notes Debt is outstanding on such date and (v) the date that is ninety-one (91) days prior to the earliest maturity date of any outstanding Permitted Convertible Notes, if any Permitted Convertible Notes are outstanding on such date;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in each case, if such date is not a Business Day, the Maturity Date shall be the immediately preceding Business Day.</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MNPI</w:t>
      </w:r>
      <w:r>
        <w:rPr>
          <w:rFonts w:ascii="Times New Roman" w:cs="Times New Roman" w:eastAsia="Times New Roman" w:hAnsi="Times New Roman"/>
          <w:sz w:val="20"/>
          <w:szCs w:val="20"/>
          <w:color w:val="auto"/>
        </w:rPr>
        <w:t>” means material information concerning the Company and the Subsidiaries and their securities that has not been disseminated in a manner making it available to investors generally, within the meaning of Regulation FD under the Securities Act and the Securities Exchange Act of 1934.</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3" w:name="page44"/>
    <w:bookmarkEnd w:id="43"/>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Monthly Reporting Period</w:t>
      </w:r>
      <w:r>
        <w:rPr>
          <w:rFonts w:ascii="Times New Roman" w:cs="Times New Roman" w:eastAsia="Times New Roman" w:hAnsi="Times New Roman"/>
          <w:sz w:val="20"/>
          <w:szCs w:val="20"/>
          <w:color w:val="auto"/>
        </w:rPr>
        <w:t>” means any period of time commencing on any day that the Aggregate Revolving Exposure (other than the aggregate LC Exposure) has exceeded $52,500,000 for more than five (5) consecutive days and continuing until such subsequent day, if any, on which the Aggregate Revolving Exposure (other than the aggregate LC Exposure) has not exceeded $0 for more than sixty (60) consecutive days.</w:t>
      </w:r>
    </w:p>
    <w:p>
      <w:pPr>
        <w:spacing w:after="0" w:line="19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xml:space="preserve">” means each mortgage, deed of trust or other agreement which conveys or evidences a Lien in favor of the Administrative Agent, for the benefit of the Administrative Agent and the Secured Parties, on real property of a Loan Party, including any amendment, restatement, modification or supplement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Mortgage shall contain any defaults other than by reference to the defaults set forth in this Agreement; and further provided, in the event the Mortgage shall be recorded in a jurisdiction which charges mortgage recording taxes, intangible taxes or documentary taxes or other similar taxes and/or charges, such Mortgage shall only secure such an amount not to exceed the fair market value (as reasonably determined by Borrower Representative and as reasonably acceptable to the Administrative Agent) of the Material Real Property secured by such Mortgage.</w:t>
      </w:r>
    </w:p>
    <w:p>
      <w:pPr>
        <w:spacing w:after="0" w:line="19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 Instruments</w:t>
      </w:r>
      <w:r>
        <w:rPr>
          <w:rFonts w:ascii="Times New Roman" w:cs="Times New Roman" w:eastAsia="Times New Roman" w:hAnsi="Times New Roman"/>
          <w:sz w:val="20"/>
          <w:szCs w:val="20"/>
          <w:color w:val="auto"/>
        </w:rPr>
        <w:t>” means with respect to any Material Real Property for which a Mortgage is being recorded, (a) such title reports and ALTA title insurance policies (or unconditional commitment to issue such policy or policies) reasonably acceptable to Administrative Agent, in an amount not to exceed 110% of the fair market value (as reasonably acceptable to the Administrative Agent) of such Material Real Property (with endorsements reasonably requested by Administrative Agent and as are available in the applicable jurisdiction) and with all premiums fully paid, (b) either (i) an ALTA survey reasonably acceptable to Administrative Agent or (ii) previously obtained ALTA survey and affidavits of “no-change” with respect to each such survey, such survey and affidavit to be in form and substance reasonably acceptable to the Administrative Agent and to be sufficient to issue title insurance policies to the Administrative Agent providing all reasonably required survey coverage and survey endorsements and zoning endorsements, (c) acquisition of FEMA standard life-of-loan flood hazard determinations for such Material Real Property reasonably acceptable to Administrative Agent and each Lender, and if any building located on such Material Real Property is determined to be in a special hazard area, delivery of (i) a notice with respect to such flood insurance and (ii) evidence of flood insurance, in each case reasonably acceptable to Administrative Agent and each Lender, (d) a local counsel opinion as to the enforceability of each Mortgage in the state in which the Material Real Property described in such Mortgage is located and other matters customarily covered in real estate enforceability opinions in form and substance reasonably acceptable to Administrative Agent, except with respect to the Material Real Property located in Oregon, written confirmation from local counsel that is in form and substance reasonably acceptable to Administrative Agent that such Mortgage Instrument satisfies the basic requirements for amending a deed of trust under Oregon law and is suitable for recording, (e) mortgage tax affidavits and declarations and other similar information and related certifications that are required in the jurisdiction in which a Mortgage is being filed in order to permit such filing and such affidavits and certificates as are required to issue the title insurance policies, provided, appraisals shall not be required to be delivered in connection with any Mortgage (in each case, other than such documentation already in the possession of any Loan Party) and (f) environmental assessments and reports and zoning reports in form and substance reasonably acceptable to the Administrative Agent and each Lender.</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Orderly Liquidation Value</w:t>
      </w:r>
      <w:r>
        <w:rPr>
          <w:rFonts w:ascii="Times New Roman" w:cs="Times New Roman" w:eastAsia="Times New Roman" w:hAnsi="Times New Roman"/>
          <w:sz w:val="20"/>
          <w:szCs w:val="20"/>
          <w:color w:val="auto"/>
        </w:rPr>
        <w:t>” means, with respect to Inventory of any Person, the orderly liquidation value thereof as determined in a manner reasonably acceptable to the Administrative Agent by an appraiser acceptable to the Administrative Agent, net of all costs of liquidation thereof.</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Newmar</w:t>
      </w:r>
      <w:r>
        <w:rPr>
          <w:rFonts w:ascii="Times New Roman" w:cs="Times New Roman" w:eastAsia="Times New Roman" w:hAnsi="Times New Roman"/>
          <w:sz w:val="20"/>
          <w:szCs w:val="20"/>
          <w:color w:val="auto"/>
        </w:rPr>
        <w:t>” means Newmar Corporation, an Indiana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4" w:name="page45"/>
    <w:bookmarkEnd w:id="44"/>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Newmar Revolving Exposures</w:t>
      </w:r>
      <w:r>
        <w:rPr>
          <w:rFonts w:ascii="Times New Roman" w:cs="Times New Roman" w:eastAsia="Times New Roman" w:hAnsi="Times New Roman"/>
          <w:sz w:val="20"/>
          <w:szCs w:val="20"/>
          <w:color w:val="auto"/>
        </w:rPr>
        <w:t xml:space="preserve">” means, with respect to any Lender at any time, and without duplication, the sum of (a) the outstanding principal amount of the Revolving Loans made by such Lender to Newmar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such Lender’s LC Exposure with respect to Letters of Credit issued for the account of Newmar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such Lender’s Swingline Exposure with respect to Swingline Loans made to Newmar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an amount equal to its Applicable Percentage of the aggregate principal amount of outstanding Protective Advances made to Newmar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(e) an amount equal to its Applicable Percentage of the aggregate principal amount of outstanding Overadvances made to Newmar at such time.</w:t>
      </w:r>
    </w:p>
    <w:p>
      <w:pPr>
        <w:spacing w:after="0" w:line="198"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Newmar Utilization</w:t>
      </w:r>
      <w:r>
        <w:rPr>
          <w:rFonts w:ascii="Times New Roman" w:cs="Times New Roman" w:eastAsia="Times New Roman" w:hAnsi="Times New Roman"/>
          <w:sz w:val="20"/>
          <w:szCs w:val="20"/>
          <w:color w:val="auto"/>
        </w:rPr>
        <w:t>” means, at any time, the excess, if any, of (a) the aggregate Newmar Revolving Exposures of all Lenders over (b) the Newmar Borrowing Base.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means the Federal Reserve Bank of New York.</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none of such rates are published for any day that is a Business Day, the term “</w:t>
      </w:r>
      <w:r>
        <w:rPr>
          <w:rFonts w:ascii="Times New Roman" w:cs="Times New Roman" w:eastAsia="Times New Roman" w:hAnsi="Times New Roman"/>
          <w:sz w:val="20"/>
          <w:szCs w:val="20"/>
          <w:u w:val="single" w:color="auto"/>
          <w:color w:val="auto"/>
        </w:rPr>
        <w:t>NYFRB Rate</w:t>
      </w:r>
      <w:r>
        <w:rPr>
          <w:rFonts w:ascii="Times New Roman" w:cs="Times New Roman" w:eastAsia="Times New Roman" w:hAnsi="Times New Roman"/>
          <w:sz w:val="20"/>
          <w:szCs w:val="20"/>
          <w:color w:val="auto"/>
        </w:rPr>
        <w:t xml:space="preserve">” means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any of the aforesaid rates shall be less than zero, such rate shall be deemed to be zero for purposes of this Agreement.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NYFRB’s Website</w:t>
      </w:r>
      <w:r>
        <w:rPr>
          <w:rFonts w:ascii="Times New Roman" w:cs="Times New Roman" w:eastAsia="Times New Roman" w:hAnsi="Times New Roman"/>
          <w:sz w:val="20"/>
          <w:szCs w:val="20"/>
          <w:color w:val="auto"/>
        </w:rPr>
        <w:t>” means the website of the NYFRB at http://www.newyorkfed.org, or any successor source.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U.S. Department of Treasury.</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Overadvance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Bank Funding Rate</w:t>
      </w:r>
      <w:r>
        <w:rPr>
          <w:rFonts w:ascii="Times New Roman" w:cs="Times New Roman" w:eastAsia="Times New Roman" w:hAnsi="Times New Roman"/>
          <w:sz w:val="20"/>
          <w:szCs w:val="20"/>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means the USA PATRIOT Act (Title III of Pub. L. 107-56 (signed into law October 26, 2001)).</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Condition</w:t>
      </w:r>
      <w:r>
        <w:rPr>
          <w:rFonts w:ascii="Times New Roman" w:cs="Times New Roman" w:eastAsia="Times New Roman" w:hAnsi="Times New Roman"/>
          <w:sz w:val="20"/>
          <w:szCs w:val="20"/>
          <w:color w:val="auto"/>
        </w:rPr>
        <w:t xml:space="preserve">” means, with respect to any proposed designated action on any date, a condition that is satisfied if (a) after giving effect to such proposed designated action as if it occurred on the first day of the applicable Pro Forma Period, the pro forma Aggregate Availability shall be greater than the greater of $33,000,000 and 17.5% of the Aggregate Commitment at all times during such Pro Forma Period or (b) both (i) after giving effect to such proposed designated action as if it occurred on the first day of such Pro Forma Period, the pro forma Aggregate Availability shall be greater than the greater of $24,750,000 and 15% of the Aggregate Commitment at all times during such Pro Forma Period and (ii) the Fixed Charge Coverage Ratio, computed on a pro forma basis for the period of four consecutive fiscal quarters ending on the most recent fiscal quarter of the Company for which financial statements have been delivered pursuant to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shall be greater than 1.10 to 1.00.</w:t>
      </w:r>
    </w:p>
    <w:p>
      <w:pPr>
        <w:spacing w:after="0" w:line="20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means any Acquisition by any Loan Party or Subsidiary in a transaction that satisfies each of the following requirements: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such Acquisition is not a Hostile Acquisition;</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such Person or division or line of business is engaged in the same or a similar line of business as the Company or any of its Subsidiaries or any business activities reasonably related or ancillary thereto;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 Default exists at the time of such Acquisition or would result therefrom;</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such Acquisition constitutes a Material Acquisition, the Administrative Agent shall have received a description of the material terms of such Acquisition and the audited financial statements (or, if unavailable, management-prepared financial statements) of such Person or division or line of business of such Person for its two most recently ended fiscal years and for any fiscal quarters ended within the fiscal year to-date for which such financial statements are available;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6" w:name="page47"/>
    <w:bookmarkEnd w:id="46"/>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such Acquisition involves a merger, amalgamation or a consolidation involving the Company or any other Loan Party, the Company or a Loan Party, as applicable, shall be the surviving entity in compliance with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(subject to any grace periods specified in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and</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the Company shall have delivered to the Administrative Agent final executed material documentation relating to such Acquisition promptly after request therefor by the Administrative Agent.</w:t>
      </w:r>
    </w:p>
    <w:p>
      <w:pPr>
        <w:spacing w:after="0" w:line="1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Call Spread Swap Agreements</w:t>
      </w:r>
      <w:r>
        <w:rPr>
          <w:rFonts w:ascii="Times New Roman" w:cs="Times New Roman" w:eastAsia="Times New Roman" w:hAnsi="Times New Roman"/>
          <w:sz w:val="20"/>
          <w:szCs w:val="20"/>
          <w:color w:val="auto"/>
        </w:rPr>
        <w:t>” means (a) any Swap Agreement (including, but not limited to, any bond hedge transaction or capped call transaction) pursuant to which the Company acquires an option requiring the counterparty thereto to deliver to the Company shares of common stock of the Company (or other securities or property following a merger event or other change of the common stock of the Company), the cash value thereof or a combination thereof from time to time upon exercise of such option entered into by the Company in connection with the issuance of Permitted Convertible Notes (such transaction, a “</w:t>
      </w:r>
      <w:r>
        <w:rPr>
          <w:rFonts w:ascii="Times New Roman" w:cs="Times New Roman" w:eastAsia="Times New Roman" w:hAnsi="Times New Roman"/>
          <w:sz w:val="20"/>
          <w:szCs w:val="20"/>
          <w:u w:val="single" w:color="auto"/>
          <w:color w:val="auto"/>
        </w:rPr>
        <w:t>Bond Hedge Transaction</w:t>
      </w:r>
      <w:r>
        <w:rPr>
          <w:rFonts w:ascii="Times New Roman" w:cs="Times New Roman" w:eastAsia="Times New Roman" w:hAnsi="Times New Roman"/>
          <w:sz w:val="20"/>
          <w:szCs w:val="20"/>
          <w:color w:val="auto"/>
        </w:rPr>
        <w:t>”) and (b) any Swap Agreement pursuant to which the Company issues to the counterparty thereto warrants to acquire common stock of the Company (or other securities or property following a merger event or other change of the common stock of the Company) (whether such warrant is settled in shares, cash or a combination thereof) entered into by the Company in connection with the issuance of Permitted Convertible Notes (such transaction, a “</w:t>
      </w:r>
      <w:r>
        <w:rPr>
          <w:rFonts w:ascii="Times New Roman" w:cs="Times New Roman" w:eastAsia="Times New Roman" w:hAnsi="Times New Roman"/>
          <w:sz w:val="20"/>
          <w:szCs w:val="20"/>
          <w:u w:val="single" w:color="auto"/>
          <w:color w:val="auto"/>
        </w:rPr>
        <w:t>Warrant Transaction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terms, conditions and covenants of each such Swap Agreement shall be acceptable to the Administrative Agent in its Permitted Discretion), (ii) the purchase price for such Bond Hedge Transaction, less the proceeds received by the Company from the sale of any related Warrant Transaction, does not exceed the net proceeds received by the Company from the issuance of the related Permitted Convertible Notes and (iii)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such Swap Agreement would be classified as an equity instrument in accordance with GAAP.</w:t>
      </w:r>
    </w:p>
    <w:p>
      <w:pPr>
        <w:spacing w:after="0" w:line="21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Convertible Notes</w:t>
      </w:r>
      <w:r>
        <w:rPr>
          <w:rFonts w:ascii="Times New Roman" w:cs="Times New Roman" w:eastAsia="Times New Roman" w:hAnsi="Times New Roman"/>
          <w:sz w:val="19"/>
          <w:szCs w:val="19"/>
          <w:color w:val="auto"/>
        </w:rPr>
        <w:t xml:space="preserve">” means any unsecured notes issued by the Company that are convertible into a fixed number (subject to customary anti-dilution adjustments, “make-whole” increases and other customary changes thereto) of shares of common stock of the Company (or other securities or property following a merger event or other change of the common stock of the Company), cash or any combination thereof (with the amount of such cash or such combination determined by reference to the market price of such common stock or such other securities);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Indebtedness thereunder must satisfy each of the following conditions: (i) both immediately prior to and after giving effect (including pro forma effect) thereto, no Default or Event of Default shall exist or result therefrom, (ii) such Indebtedness matures after, and does not require any scheduled amortization or other scheduled or otherwise required payments of principal prior to, and does not permit any Loan Party to elect optional redemption or optional acceleration that would be settled on a date prior to, the date that is ninety-one (91) days after the Maturity Date (it being understood that neither (x) any provision requiring an offer to purchase such Indebtedness as a result of change of control or other fundamental change nor (y) any early conversion of any Permitted Convertible Notes in accordance with the terms thereof, in either case, shall violate the foregoing restriction), (iii) such Indebtedness is not guaranteed by any Subsidiary of the Company other than a Loan Party (which guarantees, if such Indebtedness is subordinated, shall be expressly subordinated to the Secured Obligations on terms not less favorable to the Lenders than the subordination terms of such Subordinated Indebtedness) and</w:t>
      </w:r>
    </w:p>
    <w:p>
      <w:pPr>
        <w:spacing w:after="0" w:line="11" w:lineRule="exact"/>
        <w:rPr>
          <w:sz w:val="20"/>
          <w:szCs w:val="20"/>
          <w:color w:val="auto"/>
        </w:rPr>
      </w:pPr>
    </w:p>
    <w:p>
      <w:pPr>
        <w:ind w:firstLine="8"/>
        <w:spacing w:after="0" w:line="246" w:lineRule="auto"/>
        <w:tabs>
          <w:tab w:leader="none" w:pos="33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conditions and covenants of such Indebtedness must be customary for convertible Indebtedness of such type (as determined by the board of directors of the Company, or a committee thereof, in good faith).</w:t>
      </w:r>
    </w:p>
    <w:p>
      <w:pPr>
        <w:spacing w:after="0" w:line="19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Discretion</w:t>
      </w:r>
      <w:r>
        <w:rPr>
          <w:rFonts w:ascii="Times New Roman" w:cs="Times New Roman" w:eastAsia="Times New Roman" w:hAnsi="Times New Roman"/>
          <w:sz w:val="20"/>
          <w:szCs w:val="20"/>
          <w:color w:val="auto"/>
        </w:rPr>
        <w:t>” means a determination made in good faith and in the exercise of reasonable (from the perspective of a secured asset-based lender) business judgment.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imposed by law for Taxes that are not yet delinquent or are being contested in compliance with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carriers’, warehousemen’s, mechanics’, materialmen’s, repairmen’s and other like Liens imposed by law, arising in the ordinary course of business and securing obligations that are not overdue by more than sixty (60) days or are being contested in compliance with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pledges and deposits made in the ordinary course of business in compliance with workers’ compensation, unemployment insurance and other social security laws or regulations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Company or any Subsidiary;</w:t>
      </w:r>
    </w:p>
    <w:p>
      <w:pPr>
        <w:spacing w:after="0" w:line="19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(d)</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deposits to secure the performance of bids, trade contracts, leases, statutory obligations, surety, stay, customs and appeal bonds, performance bonds and other obligations of a like nature (including (i) those to secure health, safety and environmental obligations and</w:t>
      </w:r>
    </w:p>
    <w:p>
      <w:pPr>
        <w:ind w:firstLine="8"/>
        <w:spacing w:after="0" w:line="246" w:lineRule="auto"/>
        <w:tabs>
          <w:tab w:leader="none" w:pos="30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letters of credit and bank guarantees required or requested by any Governmental Authority in connection with any contract or law), in each case in the ordinary course of business;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judgment Liens in respect of judgments that do not constitute an Event of Default under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matters of record affecting title to any real or leased property and any survey exceptions, encroachments, rights of parties in possession under written leases or occupancy agreements, title defects, easements, zoning restrictions, rights-of-way and similar encumbrances on real property imposed by law or arising in the ordinary course of business that do not secure any monetary obligations that are substantial in amount and do not materially detract from the value of the affected property or interfere in any material respect with the ordinary conduct of business of the Company or any Subsidiary;</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encumbering reasonable customary initial deposits and margin deposits and similar Liens attaching to commodity trading accounts or other brokerage accounts incurred in the ordinary course of business and not for speculative purposes;</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leases, licenses, subleases or sublicenses granted to others in the ordinary course of business that do not (A) interfere in any material respect with the business of the Company and its Subsidiaries, taken as a whole or (B) secure any Indebtedness or (ii) the rights reserved or vested in any Person (including any Governmental Authority) by the terms of any lease, license, franchise, grant or permit held by the Company or any of its Subsidiaries or by a statutory provision, to terminate any such lease, license, franchise, grant or permit, or to require annual or periodic payments as a condition to the continuance thereof;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8" w:name="page49"/>
    <w:bookmarkEnd w:id="48"/>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ground leases or subleases, licenses or sublicenses in respect of real property on which facilities owned or leased by the Company or any Subsidiary are located;</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Company and its Subsidiaries, taken as a whole;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arising from precautionary UCC financing statement or similar filings;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licenses, sublicenses and cross-licenses of Intellectual Property in the ordinary course of business; and</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interest or title of a lessor, sublessor, lessee or sublessee under any lease in existence on the day hereof or permitted by this Agreement and the Collateral Documents.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in commercial paper maturing within 270 days from the date of acquisition thereof and having, at such date of acquisition, the highest credit rating obtainable from S&amp;P or from Moody’s;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fully collateralized repurchase agreements with a term of not more than thirty (30) days for securities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and entered into with a financial institution satisfying the criteria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money market funds that (i) comply with the criteria set forth in SEC Rule 2a-7 under the Investment Company Act of 1940, (ii) are rated AAA by S&amp;P and Aaa by Moody’s and (iii) have portfolio assets of at least $5,000,000,000;</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other investments made in accordance with the Company’s investment policy as disclosed to the Administrative Agent prior to the Effective Date and with such amendments or modifications thereto as are from time to time approved by the Administrative Agent;</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in Indebtedness that is (x) issued by Persons with (i) a short term credit rating of “</w:t>
      </w:r>
      <w:r>
        <w:rPr>
          <w:rFonts w:ascii="Times New Roman" w:cs="Times New Roman" w:eastAsia="Times New Roman" w:hAnsi="Times New Roman"/>
          <w:sz w:val="20"/>
          <w:szCs w:val="20"/>
          <w:u w:val="single" w:color="auto"/>
          <w:color w:val="auto"/>
        </w:rPr>
        <w:t>P-1</w:t>
      </w:r>
      <w:r>
        <w:rPr>
          <w:rFonts w:ascii="Times New Roman" w:cs="Times New Roman" w:eastAsia="Times New Roman" w:hAnsi="Times New Roman"/>
          <w:sz w:val="20"/>
          <w:szCs w:val="20"/>
          <w:color w:val="auto"/>
        </w:rPr>
        <w:t>” or higher from Moody’s or “</w:t>
      </w:r>
      <w:r>
        <w:rPr>
          <w:rFonts w:ascii="Times New Roman" w:cs="Times New Roman" w:eastAsia="Times New Roman" w:hAnsi="Times New Roman"/>
          <w:sz w:val="20"/>
          <w:szCs w:val="20"/>
          <w:u w:val="single" w:color="auto"/>
          <w:color w:val="auto"/>
        </w:rPr>
        <w:t>A-1</w:t>
      </w:r>
      <w:r>
        <w:rPr>
          <w:rFonts w:ascii="Times New Roman" w:cs="Times New Roman" w:eastAsia="Times New Roman" w:hAnsi="Times New Roman"/>
          <w:sz w:val="20"/>
          <w:szCs w:val="20"/>
          <w:color w:val="auto"/>
        </w:rPr>
        <w:t>” or higher from S&amp;P or (ii) a long term rating of “</w:t>
      </w:r>
      <w:r>
        <w:rPr>
          <w:rFonts w:ascii="Times New Roman" w:cs="Times New Roman" w:eastAsia="Times New Roman" w:hAnsi="Times New Roman"/>
          <w:sz w:val="20"/>
          <w:szCs w:val="20"/>
          <w:u w:val="single" w:color="auto"/>
          <w:color w:val="auto"/>
        </w:rPr>
        <w:t>A2</w:t>
      </w:r>
      <w:r>
        <w:rPr>
          <w:rFonts w:ascii="Times New Roman" w:cs="Times New Roman" w:eastAsia="Times New Roman" w:hAnsi="Times New Roman"/>
          <w:sz w:val="20"/>
          <w:szCs w:val="20"/>
          <w:color w:val="auto"/>
        </w:rPr>
        <w:t xml:space="preserve">” or higher from Moody’s or “A” or higher from S&amp;P, in each case for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with maturities not more than twelve (12) months after the date of acquisition and (y) of a type customarily used by companies for cash management purposes;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9" w:name="page50"/>
    <w:bookmarkEnd w:id="49"/>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securities with maturities of one year or less from the date of acquisition issued or fully guaranteed by any state, commonwealth or territory of the United States of America, by any political subdivision or taxing authority of any such state, commonwealth or territory or by any foreign government, the securities of which state, commonwealth, territory, political subdivision, taxing authority or foreign government (as the case may be) receive at least (i) a short term credit rating of “</w:t>
      </w:r>
      <w:r>
        <w:rPr>
          <w:rFonts w:ascii="Times New Roman" w:cs="Times New Roman" w:eastAsia="Times New Roman" w:hAnsi="Times New Roman"/>
          <w:sz w:val="20"/>
          <w:szCs w:val="20"/>
          <w:u w:val="single" w:color="auto"/>
          <w:color w:val="auto"/>
        </w:rPr>
        <w:t>P-1</w:t>
      </w:r>
      <w:r>
        <w:rPr>
          <w:rFonts w:ascii="Times New Roman" w:cs="Times New Roman" w:eastAsia="Times New Roman" w:hAnsi="Times New Roman"/>
          <w:sz w:val="20"/>
          <w:szCs w:val="20"/>
          <w:color w:val="auto"/>
        </w:rPr>
        <w:t>” or higher from Moody’s or “</w:t>
      </w:r>
      <w:r>
        <w:rPr>
          <w:rFonts w:ascii="Times New Roman" w:cs="Times New Roman" w:eastAsia="Times New Roman" w:hAnsi="Times New Roman"/>
          <w:sz w:val="20"/>
          <w:szCs w:val="20"/>
          <w:u w:val="single" w:color="auto"/>
          <w:color w:val="auto"/>
        </w:rPr>
        <w:t>A-1</w:t>
      </w:r>
      <w:r>
        <w:rPr>
          <w:rFonts w:ascii="Times New Roman" w:cs="Times New Roman" w:eastAsia="Times New Roman" w:hAnsi="Times New Roman"/>
          <w:sz w:val="20"/>
          <w:szCs w:val="20"/>
          <w:color w:val="auto"/>
        </w:rPr>
        <w:t>” or higher from S&amp;P or (ii) a long term rating of “</w:t>
      </w:r>
      <w:r>
        <w:rPr>
          <w:rFonts w:ascii="Times New Roman" w:cs="Times New Roman" w:eastAsia="Times New Roman" w:hAnsi="Times New Roman"/>
          <w:sz w:val="20"/>
          <w:szCs w:val="20"/>
          <w:u w:val="single" w:color="auto"/>
          <w:color w:val="auto"/>
        </w:rPr>
        <w:t>A2</w:t>
      </w:r>
      <w:r>
        <w:rPr>
          <w:rFonts w:ascii="Times New Roman" w:cs="Times New Roman" w:eastAsia="Times New Roman" w:hAnsi="Times New Roman"/>
          <w:sz w:val="20"/>
          <w:szCs w:val="20"/>
          <w:color w:val="auto"/>
        </w:rPr>
        <w:t>” or higher from Moody’s or “A” or higher from S&amp;P;</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in money market funds substantially all the assets of which are comprised of securities of the types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above;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securities with maturities of six months or less from the date of acquisition backed by standby letters of credit issued by any Lender or any commercial bank satisfying the requirements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and</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Unsecured Indebtedness</w:t>
      </w:r>
      <w:r>
        <w:rPr>
          <w:rFonts w:ascii="Times New Roman" w:cs="Times New Roman" w:eastAsia="Times New Roman" w:hAnsi="Times New Roman"/>
          <w:sz w:val="20"/>
          <w:szCs w:val="20"/>
          <w:color w:val="auto"/>
        </w:rPr>
        <w:t xml:space="preserve">” means Indebtedness of the Company or any Subsidiary (a) that is not (and any Guarantees thereof by the Company or Subsidiaries are not) secured by any collateral (including the Collateral), (b) that does not mature earlier than the date that is ninety-one (91) days after the Maturity Date, and has a Weighted Average Life to Maturity no shorter than the Maturity Date in effect at the time of incurrence of such Indebtedness, (c) that, in the case of such Indebtedness in the form of bonds, debentures, notes or similar instrument,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Maturity Date, (d) that contains covenants, events of default, guarantees and other terms that are customary for similar Indebtedness in light of then-prevailing market conditions (it being understood and agreed that such Indebtedness shall not include any financial maintenance covenants and that applicable negative covenants shall be incurrence-based to the extent customary for similar Indebtedness) and, when taken as a whole (other than interest rates, rate floors, fees and optional prepayment or redemption terms), are not more favorable (as reasonably determined by the Company in good faith) to the lenders or investors providing such Permitted Unsecured Indebtedness, as the case may be, than those set forth in the Loan Documents are with respect to the Lenders (other than covenants or other provisions applicable only to periods after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certificate of a Financial Officer of the Company delivered to the Administrative Agent at least five (5) Business Days prior to the incurrence of such Indebtedness or the modification, refinancing, refunding, renewal or extension thereof (or such shorter period of time as may reasonably be agreed by the Administrative Agent), together with a reasonably detailed description of the material terms and conditions of such resulting Indebtedness or drafts of the material definitive documentation relating thereto, stating that the Company has determined in good faith that such terms and conditions satisfy the foregoing requirements shall be conclusive, and (e) that is not guaranteed by any Person other than on an unsecured basis by the Company and/or Subsidiaries that are Loan Parties.</w:t>
      </w:r>
    </w:p>
    <w:p>
      <w:pPr>
        <w:spacing w:after="0" w:line="20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0" w:name="page51"/>
    <w:bookmarkEnd w:id="50"/>
    <w:p>
      <w:pPr>
        <w:jc w:val="both"/>
        <w:spacing w:after="0" w:line="269" w:lineRule="auto"/>
        <w:rPr>
          <w:sz w:val="20"/>
          <w:szCs w:val="20"/>
          <w:color w:val="auto"/>
        </w:rPr>
      </w:pPr>
      <w:r>
        <w:rPr>
          <w:rFonts w:ascii="Times New Roman" w:cs="Times New Roman" w:eastAsia="Times New Roman" w:hAnsi="Times New Roman"/>
          <w:sz w:val="20"/>
          <w:szCs w:val="20"/>
          <w:color w:val="auto"/>
        </w:rPr>
        <w:t>which the Company or any ERISA Affiliate is (or, if such plan were terminated, would under Section 4069 of ERISA be deemed to be) an “employer” as defined in Section 3(5) of ERISA.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 Regulations</w:t>
      </w:r>
      <w:r>
        <w:rPr>
          <w:rFonts w:ascii="Times New Roman" w:cs="Times New Roman" w:eastAsia="Times New Roman" w:hAnsi="Times New Roman"/>
          <w:sz w:val="20"/>
          <w:szCs w:val="20"/>
          <w:color w:val="auto"/>
        </w:rPr>
        <w:t>” means 29 CFR § 2510.3-101 et seq., as modified by Section 3(42) of ERISA, as amended from time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means Debt Domain, Intralinks, Syndtrak or a substantially similar electronic transmission system.</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Subsidiary</w:t>
      </w:r>
      <w:r>
        <w:rPr>
          <w:rFonts w:ascii="Times New Roman" w:cs="Times New Roman" w:eastAsia="Times New Roman" w:hAnsi="Times New Roman"/>
          <w:sz w:val="20"/>
          <w:szCs w:val="20"/>
          <w:color w:val="auto"/>
        </w:rPr>
        <w:t>” means (i) each Domestic Subsidiary and (ii) each First Tier Foreign Subsidiary which is a Material Subsidiary.</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rate of interest last quoted by The Wall Street Journal as the “</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Period</w:t>
      </w:r>
      <w:r>
        <w:rPr>
          <w:rFonts w:ascii="Times New Roman" w:cs="Times New Roman" w:eastAsia="Times New Roman" w:hAnsi="Times New Roman"/>
          <w:sz w:val="20"/>
          <w:szCs w:val="20"/>
          <w:color w:val="auto"/>
        </w:rPr>
        <w:t>” means the period commencing thirty (30) days prior to the date of any proposed designated action and ending on the date of such proposed designated action.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Protective Advance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Equity Interests of the Company other than Disqualified Equity Interests.</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as applicable, (a) the Administrative Agent, (b) any Lender and (c) any Issuing Bank, or any combination thereof (as the context requires).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with respect to any setting of the then-current Benchmark means (1) if such Benchmark is the Term SOFR Rate or the REVSOFR30 Rate, 5:00 a.m. (Chicago time) on the day that is two (2) Business Days preceding the date of such setting, (2) if the RFR for such Benchmark is Daily Simple SOFR, then four (4) Business Days prior to such setting or (3) if such Benchmark is none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1" w:name="page52"/>
    <w:bookmarkEnd w:id="51"/>
    <w:p>
      <w:pPr>
        <w:jc w:val="both"/>
        <w:spacing w:after="0" w:line="269" w:lineRule="auto"/>
        <w:rPr>
          <w:sz w:val="20"/>
          <w:szCs w:val="20"/>
          <w:color w:val="auto"/>
        </w:rPr>
      </w:pPr>
      <w:r>
        <w:rPr>
          <w:rFonts w:ascii="Times New Roman" w:cs="Times New Roman" w:eastAsia="Times New Roman" w:hAnsi="Times New Roman"/>
          <w:sz w:val="20"/>
          <w:szCs w:val="20"/>
          <w:color w:val="auto"/>
        </w:rPr>
        <w:t>Term SOFR Rate, the REVSOFR30 Rate or Daily Simple SOFR, the time determined by the Administrative Agent in its reasonable discretion.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Convertible Notes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Indebtedness</w:t>
      </w:r>
      <w:r>
        <w:rPr>
          <w:rFonts w:ascii="Times New Roman" w:cs="Times New Roman" w:eastAsia="Times New Roman" w:hAnsi="Times New Roman"/>
          <w:sz w:val="20"/>
          <w:szCs w:val="20"/>
          <w:color w:val="auto"/>
        </w:rPr>
        <w:t>” means, in respect of any Indebtedness (the “</w:t>
      </w:r>
      <w:r>
        <w:rPr>
          <w:rFonts w:ascii="Times New Roman" w:cs="Times New Roman" w:eastAsia="Times New Roman" w:hAnsi="Times New Roman"/>
          <w:sz w:val="20"/>
          <w:szCs w:val="20"/>
          <w:u w:val="single" w:color="auto"/>
          <w:color w:val="auto"/>
        </w:rPr>
        <w:t>Original Indebtedness</w:t>
      </w:r>
      <w:r>
        <w:rPr>
          <w:rFonts w:ascii="Times New Roman" w:cs="Times New Roman" w:eastAsia="Times New Roman" w:hAnsi="Times New Roman"/>
          <w:sz w:val="20"/>
          <w:szCs w:val="20"/>
          <w:color w:val="auto"/>
        </w:rPr>
        <w:t xml:space="preserve">”), any Indebtedness that extends, renews or refinances such Original Indebtedness (or any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principal amount (or accreted value, if applicable) of such Refinancing Indebtedness shall not exceed the principal amount (or accreted value, if applicable) of such Original Indebtedness except by an amount no greater than accrued and unpaid interest with respect to such Original Indebtedness and any reasonable fees, premium and expenses relating to such extension, renewal or refinancing; (b) the stated final maturity of such Refinancing Indebtedness shall not be earlier than that of such Original Indebtedness, and such stated final maturity shall not be subject to any conditions that could result in such stated final maturity occurring on a date that precedes the stated final maturity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fundamental change, or upon conversion or exchange in the case of convertible or exchangeable Indebtedness or as and to the extent such repayment, prepayment, redemption, repurchase or defeasance would have been required pursuant to the terms of such Original Indebtedness) prior to (i) if such Refinancing Indebtedness is secured on a pari passu basis with the Revolving Loans, the maturity of such Original Indebtedness or (ii) otherwise, the date that is ninety one (91) days after the Maturity Date; (d) the Weighted Average Life to Maturity of such Refinancing Indebtedness shall be longer than the Weighted Average Life to Maturity of such Original Indebtedness remaining as of the date of such extension, renewal or refinancing; (e) such Refinancing Indebtedness shall not constitute an obligation (including pursuant to a Guarantee) of any Subsidiary, in each case that shall not have been (or, in the case of after-acquired Subsidiaries, shall not have been required to become pursuant to the terms of the Original Indebtedness) an obligor in respect of such Original Indebtedness, and shall not constitute an obligation of any Borrower if such Borrower shall not have been an obligor in respect of such Original Indebtedness, and, in each case, shall constitute an obligation of such Subsidiary or of such Borrower only to the extent of their obligations in respect of such Original Indebtedness; (f) if such Original Indebtedness shall have been subordinated to the Obligations, such Refinancing Indebtedness shall also be subordinated to the Obligations on terms not less favorable in any material respect to the Lenders; (g) if secured by the Collateral on a junior lien basis or if unsecured, such Refinancing Indebtedness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latest maturity date of the Indebtedness being refinanced, (h) such Refinancing Indebtedness does not contain covenants, events of default and other terms customary for similar Indebtedness in light of then-prevailing market conditions that, when taken as a whole (other than interest rates, rate floors, fees and optional prepayment or redemption terms), are more favorable (as reasonably determined by the Borrower Representative in good faith) to the lenders, holders or investors, as the case may be, providing such Refinancing Indebtedness than those applicable to the relevant Original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certificate of a Financial Officer delivered to the Administrative Agent at least five (5) Business Days prior to the incurrence of such Refinancing Indebtedness, together with a reasonably detailed description of the material terms and conditions of such Refinancing Indebtedness or drafts of the material definitive documentation relating thereto, stating that the Borrower Representative has determined in good faith that such terms and conditions satisfy the requirement of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shall be conclusive evidence that such terms and conditions satisfy such requirement unless the Administrative Agent notifies the Borrower Representative within such five (5) Business Day period that it disagrees with such determination (including a description of the basis upon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2" w:name="page53"/>
    <w:bookmarkEnd w:id="52"/>
    <w:p>
      <w:pPr>
        <w:jc w:val="both"/>
        <w:spacing w:after="0" w:line="246" w:lineRule="auto"/>
        <w:rPr>
          <w:sz w:val="20"/>
          <w:szCs w:val="20"/>
          <w:color w:val="auto"/>
        </w:rPr>
      </w:pPr>
      <w:r>
        <w:rPr>
          <w:rFonts w:ascii="Times New Roman" w:cs="Times New Roman" w:eastAsia="Times New Roman" w:hAnsi="Times New Roman"/>
          <w:sz w:val="20"/>
          <w:szCs w:val="20"/>
          <w:color w:val="auto"/>
        </w:rPr>
        <w:t>which it disagrees)), and (i)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(and, if such Original Indebtedness is subject to an Intercreditor Agreement, such Refinancing Indebtedness shall, if secured, be subject to an Intercreditor Agreement).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 means Regulation D of the Federal Reserve Board, as in effect from time to time and all official rulings and interpretations thereunder or thereof.</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means Regulation T of the Federal Reserve Board, as in effect from time to time and all official rulings and interpretations thereunder or thereof.</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means Regulation U of the Federal Reserve Board, as in effect from time to time and all official rulings and interpretations thereunder or thereof.</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means Regulation X of the Federal Reserve Board, as in effect from time to time and all official rulings and interpretations thereunder or thereof.</w:t>
      </w:r>
    </w:p>
    <w:p>
      <w:pPr>
        <w:spacing w:after="0" w:line="17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Related Parties</w:t>
      </w:r>
      <w:r>
        <w:rPr>
          <w:rFonts w:ascii="Times New Roman" w:cs="Times New Roman" w:eastAsia="Times New Roman" w:hAnsi="Times New Roman"/>
          <w:sz w:val="19"/>
          <w:szCs w:val="19"/>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5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releasing, spilling, leaking, pumping, pouring, emitting, emptying, discharging, injecting, escaping, leaching, migrating, disposing or dumping of any substance into the environment.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Federal Reserve Board, the NYFRB and/or the CME Term SOFR Administrator, as applicable, or a committee officially endorsed or convened by the Federal Reserve Board and/or the NYFRB or, in each case, any successor thereto.</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(i) with respect to any Term Benchmark Borrowing, the Adjusted Term SOFR Rate, (ii) with respect to any Adjusted REVSOFR30 Rate Borrowing, the Adjusted REVSOFR30 Rate or (iii) with respect to any RFR Borrowing, the Adjusted Daily Simple SOFR, as applicable.</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w:t>
      </w:r>
      <w:r>
        <w:rPr>
          <w:rFonts w:ascii="Times New Roman" w:cs="Times New Roman" w:eastAsia="Times New Roman" w:hAnsi="Times New Roman"/>
          <w:sz w:val="20"/>
          <w:szCs w:val="20"/>
          <w:color w:val="auto"/>
        </w:rPr>
        <w:t>” means reports prepared by the Administrative Agent or another Person showing the results of appraisals, field examinations or audits pertaining to the assets of the Borrowers from information furnished by or on behalf of the Borrowers, after the Administrative Agent has exercised its rights of inspection pursuant to this Agreement, which Reports may be distributed to the Lenders by the Administrative Agent.</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Repurchase Agreements</w:t>
      </w:r>
      <w:r>
        <w:rPr>
          <w:rFonts w:ascii="Times New Roman" w:cs="Times New Roman" w:eastAsia="Times New Roman" w:hAnsi="Times New Roman"/>
          <w:sz w:val="20"/>
          <w:szCs w:val="20"/>
          <w:color w:val="auto"/>
        </w:rPr>
        <w:t>” means, collectively, repurchase agreements, by and among one or more Loan Parties and a financial institution that provides financing to a dealer who purchases vehicles from one or more Loan Parties, which repurchase agreements (i) provide that, in the event of default by a dealer in its obligation to such financial institution, such Loan Party or Loan Parties will repurchase vehicles sold to the dealer that have not been purchased by customers and (ii) are entered into by the applicable Loan Parties in the ordinary course of business consistent with past practices (or are otherwise customarily entered into in the ordinary course of business generally by manufacturers of recreational vehicles).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3" w:name="page54"/>
    <w:bookmarkEnd w:id="53"/>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at any time, Lenders having Revolving Exposures and unused Commitments representing at least 66 2/3% of the sum of the total Revolving Exposures and unused Commitments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that there are two (2) or more Lenders, “</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must include at least two (2) Lenders (that are not Affiliates of one another).</w:t>
      </w:r>
    </w:p>
    <w:p>
      <w:pPr>
        <w:spacing w:after="0" w:line="18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9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Reserves</w:t>
      </w:r>
      <w:r>
        <w:rPr>
          <w:rFonts w:ascii="Times New Roman" w:cs="Times New Roman" w:eastAsia="Times New Roman" w:hAnsi="Times New Roman"/>
          <w:sz w:val="20"/>
          <w:szCs w:val="20"/>
          <w:color w:val="auto"/>
        </w:rPr>
        <w:t xml:space="preserve">” means any and all reserves which the Administrative Agent deems necessary, in its Permitted Discretion, to maintain (including, without limitation, reserves for accrued and unpaid interest on the Secured Obligations, Banking Services Reserves, Specified Reserves, Specified Reporting Reserves, reserves for rent at locations leased by any Loan Party and for consignee’s, warehousemen’s and bailee’s charges, reserves for dilution of Accounts, reserves for 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(i) the Administrative Agent may not implement any new reserves or increase the amount of any existing Reserves without at least three (3) Business Days’ prior notice to the Borrower Representative and (ii) Reserves shall not be in duplication of eligibility criteria.</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the chief executive officer, president, a Financial Officer or a member of the senior management team of the Company or any other Person designated by any such Person in writing to the Administrative Agent and reasonably acceptable to the Administrative Agent.</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19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REVSOFR30 Rate</w:t>
      </w:r>
      <w:r>
        <w:rPr>
          <w:rFonts w:ascii="Times New Roman" w:cs="Times New Roman" w:eastAsia="Times New Roman" w:hAnsi="Times New Roman"/>
          <w:sz w:val="20"/>
          <w:szCs w:val="20"/>
          <w:color w:val="auto"/>
        </w:rPr>
        <w:t>” means the Term SOFR Reference Rate for a (1) month period, as such rate is published by the CME Term SOFR Administrator, at approximately 5:00 a.m., Chicago time, two (2) U.S. Government Securities Business Days prior to the first (1</w:t>
      </w:r>
      <w:r>
        <w:rPr>
          <w:rFonts w:ascii="Times New Roman" w:cs="Times New Roman" w:eastAsia="Times New Roman" w:hAnsi="Times New Roman"/>
          <w:sz w:val="32"/>
          <w:szCs w:val="32"/>
          <w:color w:val="auto"/>
          <w:vertAlign w:val="superscript"/>
        </w:rPr>
        <w:t>st</w:t>
      </w:r>
      <w:r>
        <w:rPr>
          <w:rFonts w:ascii="Times New Roman" w:cs="Times New Roman" w:eastAsia="Times New Roman" w:hAnsi="Times New Roman"/>
          <w:sz w:val="20"/>
          <w:szCs w:val="20"/>
          <w:color w:val="auto"/>
        </w:rPr>
        <w:t>)</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20"/>
          <w:szCs w:val="20"/>
          <w:color w:val="auto"/>
        </w:rPr>
        <w:t>Business Day of each month, adjusted monthly on the first (1</w:t>
      </w:r>
      <w:r>
        <w:rPr>
          <w:rFonts w:ascii="Times New Roman" w:cs="Times New Roman" w:eastAsia="Times New Roman" w:hAnsi="Times New Roman"/>
          <w:sz w:val="32"/>
          <w:szCs w:val="32"/>
          <w:color w:val="auto"/>
          <w:vertAlign w:val="superscript"/>
        </w:rPr>
        <w:t>st</w:t>
      </w:r>
      <w:r>
        <w:rPr>
          <w:rFonts w:ascii="Times New Roman" w:cs="Times New Roman" w:eastAsia="Times New Roman" w:hAnsi="Times New Roman"/>
          <w:sz w:val="20"/>
          <w:szCs w:val="20"/>
          <w:color w:val="auto"/>
        </w:rPr>
        <w:t>) Business Day of each month. Any change in the REVSOFR30 Rate shall be effective from and include the effective date of such change.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means, as to any Borrowing, the RFR Loans comprising such Borrowing.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means a Loan that bears interest at a rate based on the Adjusted Daily Simple SOFR.</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w:t>
      </w:r>
      <w:r>
        <w:rPr>
          <w:rFonts w:ascii="Times New Roman" w:cs="Times New Roman" w:eastAsia="Times New Roman" w:hAnsi="Times New Roman"/>
          <w:sz w:val="20"/>
          <w:szCs w:val="20"/>
          <w:color w:val="auto"/>
        </w:rPr>
        <w:t xml:space="preserve">” means, with respect to any Lender at any time, the sum of (a) the outstanding principal amount of such Lender’s Revolving Loans, its LC Exposure and its Swingline Exposure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an amount equal to its Applicable Percentage of the aggregate principal amount of Protective Advances outstanding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an amount equal to its Applicable Percentage of the aggregate principal amount of Overadvances outstanding at such time.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Exposure Limitations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xml:space="preserve">” means a Loan made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means any sale or other transfer of any property or asset by any Person with the intent to lease such property or asset as lessee.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Ratings Services, a Standard &amp; Poor’s Financial Services LLC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or target of any Sanctions (at the time of this Agreement, the so-called Donetsk People’s Republic, the so-called Luhansk People’s Republic, the Crimea Region of Ukraine, Cuba, Iran, North Korea and Syria).</w:t>
      </w:r>
    </w:p>
    <w:p>
      <w:pPr>
        <w:spacing w:after="0" w:line="18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xml:space="preserve">” 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any Person otherwise the subject of any Sanctions.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all economic or financial sanctions or trade embargoes imposed, administered or enforced from time to time by</w:t>
      </w:r>
    </w:p>
    <w:p>
      <w:pPr>
        <w:spacing w:after="0" w:line="22" w:lineRule="exact"/>
        <w:rPr>
          <w:sz w:val="20"/>
          <w:szCs w:val="20"/>
          <w:color w:val="auto"/>
        </w:rPr>
      </w:pPr>
    </w:p>
    <w:p>
      <w:pPr>
        <w:jc w:val="both"/>
        <w:ind w:firstLine="8"/>
        <w:spacing w:after="0" w:line="242" w:lineRule="auto"/>
        <w:tabs>
          <w:tab w:leader="none" w:pos="274"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 including those administered by OFAC or the U.S. Department of State or (b) the United Nations Security Council, the European Union, any European Union member state, Her Majesty’s Treasury of the United Kingdom or other relevant sanctions authority.</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Net Leverage Ratio</w:t>
      </w:r>
      <w:r>
        <w:rPr>
          <w:rFonts w:ascii="Times New Roman" w:cs="Times New Roman" w:eastAsia="Times New Roman" w:hAnsi="Times New Roman"/>
          <w:sz w:val="20"/>
          <w:szCs w:val="20"/>
          <w:color w:val="auto"/>
        </w:rPr>
        <w:t xml:space="preserve">” means, as of any date of determination, the ratio of (a) an amount equal to (i) Consolidated Total Secured Indebtedness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aggregate amount of unrestricted and unencumbered cash and Permitted Investments included in the consolidated balance sheet of the Company and its Subsidiaries as of such date, which aggregate amount shall be determined without giving pro forma effect to the proceeds of Indebtedness incurred on such date to (ii) Consolidated EBITDA of the Company and its Subsidiaries for such Test Period.</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xml:space="preserve">” means all Obligations, together with all (i) Banking Services Obligations and (ii) Swap Agreement Obligations owing to one or more Lenders or their respective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definition of “</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(a) the Administrative Agent, (b) the Lenders, (c) the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United States Securities Act of 1933, as amended from time to time.</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the Second Amended and Restated Pledge and Security Agreement (including any and all supplements thereto), dated as of the date hereof, between the Loan Parties and the</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5" w:name="page56"/>
    <w:bookmarkEnd w:id="55"/>
    <w:p>
      <w:pPr>
        <w:jc w:val="both"/>
        <w:spacing w:after="0" w:line="269" w:lineRule="auto"/>
        <w:rPr>
          <w:sz w:val="20"/>
          <w:szCs w:val="20"/>
          <w:color w:val="auto"/>
        </w:rPr>
      </w:pPr>
      <w:r>
        <w:rPr>
          <w:rFonts w:ascii="Times New Roman" w:cs="Times New Roman" w:eastAsia="Times New Roman" w:hAnsi="Times New Roman"/>
          <w:sz w:val="20"/>
          <w:szCs w:val="20"/>
          <w:color w:val="auto"/>
        </w:rPr>
        <w:t>Administrative Agent, for the benefit of the Administrative Agent and the other Secured Parties, as the same may be amended, restated or otherwise modified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per annum equal to the secured overnight financing rate as administered by the SOFR Administrator.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NYFRB (or a successor administrator of the secured overnight financing rate).</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means the NYFRB’s website, currently at http://www.newyorkfed.org, or any successor source for the secured overnight financing rate identified as such by the SOFR Administrator from time to time.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Rate Day</w:t>
      </w:r>
      <w:r>
        <w:rPr>
          <w:rFonts w:ascii="Times New Roman" w:cs="Times New Roman" w:eastAsia="Times New Roman" w:hAnsi="Times New Roman"/>
          <w:sz w:val="20"/>
          <w:szCs w:val="20"/>
          <w:color w:val="auto"/>
        </w:rPr>
        <w:t>” has the meaning specified in the definition of “Daily Simple SOFR”.</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Reporting Reserve</w:t>
      </w:r>
      <w:r>
        <w:rPr>
          <w:rFonts w:ascii="Times New Roman" w:cs="Times New Roman" w:eastAsia="Times New Roman" w:hAnsi="Times New Roman"/>
          <w:sz w:val="20"/>
          <w:szCs w:val="20"/>
          <w:color w:val="auto"/>
        </w:rPr>
        <w:t>” means a Reserve established by the Administrative Agent during each fiscal quarter (the “current fiscal quarter”) of the Company (other than during a Monthly Reporting Period or Weekly Reporting Period) in an amount equal to $10,000,000 on the 45th day following the end of the immediately preceding fiscal quarter (the “prior fiscal quarter”), which amount shall be increased to $20,000,000 on the 75th day following the end of the prior fiscal quarter and subsequently decreased to $0 upon the Administrative Agent’s receipt of an Aggregate Borrowing Base Certificate and a Borrowing Base Certificate for each Borrower for the current fiscal quarter.</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Reserves</w:t>
      </w:r>
      <w:r>
        <w:rPr>
          <w:rFonts w:ascii="Times New Roman" w:cs="Times New Roman" w:eastAsia="Times New Roman" w:hAnsi="Times New Roman"/>
          <w:sz w:val="20"/>
          <w:szCs w:val="20"/>
          <w:color w:val="auto"/>
        </w:rPr>
        <w:t>” means, with respect to any Borrower, Reserves established by the Administrative Agent in its Permitted Discretion from time to time for (a) repurchase obligations of such Borrower, (b) warranty obligations of such Borrower, (c) accrued sales rebates provided by such Borrower and (d) free on board (FOB) destination delivery terms provided by such Borrower.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Standby LC Exposure</w:t>
      </w:r>
      <w:r>
        <w:rPr>
          <w:rFonts w:ascii="Times New Roman" w:cs="Times New Roman" w:eastAsia="Times New Roman" w:hAnsi="Times New Roman"/>
          <w:sz w:val="20"/>
          <w:szCs w:val="20"/>
          <w:color w:val="auto"/>
        </w:rPr>
        <w:t xml:space="preserve">” means, at any time, the sum of (a) the aggregate undrawn amount of all standby Letters of Credit outstanding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aggregate amount of all LC Disbursements relating to standby Letters of Credit that have not yet been reimbursed by or on behalf of the Borrowers at such time. The Standby LC Exposure of any Lender at any time shall be its Applicable Percentage of the aggregate Standby LC Exposure at such time.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Statements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2.18(g)</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means any Indebtedness of the Company or any Subsidiary the payment of which is subordinated to payment of the obligations under the Loan Documents.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 Documents</w:t>
      </w:r>
      <w:r>
        <w:rPr>
          <w:rFonts w:ascii="Times New Roman" w:cs="Times New Roman" w:eastAsia="Times New Roman" w:hAnsi="Times New Roman"/>
          <w:sz w:val="20"/>
          <w:szCs w:val="20"/>
          <w:color w:val="auto"/>
        </w:rPr>
        <w:t>” means any document, agreement or instrument evidencing any Subordinated Indebtedness or entered into in connection with any Subordinated Indebtedness.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“parent”) at any date, any corporation, limited liability company, partnership, association or other entity the accounts of which would be consolidated with</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6" w:name="page57"/>
    <w:bookmarkEnd w:id="56"/>
    <w:p>
      <w:pPr>
        <w:jc w:val="both"/>
        <w:spacing w:after="0" w:line="246" w:lineRule="auto"/>
        <w:rPr>
          <w:sz w:val="20"/>
          <w:szCs w:val="20"/>
          <w:color w:val="auto"/>
        </w:rPr>
      </w:pPr>
      <w:r>
        <w:rPr>
          <w:rFonts w:ascii="Times New Roman" w:cs="Times New Roman" w:eastAsia="Times New Roman" w:hAnsi="Times New Roman"/>
          <w:sz w:val="20"/>
          <w:szCs w:val="20"/>
          <w:color w:val="auto"/>
        </w:rPr>
        <w:t>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subsidiary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19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Swap Agreement Obligations</w:t>
      </w:r>
      <w:r>
        <w:rPr>
          <w:rFonts w:ascii="Times New Roman" w:cs="Times New Roman" w:eastAsia="Times New Roman" w:hAnsi="Times New Roman"/>
          <w:sz w:val="19"/>
          <w:szCs w:val="19"/>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w:t>
      </w:r>
    </w:p>
    <w:p>
      <w:pPr>
        <w:ind w:right="20" w:firstLine="8"/>
        <w:spacing w:after="0" w:line="246" w:lineRule="auto"/>
        <w:tabs>
          <w:tab w:leader="none" w:pos="28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cancellations, buy backs, reversals, terminations or assignments of any such Swap Agreement transaction permitted hereunder with a Lender or an Affiliate of a Lender.</w:t>
      </w:r>
    </w:p>
    <w:p>
      <w:pPr>
        <w:spacing w:after="0" w:line="1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means, at any time, the sum of the aggregate principal amount of all outstanding Swingline Loans. The Swingline Exposure of any Lender at any time shall be its Applicable Percentage of the aggregate Swingline Exposure.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JPMCB,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w:t>
      </w:r>
      <w:r>
        <w:rPr>
          <w:rFonts w:ascii="Times New Roman" w:cs="Times New Roman" w:eastAsia="Times New Roman" w:hAnsi="Times New Roman"/>
          <w:sz w:val="20"/>
          <w:szCs w:val="20"/>
          <w:color w:val="auto"/>
        </w:rPr>
        <w:t>” means BMO Harris Bank N.A.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Balance</w:t>
      </w:r>
      <w:r>
        <w:rPr>
          <w:rFonts w:ascii="Times New Roman" w:cs="Times New Roman" w:eastAsia="Times New Roman" w:hAnsi="Times New Roman"/>
          <w:sz w:val="20"/>
          <w:szCs w:val="20"/>
          <w:color w:val="auto"/>
        </w:rPr>
        <w:t>” has the meaning assigned to such term in the DDA Access Product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7" w:name="page58"/>
    <w:bookmarkEnd w:id="57"/>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when used in reference to any Loan or Borrowing, refers to whether such Loan, or the Loans comprising such Borrowing, are bearing interest at a rate determined by reference to the Adjusted Term SOFR Rate.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has the meaning assigned to it in the definition of “Term SOFR Reference Rate.”</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Rate</w:t>
      </w:r>
      <w:r>
        <w:rPr>
          <w:rFonts w:ascii="Times New Roman" w:cs="Times New Roman" w:eastAsia="Times New Roman" w:hAnsi="Times New Roman"/>
          <w:sz w:val="20"/>
          <w:szCs w:val="20"/>
          <w:color w:val="auto"/>
        </w:rPr>
        <w:t>” means,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for any day and time (such day, the “</w:t>
      </w:r>
      <w:r>
        <w:rPr>
          <w:rFonts w:ascii="Times New Roman" w:cs="Times New Roman" w:eastAsia="Times New Roman" w:hAnsi="Times New Roman"/>
          <w:sz w:val="20"/>
          <w:szCs w:val="20"/>
          <w:u w:val="single" w:color="auto"/>
          <w:color w:val="auto"/>
        </w:rPr>
        <w:t>Term SOFR Determination Day</w:t>
      </w:r>
      <w:r>
        <w:rPr>
          <w:rFonts w:ascii="Times New Roman" w:cs="Times New Roman" w:eastAsia="Times New Roman" w:hAnsi="Times New Roman"/>
          <w:sz w:val="20"/>
          <w:szCs w:val="20"/>
          <w:color w:val="auto"/>
        </w:rPr>
        <w:t>”),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Loans/Notes Agent</w:t>
      </w:r>
      <w:r>
        <w:rPr>
          <w:rFonts w:ascii="Times New Roman" w:cs="Times New Roman" w:eastAsia="Times New Roman" w:hAnsi="Times New Roman"/>
          <w:sz w:val="20"/>
          <w:szCs w:val="20"/>
          <w:color w:val="auto"/>
        </w:rPr>
        <w:t>” means, initially, U.S. Bank National Association, in its capacity as indenture trustee under the initial Term Loans/Notes Agreement (or any successor agent or trustee thereunder or under any replacement thereof) and any other indenture trustee, agent or other representative appointed as such under any Term Loans/Notes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Loans/Notes</w:t>
      </w:r>
      <w:r>
        <w:rPr>
          <w:rFonts w:ascii="Times New Roman" w:cs="Times New Roman" w:eastAsia="Times New Roman" w:hAnsi="Times New Roman"/>
          <w:sz w:val="20"/>
          <w:szCs w:val="20"/>
          <w:color w:val="auto"/>
        </w:rPr>
        <w:t>” has the meaning assigned to the term “Notes” or “Term Loans” in the Term Loans/Notes Agreement (as in effect on July 8, 2020) or any equivalent term in any Term Loans/Notes Agreement (as in effect on the date of entry thereto so long as the entry thereto was permitted by the terms of the Loan Documents).</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Loans/Notes Agreement</w:t>
      </w:r>
      <w:r>
        <w:rPr>
          <w:rFonts w:ascii="Times New Roman" w:cs="Times New Roman" w:eastAsia="Times New Roman" w:hAnsi="Times New Roman"/>
          <w:sz w:val="20"/>
          <w:szCs w:val="20"/>
          <w:color w:val="auto"/>
        </w:rPr>
        <w:t>” means that certain senior secured notes indenture dated as of July 8, 2020, among Winnebago Industries, Inc., the guarantors named therein and the Term Loans/Notes Agent, as the same may be amended, restated, supplemented or otherwise modified from time to time and, in the event such agreement is replaced or refinanced in whole or in part (whether with the same group of lenders, a different group of lenders, investors or any other holders of any other Indebtedness) in accordance with the terms hereof and of the ABL/Fixed Asset Intercreditor Agreement, “Term Loans/Notes Agreement” shall mean the credit agreement, loan agreement, indenture or other definitive document that replaces or refinances such agreement.</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Loans/Notes Documents</w:t>
      </w:r>
      <w:r>
        <w:rPr>
          <w:rFonts w:ascii="Times New Roman" w:cs="Times New Roman" w:eastAsia="Times New Roman" w:hAnsi="Times New Roman"/>
          <w:sz w:val="20"/>
          <w:szCs w:val="20"/>
          <w:color w:val="auto"/>
        </w:rPr>
        <w:t>” means, collectively, the Term Loans/Notes Agreement and all other agreements, instruments, documents and certificates executed and/or delivered in connection therewith, as the same may be amended, restated, supplemented, refinanced, replaced or otherwise modified from time to time in accordance with the terms hereof and of the ABL/Fixed Asset Intercreditor Agreement.</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Loans/Notes Facility</w:t>
      </w:r>
      <w:r>
        <w:rPr>
          <w:rFonts w:ascii="Times New Roman" w:cs="Times New Roman" w:eastAsia="Times New Roman" w:hAnsi="Times New Roman"/>
          <w:sz w:val="20"/>
          <w:szCs w:val="20"/>
          <w:color w:val="auto"/>
        </w:rPr>
        <w:t>” means any secured term loan facility, any senior secured note issuance or any other Indebtedness or other financial accommodation incurred pursuant to the terms of the Term Loans/Notes Agreement.</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8" w:name="page59"/>
    <w:bookmarkEnd w:id="58"/>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Loans/Notes Obligations</w:t>
      </w:r>
      <w:r>
        <w:rPr>
          <w:rFonts w:ascii="Times New Roman" w:cs="Times New Roman" w:eastAsia="Times New Roman" w:hAnsi="Times New Roman"/>
          <w:sz w:val="20"/>
          <w:szCs w:val="20"/>
          <w:color w:val="auto"/>
        </w:rPr>
        <w:t>” means the Indebtedness and other obligations of the Company and its Subsidiaries under the Term Loans/Notes Documents.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xml:space="preserve">” means, for any date of determination under this Agreement, a single period consisting of the most recent four consecutive fiscal quarters of the Company for which financial statements have been required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5.01(b)</w:t>
      </w:r>
      <w:r>
        <w:rPr>
          <w:rFonts w:ascii="Times New Roman" w:cs="Times New Roman" w:eastAsia="Times New Roman" w:hAnsi="Times New Roman"/>
          <w:sz w:val="20"/>
          <w:szCs w:val="20"/>
          <w:color w:val="auto"/>
        </w:rPr>
        <w:t xml:space="preserve">, as applicable (or, if prior to the date of the delivery of the first financial statements to be delivered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the most recent financial statements referred to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Commitment Utilization</w:t>
      </w:r>
      <w:r>
        <w:rPr>
          <w:rFonts w:ascii="Times New Roman" w:cs="Times New Roman" w:eastAsia="Times New Roman" w:hAnsi="Times New Roman"/>
          <w:sz w:val="20"/>
          <w:szCs w:val="20"/>
          <w:color w:val="auto"/>
        </w:rPr>
        <w:t>” means, at any time, a percentage equal to a fraction the numerator of which is the Aggregate Revolving Exposure at such time and the denominator of which is the Aggregate Commitment at such time.</w:t>
      </w:r>
    </w:p>
    <w:p>
      <w:pPr>
        <w:spacing w:after="0" w:line="17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Net Leverage Ratio</w:t>
      </w:r>
      <w:r>
        <w:rPr>
          <w:rFonts w:ascii="Times New Roman" w:cs="Times New Roman" w:eastAsia="Times New Roman" w:hAnsi="Times New Roman"/>
          <w:sz w:val="19"/>
          <w:szCs w:val="19"/>
          <w:color w:val="auto"/>
        </w:rPr>
        <w:t xml:space="preserve">” means, as of any date of determination, the ratio of (a) an amount equal to (i) Consolidated Total Indebtedness as of the last day of the most recently ended Test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aggregate amount of unrestricted and unencumbered cash and Permitted Investments included in the consolidated balance sheet of the Company and its Subsidiaries as of such date of determination to</w:t>
      </w:r>
    </w:p>
    <w:p>
      <w:pPr>
        <w:ind w:right="20" w:firstLine="8"/>
        <w:spacing w:after="0" w:line="246" w:lineRule="auto"/>
        <w:tabs>
          <w:tab w:leader="none" w:pos="29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EBITDA for such Test Period, all calculated for the Company and its Subsidiaries on a consolidated basis in accordance with GAAP.</w:t>
      </w:r>
    </w:p>
    <w:p>
      <w:pPr>
        <w:spacing w:after="0" w:line="19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 means any fees or expenses incurred or paid by the Company or any Subsidiary in connection with the Transactions, this Agreement and the other Loan Documents and the transactions contemplated hereby and thereby.</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collectively, (a) the execution, delivery and performance by the Loan Parties of this Agreement, the borrowing of Loans, the use of the proceeds thereof and the granting of Liens by the Loan Parties under the Loan Documents, (b) the consummation of any other transactions in connection with the foregoing and (c) the payment of the fees and expenses incurred in connection with any of the foregoing.</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Adjusted Term SOFR Rate, the Adjusted REVSOFR30 Rate, the Adjusted Daily Simple SOFR or the Alternate Base Rate.</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Institutions</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U16 Inventory</w:t>
      </w:r>
      <w:r>
        <w:rPr>
          <w:rFonts w:ascii="Times New Roman" w:cs="Times New Roman" w:eastAsia="Times New Roman" w:hAnsi="Times New Roman"/>
          <w:sz w:val="20"/>
          <w:szCs w:val="20"/>
          <w:color w:val="auto"/>
        </w:rPr>
        <w:t>” mean work-in-process Inventory of a Borrower constituting near-complete finished units that are categorized as “</w:t>
      </w:r>
      <w:r>
        <w:rPr>
          <w:rFonts w:ascii="Times New Roman" w:cs="Times New Roman" w:eastAsia="Times New Roman" w:hAnsi="Times New Roman"/>
          <w:sz w:val="20"/>
          <w:szCs w:val="20"/>
          <w:u w:val="single" w:color="auto"/>
          <w:color w:val="auto"/>
        </w:rPr>
        <w:t>U16</w:t>
      </w:r>
      <w:r>
        <w:rPr>
          <w:rFonts w:ascii="Times New Roman" w:cs="Times New Roman" w:eastAsia="Times New Roman" w:hAnsi="Times New Roman"/>
          <w:sz w:val="20"/>
          <w:szCs w:val="20"/>
          <w:color w:val="auto"/>
        </w:rPr>
        <w:t>” (or such other designation assigned to such near-complete finished units with notice to the Administrative Agent after completion of the Company’s ERP implementation) in accordance with the Company’s accounting practices in the ordinary course of business consistent with past practice prior to the Effective Date or otherwise acceptable to the Administrative Agent in its Permitted Discretion.</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9" w:name="page60"/>
    <w:bookmarkEnd w:id="59"/>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w:t>
      </w:r>
      <w:r>
        <w:rPr>
          <w:rFonts w:ascii="Times New Roman" w:cs="Times New Roman" w:eastAsia="Times New Roman" w:hAnsi="Times New Roman"/>
          <w:sz w:val="20"/>
          <w:szCs w:val="20"/>
          <w:u w:val="single" w:color="auto"/>
          <w:color w:val="auto"/>
        </w:rPr>
        <w:t>United States person</w:t>
      </w:r>
      <w:r>
        <w:rPr>
          <w:rFonts w:ascii="Times New Roman" w:cs="Times New Roman" w:eastAsia="Times New Roman" w:hAnsi="Times New Roman"/>
          <w:sz w:val="20"/>
          <w:szCs w:val="20"/>
          <w:color w:val="auto"/>
        </w:rPr>
        <w:t>” within the meaning of Section 7701(a)(30) of the Code.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xml:space="preserve">” has the meaning assigned to it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2.17(f)(ii)(B)(3)</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Transaction</w:t>
      </w:r>
      <w:r>
        <w:rPr>
          <w:rFonts w:ascii="Times New Roman" w:cs="Times New Roman" w:eastAsia="Times New Roman" w:hAnsi="Times New Roman"/>
          <w:sz w:val="20"/>
          <w:szCs w:val="20"/>
          <w:color w:val="auto"/>
        </w:rPr>
        <w:t>” has the meaning assigned to such term in the definition of “</w:t>
      </w:r>
      <w:r>
        <w:rPr>
          <w:rFonts w:ascii="Times New Roman" w:cs="Times New Roman" w:eastAsia="Times New Roman" w:hAnsi="Times New Roman"/>
          <w:sz w:val="20"/>
          <w:szCs w:val="20"/>
          <w:u w:val="single" w:color="auto"/>
          <w:color w:val="auto"/>
        </w:rPr>
        <w:t>Permitted Call Spread Swap Agreement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Weekly Reporting Period</w:t>
      </w:r>
      <w:r>
        <w:rPr>
          <w:rFonts w:ascii="Times New Roman" w:cs="Times New Roman" w:eastAsia="Times New Roman" w:hAnsi="Times New Roman"/>
          <w:sz w:val="20"/>
          <w:szCs w:val="20"/>
          <w:color w:val="auto"/>
        </w:rPr>
        <w:t>” means any period of time (a) when an Event of Default has occurred and is continuing or (b) commencing on any day that the Aggregate Availability is less than the greater of $30,000,000 and 10% of the Aggregate Commitment and continuing until such subsequent date, if any, as when the Aggregate Availability has exceeded the greater of $30,000,000 and 10% of the Aggregate Commitment for thirty (30) consecutive days.</w:t>
      </w:r>
    </w:p>
    <w:p>
      <w:pPr>
        <w:spacing w:after="0" w:line="19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Winnebago of Indiana</w:t>
      </w:r>
      <w:r>
        <w:rPr>
          <w:rFonts w:ascii="Times New Roman" w:cs="Times New Roman" w:eastAsia="Times New Roman" w:hAnsi="Times New Roman"/>
          <w:sz w:val="20"/>
          <w:szCs w:val="20"/>
          <w:color w:val="auto"/>
        </w:rPr>
        <w:t>” means Winnebago of Indiana, LLC, an Iowa limited liability company.</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Winnebago of Indiana Revolving Exposures</w:t>
      </w:r>
      <w:r>
        <w:rPr>
          <w:rFonts w:ascii="Times New Roman" w:cs="Times New Roman" w:eastAsia="Times New Roman" w:hAnsi="Times New Roman"/>
          <w:sz w:val="19"/>
          <w:szCs w:val="19"/>
          <w:color w:val="auto"/>
        </w:rPr>
        <w:t xml:space="preserve">” means, with respect to any Lender at any time, and without duplication, the sum of (a) the outstanding principal amount of the Revolving Loans made by such Lender to Winnebago of Indiana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such Lender’s LC Exposure with respect to Letters of Credit issued for the account of Winnebago of Indiana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 such Lender’s Swingline Exposure with respect to Swingline Loans made to Winnebago of Indiana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(d) an amount equal to its Applicable Percentage of the aggregate principal amount of outstanding Protective Advances made to Winnebago of Indiana at such time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(e) an amount equal to its Applicable Percentage of the aggregate principal amount of outstanding Overadvances made to Winnebago of Indiana at such time.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0" w:name="page61"/>
    <w:bookmarkEnd w:id="60"/>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Winnebago of Indiana Utilization</w:t>
      </w:r>
      <w:r>
        <w:rPr>
          <w:rFonts w:ascii="Times New Roman" w:cs="Times New Roman" w:eastAsia="Times New Roman" w:hAnsi="Times New Roman"/>
          <w:sz w:val="20"/>
          <w:szCs w:val="20"/>
          <w:color w:val="auto"/>
        </w:rPr>
        <w:t>” means, at any time, the excess, if any, of (a) the aggregate Winnebago of Indiana Revolving Exposures of all Lenders over (b) the Borrowing Base of Winnebago of Indiana.</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any Loan Party or the Administrative Agent.</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1.02.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 referred to by Class (e.g., a “</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or by Type (e.g., a “</w:t>
      </w:r>
      <w:r>
        <w:rPr>
          <w:rFonts w:ascii="Times New Roman" w:cs="Times New Roman" w:eastAsia="Times New Roman" w:hAnsi="Times New Roman"/>
          <w:sz w:val="20"/>
          <w:szCs w:val="20"/>
          <w:u w:val="single" w:color="auto"/>
          <w:color w:val="auto"/>
        </w:rPr>
        <w:t>Term Benchmark Loan</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RFR Loan</w:t>
      </w:r>
      <w:r>
        <w:rPr>
          <w:rFonts w:ascii="Times New Roman" w:cs="Times New Roman" w:eastAsia="Times New Roman" w:hAnsi="Times New Roman"/>
          <w:sz w:val="20"/>
          <w:szCs w:val="20"/>
          <w:color w:val="auto"/>
        </w:rPr>
        <w:t>” or an “</w:t>
      </w:r>
      <w:r>
        <w:rPr>
          <w:rFonts w:ascii="Times New Roman" w:cs="Times New Roman" w:eastAsia="Times New Roman" w:hAnsi="Times New Roman"/>
          <w:sz w:val="20"/>
          <w:szCs w:val="20"/>
          <w:u w:val="single" w:color="auto"/>
          <w:color w:val="auto"/>
        </w:rPr>
        <w:t>Adjusted REVSOFR30 Rate Loan</w:t>
      </w:r>
      <w:r>
        <w:rPr>
          <w:rFonts w:ascii="Times New Roman" w:cs="Times New Roman" w:eastAsia="Times New Roman" w:hAnsi="Times New Roman"/>
          <w:sz w:val="20"/>
          <w:szCs w:val="20"/>
          <w:color w:val="auto"/>
        </w:rPr>
        <w:t>”) or by Class and Type (e.g., a “</w:t>
      </w:r>
      <w:r>
        <w:rPr>
          <w:rFonts w:ascii="Times New Roman" w:cs="Times New Roman" w:eastAsia="Times New Roman" w:hAnsi="Times New Roman"/>
          <w:sz w:val="20"/>
          <w:szCs w:val="20"/>
          <w:u w:val="single" w:color="auto"/>
          <w:color w:val="auto"/>
        </w:rPr>
        <w:t>Term Benchmark Revolving Loan</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RFR Revolving Loan</w:t>
      </w:r>
      <w:r>
        <w:rPr>
          <w:rFonts w:ascii="Times New Roman" w:cs="Times New Roman" w:eastAsia="Times New Roman" w:hAnsi="Times New Roman"/>
          <w:sz w:val="20"/>
          <w:szCs w:val="20"/>
          <w:color w:val="auto"/>
        </w:rPr>
        <w:t>” or an “</w:t>
      </w:r>
      <w:r>
        <w:rPr>
          <w:rFonts w:ascii="Times New Roman" w:cs="Times New Roman" w:eastAsia="Times New Roman" w:hAnsi="Times New Roman"/>
          <w:sz w:val="20"/>
          <w:szCs w:val="20"/>
          <w:u w:val="single" w:color="auto"/>
          <w:color w:val="auto"/>
        </w:rPr>
        <w:t>Adjusted REVSOFR30 Rate 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Borrowings also may be classified and referred to by Class (e.g., a “</w:t>
      </w:r>
      <w:r>
        <w:rPr>
          <w:rFonts w:ascii="Times New Roman" w:cs="Times New Roman" w:eastAsia="Times New Roman" w:hAnsi="Times New Roman"/>
          <w:sz w:val="20"/>
          <w:szCs w:val="20"/>
          <w:u w:val="single" w:color="auto"/>
          <w:color w:val="auto"/>
        </w:rPr>
        <w:t>Revolving Borrowing</w:t>
      </w:r>
      <w:r>
        <w:rPr>
          <w:rFonts w:ascii="Times New Roman" w:cs="Times New Roman" w:eastAsia="Times New Roman" w:hAnsi="Times New Roman"/>
          <w:sz w:val="20"/>
          <w:szCs w:val="20"/>
          <w:color w:val="auto"/>
        </w:rPr>
        <w:t>”) or by Type (e.g., a “</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RFR Borrowing</w:t>
      </w:r>
      <w:r>
        <w:rPr>
          <w:rFonts w:ascii="Times New Roman" w:cs="Times New Roman" w:eastAsia="Times New Roman" w:hAnsi="Times New Roman"/>
          <w:sz w:val="20"/>
          <w:szCs w:val="20"/>
          <w:color w:val="auto"/>
        </w:rPr>
        <w:t>” or an “</w:t>
      </w:r>
      <w:r>
        <w:rPr>
          <w:rFonts w:ascii="Times New Roman" w:cs="Times New Roman" w:eastAsia="Times New Roman" w:hAnsi="Times New Roman"/>
          <w:sz w:val="20"/>
          <w:szCs w:val="20"/>
          <w:u w:val="single" w:color="auto"/>
          <w:color w:val="auto"/>
        </w:rPr>
        <w:t>Adjusted REVSOFR30 Rate Borrowing</w:t>
      </w:r>
      <w:r>
        <w:rPr>
          <w:rFonts w:ascii="Times New Roman" w:cs="Times New Roman" w:eastAsia="Times New Roman" w:hAnsi="Times New Roman"/>
          <w:sz w:val="20"/>
          <w:szCs w:val="20"/>
          <w:color w:val="auto"/>
        </w:rPr>
        <w:t>”) or by Class and Type (e.g., a “</w:t>
      </w:r>
      <w:r>
        <w:rPr>
          <w:rFonts w:ascii="Times New Roman" w:cs="Times New Roman" w:eastAsia="Times New Roman" w:hAnsi="Times New Roman"/>
          <w:sz w:val="20"/>
          <w:szCs w:val="20"/>
          <w:u w:val="single" w:color="auto"/>
          <w:color w:val="auto"/>
        </w:rPr>
        <w:t>Term Benchmark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Revolving Borrowing</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RFR Revolving Borrowing</w:t>
      </w:r>
      <w:r>
        <w:rPr>
          <w:rFonts w:ascii="Times New Roman" w:cs="Times New Roman" w:eastAsia="Times New Roman" w:hAnsi="Times New Roman"/>
          <w:sz w:val="20"/>
          <w:szCs w:val="20"/>
          <w:color w:val="auto"/>
        </w:rPr>
        <w:t>” or an “</w:t>
      </w:r>
      <w:r>
        <w:rPr>
          <w:rFonts w:ascii="Times New Roman" w:cs="Times New Roman" w:eastAsia="Times New Roman" w:hAnsi="Times New Roman"/>
          <w:sz w:val="20"/>
          <w:szCs w:val="20"/>
          <w:u w:val="single" w:color="auto"/>
          <w:color w:val="auto"/>
        </w:rPr>
        <w:t>Adjusted REVSOFR30 Rate Revolving Borrowing</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1" w:name="page62"/>
    <w:bookmarkEnd w:id="61"/>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Accounting Terms; GAAP; Pro Forma Calculations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Representative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(x)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the Company or any Subsidiary at “fair value”, as defined therein and (y) without giving effect to any treatment of Indebtedness in respect of convertible debt instruments under Financial Accounting Standards Board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Notes shall at all times be valued at the full stated principal amount thereof and shall not include any reduction or appreciation in value of the shares deliverable upon conversion thereof.</w:t>
      </w:r>
    </w:p>
    <w:p>
      <w:pPr>
        <w:spacing w:after="0" w:line="20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All pro forma computations required to be made hereunder giving effect to any acquisition or disposition, or issuance, incurrence or assumption of Indebtedness, or other transaction shall in each case be calculated after giving pro forma effect thereto (and, in the case of any pro forma computation made hereunder, to determine whether such acquisition, disposition, issuance, incurrence or assumption of Indebtedness or other transaction is permitted to be consummated hereunder) immediately after giving effect to such acquisition, disposition, issuance, incurrence or assumption of Indebtedness or other transaction consummated since the first day of the period for which such pro forma computation is being made and on or prior to the date of such computation, as if such transaction had occurred on the first day of the most recent Test Period, and, to the extent applicable, to the historical earnings and cash flows associated with the assets acquired or disposed of (but without giving effect to any synergies or cost savings, except as set forth in the definition of “</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for which such pro forma computation is being made (taking into account any Swap Agreement applicable to such Indebtedness).</w:t>
      </w:r>
    </w:p>
    <w:p>
      <w:pPr>
        <w:spacing w:after="0" w:line="20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SECTION 1.05.</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Status of Obligations</w:t>
      </w:r>
      <w:r>
        <w:rPr>
          <w:rFonts w:ascii="Times New Roman" w:cs="Times New Roman" w:eastAsia="Times New Roman" w:hAnsi="Times New Roman"/>
          <w:sz w:val="20"/>
          <w:szCs w:val="20"/>
          <w:color w:val="auto"/>
        </w:rPr>
        <w:t>. In the event that the Company or any other Loan Party shall at any time issue or have outstanding any Subordinated Indebtedness, the Company shall take or cause such other Loan Party to take all such actions as shall be necessary to cause the Secured Obligations to constitute senior indebtedness (however denominated) in respect of such Subordinated Indebtedness and to enable the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2" w:name="page63"/>
    <w:bookmarkEnd w:id="62"/>
    <w:p>
      <w:pPr>
        <w:jc w:val="both"/>
        <w:spacing w:after="0" w:line="244" w:lineRule="auto"/>
        <w:rPr>
          <w:sz w:val="20"/>
          <w:szCs w:val="20"/>
          <w:color w:val="auto"/>
        </w:rPr>
      </w:pPr>
      <w:r>
        <w:rPr>
          <w:rFonts w:ascii="Times New Roman" w:cs="Times New Roman" w:eastAsia="Times New Roman" w:hAnsi="Times New Roman"/>
          <w:sz w:val="20"/>
          <w:szCs w:val="20"/>
          <w:color w:val="auto"/>
        </w:rPr>
        <w:t>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9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SECTION 1.06.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Interest Rates; Benchmark Notifications</w:t>
      </w:r>
      <w:r>
        <w:rPr>
          <w:rFonts w:ascii="Times New Roman" w:cs="Times New Roman" w:eastAsia="Times New Roman" w:hAnsi="Times New Roman"/>
          <w:sz w:val="20"/>
          <w:szCs w:val="20"/>
          <w:color w:val="auto"/>
        </w:rPr>
        <w:t xml:space="preserve">. The interest rate on a Loan denominated in Dollars may be derived from an interest rate benchmark that may be discontinued or is, or may in the future become, the subject of regulatory reform. Upon the occurrence of a Benchmark Transition Event,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xml:space="preserve">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SECTION 1.07.</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 and Restatement of the Existing Credit Agreement</w:t>
      </w:r>
      <w:r>
        <w:rPr>
          <w:rFonts w:ascii="Times New Roman" w:cs="Times New Roman" w:eastAsia="Times New Roman" w:hAnsi="Times New Roman"/>
          <w:sz w:val="20"/>
          <w:szCs w:val="20"/>
          <w:color w:val="auto"/>
        </w:rPr>
        <w:t>. The parties to this Agreement agree that, on the Effective Date, the terms and provisions of the Existing Credit Agreement shall be and hereby are amended, superseded and restated in their entirety by the terms and provisions of this Agreement. This Agreement is not intended to and shall not constitute a novation. All loans made and obligations incurred under the Existing Credit Agreement which are outstanding on the Effective Date shall continue as Loans and Secured Obligations under (and shall be governed by the terms of) this Agreement and the other Loan Documents. Without limiting the foregoing, upon the effectiveness hereof: (a) all references in the “Loan Documents” (as defined in the Existing Credit Agreement) to the “Administrative Agent,” the “Credit Agreement” and the “Loan Documents” shall be deemed to refer to the Administrative Agent, this Agreement and the Loan Documents, (b) Letters of Credit which remain outstanding on the Effective Date shall continue as Letters of Credit under (and shall be governed by the terms of) this Agreement, (c) all obligations constituting “Obligations” with any Lender or any Affiliate of any Lender which are outstanding on the Effective Date shall continue as Obligations under this Agreement and the other Loan Documents, (d) the liens and security interests in favor of the Administrative Agent for the benefit of the Secured Parties securing payment of the Secured Obligations (and all filings with any Governmental Authority in connection therewith) are in all respects continuing and in full force and effect with respect to all Secured Obligations, (e) the Administrative Agent shall, in consultation with the Borrowers, make such reallocations, sales, assignments or other relevant actions in respect of each Lender’s credit and loan exposure under the Existing Credit Agreement as are necessary in the judgment of the</w:t>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19"/>
          <w:szCs w:val="19"/>
          <w:color w:val="auto"/>
        </w:rPr>
        <w:t>Administrative Agent in order that each such Lender’s outstanding Revolving Loans hereunder reflect such Lender’s ratable share of the outstanding Revolving Loans on the Effective Date and (f) each of the Loan Parties reaffirms the terms and conditions of the “Loan Documents” (as referred to and defined in the Existing Credit Agreement) executed by it, as modified and/or restated by the “Loan Documents” (as referred to and defined herein), and acknowledges and agrees that each “Loan Document” (as referred to and defined in the Existing Credit Agreement) executed by it, as modified and/or restated by the “Loan Documents” (as referred to and defined herein), remains in full force and effect and is hereby ratified, reaffirmed and confirmed. Furthermore, the parties to this Agreement agree that, on and after July 8, 2020, all references in the “Loan Documents” (as defined in the Existing Credit Agreement as in effect immediately prior to July 8, 2020) to the “ABL Term Loan Intercreditor Agreement” shall be deemed to refer to the ABL/Fixed Asset Intercreditor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2.01.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Commitments</w:t>
      </w:r>
      <w:r>
        <w:rPr>
          <w:rFonts w:ascii="Times New Roman" w:cs="Times New Roman" w:eastAsia="Times New Roman" w:hAnsi="Times New Roman"/>
          <w:sz w:val="20"/>
          <w:szCs w:val="20"/>
          <w:color w:val="auto"/>
        </w:rPr>
        <w:t>. Subject to the terms and conditions set forth herein, each Lender (severally and not jointly) agrees to make Revolving Loans to the Borrowers in Dollars from time to time during the Availability Period if, after giving effect thereto:</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such Lender’s Revolving Exposure would not exceed such Lender’s Commitment;</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aggregate Company Revolving Exposures would not exceed an amount equal to (x) the Aggregate Borrowing Base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sum of the Winnebago of Indiana Revolving Exposures of all Lenders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Grand Design Revolving Exposures of all Lenders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Newmar Revolving Exposures of all Lenders;</w:t>
      </w:r>
    </w:p>
    <w:p>
      <w:pPr>
        <w:spacing w:after="0" w:line="188"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aggregate Winnebago of Indiana Revolving Exposures would not exceed an amount equal to (x) the sum of Winnebago of Indiana’s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Company’s Borrowing Base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sum of (A) the excess, if any, of the aggregate Company Revolving Exposures of all Lenders over an amount equal to the sum of (x) the Excess Grand Design Borrowing Base and (y) the Excess Newmar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an amount equal to the sum of (x) the Grand Design Utilization and (y) the Newmar Utilization;</w:t>
      </w:r>
    </w:p>
    <w:p>
      <w:pPr>
        <w:spacing w:after="0" w:line="198"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aggregate Grand Design Revolving Exposures would not exceed an amount equal to (x) the sum of Grand Design’s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Company’s Borrowing Base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sum of (A) the excess, if any, of the aggregate Company Revolving Exposures of all Lenders over the amount equal to the sum of (x) Excess Winnebago of Indiana Borrowing Base plus (y) the Excess Newmar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amount equal to the sum of (x) the Winnebago of Indiana Utilization plus (y) the Newmar Utilization; and</w:t>
      </w:r>
    </w:p>
    <w:p>
      <w:pPr>
        <w:spacing w:after="0" w:line="198"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aggregate Newmar Revolving Exposures would not exceed an amount equal to (x) the sum of Newmar’s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Company’s Borrowing Base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(y) the sum of (A) the excess, if any, of the aggregate Company Revolving Exposures of all Lenders over the amount equal to the sum of (x) Excess Winnebago of Indiana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the Excess Grand Design Borrowing Base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amount equal to the sum of (x) the Winnebago of Indiana Utilization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(y) the Grand Design Utilization; and</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subject, in each case, to the Administrative Agent’s authority, in its sole discretion, to make Protective Advances and Overadvances pursuant to the terms of </w:t>
      </w:r>
      <w:r>
        <w:rPr>
          <w:rFonts w:ascii="Times New Roman" w:cs="Times New Roman" w:eastAsia="Times New Roman" w:hAnsi="Times New Roman"/>
          <w:sz w:val="20"/>
          <w:szCs w:val="20"/>
          <w:u w:val="single" w:color="auto"/>
          <w:color w:val="auto"/>
        </w:rPr>
        <w:t>Sections 2.04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Within the foregoing limits and subject to the terms and conditions set forth herein, the Borrowers may borrow, prepay and reborrow</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4" w:name="page65"/>
    <w:bookmarkEnd w:id="64"/>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Revolving Loans. The limitations on Borrowings referred to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above are referred to collectively as the “</w:t>
      </w:r>
      <w:r>
        <w:rPr>
          <w:rFonts w:ascii="Times New Roman" w:cs="Times New Roman" w:eastAsia="Times New Roman" w:hAnsi="Times New Roman"/>
          <w:sz w:val="20"/>
          <w:szCs w:val="20"/>
          <w:u w:val="single" w:color="auto"/>
          <w:color w:val="auto"/>
        </w:rPr>
        <w:t>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Exposure Limitations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2.02.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Loans and Borrowings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Commitments of the Lenders are several and no Lender shall be responsible for any other Lender’s failure to make Loans as required. Any Protective Advance, any Overadvance and any Swingline Loan shall be made in accordance with the procedures set forth in </w:t>
      </w:r>
      <w:r>
        <w:rPr>
          <w:rFonts w:ascii="Times New Roman" w:cs="Times New Roman" w:eastAsia="Times New Roman" w:hAnsi="Times New Roman"/>
          <w:sz w:val="19"/>
          <w:szCs w:val="19"/>
          <w:u w:val="single" w:color="auto"/>
          <w:color w:val="auto"/>
        </w:rPr>
        <w:t>Sections 2.04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2.05</w:t>
      </w:r>
      <w:r>
        <w:rPr>
          <w:rFonts w:ascii="Times New Roman" w:cs="Times New Roman" w:eastAsia="Times New Roman" w:hAnsi="Times New Roman"/>
          <w:sz w:val="19"/>
          <w:szCs w:val="19"/>
          <w:color w:val="auto"/>
        </w:rPr>
        <w:t>.</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Revolving Borrowing shall be comprised entirely of ABR Loans or Term Benchmark Loans as the Borrower Representative may request in accordance herewith. Each Swingline Loan shall be an ABR Loan. Each Lender at its option may make any Loan by causing any domestic or foreign branch or Affiliate of such Lender to make such Loan (and in the case of an Affiliate, the provisions of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shall apply to such Affiliate to the same extent as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relevant Borrower to repay such Loan in accordance with the terms of this Agreement.</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At the commencement of each Interest Period for any Term Benchmark Revolving Borrowing, such Borrowing shall be in an aggregate amount that is an integral multiple of $100,000 and not less than $1,000,000. ABR Borrowings may be in any amount. Borrowings of more than one Type and Class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six (6) Term Benchmark Borrowings outstanding.</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Notwithstanding any other provision of this Agreement, the Borrower Representative shall not be entitled to request, or to elect to convert or continue, any Borrowing if the Interest Period requested with respect thereto would end after the Maturity Date.</w:t>
      </w:r>
    </w:p>
    <w:p>
      <w:pPr>
        <w:spacing w:after="0" w:line="1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SECTION 2.03.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Requests for Borrowings</w:t>
      </w:r>
      <w:r>
        <w:rPr>
          <w:rFonts w:ascii="Times New Roman" w:cs="Times New Roman" w:eastAsia="Times New Roman" w:hAnsi="Times New Roman"/>
          <w:sz w:val="20"/>
          <w:szCs w:val="20"/>
          <w:color w:val="auto"/>
        </w:rPr>
        <w:t xml:space="preserve">. To request a Revolving Borrowing, the Borrower Representative shall notify the Administrative Agent of such request either in writing (delivered by hand or facsimile) in the form attached hereto as </w:t>
      </w:r>
      <w:r>
        <w:rPr>
          <w:rFonts w:ascii="Times New Roman" w:cs="Times New Roman" w:eastAsia="Times New Roman" w:hAnsi="Times New Roman"/>
          <w:sz w:val="20"/>
          <w:szCs w:val="20"/>
          <w:u w:val="single" w:color="auto"/>
          <w:color w:val="auto"/>
        </w:rPr>
        <w:t>Exhibit G-1</w:t>
      </w:r>
      <w:r>
        <w:rPr>
          <w:rFonts w:ascii="Times New Roman" w:cs="Times New Roman" w:eastAsia="Times New Roman" w:hAnsi="Times New Roman"/>
          <w:sz w:val="20"/>
          <w:szCs w:val="20"/>
          <w:color w:val="auto"/>
        </w:rPr>
        <w:t xml:space="preserve"> or such other form approved by the Administrative Agent and signed by a Responsible Officer of the Borrower Representative or by telephone or through Electronic System, if arrangements for doing so have been approved by the Administrative Agent (or if an Extenuating Circumstance shall exist, by telephone), not later than (a) in the case of a Term Benchmark Borrowing, 10:00 a.m., Chicago time, three (3) Business Days before the date of the proposed Borrowing or (b) in the case of an ABR Borrowing, 10:00 a.m., Chicago time, on the date of the proposed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of an ABR Revolving Borrowing to finance the reimbursement of an LC Disbursement as contemplated by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xml:space="preserve"> may be given not later than 9:00 a.m., Chicago time, on the date of such proposed Borrowing. Each such Borrowing Request shall be irrevocable and each such telephonic Borrowing Request, if permitted, shall be confirmed immediately upon the cessation of the Extenuating Circumstance by hand delivery, facsimile or a communication through Electronic System to the Administrative Agent of a written Borrowing Request in the form attached hereto as </w:t>
      </w:r>
      <w:r>
        <w:rPr>
          <w:rFonts w:ascii="Times New Roman" w:cs="Times New Roman" w:eastAsia="Times New Roman" w:hAnsi="Times New Roman"/>
          <w:sz w:val="20"/>
          <w:szCs w:val="20"/>
          <w:u w:val="single" w:color="auto"/>
          <w:color w:val="auto"/>
        </w:rPr>
        <w:t>Exhibit G-1</w:t>
      </w:r>
      <w:r>
        <w:rPr>
          <w:rFonts w:ascii="Times New Roman" w:cs="Times New Roman" w:eastAsia="Times New Roman" w:hAnsi="Times New Roman"/>
          <w:sz w:val="20"/>
          <w:szCs w:val="20"/>
          <w:color w:val="auto"/>
        </w:rPr>
        <w:t xml:space="preserve"> or such other form approved by the Administrative Agent and signed by a Responsible Officer of the Borrower Representative. Each such written (or if permitted, telephonic) Borrowing Request shall specify the following information in compliance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name of the applicable Borrower;</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aggregate amount of the requested Borrowing and a breakdown of the separate wires comprising such Borrowing;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date of such Borrowing, which shall be a Business Day;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whether such Borrowing is to be an ABR Borrowing or a Term Benchmark Borrowing; and</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the case of a Term Benchmark Borrowing, the initial Interest Period to be applicable thereto, which shall be a period contemplated by the definition of the term “Interest Period”.</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If no election as to the Type of Borrowing is specified, then the requested Borrowing shall be an ABR Borrowing.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2.04.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Subject to the limitations set forth below, the Administrative Agent is authorized by the Borrowers and the Lenders, from time to time in the Administrative Agent’s sole discretion (but shall have absolutely no obligation to), to make Loans to the Borrowers,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 (iii) to pay any other amount chargeable to or required to be paid by the Borrowers pursuant to the terms of this Agreement, including payments of reimbursable expenses (including costs, fees, and expenses as described in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and other sums payable under the Loan Documents (any of such Loans are herein referred to as “</w:t>
      </w:r>
      <w:r>
        <w:rPr>
          <w:rFonts w:ascii="Times New Roman" w:cs="Times New Roman" w:eastAsia="Times New Roman" w:hAnsi="Times New Roman"/>
          <w:sz w:val="20"/>
          <w:szCs w:val="20"/>
          <w:u w:val="single" w:color="auto"/>
          <w:color w:val="auto"/>
        </w:rPr>
        <w:t>Protective Advances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aggregate amount of Protective Advances outstanding at any time, when aggregated with the amount of Overadvances outstanding at such time, shall not at any time exceed 10% of the Aggregate Commitment, (y) no Protective Advance shall cause any Lender’s Revolving Exposure to exceed such Lender’s Commitment and (z) the Aggregate Revolving Exposure after giving effect to the Protective Advances being made shall not exceed the Aggregate Commitment. Protective Advances may be made even if the conditions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have not been satisfied. The Protective Advances shall be secured by the Liens in favor of the Administrative Agent in and to the Collateral and shall constitute Obligations hereunder. All Protective Advances shall be ABR Borrowings. The making of a Protective Advance on any one occasion shall not obligate the Administrative Agent to make any Protective Advance on any other occasion.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Aggregate Availability and the conditions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have been satisfied, the Administrative Agent may request the Lenders to make a Revolving Loan to repay a Protective Advance. At any other time the Administrative Agent may require the Lenders to fund their risk participations described in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6" w:name="page67"/>
    <w:bookmarkEnd w:id="66"/>
    <w:p>
      <w:pPr>
        <w:jc w:val="both"/>
        <w:spacing w:after="0" w:line="254" w:lineRule="auto"/>
        <w:rPr>
          <w:sz w:val="20"/>
          <w:szCs w:val="20"/>
          <w:color w:val="auto"/>
        </w:rPr>
      </w:pPr>
      <w:r>
        <w:rPr>
          <w:rFonts w:ascii="Times New Roman" w:cs="Times New Roman" w:eastAsia="Times New Roman" w:hAnsi="Times New Roman"/>
          <w:sz w:val="20"/>
          <w:szCs w:val="20"/>
          <w:color w:val="auto"/>
        </w:rPr>
        <w:t>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2.05.</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Swingline Loans and Overadvances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the Swingline Lender and the Lenders agree that in order to facilitate the administration of this Agreement and the other Loan Documents, promptly after the Borrower Representative requests an ABR Borrowing, the Swingline Lender may elect to have the terms of this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apply to such Borrowing Request by advancing, on behalf of the Lenders and in the amount requested, same day funds to the Borrowers, on the date of the applicable Borrowing to the Funding Account(s) (each such Loan made solely by the Swingline Lender pursuant to this </w:t>
      </w:r>
      <w:r>
        <w:rPr>
          <w:rFonts w:ascii="Times New Roman" w:cs="Times New Roman" w:eastAsia="Times New Roman" w:hAnsi="Times New Roman"/>
          <w:sz w:val="20"/>
          <w:szCs w:val="20"/>
          <w:u w:val="single" w:color="auto"/>
          <w:color w:val="auto"/>
        </w:rPr>
        <w:t>Section 2.05(a)</w:t>
      </w:r>
      <w:r>
        <w:rPr>
          <w:rFonts w:ascii="Times New Roman" w:cs="Times New Roman" w:eastAsia="Times New Roman" w:hAnsi="Times New Roman"/>
          <w:sz w:val="20"/>
          <w:szCs w:val="20"/>
          <w:color w:val="auto"/>
        </w:rPr>
        <w:t xml:space="preserve"> is referred to in this Agreement as a “</w:t>
      </w:r>
      <w:r>
        <w:rPr>
          <w:rFonts w:ascii="Times New Roman" w:cs="Times New Roman" w:eastAsia="Times New Roman" w:hAnsi="Times New Roman"/>
          <w:sz w:val="20"/>
          <w:szCs w:val="20"/>
          <w:u w:val="single" w:color="auto"/>
          <w:color w:val="auto"/>
        </w:rPr>
        <w:t>Swingline Loan</w:t>
      </w:r>
      <w:r>
        <w:rPr>
          <w:rFonts w:ascii="Times New Roman" w:cs="Times New Roman" w:eastAsia="Times New Roman" w:hAnsi="Times New Roman"/>
          <w:sz w:val="20"/>
          <w:szCs w:val="20"/>
          <w:color w:val="auto"/>
        </w:rPr>
        <w:t xml:space="preserve">”), with settlement among them as to the Swingline Loans to take place on a periodic basis as set forth in </w:t>
      </w:r>
      <w:r>
        <w:rPr>
          <w:rFonts w:ascii="Times New Roman" w:cs="Times New Roman" w:eastAsia="Times New Roman" w:hAnsi="Times New Roman"/>
          <w:sz w:val="20"/>
          <w:szCs w:val="20"/>
          <w:u w:val="single" w:color="auto"/>
          <w:color w:val="auto"/>
        </w:rPr>
        <w:t>Section 2.05(d)</w:t>
      </w:r>
      <w:r>
        <w:rPr>
          <w:rFonts w:ascii="Times New Roman" w:cs="Times New Roman" w:eastAsia="Times New Roman" w:hAnsi="Times New Roman"/>
          <w:sz w:val="20"/>
          <w:szCs w:val="20"/>
          <w:color w:val="auto"/>
        </w:rPr>
        <w:t>. Each Swingline Loan shall be subject to all the terms and conditions applicable to other ABR Loans funded by the Lenders, except that all payments thereon shall be payable to the Swingline Lender solely for its own account. In addition, the Borrower Representative hereby authorizes the Swingline Lender to, and the Swingline Lender may, subject to the terms and conditions set forth herein (but without any further written notice required), to the extent that from time to time on any Business Day funds are required under the DDA Access Product to reach the Target Balance (a “</w:t>
      </w:r>
      <w:r>
        <w:rPr>
          <w:rFonts w:ascii="Times New Roman" w:cs="Times New Roman" w:eastAsia="Times New Roman" w:hAnsi="Times New Roman"/>
          <w:sz w:val="20"/>
          <w:szCs w:val="20"/>
          <w:u w:val="single" w:color="auto"/>
          <w:color w:val="auto"/>
        </w:rPr>
        <w:t>Deficiency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Funding Date</w:t>
      </w:r>
      <w:r>
        <w:rPr>
          <w:rFonts w:ascii="Times New Roman" w:cs="Times New Roman" w:eastAsia="Times New Roman" w:hAnsi="Times New Roman"/>
          <w:sz w:val="20"/>
          <w:szCs w:val="20"/>
          <w:color w:val="auto"/>
        </w:rPr>
        <w:t>”), make available to the Borrowers the proceeds of a Swingline Loan in the amount of such deficiency up to the Target Balance, by means of a credit to the Funding Account on or before the start of business on the next succeeding Business Day, and such Swingline Loan shall be deemed made on such Deficiency Funding Date. The aggregate amount of Swingline Loans outstanding at any time shall not exceed an amount equal to 10% of the Aggregate Commitment. The Swingline Lender shall not make any Swingline Loan if the requested Swingline Loan results in the Borrowers failing to be in compliance with the Revolving Exposure Limitations (before or after giving effect to such Swingline Loan). All Swingline Loans shall be ABR Borrowings.</w:t>
      </w:r>
    </w:p>
    <w:p>
      <w:pPr>
        <w:spacing w:after="0" w:line="20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provision of this Agreement to the contrary notwithstanding, at the request of the Borrower Representative, the Administrative Agent may in its sole discretion (but with absolutely no obligation), make Revolving Loans to the Borrowers, on behalf of the Lenders, in amounts that exceed Aggregate Availability or any Borrower’s Availability (any such excess Revolving Loans are herein referred to collectively as “</w:t>
      </w:r>
      <w:r>
        <w:rPr>
          <w:rFonts w:ascii="Times New Roman" w:cs="Times New Roman" w:eastAsia="Times New Roman" w:hAnsi="Times New Roman"/>
          <w:sz w:val="20"/>
          <w:szCs w:val="20"/>
          <w:u w:val="single" w:color="auto"/>
          <w:color w:val="auto"/>
        </w:rPr>
        <w:t>Overadvances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Overadvance shall result in a Default due to Borrowers’ failure to comply with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for so long as such Overadvance remains outstanding in accordance with the terms of this paragraph, but solely with respect to the amount of such Overadvance. In addition, Overadvances may be made even if the condition precedent set forth in </w:t>
      </w:r>
      <w:r>
        <w:rPr>
          <w:rFonts w:ascii="Times New Roman" w:cs="Times New Roman" w:eastAsia="Times New Roman" w:hAnsi="Times New Roman"/>
          <w:sz w:val="20"/>
          <w:szCs w:val="20"/>
          <w:u w:val="single" w:color="auto"/>
          <w:color w:val="auto"/>
        </w:rPr>
        <w:t>Section 4.02(c)</w:t>
      </w:r>
      <w:r>
        <w:rPr>
          <w:rFonts w:ascii="Times New Roman" w:cs="Times New Roman" w:eastAsia="Times New Roman" w:hAnsi="Times New Roman"/>
          <w:sz w:val="20"/>
          <w:szCs w:val="20"/>
          <w:color w:val="auto"/>
        </w:rPr>
        <w:t xml:space="preserve"> has not been satisfied. All Overadvances shall constitute ABR Borrowings. The making of an Overadvance on any one occasion shall not obligate the Administrative Agent to make any Overadvance on any other occasion. The authority of the Administrative Agent to make Overadvances is limited to an aggregate amount not to exceed, when aggregated with the aggregate amount of Protective Advances outstanding at such time, 10% of the Aggregate Commitment at any time, no Overadvance may remain outstanding for more than thirty (30) days and no Overadvance shall cause any Lender’s Revolving Exposure to exceed its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Required Lenders may at any time revoke the Administrative Agent’s authorization to make Overadvances. Any such revocation must be in writing and shall become effective prospectively upon the Administrative Agent’s receipt thereof.</w:t>
      </w:r>
    </w:p>
    <w:p>
      <w:pPr>
        <w:spacing w:after="0" w:line="21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Upon the making of a Swingline Loan or an Overadvance (whether before or after the occurrence of a Default and regardless of whether a Settlement has been requested with respect to such Swingline Loan or Overadvance), each Lender shall be deemed, without further action by any party hereto, to have unconditionally and irrevocably purchased from the Swingline Lender or the Administrative Agent, as the case may be, without recourse or warranty, an undivided interest and participation in such Swingline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7" w:name="page68"/>
    <w:bookmarkEnd w:id="67"/>
    <w:p>
      <w:pPr>
        <w:jc w:val="both"/>
        <w:spacing w:after="0" w:line="246" w:lineRule="auto"/>
        <w:rPr>
          <w:sz w:val="20"/>
          <w:szCs w:val="20"/>
          <w:color w:val="auto"/>
        </w:rPr>
      </w:pPr>
      <w:r>
        <w:rPr>
          <w:rFonts w:ascii="Times New Roman" w:cs="Times New Roman" w:eastAsia="Times New Roman" w:hAnsi="Times New Roman"/>
          <w:sz w:val="20"/>
          <w:szCs w:val="20"/>
          <w:color w:val="auto"/>
        </w:rPr>
        <w:t>Loan or Overadvance in proportion to its Applicable Percentage of the Commitment. The Swingline Lender or the Administrative Agent may, at any time, require the Lenders to fund their participations. From and after the date, if any, on which any Lender is required to fund its participation in any Swingline Loan or Overadvance purchased hereunder, the Administrative Agent shall promptly distribute to such Lender, such Lender’s Applicable Percentage of all payments of principal and interest and all proceeds of Collateral received by the Administrative Agent in respect of such Swingline Loan or Overadvance.</w:t>
      </w:r>
    </w:p>
    <w:p>
      <w:pPr>
        <w:spacing w:after="0" w:line="19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on behalf of the Swingline Lender, shall request settlement (a “</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with the Lenders on at least a weekly basis and on any date that the Administrative Agent elects, by notifying the Lenders of such requested Settlement by facsimile, telephone, or e-mail no later than 12:00 noon, Chicago time, on the date of such requested Settlement (the “</w:t>
      </w:r>
      <w:r>
        <w:rPr>
          <w:rFonts w:ascii="Times New Roman" w:cs="Times New Roman" w:eastAsia="Times New Roman" w:hAnsi="Times New Roman"/>
          <w:sz w:val="20"/>
          <w:szCs w:val="20"/>
          <w:u w:val="single" w:color="auto"/>
          <w:color w:val="auto"/>
        </w:rPr>
        <w:t>Settlement Date</w:t>
      </w:r>
      <w:r>
        <w:rPr>
          <w:rFonts w:ascii="Times New Roman" w:cs="Times New Roman" w:eastAsia="Times New Roman" w:hAnsi="Times New Roman"/>
          <w:sz w:val="20"/>
          <w:szCs w:val="20"/>
          <w:color w:val="auto"/>
        </w:rPr>
        <w:t xml:space="preserve">”). Each Lender (other than the Swingline Lender, in the case of the Swingline Loans) shall transfer the amount of such Lender’s Applicable Percentage of the outstanding principal amount of the applicable Loan with respect to which Settlement is requested to the Administrative Agent, to such account of the Administrative Agent as the Administrative Agent may designate, not later than 2:00 p.m., Chicago time, on such Settlement Date. Settlements may occur during the existence of a Default and whether or not the applicable conditions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have then been satisfied. Such amounts transferred to the Administrative Agent shall be applied against the amounts of the Swingline Lender’s Swingline Loans and, together with Swingline Lender’s Applicable Percentage of such Swingline Loan, shall constitute Revolving Loans of such Lenders, respectively. If any such amount is not transferred to the Administrative Agent by any Lender on such Settlement Date, the Swingline Lender shall be entitled to recover from such Lender on demand such amount, together with interest thereon, as specified in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2.06.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General</w:t>
      </w:r>
      <w:r>
        <w:rPr>
          <w:rFonts w:ascii="Times New Roman" w:cs="Times New Roman" w:eastAsia="Times New Roman" w:hAnsi="Times New Roman"/>
          <w:sz w:val="19"/>
          <w:szCs w:val="19"/>
          <w:color w:val="auto"/>
        </w:rPr>
        <w:t xml:space="preserve">. Subject to the terms and conditions set forth herein, the Borrower Representative may request the issuance of Letters of Credit for its own account or for the account of another Borrower denominated in Dollars as the applicant thereof for the support of its or its Subsidiaries’ obligations, in a form reasonably acceptable to the Administrative Agent and the relevant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Borrowers to, or entered into by the Borrowers with, the relevant Issuing Bank relating to any Letter of Credit, the terms and conditions of this Agreement shall control.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regardless of the date enacted, adopted, issued or implemented.</w:t>
      </w:r>
    </w:p>
    <w:p>
      <w:pPr>
        <w:spacing w:after="0" w:line="18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 of Issuance, Amendment, Renewal, Extension; Certain Conditions</w:t>
      </w:r>
      <w:r>
        <w:rPr>
          <w:rFonts w:ascii="Times New Roman" w:cs="Times New Roman" w:eastAsia="Times New Roman" w:hAnsi="Times New Roman"/>
          <w:sz w:val="20"/>
          <w:szCs w:val="20"/>
          <w:color w:val="auto"/>
        </w:rPr>
        <w:t xml:space="preserve">. To request the issuance of a Letter of Credit (or the amendment, renewal or extension of an outstanding Letter of Credit), the Borrower Representative shall hand deliver or telecopy (or transmit through Electronic Systems, if arrangements for doing so have been approved by the relevant Issuing Bank) to an Issuing Bank and the Administrative Agent (reasonably in advance of, but in any event no less than three (3) Business Days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 the amount of such Letter of Credit, the name and address of the beneficiary thereof and such other information as shall be necessary to prepare, amend, renew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Issuing Bank and using such Issuing Bank’s standard form (each, a “</w:t>
      </w:r>
      <w:r>
        <w:rPr>
          <w:rFonts w:ascii="Times New Roman" w:cs="Times New Roman" w:eastAsia="Times New Roman" w:hAnsi="Times New Roman"/>
          <w:sz w:val="20"/>
          <w:szCs w:val="20"/>
          <w:u w:val="single" w:color="auto"/>
          <w:color w:val="auto"/>
        </w:rPr>
        <w:t>Letter of Credit Agreement</w:t>
      </w:r>
      <w:r>
        <w:rPr>
          <w:rFonts w:ascii="Times New Roman" w:cs="Times New Roman" w:eastAsia="Times New Roman" w:hAnsi="Times New Roman"/>
          <w:sz w:val="20"/>
          <w:szCs w:val="20"/>
          <w:color w:val="auto"/>
        </w:rPr>
        <w:t xml:space="preserve">”). If requested by such Issuing Bank, the applicable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aggregate LC Exposure shall not exceed $35,000,000 and (ii) the Borrowers shall be in compliance with the Revolving Exposure Limitations.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the Credit Agreement, and shall not affect the Issuing Bank Sublimit of any other Issuing Bank, subject to the limitations on the aggregate LC Exposure set forth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2.06(b)</w:t>
      </w:r>
      <w:r>
        <w:rPr>
          <w:rFonts w:ascii="Times New Roman" w:cs="Times New Roman" w:eastAsia="Times New Roman" w:hAnsi="Times New Roman"/>
          <w:sz w:val="20"/>
          <w:szCs w:val="20"/>
          <w:color w:val="auto"/>
        </w:rPr>
        <w:t>.</w:t>
      </w:r>
    </w:p>
    <w:p>
      <w:pPr>
        <w:spacing w:after="0" w:line="21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Expiration Date</w:t>
      </w:r>
      <w:r>
        <w:rPr>
          <w:rFonts w:ascii="Times New Roman" w:cs="Times New Roman" w:eastAsia="Times New Roman" w:hAnsi="Times New Roman"/>
          <w:sz w:val="20"/>
          <w:szCs w:val="20"/>
          <w:color w:val="auto"/>
        </w:rPr>
        <w:t>. Each Letter of Credit shall expire (or be subject to termination or non-renewal by notice from the relevant Issuing Bank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(5) Business Days prior to the Maturity Date.</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By the issuance of a Letter of Credit (or an amendment to a Letter of Credit increasing the amount thereof) and without any further action on the part of any Issuing Bank or the Lenders, each Issuing Bank hereby grants to each Lender, and each Lender hereby acquires from each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9" w:name="page70"/>
    <w:bookmarkEnd w:id="69"/>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Disbursement made by such Issuing Bank and not reimbursed by the Borrowers on the date due as provided in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Section, or of any reimbursement payment required to be refunded to the Borrowers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Reimbursement</w:t>
      </w:r>
      <w:r>
        <w:rPr>
          <w:rFonts w:ascii="Times New Roman" w:cs="Times New Roman" w:eastAsia="Times New Roman" w:hAnsi="Times New Roman"/>
          <w:sz w:val="19"/>
          <w:szCs w:val="19"/>
          <w:color w:val="auto"/>
        </w:rPr>
        <w:t xml:space="preserve">. If the Issuing Bank shall make any LC Disbursement in respect of a Letter of Credit, the Borrowers shall reimburse such LC Disbursement by paying to the Administrative Agent an amount equal to such LC Disbursement (i) not later than 11:00 a.m., Chicago time, on the date that such LC Disbursement is made, if the Borrower Representative shall have received notice of such LC Disbursement prior to 9:00 a.m., Chicago time, on such date, or, (ii) if such notice has not been received by the Borrower Representative prior to such time on such date, then not later than 11:00 a.m., Chicago time, on (A) the Business Day that the Borrower Representative receives such notice, if such notice is received prior to 9:00 a.m., Chicago time, on the day of receipt, or (B) the Business Day immediately following the day that the Borrower Representative receives such notice, if such notice is not received prior to such time on the day of receipt;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Borrowers may, subject to the conditions to borrowing set forth herein, request in accordance with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2.05</w:t>
      </w:r>
      <w:r>
        <w:rPr>
          <w:rFonts w:ascii="Times New Roman" w:cs="Times New Roman" w:eastAsia="Times New Roman" w:hAnsi="Times New Roman"/>
          <w:sz w:val="19"/>
          <w:szCs w:val="19"/>
          <w:color w:val="auto"/>
        </w:rPr>
        <w:t xml:space="preserve">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 xml:space="preserve"> with respect to Loans made by such Lender (and </w:t>
      </w:r>
      <w:r>
        <w:rPr>
          <w:rFonts w:ascii="Times New Roman" w:cs="Times New Roman" w:eastAsia="Times New Roman" w:hAnsi="Times New Roman"/>
          <w:sz w:val="19"/>
          <w:szCs w:val="19"/>
          <w:u w:val="single" w:color="auto"/>
          <w:color w:val="auto"/>
        </w:rPr>
        <w:t>Section 2.07</w:t>
      </w:r>
      <w:r>
        <w:rPr>
          <w:rFonts w:ascii="Times New Roman" w:cs="Times New Roman" w:eastAsia="Times New Roman" w:hAnsi="Times New Roman"/>
          <w:sz w:val="19"/>
          <w:szCs w:val="19"/>
          <w:color w:val="auto"/>
        </w:rPr>
        <w:t xml:space="preserve"> shall apply, mutatis mutandis, to the payment obligations of the Revolving Lenders), and the Administrative Agent shall promptly pay to the Issuing Bank the amounts so received by it from the Revolving Lenders. Promptly following receipt by the Administrative Agent of any payment from the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or a Swingline Loan as contemplated above) shall not constitute a Loan and shall not relieve the Borrowers of their obligation to reimburse such LC Disbursement.</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Borrowers’ joint and several obligation to reimburse LC Disbursements as provided in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Section shall be absolute, unconditional and irrevocable, and shall be performed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0" w:name="page71"/>
    <w:bookmarkEnd w:id="70"/>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any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1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Disbursement Procedures</w:t>
      </w:r>
      <w:r>
        <w:rPr>
          <w:rFonts w:ascii="Times New Roman" w:cs="Times New Roman" w:eastAsia="Times New Roman" w:hAnsi="Times New Roman"/>
          <w:sz w:val="20"/>
          <w:szCs w:val="20"/>
          <w:color w:val="auto"/>
        </w:rPr>
        <w:t xml:space="preserve">. Each Issuing Bank shall, promptly following its receipt thereof, examine all documents purporting to represent a demand for payment under a Letter of Credit. Each Issuing Bank shall promptly notify the Administrative Agent and the applicable Borrower by telephone (confirmed by fax or through Electronic Systems) of such demand for payment and whether such Issuing Bank has made or will make an LC Disbursement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delay in giving such notice shall not relieve the Borrowers of their obligation to reimburse such Issuing Bank and the Lenders with respect to any such LC Disbursement.</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Interim Interest</w:t>
      </w:r>
      <w:r>
        <w:rPr>
          <w:rFonts w:ascii="Times New Roman" w:cs="Times New Roman" w:eastAsia="Times New Roman" w:hAnsi="Times New Roman"/>
          <w:sz w:val="20"/>
          <w:szCs w:val="20"/>
          <w:color w:val="auto"/>
        </w:rPr>
        <w:t xml:space="preserve">. If any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and such interest shall be payable on the date when such reimbursement is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Borrowers fail to reimburse such LC Disbursement when due pursuant to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Section, then </w:t>
      </w:r>
      <w:r>
        <w:rPr>
          <w:rFonts w:ascii="Times New Roman" w:cs="Times New Roman" w:eastAsia="Times New Roman" w:hAnsi="Times New Roman"/>
          <w:sz w:val="20"/>
          <w:szCs w:val="20"/>
          <w:u w:val="single" w:color="auto"/>
          <w:color w:val="auto"/>
        </w:rPr>
        <w:t>Section 2.13(e)</w:t>
      </w:r>
      <w:r>
        <w:rPr>
          <w:rFonts w:ascii="Times New Roman" w:cs="Times New Roman" w:eastAsia="Times New Roman" w:hAnsi="Times New Roman"/>
          <w:sz w:val="20"/>
          <w:szCs w:val="20"/>
          <w:color w:val="auto"/>
        </w:rPr>
        <w:t xml:space="preserve"> shall apply. Interest accrued pursuant to this paragraph shall be for the account of such Issuing Bank, except that interest accrued on and after the date of payment by any Lender pursuant to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Section to reimburse such Issuing Bank shall be for the account of such Lender to the extent of such payment.</w:t>
      </w:r>
    </w:p>
    <w:p>
      <w:pPr>
        <w:spacing w:after="0" w:line="20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Replacement and Resignation of an Issuing Bank</w:t>
      </w:r>
      <w:r>
        <w:rPr>
          <w:rFonts w:ascii="Times New Roman" w:cs="Times New Roman" w:eastAsia="Times New Roman" w:hAnsi="Times New Roman"/>
          <w:sz w:val="20"/>
          <w:szCs w:val="20"/>
          <w:color w:val="auto"/>
        </w:rPr>
        <w:t xml:space="preserve">. (A) Any Issuing Bank may be replaced at any time by written agreement among the Borrower Representative, the Administrative Agent, the replaced Issuing Bank and the successor Issuing Bank. The Administrative Agent shall notify the Lenders of any such replacement of an Issuing Bank. At the time any such replacement shall become effective, the Borrowers shall pay all unpaid fees accrued for the account of the replaced Issuing Bank pursuant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From and after the effective date of any such replacement, (i) the successor Issuing Bank shall have all the rights and obligations of an Issuing Bank under this Agreement with respect to Letters of Credit to be issued thereafter and (ii) references herein to the term “</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Letters of Credit.</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1" w:name="page72"/>
    <w:bookmarkEnd w:id="71"/>
    <w:p>
      <w:pPr>
        <w:jc w:val="both"/>
        <w:ind w:left="1300" w:firstLine="648"/>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Subject to the appointment and acceptance of a successor Issuing Bank in accordance with the terms of this Agreement, any Issuing Bank may resign as an Issuing Bank at any time upon thirty (30) days’ prior written notice to the Administrative Agent, the Borrower Representative and the Lenders, in which case, such resigning Issuing Bank shall be replaced in accordance with </w:t>
      </w:r>
      <w:r>
        <w:rPr>
          <w:rFonts w:ascii="Times New Roman" w:cs="Times New Roman" w:eastAsia="Times New Roman" w:hAnsi="Times New Roman"/>
          <w:sz w:val="20"/>
          <w:szCs w:val="20"/>
          <w:u w:val="single" w:color="auto"/>
          <w:color w:val="auto"/>
        </w:rPr>
        <w:t>Section 2.06(i)(A)</w:t>
      </w:r>
      <w:r>
        <w:rPr>
          <w:rFonts w:ascii="Times New Roman" w:cs="Times New Roman" w:eastAsia="Times New Roman" w:hAnsi="Times New Roman"/>
          <w:sz w:val="20"/>
          <w:szCs w:val="20"/>
          <w:color w:val="auto"/>
        </w:rPr>
        <w:t xml:space="preserve"> above.</w:t>
      </w:r>
    </w:p>
    <w:p>
      <w:pPr>
        <w:spacing w:after="0" w:line="19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Cash Collateralization</w:t>
      </w:r>
      <w:r>
        <w:rPr>
          <w:rFonts w:ascii="Times New Roman" w:cs="Times New Roman" w:eastAsia="Times New Roman" w:hAnsi="Times New Roman"/>
          <w:sz w:val="20"/>
          <w:szCs w:val="20"/>
          <w:color w:val="auto"/>
        </w:rPr>
        <w:t>.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66 2/3% of the aggregate LC Exposure) demanding the deposit of cash collateral pursuant to this paragraph, the Borrowers shall deposit in an account with the Administrative Agent, in the name of the Administrative Agent and for the benefit of the Revolving Lenders (the “</w:t>
      </w:r>
      <w:r>
        <w:rPr>
          <w:rFonts w:ascii="Times New Roman" w:cs="Times New Roman" w:eastAsia="Times New Roman" w:hAnsi="Times New Roman"/>
          <w:sz w:val="20"/>
          <w:szCs w:val="20"/>
          <w:u w:val="single" w:color="auto"/>
          <w:color w:val="auto"/>
        </w:rPr>
        <w:t>LC Collateral Account</w:t>
      </w:r>
      <w:r>
        <w:rPr>
          <w:rFonts w:ascii="Times New Roman" w:cs="Times New Roman" w:eastAsia="Times New Roman" w:hAnsi="Times New Roman"/>
          <w:sz w:val="20"/>
          <w:szCs w:val="20"/>
          <w:color w:val="auto"/>
        </w:rPr>
        <w:t xml:space="preserve">”), an amount in cash equal to 103% of the amount of the LC Exposure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66 2/3%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(k)</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Issuing Bank Reports to the Administrative Agent</w:t>
      </w:r>
      <w:r>
        <w:rPr>
          <w:rFonts w:ascii="Times New Roman" w:cs="Times New Roman" w:eastAsia="Times New Roman" w:hAnsi="Times New Roman"/>
          <w:sz w:val="19"/>
          <w:szCs w:val="19"/>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w:t>
      </w:r>
    </w:p>
    <w:p>
      <w:pPr>
        <w:spacing w:after="0" w:line="4" w:lineRule="exact"/>
        <w:rPr>
          <w:sz w:val="20"/>
          <w:szCs w:val="20"/>
          <w:color w:val="auto"/>
        </w:rPr>
      </w:pPr>
    </w:p>
    <w:p>
      <w:pPr>
        <w:jc w:val="both"/>
        <w:ind w:firstLine="8"/>
        <w:spacing w:after="0" w:line="241" w:lineRule="auto"/>
        <w:tabs>
          <w:tab w:leader="none" w:pos="35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2" w:name="page73"/>
    <w:bookmarkEnd w:id="72"/>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LC Exposure Determination</w:t>
      </w:r>
      <w:r>
        <w:rPr>
          <w:rFonts w:ascii="Times New Roman" w:cs="Times New Roman" w:eastAsia="Times New Roman" w:hAnsi="Times New Roman"/>
          <w:sz w:val="20"/>
          <w:szCs w:val="20"/>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Letters of Credit Issued for Account of Subsidiaries</w:t>
      </w:r>
      <w:r>
        <w:rPr>
          <w:rFonts w:ascii="Times New Roman" w:cs="Times New Roman" w:eastAsia="Times New Roman" w:hAnsi="Times New Roman"/>
          <w:sz w:val="20"/>
          <w:szCs w:val="20"/>
          <w:color w:val="auto"/>
        </w:rPr>
        <w:t>.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Borrowers (i) shall reimburse, indemnify and compensate the Issuing Bank hereunder for such Letter of Credit (including to reimburse any and all drawings thereunder) as if such Letter of Credit had been issued solely for the account of a Borrower and (ii) irrevocably waives any and all defenses that might otherwise be available to it as a guarantor or surety of any or all of the obligations of such Subsidiary in respect of such Letter of Credit. Each Borrower hereby acknowledges that the issuance of such Letters of Credit for its Subsidiaries inures to the benefit of the Borrowers, and that each Borrower’s business derives substantial benefits from the businesses of such Subsidiaries.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2.07.</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Funding of Borrowings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Lender shall make each Loan to be made by such Lender hereunder on the proposed date thereof solely by wire transfer of immediately available funds by 1:00 p.m., Chicago time, to the account of the Administrative Agent most recently designated by it for such purpose by notice to the Lenders in an amount equal to such Lender’s Applicable Percentage;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Swingline Loans shall be made as provided in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The Administrative Agent will make such Loans available to the Borrower Representative by promptly crediting the funds so received in the aforesaid account of the Administrative Agent to the Funding Account;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Revolving Loans made to finance the reimbursement of (i) an LC Disbursement as provided in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xml:space="preserve"> shall be remitted by the Administrative Agent to the Issuing Bank and (ii) a Protective Advance or an Overadvance shall be retained by the Administrative Agent.</w:t>
      </w:r>
    </w:p>
    <w:p>
      <w:pPr>
        <w:spacing w:after="0" w:line="19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NYFRB Rate and a rate determined by the Administrative Agent in accordance with banking industry rules on interbank compensation or (ii) in the case of such Borrower, the interest rate applicable to ABR Loans. If such Lender pays such amount to the Administrative Agent, then such amount shall constitute such Lender’s Loan included in such Borrowing,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interest received from a Borrower by the Administrative Agent during the period beginning when Administrative Agent funded the Borrowing until such Lender pays such amount shall be solely for the account of the Administrative Agent.</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2.08.</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Interest Elections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3" w:name="page74"/>
    <w:bookmarkEnd w:id="73"/>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Each Borrowing initially shall be of the Type specified in the applicable Borrowing Request and, in the case of a Term Benchmark Borrowing, shall have an initial Interest Period as specified in such Borrowing Request. Thereafter, the Borrower Representative may elect to convert such Borrowing to a different Type or to continue such Borrowing and, in the case of a Term Benchmark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18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To make an election pursuant to this Section, the Borrower Representative shall notify the Administrative Agent of such election either in writing (delivered by hand or fax) by delivering an Interest Election Request signed by a Responsible Officer of the Borrower Representative or through Electronic System if arrangements for doing so have been approved by the Administrative Agent (or if an Extenuating Circumstance shall exist, by telephone) by the time that a Borrowing Request would be required under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if the Borrowers were requesting a Borrowing of the Type resulting from such election to be made on the effective date of such election. Each such Interest Election Request shall be irrevocable each such telephonic Interest Election Request, if permitted, shall be confirmed immediately upon the cessation of the Extenuating Circumstance by hand delivery, Electronic System or facsimile to the Administrative Agent of a written Interest Election Request in the form attached hereto as </w:t>
      </w:r>
      <w:r>
        <w:rPr>
          <w:rFonts w:ascii="Times New Roman" w:cs="Times New Roman" w:eastAsia="Times New Roman" w:hAnsi="Times New Roman"/>
          <w:sz w:val="19"/>
          <w:szCs w:val="19"/>
          <w:u w:val="single" w:color="auto"/>
          <w:color w:val="auto"/>
        </w:rPr>
        <w:t>Exhibit G-2</w:t>
      </w:r>
      <w:r>
        <w:rPr>
          <w:rFonts w:ascii="Times New Roman" w:cs="Times New Roman" w:eastAsia="Times New Roman" w:hAnsi="Times New Roman"/>
          <w:sz w:val="19"/>
          <w:szCs w:val="19"/>
          <w:color w:val="auto"/>
        </w:rPr>
        <w:t xml:space="preserve"> (or such other form approved by the Administrative Agent) and signed by a Responsible Officer of the Borrower Representative. Notwithstanding any contrary provision herein, this Section shall not be construed to permit any Borrower to elect an Interest Period for Term Benchmark Loans that does not comply with </w:t>
      </w:r>
      <w:r>
        <w:rPr>
          <w:rFonts w:ascii="Times New Roman" w:cs="Times New Roman" w:eastAsia="Times New Roman" w:hAnsi="Times New Roman"/>
          <w:sz w:val="19"/>
          <w:szCs w:val="19"/>
          <w:u w:val="single" w:color="auto"/>
          <w:color w:val="auto"/>
        </w:rPr>
        <w:t>Section 2.02(d)</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Each written (or if permitted, telephonic) Interest Election Request (including requests submitted through Electronic System)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shall specify the following information in compliance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below shall be specified for each resulting Borrowing);</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effective date of the election made pursuant to such Interest Election Request, which shall be a Business Day;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whether the resulting Borrowing is to be an ABR Borrowing or a Term Benchmark Borrowing; and</w:t>
      </w:r>
    </w:p>
    <w:p>
      <w:pPr>
        <w:spacing w:after="0" w:line="229"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resulting Borrowing is a Term Benchmark Borrowing, the Interest Period to be applicable thereto after giving effect to such election, which Interest Period shall be a period contemplated by the definition of the term “Interest Period”.</w:t>
      </w:r>
    </w:p>
    <w:p>
      <w:pPr>
        <w:spacing w:after="0" w:line="17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If any such Interest Election Request requests a Term Benchmark Borrowing but does not specify an Interest Period, then the applicable Borrower shall be deemed to have selected an Interest Period of one month’s duration.</w:t>
      </w:r>
    </w:p>
    <w:p>
      <w:pPr>
        <w:spacing w:after="0" w:line="3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4" w:name="page75"/>
    <w:bookmarkEnd w:id="74"/>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Promptly following receipt of an Interest Election Request, the Administrative Agent shall advise each Lender of the details thereof and of such Lender’s portion of each resulting Borrowing.</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Borrower Representative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Term Benchmark Borrowing and (ii) unless repaid, (A) each Term Benchmark Borrowing and (B) each RFR Borrowing shall be converted to an ABR Borrowing (in the case of a Term Benchmark Borrowing) at the end of the Interest Period applicable thereto or (in the case of an RFR Borrowing) on the next Interest Payment Date in respect thereof.</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2.09.</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 and Reduction of Commitments; Increase in Commitments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Unless previously terminated, the Commitments shall terminate on the Maturity Date.</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Borrowers may at any time terminate the Commitments upon (i) the payment in full of all outstanding Loans, together with accrued and unpaid interest thereon and on any Letters of Credit, (ii) the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Issuing Bank) equal to 103% of the LC Exposure as of such date), (iii) the payment in full of the accrued and unpaid fees, and (iv) the payment in full of all reimbursable expenses and other Obligations (other than Unliquidated Obligations), together with accrued and unpaid interest thereon.</w:t>
      </w:r>
    </w:p>
    <w:p>
      <w:pPr>
        <w:spacing w:after="0" w:line="19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Borrowers may from time to time reduce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each reduction of the Commitments shall be in an amount that is an integral multiple of $10,000,000 and not less than $10,000,000; (ii) the Borrowers shall not terminate or reduce the Commitments if, after giving effect to any concurrent prepayment of the Revolving Loans in accordance with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the Borrowers shall not be in compliance with the Revolving Exposure Limitations; and (iii) any such reduction shall be permanent.</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 Representative shall notify the Administrative Agent of any election to terminate or reduce the Commitments under the foregoing paragraphs of this Section at least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Representative pursuant to this Section shall be irrevocable;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termination of the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Borrowers shall have the right to increase the Commitments by obtaining additional Commitments, either from one or more of the Lenders or another lending institution (other than an Ineligible Institution);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request for an increase shall be in a minimum amount of $25,000,000 (or such lesser amount that represents all remaining availability hereunder), (ii) after giving effect thereto, the sum of the total of the additional Commitments does not exceed $100,000,000, (iii) the Administrative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5" w:name="page76"/>
    <w:bookmarkEnd w:id="75"/>
    <w:p>
      <w:pPr>
        <w:jc w:val="both"/>
        <w:spacing w:after="0" w:line="249" w:lineRule="auto"/>
        <w:rPr>
          <w:sz w:val="20"/>
          <w:szCs w:val="20"/>
          <w:color w:val="auto"/>
        </w:rPr>
      </w:pPr>
      <w:r>
        <w:rPr>
          <w:rFonts w:ascii="Times New Roman" w:cs="Times New Roman" w:eastAsia="Times New Roman" w:hAnsi="Times New Roman"/>
          <w:sz w:val="20"/>
          <w:szCs w:val="20"/>
          <w:color w:val="auto"/>
        </w:rPr>
        <w:t>Agent and the Issuing Bank(s) have approved the identity of any such new Lender, such approvals not to be unreasonably withheld, (iv) any such new Lender assumes all of the rights and obligations of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hereunder, and (v) the procedure described in </w:t>
      </w:r>
      <w:r>
        <w:rPr>
          <w:rFonts w:ascii="Times New Roman" w:cs="Times New Roman" w:eastAsia="Times New Roman" w:hAnsi="Times New Roman"/>
          <w:sz w:val="20"/>
          <w:szCs w:val="20"/>
          <w:u w:val="single" w:color="auto"/>
          <w:color w:val="auto"/>
        </w:rPr>
        <w:t>Section 2.09(f)</w:t>
      </w:r>
      <w:r>
        <w:rPr>
          <w:rFonts w:ascii="Times New Roman" w:cs="Times New Roman" w:eastAsia="Times New Roman" w:hAnsi="Times New Roman"/>
          <w:sz w:val="20"/>
          <w:szCs w:val="20"/>
          <w:color w:val="auto"/>
        </w:rPr>
        <w:t xml:space="preserve"> have been satisfied. Nothing contained in this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shall constitute, or otherwise be deemed to be, a commitment on the part of any Lender to increase its Commitment hereunder at any time.</w:t>
      </w:r>
    </w:p>
    <w:p>
      <w:pPr>
        <w:spacing w:after="0" w:line="19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amendment hereto for such an increase or addition shall be in form and substance reasonably satisfactory to the Administrative Agent and shall only require the written signatures of the Administrative Agent, the Borrowers and each Lender being added or increasing its Commitment.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 (1) the representations and warranties contained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and the other Loan Documents are true and correct in all material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representation or warranty that is qualified by materiality or Material Adverse Effect is true and correct in all respects), except to the extent that such representations and warranties specifically refer to an earlier date, in which case they are true and correct in all material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representation or warranty that is qualified by materiality or Material Adverse Effect are true and correct in all respects) as of such earlier date, (2) no Default exists and (3) the Borrowers are in compliance (on a pro forma basis) with the covenant contained in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(calculated assuming an FCCR Test Period is then in effect) and (ii) legal opinions and documents consistent with those delivered on the Effective Date, to the extent reasonably requested by the Administrative Agent.</w:t>
      </w:r>
    </w:p>
    <w:p>
      <w:pPr>
        <w:spacing w:after="0" w:line="21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On the effective date of any such increase or addition, (i) any Lender increasing (or, in the case of any newly added Lender, extending) its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increase (or addition) in the Commitments (with such reborrowing to consist of the Types of Revolving Loans, with related Interest Periods if applicable, specified in a notice delivered by the Borrower Representative, in accordance with the requirements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 deemed payments made pursuant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the immediately preceding sentence shall be accompanied by payment of all accrued interest on the amount prepaid and, in respect of each Term Benchmark Loan, shall be subject to indemnification by the Borrowers pursuant to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2.10.</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Repayment of Loans; Evidence of Debt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Borrowers hereby unconditionally promise to pay (i) to the Administrative Agent for the account of each Lender the then unpaid principal amount of each Revolving Loan on the Maturity Date, (ii) to the Administrative Agent the then unpaid amount of each Protective Advance on the earlier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6" w:name="page77"/>
    <w:bookmarkEnd w:id="76"/>
    <w:p>
      <w:pPr>
        <w:jc w:val="both"/>
        <w:spacing w:after="0" w:line="269" w:lineRule="auto"/>
        <w:rPr>
          <w:sz w:val="20"/>
          <w:szCs w:val="20"/>
          <w:color w:val="auto"/>
        </w:rPr>
      </w:pPr>
      <w:r>
        <w:rPr>
          <w:rFonts w:ascii="Times New Roman" w:cs="Times New Roman" w:eastAsia="Times New Roman" w:hAnsi="Times New Roman"/>
          <w:sz w:val="20"/>
          <w:szCs w:val="20"/>
          <w:color w:val="auto"/>
        </w:rPr>
        <w:t>Maturity Date and demand by the Administrative Agent and (iii) to the Administrative Agent the then unpaid principal amount of each Overadvance on the earlier of the Maturity Date and demand by the Administrative Agent.</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At all times that full cash dominion is in effect pursuant to Section 7.3 of the Security Agreement, on each Business Day, the Administrative Agent shall apply all funds credited to the Collection Account on such Business Day or the immediately preceding Business Day (at the discretion of the Administrative Agent, whether or not immediately available) first to prepay any Protective Advances and Overadvances that may be outstanding, pro rata, and second to prepay the Revolving Loans (including Swingline Loans) and to cash collateralize outstanding LC Exposure.</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entries made in the accounts maintained pursuant to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this Section shall be prima facie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Lender may request that Loans made by it be evidenced by a promissory note. In such event, the Borrowers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be represented by one or more promissory notes in such form.</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2.11.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Prepayment of Loans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Borrowers shall have the right at any time and from time to time to prepay any Borrowing in whole or in part, subject to prior notice in accordance with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 and, if applicable, payment of any break funding expenses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for Protective Advances and Overadvances permitted under </w:t>
      </w:r>
      <w:r>
        <w:rPr>
          <w:rFonts w:ascii="Times New Roman" w:cs="Times New Roman" w:eastAsia="Times New Roman" w:hAnsi="Times New Roman"/>
          <w:sz w:val="20"/>
          <w:szCs w:val="20"/>
          <w:u w:val="single" w:color="auto"/>
          <w:color w:val="auto"/>
        </w:rPr>
        <w:t>Sections 2.04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if at any time the Borrowers are not in compliance with the Revolving Exposure Limitations, the Borrowers shall prepay the Revolving Loans, LC Exposure and/or Swingline Loans or cash collateralize LC Exposure in an account with the Administrative Agent pursuant to </w:t>
      </w:r>
      <w:r>
        <w:rPr>
          <w:rFonts w:ascii="Times New Roman" w:cs="Times New Roman" w:eastAsia="Times New Roman" w:hAnsi="Times New Roman"/>
          <w:sz w:val="20"/>
          <w:szCs w:val="20"/>
          <w:u w:val="single" w:color="auto"/>
          <w:color w:val="auto"/>
        </w:rPr>
        <w:t>Section 2.06(j)</w:t>
      </w:r>
      <w:r>
        <w:rPr>
          <w:rFonts w:ascii="Times New Roman" w:cs="Times New Roman" w:eastAsia="Times New Roman" w:hAnsi="Times New Roman"/>
          <w:sz w:val="20"/>
          <w:szCs w:val="20"/>
          <w:color w:val="auto"/>
        </w:rPr>
        <w:t>, as applicable, in an aggregate amount equal to such excess.</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 Representative shall notify the Administrative Agent (and, in the case of prepayment of a Swingline Loan, the Swingline Lender) by telephone (confirmed by facsimile) or through Electronic System, if arrangements for doing so have been approved by the Administrative Agent, of any prepayment hereunder not later than 10:00 a.m., Chicago time, (A) in the case of prepayment of a Term Benchmark Borrowing, three (3) Business Days before the date of prepayment, (B) in the case 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7" w:name="page78"/>
    <w:bookmarkEnd w:id="77"/>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prepayment of an RFR Borrowing, five (5) Business Days before the date of prepayment or (C) in the case of prepayment of an ABR Borrowing,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notice of prepayment is given in connection with a conditional notice of termination of the Commitments as contemplated by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then such notice of prepayment may be revoked if such notice of termination is revoked in accordance with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Promptly following receipt of any such notice relating to a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Each prepayment of a Revolving Borrowing shall be applied ratably to the Revolving Loans included in the prepaid Borrowing. Prepayments shall be accompanied by accrued interest to the extent required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and amounts due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2.12.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Borrowers agree to pay to the Administrative Agent for the account of each Lender a commitment fee, which shall accrue at 0.25% per annum on the average daily amount of the Available Commitment of such Lender during the period from and including the Effective Date to but excluding the date on which such Lender’s Commitment terminates. Accrued commitment fees shall be payable in arrears on the first Business Day of January, April, July and October of each year and on the date on which the Commitments terminate, commencing on the first such date to occur after the date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 For purposes of computing commitment fees, the Commitment of a Lender shall be deemed to be used to the extent of the outstanding Loans and LC Exposure of such Lender.</w:t>
      </w:r>
    </w:p>
    <w:p>
      <w:pPr>
        <w:spacing w:after="0" w:line="20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Borrowers agree to pay (i) to the Administrative Agent for the account of each Lender a participation fee with respect to its participations in Letters of Credit, which shall accrue at the same Applicable Rate used to determine the interest rate applicable to Term Benchmark Revolving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for its own account, a fronting fee, which shall accrue at the rate per annum separately agreed upon by the Company and such Issuing Bank on the average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each calendar quarter shall be payable on the first Business Day of each January, April, July and October following such last day, commencing on the first such date to occur after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such fees shall be payable on the date on which the Commitments terminate and any such fees accruing after the date on which the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and the last day of such period but excluding the date on which the Commitments terminate).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8" w:name="page79"/>
    <w:bookmarkEnd w:id="78"/>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Borrowers agree to pay to the Administrative Agent, for its own account, fees payable in the amounts and at the times separately agreed upon between the Borrowers and the Administrative Agent.</w:t>
      </w:r>
    </w:p>
    <w:p>
      <w:pPr>
        <w:spacing w:after="0" w:line="17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All fees payable hereunder shall be paid on the dates due, in immediately available funds, to the Administrative Agent (or to the Issuing Bank, in the case of fees payable to it) for distribution, in the case of commitment fees and participation fees, to the Lenders. Fees paid shall not be refundable under any circumstances.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2.13.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Loans comprising each ABR Borrowing (including each Swingline Loan) shall bear interest at the Adjusted REVSOFR30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Loans comprising each Term Benchmark Borrowing shall bear interest at the Adjusted Term SOFR Rate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RFR Loan shall bear interest at a rate per annum equal to the Adjusted Daily Simple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Protective Advance and each Overadvance shall bear interest at the Alternate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Revolving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Notwithstanding the foregoing, during the occurrence and continuance of an Event of Default, the Administrative Agent or the Required Lenders may, at their option, by written notice to the Borrower Representative (which notice may be revoked at the option of the Required Lenders notwithstanding any provision of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requiring the consent of “each Lender affected thereby” for reductions in interest rates), declare that (i) all Loans shall bear interest at 2%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otherwise applicable to such Loans as provided in the preceding paragraphs of this Section or (ii) in the case of any other amount outstanding hereunder, such amount shall accrue at 2%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such fee or other obligation as provided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notice shall be required and the foregoing rates shall automatically take effect upon the occurrence of an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Accrued interest on each Loan (for ABR Loans, accrued through the last day of the prior calendar month) shall be payable in arrears on each Interest Payment Date for such Loan and upon termination of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 xml:space="preserve">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spacing w:after="0" w:line="19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(g)</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Interest computed by reference to the Term SOFR Rate, the REVSOFR30 Rate or Daily Simple SOFR shall be computed on the basis of a year of 360 days. Interest computed by reference to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Alternate Base Rate, Adjusted Daily Simple SOFR, Daily Simple SOFR, Adjusted Term SOFR Rate, Term SOFR Rate, Adjusted REVSOFR30 Rate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color w:val="auto"/>
        </w:rPr>
        <w:t>or REVSOFR30 Rate shall be determined by the Administrative Agent, and such determination shall be conclusive absent manifest error.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2.14.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Alternate Rate of Interest; Illegality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Subject to clauses (c), (d), (e), (f) and (g)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if:</w:t>
      </w:r>
    </w:p>
    <w:p>
      <w:pPr>
        <w:spacing w:after="0" w:line="229"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determines (which determination shall be conclusive and binding absent manifest error) (A) prior to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(B) at any time, that adequate and reasonable means do not exist for ascertaining the Adjusted REVSOFR30 Rate or the REVSOFR30 Rate (including because the Term SOFR Reference Rate is not available or published on a current basis), or (C) at any time, that adequate and reasonable means do not exist for ascertaining the applicable Adjusted Daily Simple SOFR or Daily Simple SOFR; or</w:t>
      </w:r>
    </w:p>
    <w:p>
      <w:pPr>
        <w:spacing w:after="0" w:line="199"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is advised by the Required Lenders that (A) prior to the commencement of any Interest Period for a Term Benchmark Borrowing, the Adjusted Term SOFR Rate or the Term SOFR Rate for such Interest Period will not adequately and fairly reflect the cost to such Lenders (or Lender) of making or maintaining their Loans (or its Loan) included in such Borrowing for such Interest Period, (B) at any time, the Adjusted REVSOFR30 Rate or the REVSOFR30 Rate will not adequately and fairly reflect the cost to such Lenders (or Lender) of making or maintaining their Loans (or its Loan) included in such Borrowing, or (C) at any time, the applicable Adjusted Daily Simple SOFR or Daily Simple SOFR will not adequately and fairly reflect the cost to such Lenders (or Lender) of making or maintaining their Loans (or Loan) included in such Borrowing;</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 xml:space="preserve">then the Administrative Agent shall give notice thereof to the Borrower Representative and the Lenders through Electronic System as provided in </w:t>
      </w:r>
      <w:r>
        <w:rPr>
          <w:rFonts w:ascii="Times New Roman" w:cs="Times New Roman" w:eastAsia="Times New Roman" w:hAnsi="Times New Roman"/>
          <w:sz w:val="19"/>
          <w:szCs w:val="19"/>
          <w:u w:val="single" w:color="auto"/>
          <w:color w:val="auto"/>
        </w:rPr>
        <w:t>Section 9.01</w:t>
      </w:r>
      <w:r>
        <w:rPr>
          <w:rFonts w:ascii="Times New Roman" w:cs="Times New Roman" w:eastAsia="Times New Roman" w:hAnsi="Times New Roman"/>
          <w:sz w:val="19"/>
          <w:szCs w:val="19"/>
          <w:color w:val="auto"/>
        </w:rPr>
        <w:t xml:space="preserve"> as promptly as practicable thereafter and, until (x) the Administrative Agent notifies the Borrower Representative and the Lenders that the circumstances giving rise to such notice no longer exist with respect to the relevant Benchmark and (y) the Borrower Representative delivers a new Interest Election Request in accordance with the terms of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xml:space="preserve"> or a new Borrowing Request in accordance with the terms of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xml:space="preserve">,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the Adjusted Daily Simple SOFR is not also the subject of </w:t>
      </w:r>
      <w:r>
        <w:rPr>
          <w:rFonts w:ascii="Times New Roman" w:cs="Times New Roman" w:eastAsia="Times New Roman" w:hAnsi="Times New Roman"/>
          <w:sz w:val="19"/>
          <w:szCs w:val="19"/>
          <w:u w:val="single" w:color="auto"/>
          <w:color w:val="auto"/>
        </w:rPr>
        <w:t>Section 2.14(a)(i)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or (y) an ABR Borrowing if the Adjusted Daily Simple SOFR also is the subject of </w:t>
      </w:r>
      <w:r>
        <w:rPr>
          <w:rFonts w:ascii="Times New Roman" w:cs="Times New Roman" w:eastAsia="Times New Roman" w:hAnsi="Times New Roman"/>
          <w:sz w:val="19"/>
          <w:szCs w:val="19"/>
          <w:u w:val="single" w:color="auto"/>
          <w:color w:val="auto"/>
        </w:rPr>
        <w:t>Section 2.14(a)(i)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and (2) any Borrowing Request that requests an Adjusted REVSOFR30 Rate Borrowing shall instead be deemed to be a Borrowing Request, as applicable, for an ABR Borrowing;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circumstances giving rise to such notice affect only one Type of Borrowings, then all other Types of Borrowings shall be permitted. Furthermore, if any Term Benchmark Loan, Adjusted REVSOFR30 Rate Loan or RFR Loan is outstanding on the date of the Borrower Representative’s receipt of the notice from the Administrative Agent referred to in this Section‎ 2.14(a) with respect to a Relevant Rate applicable to such Term Benchmark Loan, Adjusted REVSOFR30 Rate Loan or RFR Loan, then until (x) the Administrative Agent notifies the Borrower Representative and the Lenders that the circumstances giving rise to such notice no longer exist with respect to the relevant Benchmark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-309880</wp:posOffset>
            </wp:positionV>
            <wp:extent cx="78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jc w:val="both"/>
        <w:ind w:firstLine="8"/>
        <w:spacing w:after="0" w:line="242" w:lineRule="auto"/>
        <w:tabs>
          <w:tab w:leader="none" w:pos="29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Representative delivers a new Interest Election Request in accordance with the terms of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or a new Borrowing Request in accordance with the terms of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(1) any Term Benchmark Loan shall on the last day of the Interest Period applicable to such Loan (or the next succeeding Business Day if such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0" w:name="page81"/>
    <w:bookmarkEnd w:id="80"/>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day is not a Business Day), be converted by the Administrative Agent to, and shall constitute, (x) an RFR Borrowing so long as the Adjusted Daily Simple SOFR is not also the subject of </w:t>
      </w:r>
      <w:r>
        <w:rPr>
          <w:rFonts w:ascii="Times New Roman" w:cs="Times New Roman" w:eastAsia="Times New Roman" w:hAnsi="Times New Roman"/>
          <w:sz w:val="20"/>
          <w:szCs w:val="20"/>
          <w:u w:val="single" w:color="auto"/>
          <w:color w:val="auto"/>
        </w:rPr>
        <w:t>Section 2.14(a)(i)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or (y) an ABR Loan if the Adjusted Daily Simple SOFR also is the subject of </w:t>
      </w:r>
      <w:r>
        <w:rPr>
          <w:rFonts w:ascii="Times New Roman" w:cs="Times New Roman" w:eastAsia="Times New Roman" w:hAnsi="Times New Roman"/>
          <w:sz w:val="20"/>
          <w:szCs w:val="20"/>
          <w:u w:val="single" w:color="auto"/>
          <w:color w:val="auto"/>
        </w:rPr>
        <w:t>Section 2.14(a)(i)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on such day, and (2) any Adjusted REVSOFR30 Rate Loan or any RFR Loan shall on and from such day be converted by the Administrative Agent to, and shall constitute an ABR Loan.</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If any Lender determines that any Requirement of Law has made it unlawful, or if any Governmental Authority has asserted that it is unlawful, for any Lender or its applicable lending office to make, maintain, fund or continue any Loans whose interest is determined by reference to SOFR, the Term SOFR Reference Rate, the Adjusted Term SOFR Rate, the REVSOFR30 Rate, the Adjusted REVSOFR30 Rate or Term SOFR, then, upon notice thereof by such Lender to the Borrower Representative through the Administrative Agent, (i) any obligations of such Lender to make, maintain, fund or continue Term Benchmark Loans or to convert ABR Borrowings to Term Benchmark Borrowings will be suspended and (ii) the interest rate for ABR Loans and Adjusted REVSOFR30 Rate Loans shall, if necessary to avoid such illegality, be determined by the Administrative Agent without reference to SOFR, the Term SOFR Reference Rate, the Adjusted Term SOFR Rate, the REVSOFR30 Rate, the Adjusted REVSOFR30 Rate or Term SOFR, in each case, until such Lender notifies the Administrative Agent and the Borrower Representative that the circumstances giving rise to such determination no longer exist. Upon receipt of such notice, the Borrowers will upon demand from such Lender (with a copy to the Administrative Agent), either convert all Term Benchmark Borrowings of such Lender to ABR Borrowings (the interest rate for ABR Loans shall, if necessary to avoid such illegality, be determined by the Administrative Agent without reference to SOFR, the Term SOFR Reference Rate, the Adjusted Term SOFR Rate, the REVSOFR30 Rate, the Adjusted REVSOFR30 Rate or Term SOFR) or prepay all such Term Benchmark Borrowings, either on the last day of the Interest Period therefor, if such Lender may lawfully continue to maintain such Term Benchmark Borrowings to such day, or immediately, if such Lender may not lawfully continue to maintain such Loans. Upon any such conversion or prepayment, the Borrowers will also pay accrued interest on the amount so converted or prepaid, together with any additional amounts required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Notwithstanding anything to the contrary herein or in any other Loan Document (and any Swap Agreement shall be deemed not to be a “Loan Document” for purposes of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1" w:name="page82"/>
    <w:bookmarkEnd w:id="81"/>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will promptly notify the Borrower Representative and the Lenders of (i) any occurrence of a Benchmark Transition Event, (ii) the implementation of any Benchmark Replacement, (iii) the effectiveness of any Benchmark Replacement Conforming Changes, (iv) the removal or reinstatement of any tenor of a Benchmark pursuant to clause (g) below and (v) the commencement or conclusion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Notwithstanding anything to the contrary herein or in any other Loan Document, at any time (including in connection with the implementation of a Benchmark Replacement), (i) if the then-current Benchmark is a term rate (including the Term SOFR Rate or REVSOFR30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9"/>
          <w:szCs w:val="19"/>
          <w:color w:val="auto"/>
        </w:rPr>
        <w:t>(g)</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Upon the Borrower Representative’s receipt of notice of the commencement of a Benchmark Unavailability Period, the Borrowers may revoke any request for a Term Benchmark Borrowing or Adjusted REVSOFR30 Rate Borrowing of, conversion to or continuation of Term Benchmark Loans to be made, converted or continued during any Benchmark Unavailability Period and, failing that, the Borrowers will be deemed to have converted (1) any such request for a Term Benchmark Borrowing into a request for a Borrowing of or conversion to (A) an RFR Borrowing so long as the Adjusted Daily Simple SOFR is not the subject of a Benchmark Transition Event or (B) an ABR Borrowing if the Adjusted Daily Simple SOFR is the subject of a Benchmark Transition Event and (2) any such request for an Adjusted REVSOFR30 Rate Borrowing into a request for an Alternate Base Rate Borrowing.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the Alternate Base Rate. Furthermore, if any Term Benchmark Loan, Adjusted REVSOFR30 Rate Loan or RFR Loan is outstanding on the date of the Borrower Representative’s receipt of notice of the commencement of a Benchmark Unavailability Period with respect to a Relevant Rate applicable to such Term Benchmark Loan, Adjusted REVSOFR30 Rate Loan or RFR Loan, then until such time as a Benchmark Replacement is implemented pursuant to this </w:t>
      </w:r>
      <w:r>
        <w:rPr>
          <w:rFonts w:ascii="Arial" w:cs="Arial" w:eastAsia="Arial" w:hAnsi="Arial"/>
          <w:sz w:val="19"/>
          <w:szCs w:val="19"/>
          <w:u w:val="single" w:color="auto"/>
          <w:color w:val="auto"/>
        </w:rPr>
        <w:t>‎</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(1) any Term Benchmark Loan shall on the last day of the Interest Period applicable to such Loan (or the next succeeding Business Day if such day is not a Business Day), be converted by the Administrative Agent to, and shall constitute,</w:t>
      </w:r>
    </w:p>
    <w:p>
      <w:pPr>
        <w:spacing w:after="0" w:line="10" w:lineRule="exact"/>
        <w:rPr>
          <w:sz w:val="20"/>
          <w:szCs w:val="20"/>
          <w:color w:val="auto"/>
        </w:rPr>
      </w:pPr>
    </w:p>
    <w:p>
      <w:pPr>
        <w:jc w:val="both"/>
        <w:ind w:firstLine="8"/>
        <w:spacing w:after="0" w:line="242" w:lineRule="auto"/>
        <w:tabs>
          <w:tab w:leader="none" w:pos="287"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RFR Loan so long as the Adjusted Daily Simple SOFR is not the subject of a Benchmark Transition Event or (y) an ABR Loan if the Adjusted Daily Simple SOFR is the subject of a Benchmark Transition Event, on such day and (2) any Adjusted REVSOFR30 Rate Loan or RFR Loan shall on and from such day be converted by the Administrative Agent to, and shall constitute an Alternate Base Rate Loan.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20"/>
          <w:szCs w:val="20"/>
          <w:color w:val="auto"/>
        </w:rPr>
        <w:t>SECTION 2.15.</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Increased Costs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any Change in Law shall:</w:t>
      </w:r>
    </w:p>
    <w:p>
      <w:pPr>
        <w:spacing w:after="0" w:line="229"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Term SOFR Rate or Adjusted REVSOFR30 Rate) or the Issuing Bank;</w:t>
      </w:r>
    </w:p>
    <w:p>
      <w:pPr>
        <w:spacing w:after="0" w:line="19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impose on any Lender or the Issuing Bank or the applicable offshore interbank market any other condition, cost or expense (other than Taxes) affecting this Agreement or Loans made by such Lender or any Letter of Credit or participation therein; or</w:t>
      </w:r>
    </w:p>
    <w:p>
      <w:pPr>
        <w:spacing w:after="0" w:line="188"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w:t>
      </w:r>
    </w:p>
    <w:p>
      <w:pPr>
        <w:spacing w:after="0" w:line="1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after consideration of such factors as the Administrative Agent, such Lender or such Issuing Bank, as applicable, then reasonably determines to be relevant).</w:t>
      </w:r>
    </w:p>
    <w:p>
      <w:pPr>
        <w:spacing w:after="0" w:line="20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as applicable, under agreements having provisions similar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after consideration of such factors as the Administrative Agent or such Lender, as applicable, then reasonably determines to be relevant).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3" w:name="page84"/>
    <w:bookmarkEnd w:id="83"/>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certificate of a Lender or the Issuing Bank setting forth the amount or amounts necessary to compensate such Lender or the Issuing Bank or its holding company, as the case may be, as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shall be delivered to the Borrower Representative and shall be conclusive absent manifest error. The Borrowers shall pay such Lender or the Issuing Bank, as the case may be, the amount shown as due on any such certificate within ten (10) days after receipt thereof.</w:t>
      </w:r>
    </w:p>
    <w:p>
      <w:pPr>
        <w:spacing w:after="0" w:line="19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shall not be required to compensate a Lender or the Issuing Bank pursuant to this Section for any increased costs or reductions incurred more than 180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Change in Law giving rise to such increased costs or reductions is retroactive, then the 180-day period referred to above shall be extended to include the period of retroactive effect thereof.</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2.16.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Break Funding Payments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With respect to Loans that are not RFR Loans, in the event of (i) the payment of any principal of any Term Benchmark Loan other than on the last day of an Interest Period applicable thereto (including as a result of an Event of Default or as a result of any prepayment pursuant to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(ii) the conversion of any Term Benchmark Loan other than on the last day of the Interest Period applicable thereto,</w:t>
      </w:r>
    </w:p>
    <w:p>
      <w:pPr>
        <w:jc w:val="both"/>
        <w:ind w:firstLine="8"/>
        <w:spacing w:after="0"/>
        <w:tabs>
          <w:tab w:leader="none" w:pos="37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failure to borrow, convert, continue or prepay any Term Benchmark Loan on the date specified in any notice delivered pursuant hereto (regardless of whether such notice may be revoked under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and is revoked in accordance therewith) or (iv) the assignment of any Term Benchmark Loan other than on the last day of the Interest Period applicable thereto as a result of a request by the Borrower Representative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9.02(e)</w:t>
      </w:r>
      <w:r>
        <w:rPr>
          <w:rFonts w:ascii="Times New Roman" w:cs="Times New Roman" w:eastAsia="Times New Roman" w:hAnsi="Times New Roman"/>
          <w:sz w:val="20"/>
          <w:szCs w:val="20"/>
          <w:color w:val="auto"/>
        </w:rPr>
        <w:t xml:space="preserve">, then, in any such event, the Borrowers shall compensate each Lender for the loss, cost and expense attributable to such event. A certificate of any Lender setting forth any amount or amounts that such Lender is entitled to receive pursuant to this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 xml:space="preserve"> shall be delivered to the Borrower Representative and shall be conclusive absent manifest error. The Borrowers shall pay such Lender the amount shown as due on any such certificate within ten (10) days after receipt thereof.</w:t>
      </w:r>
    </w:p>
    <w:p>
      <w:pPr>
        <w:spacing w:after="0" w:line="20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and is revoked in accordance therewith) or (iii) the assignment of any RFR Loan other than on the Interest Payment Date applicable thereto as a result of a request by the Borrower Representative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9.02(e)</w:t>
      </w:r>
      <w:r>
        <w:rPr>
          <w:rFonts w:ascii="Times New Roman" w:cs="Times New Roman" w:eastAsia="Times New Roman" w:hAnsi="Times New Roman"/>
          <w:sz w:val="20"/>
          <w:szCs w:val="20"/>
          <w:color w:val="auto"/>
        </w:rPr>
        <w:t xml:space="preserve">, then, in any such event, the Borrowers shall compensate each Lender for the loss, cost and expense attributable to such event. A certificate of any Lender setting forth any amount or amounts that such Lender is entitled to receive pursuant to this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shall be delivered to the Borrower Representative and shall be conclusive absent manifest error. The Borrowers shall pay such Lender the amount shown as due on any such certificate within ten (10) days after receipt thereof.</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2.17.</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4" w:name="page85"/>
    <w:bookmarkEnd w:id="84"/>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 of Other Taxes by the Borrowers</w:t>
      </w:r>
      <w:r>
        <w:rPr>
          <w:rFonts w:ascii="Times New Roman" w:cs="Times New Roman" w:eastAsia="Times New Roman" w:hAnsi="Times New Roman"/>
          <w:sz w:val="20"/>
          <w:szCs w:val="20"/>
          <w:color w:val="auto"/>
        </w:rPr>
        <w:t>. The relevant Borrower shall timely pay to the relevant Governmental Authority in accordance with applicable law, or at the option of the Administrative Agent timely reimburse it for, Other Taxes.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relevant Borrower by a Lender (with a copy to the Administrative Agent), or by the Administrative Agent on its own behalf or on behalf of a Lender, shall be conclusive absent manifest error.</w:t>
      </w:r>
    </w:p>
    <w:p>
      <w:pPr>
        <w:spacing w:after="0" w:line="19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(e)</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Indemnification by the Lenders</w:t>
      </w:r>
      <w:r>
        <w:rPr>
          <w:rFonts w:ascii="Times New Roman" w:cs="Times New Roman" w:eastAsia="Times New Roman" w:hAnsi="Times New Roman"/>
          <w:sz w:val="19"/>
          <w:szCs w:val="19"/>
          <w:color w:val="auto"/>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9"/>
          <w:szCs w:val="19"/>
          <w:u w:val="single" w:color="auto"/>
          <w:color w:val="auto"/>
        </w:rPr>
        <w:t>Section 9.04(c)</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9"/>
          <w:szCs w:val="19"/>
          <w:u w:val="single" w:color="auto"/>
          <w:color w:val="auto"/>
        </w:rPr>
        <w:t>paragraph (e)</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5" w:name="page86"/>
    <w:bookmarkEnd w:id="85"/>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and to comply with any such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2.17(f)(ii)(A)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Without limiting the generality of the foregoing, in the event that any Borrower is a U.S. Person:</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copies of IRS Form W-9 (or any successor form) certifying that such Lender is exempt from U.S. Federal backup withholding tax;</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93" w:lineRule="exact"/>
        <w:rPr>
          <w:sz w:val="20"/>
          <w:szCs w:val="20"/>
          <w:color w:val="auto"/>
        </w:rPr>
      </w:pPr>
    </w:p>
    <w:p>
      <w:pPr>
        <w:jc w:val="both"/>
        <w:ind w:left="640" w:firstLine="648"/>
        <w:spacing w:after="0" w:line="24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the case of a Foreign Lender claiming the benefits of an income tax treaty to which the United States is a party (x) with respect to payments of interest under any Loan Document, executed copies of IRS Form W-8BEN or IRS Form W-8BEN-E (or any applicable successor form) establishing an exemption from, or reduction of, U.S. Federal withholding Tax pursuant to the “interest” article of such tax treaty and (y) with respect to any other applicable payments under any Loan Document, IRS Form W-8BEN or IRS Form W-8BEN-E (or any applicable successor form) establishing an exemption from, or reduction of, U.S. Federal withholding Tax pursuant to the “business profits” or “other income” article of such tax treaty;</w:t>
      </w:r>
    </w:p>
    <w:p>
      <w:pPr>
        <w:spacing w:after="0" w:line="199" w:lineRule="exact"/>
        <w:rPr>
          <w:sz w:val="20"/>
          <w:szCs w:val="20"/>
          <w:color w:val="auto"/>
        </w:rPr>
      </w:pPr>
    </w:p>
    <w:p>
      <w:pPr>
        <w:jc w:val="both"/>
        <w:ind w:left="640"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the case of a Foreign Lender claiming that its extension of credit will generate U.S. effectively connected income, executed copies of IRS Form W-8ECI;</w:t>
      </w:r>
    </w:p>
    <w:p>
      <w:pPr>
        <w:spacing w:after="0" w:line="173" w:lineRule="exact"/>
        <w:rPr>
          <w:sz w:val="20"/>
          <w:szCs w:val="20"/>
          <w:color w:val="auto"/>
        </w:rPr>
      </w:pPr>
    </w:p>
    <w:p>
      <w:pPr>
        <w:jc w:val="both"/>
        <w:ind w:left="640" w:firstLine="648"/>
        <w:spacing w:after="0" w:line="245"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IRS Form W-8BEN-E (or any applicable successor form); or</w:t>
      </w:r>
    </w:p>
    <w:p>
      <w:pPr>
        <w:spacing w:after="0" w:line="198" w:lineRule="exact"/>
        <w:rPr>
          <w:sz w:val="20"/>
          <w:szCs w:val="20"/>
          <w:color w:val="auto"/>
        </w:rPr>
      </w:pPr>
    </w:p>
    <w:p>
      <w:pPr>
        <w:jc w:val="both"/>
        <w:ind w:left="640" w:firstLine="648"/>
        <w:spacing w:after="0" w:line="26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to the extent a Foreign Lender is not the beneficial owner, executed copies of IRS Form W-8IMY, accompanied by IRS Form W-8ECI, IRS Form W-8BEN or IRS</w:t>
      </w:r>
    </w:p>
    <w:p>
      <w:pPr>
        <w:spacing w:after="0" w:line="3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13970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13" w:right="339" w:bottom="1440" w:gutter="0" w:footer="0" w:header="0"/>
        </w:sectPr>
      </w:pPr>
    </w:p>
    <w:bookmarkStart w:id="86" w:name="page87"/>
    <w:bookmarkEnd w:id="86"/>
    <w:p>
      <w:pPr>
        <w:jc w:val="both"/>
        <w:ind w:left="1300"/>
        <w:spacing w:after="0" w:line="246" w:lineRule="auto"/>
        <w:rPr>
          <w:sz w:val="20"/>
          <w:szCs w:val="20"/>
          <w:color w:val="auto"/>
        </w:rPr>
      </w:pPr>
      <w:r>
        <w:rPr>
          <w:rFonts w:ascii="Times New Roman" w:cs="Times New Roman" w:eastAsia="Times New Roman" w:hAnsi="Times New Roman"/>
          <w:sz w:val="20"/>
          <w:szCs w:val="20"/>
          <w:color w:val="auto"/>
        </w:rPr>
        <w:t xml:space="preserve">Form W-8BEN-E, a U.S. Tax Compliance Certificate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F-3</w:t>
      </w:r>
      <w:r>
        <w:rPr>
          <w:rFonts w:ascii="Times New Roman" w:cs="Times New Roman" w:eastAsia="Times New Roman" w:hAnsi="Times New Roman"/>
          <w:sz w:val="20"/>
          <w:szCs w:val="20"/>
          <w:color w:val="auto"/>
        </w:rPr>
        <w:t xml:space="preserve">, IRS Form W-9, and/or other certification documents from each beneficial owner, as applicable (including any applicable successor form);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F-4</w:t>
      </w:r>
      <w:r>
        <w:rPr>
          <w:rFonts w:ascii="Times New Roman" w:cs="Times New Roman" w:eastAsia="Times New Roman" w:hAnsi="Times New Roman"/>
          <w:sz w:val="20"/>
          <w:szCs w:val="20"/>
          <w:color w:val="auto"/>
        </w:rPr>
        <w:t xml:space="preserve"> on behalf of each such direct and indirect partner;</w:t>
      </w:r>
    </w:p>
    <w:p>
      <w:pPr>
        <w:spacing w:after="0" w:line="198"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99"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9"/>
          <w:szCs w:val="19"/>
          <w:color w:val="auto"/>
        </w:rPr>
        <w:t>(vi)</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FATCA</w:t>
      </w:r>
      <w:r>
        <w:rPr>
          <w:rFonts w:ascii="Times New Roman" w:cs="Times New Roman" w:eastAsia="Times New Roman" w:hAnsi="Times New Roman"/>
          <w:sz w:val="19"/>
          <w:szCs w:val="19"/>
          <w:color w:val="auto"/>
        </w:rPr>
        <w:t>” shall include any amendments made to FATCA after the date of this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8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7" w:name="page88"/>
    <w:bookmarkEnd w:id="87"/>
    <w:p>
      <w:pPr>
        <w:jc w:val="both"/>
        <w:spacing w:after="0" w:line="269" w:lineRule="auto"/>
        <w:rPr>
          <w:sz w:val="20"/>
          <w:szCs w:val="20"/>
          <w:color w:val="auto"/>
        </w:rPr>
      </w:pPr>
      <w:r>
        <w:rPr>
          <w:rFonts w:ascii="Times New Roman" w:cs="Times New Roman" w:eastAsia="Times New Roman" w:hAnsi="Times New Roman"/>
          <w:sz w:val="20"/>
          <w:szCs w:val="20"/>
          <w:color w:val="auto"/>
        </w:rPr>
        <w:t>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includes each Issuing Bank and the term “applicable law” includes FATCA.</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2.18.</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Payments Generally; Allocation of Proceeds; Pro Rata Treatment; Sharing of Set-offs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Borrowers shall make each payment required to be made by them hereunder (whether of principal, interest, fees or reimbursement of LC Disbursements, or of amounts payable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otherwise) prior to 4:00 p.m., Chicago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or to the account designated by Administrative Agent, except payments to be made directly to the Issuing Bank or Swingline Lender as expressly provided herein and except that payments pursuant to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accrue and be payable for the period of such extension. All payments hereunder shall be made in Dollars.</w:t>
      </w:r>
    </w:p>
    <w:p>
      <w:pPr>
        <w:spacing w:after="0" w:line="20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proceeds of Collateral received by the Administrative Agent (i) not constituting either (A) a specific payment of principal, interest, fees or other sum payable under the Loan Documents (which shall be applied as specified by the Borrowers), (B) a mandatory prepayment (which shall be applied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or (C) amounts to be applied from the Collection Account when full cash dominion is in effect (which shall be applied in accordance with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or (ii) after an Event of Default has occurred and is continuing and the Administrative Agent so elects or the Required Lenders so direct, such funds shall be applied, subject to the terms of the ABL/Fixed Asset Intercreditor Agreement, ratably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 any fees, indemnities, or expense reimbursements including amounts then due to the Administrative Agent and the Issuing Bank from the Borrowers (other than in connection with Banking Services Obligations or Swap Agreement Obligations),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 any fees, indemnities, or expense reimbursements then due to the Lenders from the Borrowers (other than in connection with Banking Services Obligations or Swap Agreement Obligations),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 interest due in respect of the Overadvances and Protective Advances,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 the principal of the Overadvances and Protective Advances,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pay interest then due and payable on the Loans (other than the Overadvances and Protective Advances) ratably,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prepay principal on the Loans (other than the Overadvances and Protective Advances) and unreimbursed LC Disbursements and to pay any amounts owing with respect to Swap Agreement Obligations up to and including the amount most recently provided to the Administrative Agent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for which Reserves have been established ratably,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to pay an amount to the Administrative Agent equal to one hundred three percent (103%) of the aggregate undrawn face amount of all outstanding Letters of Credit and the aggregate amount of any unpaid LC Disbursements,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8" w:name="page89"/>
    <w:bookmarkEnd w:id="88"/>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to be held as cash collateral for such Obligations, </w:t>
      </w:r>
      <w:r>
        <w:rPr>
          <w:rFonts w:ascii="Times New Roman" w:cs="Times New Roman" w:eastAsia="Times New Roman" w:hAnsi="Times New Roman"/>
          <w:sz w:val="19"/>
          <w:szCs w:val="19"/>
          <w:u w:val="single" w:color="auto"/>
          <w:color w:val="auto"/>
        </w:rPr>
        <w:t>eighth</w:t>
      </w:r>
      <w:r>
        <w:rPr>
          <w:rFonts w:ascii="Times New Roman" w:cs="Times New Roman" w:eastAsia="Times New Roman" w:hAnsi="Times New Roman"/>
          <w:sz w:val="19"/>
          <w:szCs w:val="19"/>
          <w:color w:val="auto"/>
        </w:rPr>
        <w:t xml:space="preserve">, to payment of any amounts owing with respect to Banking Services Obligations and Swap Agreement Obligations up to and including the amount most recently provided to the Administrative Agent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and to the extent not paid pursuant to clause sixth above, and </w:t>
      </w:r>
      <w:r>
        <w:rPr>
          <w:rFonts w:ascii="Times New Roman" w:cs="Times New Roman" w:eastAsia="Times New Roman" w:hAnsi="Times New Roman"/>
          <w:sz w:val="19"/>
          <w:szCs w:val="19"/>
          <w:u w:val="single" w:color="auto"/>
          <w:color w:val="auto"/>
        </w:rPr>
        <w:t>ninth</w:t>
      </w:r>
      <w:r>
        <w:rPr>
          <w:rFonts w:ascii="Times New Roman" w:cs="Times New Roman" w:eastAsia="Times New Roman" w:hAnsi="Times New Roman"/>
          <w:sz w:val="19"/>
          <w:szCs w:val="19"/>
          <w:color w:val="auto"/>
        </w:rPr>
        <w:t xml:space="preserve">, to the payment of any other Secured Obligation due to the Administrative Agent or any Lender by the Borrowers. Notwithstanding the foregoing amounts received from any Loan Party shall not be applied to any Excluded Swap Obligation of such Loan Party. Notwithstanding anything to the contrary contained in this Agreement, unless so directed by the Borrower Representative, or unless a Default is in existence, neither the Administrative Agent nor any Lender shall apply any payment which it receives to any Term Benchmark Loan of a Class, except (a) on the expiration date of the Interest Period applicable thereto or (b) in the event, and only to the extent, that there are no outstanding ABR Loans of the same Class and, in any such event, the Borrowers shall pay the break funding payment required in accordance with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The Administrative Agent and the Lenders shall have the continuing and exclusive right to apply and reverse and reapply any and all such proceeds and payments to any portion of the Secured Obligations.</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At the election of the Administrative Agent, all payments of principal, interest, LC Disbursements, fees, premiums, reimbursable expenses (including, without limitation, all reimbursement for fees, costs and expenses pursuant to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and other sums payable under the Loan Documents, may be paid from the proceeds of Borrowings made hereunder whether made following a request by the Borrower Representative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or a deemed request as provided in this Section or may be deducted from any deposit account of any Borrower maintained with the Administrative Agent (and the Administrative Agent will provide reasonably prompt notice of such deduction to the Borrower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failure to provide such notice shall not limit the ability of the Administrative Agent to make such deduction).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and that all such Borrowings shall be deemed to have been requested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as applicable,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21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9" w:name="page90"/>
    <w:bookmarkEnd w:id="89"/>
    <w:p>
      <w:pPr>
        <w:jc w:val="both"/>
        <w:spacing w:after="0" w:line="269" w:lineRule="auto"/>
        <w:rPr>
          <w:sz w:val="20"/>
          <w:szCs w:val="20"/>
          <w:color w:val="auto"/>
        </w:rPr>
      </w:pPr>
      <w:r>
        <w:rPr>
          <w:rFonts w:ascii="Times New Roman" w:cs="Times New Roman" w:eastAsia="Times New Roman" w:hAnsi="Times New Roman"/>
          <w:sz w:val="20"/>
          <w:szCs w:val="20"/>
          <w:color w:val="auto"/>
        </w:rPr>
        <w:t>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Unless the Administrative Agent shall have received notice from the Borrower Representative prior to the date on which any payment is due to the Administrative Agent for the account of the Lenders or the Issuing Bank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any Lender shall fail to make any payment required to be made by it hereunder, then the Administrative Agent may, in its discretion (notwithstanding any contrary provision hereof), (i) apply any amounts thereafter received by the Administrative Agent for the account of such Lender for the benefit of the Administrative Agent, the Swingline Lender or the Issuing Bank to satisfy such Lender’s obligations to it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in any order as determined by the Administrative Agent in its discretion.</w:t>
      </w:r>
    </w:p>
    <w:p>
      <w:pPr>
        <w:spacing w:after="0" w:line="19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may from time to time provide the Borrowers with account statements or invoices with respect to any of the Secured Obligations (the “</w:t>
      </w:r>
      <w:r>
        <w:rPr>
          <w:rFonts w:ascii="Times New Roman" w:cs="Times New Roman" w:eastAsia="Times New Roman" w:hAnsi="Times New Roman"/>
          <w:sz w:val="20"/>
          <w:szCs w:val="20"/>
          <w:u w:val="single" w:color="auto"/>
          <w:color w:val="auto"/>
        </w:rPr>
        <w:t>Statements</w:t>
      </w:r>
      <w:r>
        <w:rPr>
          <w:rFonts w:ascii="Times New Roman" w:cs="Times New Roman" w:eastAsia="Times New Roman" w:hAnsi="Times New Roman"/>
          <w:sz w:val="20"/>
          <w:szCs w:val="20"/>
          <w:color w:val="auto"/>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2.19.</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Mitigation Obligations; Replacement of Lenders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spacing w:after="0" w:line="1" w:lineRule="exact"/>
        <w:rPr>
          <w:sz w:val="20"/>
          <w:szCs w:val="20"/>
          <w:color w:val="auto"/>
        </w:rPr>
      </w:pPr>
    </w:p>
    <w:p>
      <w:pPr>
        <w:jc w:val="both"/>
        <w:ind w:firstLine="8"/>
        <w:spacing w:after="0" w:line="242" w:lineRule="auto"/>
        <w:tabs>
          <w:tab w:leader="none" w:pos="24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would eliminate or reduce amounts payable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0" w:name="page91"/>
    <w:bookmarkEnd w:id="90"/>
    <w:p>
      <w:pPr>
        <w:jc w:val="both"/>
        <w:ind w:firstLine="648"/>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(i) any Lender requests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(ii)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or (iii) any Lender becomes a Defaulting Lender, then the Company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all its interests, rights (other than its existing rights to payments pursuant to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obligations under the Loan Documents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Company shall have received the prior written consent of the Administrative Agent (and if a Commitment is being assigned, each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2.20.</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Defaulting Lender, then the following provisions shall apply for so long as such Lender is a Defaulting Lender: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fees shall cease to accrue on the unfunded portion of the Commitment of such Defaulting Lender pursuant to </w:t>
      </w:r>
      <w:r>
        <w:rPr>
          <w:rFonts w:ascii="Times New Roman" w:cs="Times New Roman" w:eastAsia="Times New Roman" w:hAnsi="Times New Roman"/>
          <w:sz w:val="19"/>
          <w:szCs w:val="19"/>
          <w:u w:val="single" w:color="auto"/>
          <w:color w:val="auto"/>
        </w:rPr>
        <w:t>Section 2.12(a)</w:t>
      </w:r>
      <w:r>
        <w:rPr>
          <w:rFonts w:ascii="Times New Roman" w:cs="Times New Roman" w:eastAsia="Times New Roman" w:hAnsi="Times New Roman"/>
          <w:sz w:val="19"/>
          <w:szCs w:val="19"/>
          <w:color w:val="auto"/>
        </w:rPr>
        <w:t>;</w:t>
      </w:r>
    </w:p>
    <w:p>
      <w:pPr>
        <w:spacing w:after="0" w:line="24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any Issuing Bank or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cash collateralize the Issuing Bank’s LC Exposure with respect to such Defaulting Lender in accordance with this Section;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1" w:name="page92"/>
    <w:bookmarkEnd w:id="91"/>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with respect to future Letters of Credit issued under this Agreement, in accordance with this Section;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or under any other Loan Document;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such Defaulting Lender shall not have the right to vote on any issue on which voting is required (other than to the extent expressly provided in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and the Commitment and Revolving Exposure of such Defaulting Lender shall not be included in determining whether the Required Lenders have taken or may take any action hereunder (including any consent to any amendment, waiver or other modification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under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otherwise 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apply to the vote of a Defaulting Lender in the case of an amendment, waiver or other modification requiring the consent of such Lender or each Lender directly affected thereby;</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any Swingline Exposure or LC Exposure exists at the time such Lender becomes a Defaulting Lender then:</w:t>
      </w:r>
    </w:p>
    <w:p>
      <w:pPr>
        <w:spacing w:after="0" w:line="229" w:lineRule="exact"/>
        <w:rPr>
          <w:sz w:val="20"/>
          <w:szCs w:val="20"/>
          <w:color w:val="auto"/>
        </w:rPr>
      </w:pPr>
    </w:p>
    <w:p>
      <w:pPr>
        <w:jc w:val="both"/>
        <w:ind w:left="660" w:firstLine="648"/>
        <w:spacing w:after="0" w:line="245"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all or any part of the Swingline Exposure and LC Exposure of such Defaulting Lender shall be reallocated among the non-Defaulting Lenders in accordance with their respective Applicable Percentages but only (x) to the extent that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are satisfied at the time of such reallocation (and, unless the Borrower Representative shall have otherwise notified the Administrative Agent at such time, the Borrowers shall be deemed to have represented and warranted that such conditions are satisfied at such time) and (y) to the extent that such reallocation does not, as to any non-Defaulting Lender, cause such non-Defaulting Lender’s Revolving Exposure and to exceed its Commitment;</w:t>
      </w:r>
    </w:p>
    <w:p>
      <w:pPr>
        <w:spacing w:after="0" w:line="198"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cannot, or can only partially, be effected, the Borrowers shall within one (1) Business Day following notice by the Administrative Agent (x) first, prepay such Swingline Exposure and (y) second, cash collateralize for the benefit of the relevant Issuing Banks only the Borrowers’ obligations corresponding to such Defaulting Lender’s LC Exposure (after giving effect to any partial reallocation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in accordance with the procedures set forth in </w:t>
      </w:r>
      <w:r>
        <w:rPr>
          <w:rFonts w:ascii="Times New Roman" w:cs="Times New Roman" w:eastAsia="Times New Roman" w:hAnsi="Times New Roman"/>
          <w:sz w:val="20"/>
          <w:szCs w:val="20"/>
          <w:u w:val="single" w:color="auto"/>
          <w:color w:val="auto"/>
        </w:rPr>
        <w:t>Section 2.06(j)</w:t>
      </w:r>
      <w:r>
        <w:rPr>
          <w:rFonts w:ascii="Times New Roman" w:cs="Times New Roman" w:eastAsia="Times New Roman" w:hAnsi="Times New Roman"/>
          <w:sz w:val="20"/>
          <w:szCs w:val="20"/>
          <w:color w:val="auto"/>
        </w:rPr>
        <w:t xml:space="preserve"> for so long as such LC Exposure is outstanding;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2" w:name="page93"/>
    <w:bookmarkEnd w:id="92"/>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Borrowers cash collateralize any portion of such Defaulting Lender’s LC Exposure pursuant to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the Borrowers shall not be required to pay any fees to such Defaulting Lender pursuant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with respect to such Defaulting Lender’s LC Exposure during the period such Defaulting Lender’s LC Exposure is cash collateralized;</w:t>
      </w:r>
    </w:p>
    <w:p>
      <w:pPr>
        <w:spacing w:after="0" w:line="188"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the LC Exposure of the non-Defaulting Lenders is reallocated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then the fees payable to the Lenders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shall be adjusted in accordance with such non-Defaulting Lenders’ Applicable Percentages; and</w:t>
      </w:r>
    </w:p>
    <w:p>
      <w:pPr>
        <w:spacing w:after="0" w:line="188"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all or any portion of such Defaulting Lender’s LC Exposure is neither reallocated nor cash collateralized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then, without prejudice to any rights or remedies of any Issuing Bank or any other Lender hereunder, all letter of credit fees payable under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with respect to such Defaulting Lender’s LC Exposure shall be payable to the relevant Issuing Banks until and to the extent that such LC Exposure is reallocated and/or cash collateralized; and</w:t>
      </w:r>
    </w:p>
    <w:p>
      <w:pPr>
        <w:spacing w:after="0" w:line="19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so long as such Lender is a Defaulting Lender, the Issuing Banks shall not be required to issue, amend, renew, extend or increase any Letter of Credit, unless it is satisfied that such Defaulting Lender’s then outstanding LC Exposure will be 100% covered by the Commitments of the non-Defaulting Lenders and/or cash collateral will be provided by the Borrowers in accordance with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and LC Exposure related to any newly issued or increased Letter of Credit shall be allocated among non-Defaulting Lenders in a manner consistent with </w:t>
      </w:r>
      <w:r>
        <w:rPr>
          <w:rFonts w:ascii="Times New Roman" w:cs="Times New Roman" w:eastAsia="Times New Roman" w:hAnsi="Times New Roman"/>
          <w:sz w:val="20"/>
          <w:szCs w:val="20"/>
          <w:u w:val="single" w:color="auto"/>
          <w:color w:val="auto"/>
        </w:rPr>
        <w:t>Section 2.20(d)(i)</w:t>
      </w:r>
      <w:r>
        <w:rPr>
          <w:rFonts w:ascii="Times New Roman" w:cs="Times New Roman" w:eastAsia="Times New Roman" w:hAnsi="Times New Roman"/>
          <w:sz w:val="20"/>
          <w:szCs w:val="20"/>
          <w:color w:val="auto"/>
        </w:rPr>
        <w:t xml:space="preserve"> (and such Defaulting Lender shall not participate therein).</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If (i) a Bankruptcy Event or a Bail-In Action with respect to a Lender Parent shall occur following the date hereof and for so long as such event shall continue or (ii) any Issuing Bank has a good faith belief that any Lender has defaulted in fulfilling its obligations under one or more other agreements in which such Lender commits to extend credit, no Issuing Bank shall be required to issue, amend or increase any Letter of Credit, unless such Issuing Bank shall have entered into arrangements with the Borrowers or such Lender, satisfactory to such Issuing Bank to defease any risk to it in respect of such Lender hereunder.</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In the event that the Administrative Agent, the Borrower Representative and each Issuing Bank each agrees that a Defaulting Lender has adequately remedied all matters that caused such Lender to be a Defaulting Lender, then the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Company while that Lender was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SECTION 2.21.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Returned Payments</w:t>
      </w:r>
      <w:r>
        <w:rPr>
          <w:rFonts w:ascii="Times New Roman" w:cs="Times New Roman" w:eastAsia="Times New Roman" w:hAnsi="Times New Roman"/>
          <w:sz w:val="20"/>
          <w:szCs w:val="20"/>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3" w:name="page94"/>
    <w:bookmarkEnd w:id="9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revived and continued and this Agreement shall continue in full force as if such payment or proceeds had not been received by the Administrative Agent or such Lender. The provisions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be and remain effective notwithstanding any contrary action which may have been taken by the Administrative Agent or any Lender in reliance upon such payment or application of proceeds. The provisions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survive the termination of this Agreement.</w:t>
      </w:r>
    </w:p>
    <w:p>
      <w:pPr>
        <w:spacing w:after="0" w:line="19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SECTION 2.22.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Banking Services and Swap Agreements</w:t>
      </w:r>
      <w:r>
        <w:rPr>
          <w:rFonts w:ascii="Times New Roman" w:cs="Times New Roman" w:eastAsia="Times New Roman" w:hAnsi="Times New Roman"/>
          <w:sz w:val="20"/>
          <w:szCs w:val="20"/>
          <w:color w:val="auto"/>
        </w:rPr>
        <w:t xml:space="preserve">. Each Lender or Affiliate thereof providing Banking Services (excluding Lease Financing) for, or 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addition, each such Lender or Affiliate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and which tier of the waterfall, contained in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such Banking Services Obligations and/or Swap Agreement Obligations will be placed.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Each Loan Party represents and warrants to the Lenders that:</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SECTION 3.01.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Organization; Powers</w:t>
      </w:r>
      <w:r>
        <w:rPr>
          <w:rFonts w:ascii="Times New Roman" w:cs="Times New Roman" w:eastAsia="Times New Roman" w:hAnsi="Times New Roman"/>
          <w:sz w:val="20"/>
          <w:szCs w:val="20"/>
          <w:color w:val="auto"/>
        </w:rPr>
        <w:t>. Each Loan Party and its Material Subsidiaries is duly organized or formed, validly 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(to the extent such concept is applicable) in, every jurisdiction where such qualification is required.</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SECTION 3.02.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SECTION 3.03.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Governmental Approvals; No Conflicts</w:t>
      </w:r>
      <w:r>
        <w:rPr>
          <w:rFonts w:ascii="Times New Roman" w:cs="Times New Roman" w:eastAsia="Times New Roman" w:hAnsi="Times New Roman"/>
          <w:sz w:val="20"/>
          <w:szCs w:val="20"/>
          <w:color w:val="auto"/>
        </w:rPr>
        <w:t xml:space="preserve">. The Transactions (a) do not require any material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in any material respect any applicable law or regulation or the charter, by-laws or other organizational documents of any Borrower or any of the Material Subsidiaries or any order of any Governmental Authority, (c) will not violate or result in a default under any indenture, agreement or other instrument binding upon any Borrower or any of the Material Subsidiaries or its assets, or give rise to a right thereunder to require any payment to be made by any Borrower or any of the Material Subsidiaries, except, in the case of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that could not reasonably be expected to result in a Material Adverse Effect, and (d) will not result in the creation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4" w:name="page95"/>
    <w:bookmarkEnd w:id="94"/>
    <w:p>
      <w:pPr>
        <w:jc w:val="both"/>
        <w:spacing w:after="0" w:line="269" w:lineRule="auto"/>
        <w:rPr>
          <w:sz w:val="20"/>
          <w:szCs w:val="20"/>
          <w:color w:val="auto"/>
        </w:rPr>
      </w:pPr>
      <w:r>
        <w:rPr>
          <w:rFonts w:ascii="Times New Roman" w:cs="Times New Roman" w:eastAsia="Times New Roman" w:hAnsi="Times New Roman"/>
          <w:sz w:val="20"/>
          <w:szCs w:val="20"/>
          <w:color w:val="auto"/>
        </w:rPr>
        <w:t>or imposition of any Lien on any asset of any Borrower or any of the Material Subsidiaries, other than Liens created under the Loan Documents.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Financial Condition; No Material Adverse Change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Company has heretofore furnished to the Lenders its consolidated balance sheet and statements of income, stockholders equity and cash flows (i) as of and for the fiscal year ended August 28, 2021 reported on by Deloitte &amp; Touche LLP, independent public accountants and (ii) as of and for the fiscal quarter ended May 28, 2022 certified by a Financial Officer. Such financial statements present fairly, in all material respects, the financial position and results of operations and cash flows of the Company and its consolidated Subsidiaries as of such dates and for such periods in accordance with GAAP, subject to the year-end audit adjustments and the absence of footnotes in the case of statements referred to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the immediately preceding sentence.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[reserved].</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Since August 28, 2021, there has been no material adverse change in the business, assets, operations or condition, financial or otherwise, of the Company and its Subsidiaries, taken as a whole.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3.05.</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Properties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for Liens permitted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each of the Company and its Material Subsidiaries has good title to, or (to the knowledge of the Company)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of the Company and its Subsidiaries owns, or is licensed to use, all trademarks, tradenames, copyrights, patents and other intellectual property material to its business, and the use thereof by the Company and its Subsidiaries does not, to their knowledge, infringe upon the rights of any other Person, except for any such infringements that, individually or in the aggregate, could not reasonably be expected to result in a Material Adverse Effect.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3.06.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Litigation and Environmental Matters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There are no actions, suits, proceedings or investigations by or before any arbitrator or Governmental Authority pending against or, to the knowledge of any Borrower,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 There are no labor controversies pending against or, to the knowledge of the Company, threatened against or affecting the Company or any of its Subsidiaries (i) which could reasonably be expected, individually or in the aggregate, to result in a Material Adverse Effect, or (ii) that involve this Agreement or the Transactions.</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with respect to any other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5" w:name="page96"/>
    <w:bookmarkEnd w:id="95"/>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SECTION 3.07.</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Compliance with Laws and Agreements; No Default</w:t>
      </w:r>
      <w:r>
        <w:rPr>
          <w:rFonts w:ascii="Times New Roman" w:cs="Times New Roman" w:eastAsia="Times New Roman" w:hAnsi="Times New Roman"/>
          <w:sz w:val="20"/>
          <w:szCs w:val="20"/>
          <w:color w:val="auto"/>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3.08.</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Neither the Company nor any of its Subsidiaries is an “investment company” as defined in, or subject to regulation under, the Investment Company Act of 1940.</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SECTION 3.09.</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of the Company and its Subsidiaries has timely filed or caused to be filed all federal income Tax returns and all other material Tax returns and reports required to have been filed and has paid or caused to be paid or made a provision for the payment of all federal income Taxes and all other material Taxes required to have been paid by it, except (a) Taxes that are being contested in good faith by appropriate proceedings and for which the Company or such Subsidiary, as applicable, has set aside on its books adequate reserves in accordance with GAAP or (b) to the extent that the failure to do so could not reasonably be expected to result in a Material Adverse Effect.</w:t>
      </w:r>
    </w:p>
    <w:p>
      <w:pPr>
        <w:spacing w:after="0" w:line="19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SECTION 3.10.</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SECTION 3.11.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As of the Effective Date, each Loan Party has disclosed to the Lenders all material agreements, instruments and corporate or other restrictions to which it or any of its subsidiaries is subject, and all other matters known to it, that, individually or in the aggregate, could reasonably be expected to result in a Material Adverse Effect. All written information, other than any projections, estimates, forecasts and other forward-looking information and information of a general economic or industry-specific nature, furnished by or on behalf of the Company or any Subsidiary to the Administrative Agent or any Lender on or prior to the Effective Date, when taken as a whole and after giving effect to all supplements and updates thereto, did not (when furnished) contain any untrue statement of material fact or omit to state a material fact necessary in order to make the statements contained therein not materially misleading (when taken as a whole and after giving effect to all such supplements and updates thereto) in light of the circumstances under which such statements were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Projections furnished by or on behalf of the Company or any Subsidiary to the Administrative Agent or any Lender on or prior to the Effective Date pursuant to or in connection with the negotiation of this Agreement or any other Loan Document or included therein (the “</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the Company represents only that such information was prepared in good faith based upon assumptions believed by the Company to be reasonable at the time prepared (it being understood by the Administrative Agent and the Lenders that any such Projections are as to future events and are not to be viewed as facts and are subject to significant uncertainties and contingencies, many of which are beyond the control of the Company or the Subsidiaries, that no assurances can be given that such Projections will be realized and that actual results during the period or periods covered by any such Projections may differ materially from the projected results contained therein and that such differences may be material). As of the Effective Date, to the best knowledge of any Borrower, the information included in the Beneficial Ownership Certification (if any) provided on or prior to the Effective Date to any Lender in connection with this Agreement is true and correct in all respects.</w:t>
      </w:r>
    </w:p>
    <w:p>
      <w:pPr>
        <w:spacing w:after="0" w:line="20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SECTION 3.12.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 Agreements</w:t>
      </w:r>
      <w:r>
        <w:rPr>
          <w:rFonts w:ascii="Times New Roman" w:cs="Times New Roman" w:eastAsia="Times New Roman" w:hAnsi="Times New Roman"/>
          <w:sz w:val="20"/>
          <w:szCs w:val="20"/>
          <w:color w:val="auto"/>
        </w:rPr>
        <w:t xml:space="preserve">. No Loan Party is in default in the performance, observance or fulfillment of any of the obligations, covenants or conditions contained in (i) any material agreement to which it is a party or (ii) any agreement or instrument evidencing or governing Material Indebtedness, in any such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which default could not reasonably be expected to have a Material Adverse Effect.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6" w:name="page97"/>
    <w:bookmarkEnd w:id="96"/>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SECTION 3.13.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individually or of the Loan Parties and their Subsidiaries on a consolidated basis) will be Margin Stock.</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3.14.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xml:space="preserve">. There are no Liens on any of the real or personal properties of the Company or any Subsidiary except for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SECTION 3.15.</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Capitalization and Subsidiaries</w:t>
      </w:r>
      <w:r>
        <w:rPr>
          <w:rFonts w:ascii="Times New Roman" w:cs="Times New Roman" w:eastAsia="Times New Roman" w:hAnsi="Times New Roman"/>
          <w:sz w:val="20"/>
          <w:szCs w:val="20"/>
          <w:color w:val="auto"/>
        </w:rPr>
        <w:t xml:space="preserve">. As the Effective Date,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xml:space="preserve"> sets forth (a) a correct and complete list of the name and relationship to the Company of each Subsidiary, (b) a true and complete listing of each class of each Borrower’s (other than the Company’s) issued and outstanding Equity Interests, all of which Equity Interests are owned beneficially and of record by the Persons identified on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and (c) the type of entity of the Company and each Subsidiary.</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3.16.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 Burdensome Restrictions</w:t>
      </w:r>
      <w:r>
        <w:rPr>
          <w:rFonts w:ascii="Times New Roman" w:cs="Times New Roman" w:eastAsia="Times New Roman" w:hAnsi="Times New Roman"/>
          <w:sz w:val="20"/>
          <w:szCs w:val="20"/>
          <w:color w:val="auto"/>
        </w:rPr>
        <w:t xml:space="preserve">. On the date hereof, no Borrower is subject to any Burdensome Restrictions except Burdensome Restrictions permitted under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3.17.</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Immediately after the consummation of the Transactions to occur on the Effective Date and the making of each Loan on the Effective Date and the application of the proceeds of such Loans, (i) the sum of the liabilities of the Company and its Subsidiaries, taken as a whole, shall not exceed the present fair saleable value of the assets of the Company and its Subsidiaries, taken as a whole; (ii) the capital of the Company and its Subsidiaries, taken as a whole, shall not be unreasonably small in relation to the business of the Company and its Subsidiaries, taken as a whole, contemplated on the date hereof and (iii)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Company does not intend to, nor will it permit any of its Subsidiaries to, and the Company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SECTION 3.18.</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3.18</w:t>
      </w:r>
      <w:r>
        <w:rPr>
          <w:rFonts w:ascii="Times New Roman" w:cs="Times New Roman" w:eastAsia="Times New Roman" w:hAnsi="Times New Roman"/>
          <w:sz w:val="20"/>
          <w:szCs w:val="20"/>
          <w:color w:val="auto"/>
        </w:rPr>
        <w:t xml:space="preserve"> sets forth a description of all insurance maintained by or on behalf of the Loan Parties and their Subsidiaries as of the Effective Date. As of the Effective Date, all premiums in respect of such insurance due and payable on or prior to the Effective Date have been paid. Each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3.19.</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Security Interest in Collateral</w:t>
      </w:r>
      <w:r>
        <w:rPr>
          <w:rFonts w:ascii="Times New Roman" w:cs="Times New Roman" w:eastAsia="Times New Roman" w:hAnsi="Times New Roman"/>
          <w:sz w:val="20"/>
          <w:szCs w:val="20"/>
          <w:color w:val="auto"/>
        </w:rPr>
        <w:t>. The Collateral Documents, upon execution and delivery thereof by the parties thereto, will create in favor of the Administrative Agent, for the benefit 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7" w:name="page98"/>
    <w:bookmarkEnd w:id="97"/>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the Secured Parties, a valid and enforceable security interest in the Collateral covered thereby and (i) when the Collateral constituting certificated securities (as defined in the UCC) is delivered to the Administrative Agent, together with instruments of transfer duly endorsed in blank, the Liens under the Collateral Documents will constitute a fully perfected security interest in all right, title and interest of the respective Loan Parties thereunder in such Collateral, prior and superior in right to any other Person, except for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and (ii) when financing statements in appropriate form are filed in the applicable filing offices, the security interest created under the Collateral Documents will constitute a fully perfected security interest in all right, title and interest of the respective Loan Parties in the remaining Collateral to the extent perfection can be obtained by filing UCC financing statements, prior and superior to the rights of any other Person, except for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SECTION 3.20.</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Employment Matters</w:t>
      </w:r>
      <w:r>
        <w:rPr>
          <w:rFonts w:ascii="Times New Roman" w:cs="Times New Roman" w:eastAsia="Times New Roman" w:hAnsi="Times New Roman"/>
          <w:sz w:val="20"/>
          <w:szCs w:val="20"/>
          <w:color w:val="auto"/>
        </w:rPr>
        <w:t>. As of the Effective Date, there are no strikes, lockouts or slowdowns against any Loan Party or any Subsidiary pending or, to the knowledge of any Loan Party, threatened, that, in the aggregate, could reasonably be expected to result in a Material Adverse Effect. The hours worked by and payments made to employees of the Loan Parties and their Subsidiaries have not been in violation of the Fair Labor Standards Act or any other applicable Federal, state, local or foreign law dealing with such matters in a manner that, in the aggregate, could reasonably be expected to result in a Material Adverse Effect.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 except those that could not reasonably be expected to have a Material Adverse Effect.</w:t>
      </w:r>
    </w:p>
    <w:p>
      <w:pPr>
        <w:spacing w:after="0" w:line="20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SECTION 3.21.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Anti-Corruption Laws and Sanctions</w:t>
      </w:r>
      <w:r>
        <w:rPr>
          <w:rFonts w:ascii="Times New Roman" w:cs="Times New Roman" w:eastAsia="Times New Roman" w:hAnsi="Times New Roman"/>
          <w:sz w:val="20"/>
          <w:szCs w:val="20"/>
          <w:color w:val="auto"/>
        </w:rPr>
        <w:t>. The Company has implemented and maintains in effect policies and procedures reasonably designed to ensure compliance by the Company, its Subsidiaries and their respective directors, officers, employees and agents with Anti-Corruption Laws and applicable Sanctions, and the Company, its Subsidiaries and to the knowledge of the Company its officers, directors, employees and agents that will act in any capacity in connection with or benefit from the credit facilities established hereby, are in compliance with Anti-Corruption Laws and applicable Sanctions in all material respects.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 proceeds or other Transactions will violate any Anti-Corruption Law or applicable Sanctions.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3.22.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Affected Financial Institutions</w:t>
      </w:r>
      <w:r>
        <w:rPr>
          <w:rFonts w:ascii="Times New Roman" w:cs="Times New Roman" w:eastAsia="Times New Roman" w:hAnsi="Times New Roman"/>
          <w:sz w:val="20"/>
          <w:szCs w:val="20"/>
          <w:color w:val="auto"/>
        </w:rPr>
        <w:t>. No Loan Party is an Affected Financial Institution.</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SECTION 3.23.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xml:space="preserve">. The proceeds of the Loans have been used and will be used, whether directly or indirectly as set forth in </w:t>
      </w:r>
      <w:r>
        <w:rPr>
          <w:rFonts w:ascii="Times New Roman" w:cs="Times New Roman" w:eastAsia="Times New Roman" w:hAnsi="Times New Roman"/>
          <w:sz w:val="20"/>
          <w:szCs w:val="20"/>
          <w:u w:val="single" w:color="auto"/>
          <w:color w:val="auto"/>
        </w:rPr>
        <w:t>Section 5.08</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SECTION 3.24.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Plan Assets; Prohibited Transactions</w:t>
      </w:r>
      <w:r>
        <w:rPr>
          <w:rFonts w:ascii="Times New Roman" w:cs="Times New Roman" w:eastAsia="Times New Roman" w:hAnsi="Times New Roman"/>
          <w:sz w:val="20"/>
          <w:szCs w:val="20"/>
          <w:color w:val="auto"/>
        </w:rPr>
        <w:t>. No Loan Party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SECTION 4.01.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xml:space="preserve">. The obligations of the Lenders to make Loans and of the Issuing Banks to issue Letters of Credit hereunder shall not become effective until the date on which each of the following conditions is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Credit Agreement and Other Loan Documents</w:t>
      </w:r>
      <w:r>
        <w:rPr>
          <w:rFonts w:ascii="Times New Roman" w:cs="Times New Roman" w:eastAsia="Times New Roman" w:hAnsi="Times New Roman"/>
          <w:sz w:val="19"/>
          <w:szCs w:val="19"/>
          <w:color w:val="auto"/>
        </w:rPr>
        <w:t xml:space="preserve">. The Administrative Agent (or its counsel) shall have received (i) from each party hereto either (A) a counterpart of this Agreement signed on behalf of such party or (B) written evidence satisfactory to the Administrative Agent (which may include telecopy or electronic transmission of a signed signature page of this Agreement) that such party has signed a counterpart of this Agreement and (ii) each of the other documents, instruments, legal opinions and other agreements listed on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that are required to be delivered on or prior to the date hereof, all in form and substance satisfactory to the Administrative Agent and its counsel.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The Administrative Agent shall have received a notice setting forth the deposit account(s) of the Borrowers (the “</w:t>
      </w:r>
      <w:r>
        <w:rPr>
          <w:rFonts w:ascii="Times New Roman" w:cs="Times New Roman" w:eastAsia="Times New Roman" w:hAnsi="Times New Roman"/>
          <w:sz w:val="20"/>
          <w:szCs w:val="20"/>
          <w:u w:val="single" w:color="auto"/>
          <w:color w:val="auto"/>
        </w:rPr>
        <w:t>Funding Account</w:t>
      </w:r>
      <w:r>
        <w:rPr>
          <w:rFonts w:ascii="Times New Roman" w:cs="Times New Roman" w:eastAsia="Times New Roman" w:hAnsi="Times New Roman"/>
          <w:sz w:val="20"/>
          <w:szCs w:val="20"/>
          <w:color w:val="auto"/>
        </w:rPr>
        <w:t>”) to which the Administrative Agent is authorized by the Borrowers to transfer the proceeds of any Borrowings requested or authorized pursuant to this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Borrowing Base Certificate</w:t>
      </w:r>
      <w:r>
        <w:rPr>
          <w:rFonts w:ascii="Times New Roman" w:cs="Times New Roman" w:eastAsia="Times New Roman" w:hAnsi="Times New Roman"/>
          <w:sz w:val="20"/>
          <w:szCs w:val="20"/>
          <w:color w:val="auto"/>
        </w:rPr>
        <w:t>. The Administrative Agent shall have received an Aggregate Borrowing Base Certificate and a Borrowing Base Certificate for each Borrower, in each case, prepared as of the last day of the most recent month ended at least twenty (20) calendar days prior to the Effective Date.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Closing Availability</w:t>
      </w:r>
      <w:r>
        <w:rPr>
          <w:rFonts w:ascii="Times New Roman" w:cs="Times New Roman" w:eastAsia="Times New Roman" w:hAnsi="Times New Roman"/>
          <w:sz w:val="20"/>
          <w:szCs w:val="20"/>
          <w:color w:val="auto"/>
        </w:rPr>
        <w:t>. After giving effect to all Borrowings to be made on the Effective Date, the issuance of any Letters of Credit on the Effective Date and the payment of all fees and expenses due hereunder, and with all of the Loan Parties’ indebtedness, liabilities, and obligations current, the Aggregate Availability shall not be less than $70,000,000.</w:t>
      </w:r>
    </w:p>
    <w:p>
      <w:pPr>
        <w:spacing w:after="0" w:line="18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All fees and expenses due and payable to the Administrative Agent, the Lenders and their respective Affiliates and required to be paid on or prior to the Effective Date shall have been paid or shall have been authorized to be deducted from the proceeds of the initial Loans, so long as any such fees or expenses not expressly set forth in the fee letters entered into by the Company in connection with the Transactions have been invoiced not less than two (2) Business Days prior to the Effective Date (except as otherwise reasonably agreed by the Company).</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(f)</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Patriot Act, Etc.</w:t>
      </w:r>
      <w:r>
        <w:rPr>
          <w:rFonts w:ascii="Times New Roman" w:cs="Times New Roman" w:eastAsia="Times New Roman" w:hAnsi="Times New Roman"/>
          <w:sz w:val="19"/>
          <w:szCs w:val="19"/>
          <w:color w:val="auto"/>
        </w:rPr>
        <w:t xml:space="preserve"> At least three (3) Business Days prior to the Effective Date, (i) the Administrative Agent shall have received all documentation and other information about the Company and the other Loan Parties as shall have been reasonably requested in writing by the Administrative Agent at least ten (10) days prior to the Effective Date and required by U.S. regulatory authorities under applicable “know your customer” and anti-money laundering rules and regulations, including the Patriot Act and (ii) to the extent any Borrower qualifies as a “legal entity customer” under the Beneficial Ownership Regulation, at least five (5) days prior to the Effective Date, any Lender that has requested, in a written notice to the Borrowers at least ten (10) days prior to the Effective Date, a Beneficial Ownership Certification in relation to each Borrower shall have received such Beneficial Ownership Certification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execution and delivery by such Lender of its signature page to this Agreement, the condition set forth in this clause (ii) shall be deemed to be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9" w:name="page100"/>
    <w:bookmarkEnd w:id="99"/>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Other Documents</w:t>
      </w:r>
      <w:r>
        <w:rPr>
          <w:rFonts w:ascii="Times New Roman" w:cs="Times New Roman" w:eastAsia="Times New Roman" w:hAnsi="Times New Roman"/>
          <w:sz w:val="20"/>
          <w:szCs w:val="20"/>
          <w:color w:val="auto"/>
        </w:rPr>
        <w:t>. The Administrative Agent shall have received such other documents and information as the Administrative Agent, the Issuing Bank, any Lender or their respective counsel may have reasonably requested.</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Administrative Agent shall notify the Company and the Lenders of the Effective Date, and such notice shall be conclusive and binding.</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4.02.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Each Other Credit Event</w:t>
      </w:r>
      <w:r>
        <w:rPr>
          <w:rFonts w:ascii="Times New Roman" w:cs="Times New Roman" w:eastAsia="Times New Roman" w:hAnsi="Times New Roman"/>
          <w:sz w:val="20"/>
          <w:szCs w:val="20"/>
          <w:color w:val="auto"/>
        </w:rPr>
        <w:t>. The obligation of each Lender to make a Loan on the occasion of any Borrowing, and of the Issuing Banks to issue, amend, renew or extend any Letter of Credit, is subject to the satisfaction of the following conditions:</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representations and warranties of the Loan Parties set forth in the Loan Documents shall be true and correct in all material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representation or warranty that is qualified by materiality, Material Adverse Effect or similar language shall be true and correct in all respects) on and as of the date of such Borrowing or the date of issuance, amendment, renewal or extension of such Letter of Credit, as applicable, except to the extent that such representations and warranties specifically refer to an earlier date, in which case they shall be true and correct in all material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representation or warranty that is qualified by materiality, Material Adverse Effect or similar language shall be true and correct in all respects) as of such earlier date.</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At the time of and immediately after giving effect to such Borrowing or the issuance, amendment, renewal or extension of such Letter of Credit, as applicable, no Default shall have occurred and be continuing.</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After giving effect to such Borrowing or the issuance, amendment, renewal or extension of any Letter of Credit, the Borrowers shall be in compliance with the Revolving Exposure Limitations.</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Each Borrowing and each issuance, amendment, renewal or extension of a Letter of Credit shall be deemed to constitute a representation and warranty by the Loan Parties on the date thereof as to the matters specified in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Section.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Until the Commitments shall have expired or been terminated and the principal of and interest on each Loan and all fees payable hereunder shall have been paid in full (other than Unliquidated Obligations not yet due and payable and Obligations expressly stated to survive such payment and termination) and all Letters of Credit shall have expired or terminated, in each case, without any pending draw (or shall have been cash collateralized or backstopped pursuant to arrangements reasonably satisfactory to the Administrative Agent), and all LC Disbursements shall have been reimbursed, each Loan Party executing this Agreement covenants and agrees, jointly and severally with all of the other Loan Parties, with the Lenders that:</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5.01.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Financial Statements; Borrowing Base and Other Information</w:t>
      </w:r>
      <w:r>
        <w:rPr>
          <w:rFonts w:ascii="Times New Roman" w:cs="Times New Roman" w:eastAsia="Times New Roman" w:hAnsi="Times New Roman"/>
          <w:sz w:val="20"/>
          <w:szCs w:val="20"/>
          <w:color w:val="auto"/>
        </w:rPr>
        <w:t>. The Company will furnish to the Administrative Agent for distribution to each Lender:</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within ninety (90)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0" w:name="page101"/>
    <w:bookmarkEnd w:id="100"/>
    <w:p>
      <w:pPr>
        <w:jc w:val="both"/>
        <w:spacing w:after="0" w:line="254" w:lineRule="auto"/>
        <w:rPr>
          <w:sz w:val="20"/>
          <w:szCs w:val="20"/>
          <w:color w:val="auto"/>
        </w:rPr>
      </w:pPr>
      <w:r>
        <w:rPr>
          <w:rFonts w:ascii="Times New Roman" w:cs="Times New Roman" w:eastAsia="Times New Roman" w:hAnsi="Times New Roman"/>
          <w:sz w:val="20"/>
          <w:szCs w:val="20"/>
          <w:color w:val="auto"/>
        </w:rPr>
        <w:t>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within forty-five (45) days after the end of each of the first three fiscal quarters of each fiscal year of the Company, its consolidated and consolidating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a Financial Officer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[Intentionally Omitted];</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concurrently with any delivery of financial statements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 certificate of a Financial Officer of the Borrower Representative in substantially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(i) certifying, in the case of the financial statements delivered under </w:t>
      </w:r>
      <w:r>
        <w:rPr>
          <w:rFonts w:ascii="Times New Roman" w:cs="Times New Roman" w:eastAsia="Times New Roman" w:hAnsi="Times New Roman"/>
          <w:sz w:val="20"/>
          <w:szCs w:val="20"/>
          <w:u w:val="single" w:color="auto"/>
          <w:color w:val="auto"/>
        </w:rPr>
        <w:t>clause</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of the Fixed Charge Coverage Ratio as of the last day of the most recently ended period of four (4) Fiscal Quarters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Fixed Charge Coverage Ratio shall only be tested for compliance purposes during an FCCR Test Period) and (iv) stating whether any change in GAAP or in the application thereof has occurred since the date of the audited financial statements referred to in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and, if any such change has occurred, specifying the effect of such change on the financial statements accompanying such certificate;</w:t>
      </w:r>
    </w:p>
    <w:p>
      <w:pPr>
        <w:spacing w:after="0" w:line="20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within ninety (90) days after the end of each fiscal year of the Company, a copy of the plan and forecast of the Company and its Subsidiaries in the form previously provided to, and approved by, the Administrative Agent;</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(f)</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(i) as soon as available but in any event within twenty (20) days after the end of each fiscal quarter following the Effective Date (or, (x) during any Monthly Reporting Period, within twenty (20) days after the end of each calendar month following the Effective Date or</w:t>
      </w:r>
    </w:p>
    <w:p>
      <w:pPr>
        <w:jc w:val="both"/>
        <w:ind w:firstLine="8"/>
        <w:spacing w:after="0" w:line="241" w:lineRule="auto"/>
        <w:tabs>
          <w:tab w:leader="none" w:pos="301"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Weekly Reporting Period, by the Wednesday immediately following the end of each calendar week) and (ii) at such other times as may be necessary to re-determine Aggregate Availability or Availability for any Borrower or as may be reasonably requested by the Administrative Agent, as of the period then ended, an Aggregate Borrowing Base Certificate, together with a Borrowing Base Certificate for each Borrower, and supporting information in connection therewith, together with any additional reports with respect to the Aggregate Borrowing Base or the Borrowing Base of any Borrower as the Administrative Agent may reasonably request;</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as soon as available but in any event within twenty (20) days of the end of each fiscal quarter (or, during any Monthly Reporting Period or Weekly Reporting Period, within twenty (20) days of the end of each calendar month), as of the period then ended, all delivered electronically in a text formatted file acceptable to the Administrative Agent: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1" w:name="page102"/>
    <w:bookmarkEnd w:id="101"/>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detailed aging of the Borrowers’ Accounts, including all invoices aged by invoice date and due date (with an explanation of the terms offered), prepared in a manner reasonably acceptable to the Administrative Agent, together with a summary specifying the name, address, and balance due for each Account Debtor;</w:t>
      </w:r>
    </w:p>
    <w:p>
      <w:pPr>
        <w:spacing w:after="0" w:line="188" w:lineRule="exact"/>
        <w:rPr>
          <w:sz w:val="20"/>
          <w:szCs w:val="20"/>
          <w:color w:val="auto"/>
        </w:rPr>
      </w:pPr>
    </w:p>
    <w:p>
      <w:pPr>
        <w:jc w:val="both"/>
        <w:ind w:left="660" w:firstLine="648"/>
        <w:spacing w:after="0" w:line="243"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schedule detailing the Borrowers’ Inventory, in form reasonably satisfactory to the Administrative Agent, (1) by location (showing U16 Inventory, Inventory in transit, any Inventory located with a third party under any consignment, bailee arrangement, or warehouse agreement), by class (raw material, work-in-process and finished goods), by product type, and by volume on hand, which Inventory shall be valued at the lower of cost (determined on a first-in, first-out basis) or market and adjusted for Reserves as the Administrative Agent has previously indicated to the Borrower Representative are deemed by the Administrative Agent to be appropriate, and (2) including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w:t>
      </w:r>
    </w:p>
    <w:p>
      <w:pPr>
        <w:spacing w:after="0" w:line="203" w:lineRule="exact"/>
        <w:rPr>
          <w:sz w:val="20"/>
          <w:szCs w:val="20"/>
          <w:color w:val="auto"/>
        </w:rPr>
      </w:pPr>
    </w:p>
    <w:p>
      <w:pPr>
        <w:jc w:val="both"/>
        <w:ind w:left="660" w:right="20" w:firstLine="648"/>
        <w:spacing w:after="0" w:line="254"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a Monthly Reporting Period or Weekly Reporting Period is then in effect, a worksheet of calculations prepared by the Borrowers to determine Eligible Accounts and Eligible Inventory, such worksheets detailing the Accounts and Inventory excluded from Eligible Accounts and Eligible Inventory and the reason for such exclusion; and</w:t>
      </w:r>
    </w:p>
    <w:p>
      <w:pPr>
        <w:spacing w:after="0" w:line="188"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a reconciliation of the Borrowers’ Accounts and Inventory between (A) the amounts shown in the Borrowers’ general ledger and financial statements and the reports delivered pursuant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and (B) the amounts and dates shown in the reports delivered pursuant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and the Aggregate Borrowing Base Certificate and the Borrowing Base Certificate of each Borrower delivered pursuant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above as of such date;</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as soon as available but in any event within twenty (20) days of the end of each fiscal quarter (or, during any Monthly Reporting Period or Weekly Reporting Period, within twenty (20) days of the end of each calendar month) and at such other times as may be requested by the Administrative Agent, as of the period then ended, a schedule and aging of the Borrowers’ accounts payable, delivered electronically in a text formatted file acceptable to the Administrative Agent;</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as soon as available but in any event within twenty (20) days of the end of each fiscal year of the Company, and at such other times as may be requested by the Administrative Agent, an updated customer list for each Borrower and its Subsidiaries, which list shall state the customer’s name, mailing address and phone number, delivered electronically in a text formatted file acceptable to the Administrative Agent and certified as true and correct by a Financial Officer of the Borrower Representative;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promptly upon the Administrative Agent’s reasonable request:</w:t>
      </w:r>
    </w:p>
    <w:p>
      <w:pPr>
        <w:spacing w:after="0" w:line="229"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copies of invoices issued by the Borrowers in connection with any Accounts, credit memos, shipping and delivery documents, and other information related thereto;</w:t>
      </w:r>
    </w:p>
    <w:p>
      <w:pPr>
        <w:spacing w:after="0" w:line="173"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copies of purchase orders, invoices, and shipping and delivery documents in connection with any Inventory or Equipment purchased by any Loan Party; and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schedule detailing the balance of all intercompany accounts of the Loan Parties;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2" w:name="page103"/>
    <w:bookmarkEnd w:id="102"/>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(k)</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promptly after the same become publicly available, copies of all periodic and other reports, proxy statements and other materials filed by the Company or any Subsidiary with the SEC, or any Governmental Authority succeeding to any or all of the functions of said Commission, or with any national securities exchange, or distributed by the Company to its shareholders generally, as the case may be; and</w:t>
      </w:r>
    </w:p>
    <w:p>
      <w:pPr>
        <w:spacing w:after="0" w:line="17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promptly following any request therefor, (i) such other information regarding the operations, business affairs and financial condition of the Company or any Subsidiary, or compliance with the terms of this Agreement, as the Administrative Agent or any Lender may reasonably request, and (ii)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9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may be delivered electronically and if so delivered, shall be deemed to have been delivered on the date on which such documents are filed for public availability on the SEC’s Electronic Data Gathering and Retrieval System;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notify (which may be by facsimile or through Electronic Systems) the Administrative Agent of the filing of any such documents and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any Borrower with any such request by a Lender for delivery, and each Lender shall be solely responsible for timely accessing posted documents or requesting delivery of paper copies of such documents to it and maintaining its copies of such documents. Notwithstanding anything contained herein, in every instance the Company shall be required to provide paper copies of the compliance certificates required by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to the Administrative Agent.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SECTION 5.02.</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Notices of Material Events</w:t>
      </w:r>
      <w:r>
        <w:rPr>
          <w:rFonts w:ascii="Times New Roman" w:cs="Times New Roman" w:eastAsia="Times New Roman" w:hAnsi="Times New Roman"/>
          <w:sz w:val="19"/>
          <w:szCs w:val="19"/>
          <w:color w:val="auto"/>
        </w:rPr>
        <w:t>. The Company will furnish to the Administrative Agent (for distribution to each Lender)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 notice of the following, promptly after a Responsible Officer of the Company obtains actual knowledge thereof: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occurrence of any Default;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filing or commencement of any action, suit or proceeding by or before any arbitrator or Governmental Authority against or affecting the Company or any Subsidiary thereof that, if adversely determined, could reasonably be expected to result in a Material Adverse Effect;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loss, damage, or destruction to the Collateral in the amount of $10,000,000 or more, whether or not covered by insurance;</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and all default notices received under or with respect to any leased location or public warehouse where Inventory constituting Collateral with a value in excess of $5,000,000 is located;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all amendments to any Term Loans/Notes Agreement, together with a copy of each such amendment;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occurrence of any ERISA Event that, alone or together with any other ERISA Events that have occurred, could reasonably be expected to result in a Material Adverse Effect; and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other development that results in, or could reasonably be expected to result in, a Material Adverse Effect; 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3" w:name="page104"/>
    <w:bookmarkEnd w:id="103"/>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change in the information provided in the Beneficial Ownership Certification delivered to such Lender that would result in a change to the list of beneficial owners identified in such certification.</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notice delivered under this Section shall be accompanied by a statement of a Responsible Officer or other executive officer of the Borrower Representative setting forth the details of the event or development requiring such notice and any action taken or proposed to be taken with respect thereto.</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Information required to be delivered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this Section shall be deemed to have been delivered if such information, or one or more annual, quarterly, current or other reports containing such information, is (i) filed for public availability on the SEC’s Electronic Data Gathering and Retrieval System, (ii) posted on www.winnebagoind.com or at another website identified in a notice from the Company and accessible by the Lenders without charge; or (iii) posted on the Company’s behalf on an Internet or intranet website, if any, to which the Administrative Agent and the Lenders have access (whether a commercial, third-party website or whether sponsored by the Administrative Agent). Information required to be delivered pursuant to this Section may also be delivered by electronic communications pursuant to procedures approved by the Administrative Agent.</w:t>
      </w:r>
    </w:p>
    <w:p>
      <w:pPr>
        <w:spacing w:after="0" w:line="19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SECTION 5.03.</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Existence; Conduct of Business</w:t>
      </w:r>
      <w:r>
        <w:rPr>
          <w:rFonts w:ascii="Times New Roman" w:cs="Times New Roman" w:eastAsia="Times New Roman" w:hAnsi="Times New Roman"/>
          <w:sz w:val="19"/>
          <w:szCs w:val="19"/>
          <w:color w:val="auto"/>
        </w:rPr>
        <w:t xml:space="preserve">. Each Loan Party will, and will cause each of its Material Subsidiaries to, (a) do or cause to be done all things necessary to preserve, renew and keep in full force and effect its legal existence and (b) take, or cause to be taken, all reasonable actions to preserve, renew and keep in full force and effect the rights, qualifications, licenses, permits, privileges, franchises, governmental authorizations and intellectual property rights material to the conduct of the business of the Company and its Subsidiaries, taken as a whole, and maintain all requisite authority to conduct its business in each jurisdiction in which its business is conducted, except, in the case of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to the extent failure to do so could not reasonably be expected to result in a Material Adverse Effect;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shall not prohibit any merger, consolidation, liquidation or dissolution permitted under </w:t>
      </w:r>
      <w:r>
        <w:rPr>
          <w:rFonts w:ascii="Times New Roman" w:cs="Times New Roman" w:eastAsia="Times New Roman" w:hAnsi="Times New Roman"/>
          <w:sz w:val="19"/>
          <w:szCs w:val="19"/>
          <w:u w:val="single" w:color="auto"/>
          <w:color w:val="auto"/>
        </w:rPr>
        <w:t>Section 6.03</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SECTION 5.04.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Payment of Obligations</w:t>
      </w:r>
      <w:r>
        <w:rPr>
          <w:rFonts w:ascii="Times New Roman" w:cs="Times New Roman" w:eastAsia="Times New Roman" w:hAnsi="Times New Roman"/>
          <w:sz w:val="20"/>
          <w:szCs w:val="20"/>
          <w:color w:val="auto"/>
        </w:rPr>
        <w:t>. Each Loan Party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could not reasonably be expected to result in a Material Adverse Effect.</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SECTION 5.05.</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Each Loan Party will, and will cause each Subsidiary to, keep and maintain all property material to the conduct of its business in good working order and condition, ordinary wear and tear and casualty and condemnation excepted, except to the extent such failure could not reasonably be expected to have a Material Adverse Effect.</w:t>
      </w:r>
    </w:p>
    <w:p>
      <w:pPr>
        <w:spacing w:after="0" w:line="18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SECTION 5.06.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Books and Records; Inspection Rights</w:t>
      </w:r>
      <w:r>
        <w:rPr>
          <w:rFonts w:ascii="Times New Roman" w:cs="Times New Roman" w:eastAsia="Times New Roman" w:hAnsi="Times New Roman"/>
          <w:sz w:val="20"/>
          <w:szCs w:val="20"/>
          <w:color w:val="auto"/>
        </w:rPr>
        <w:t>. The Loan Parties will, and will cause each of their Subsidiaries to, keep in all material respects proper books of record and account in which full, true and correct entries in all material respects in conformity, in all material respects, with GAAP and applicable law are made of all material dealings and material transactions in relation to its business and activities. The Loan Parties will, and will cause each of the Subsidiaries to, permit any representatives designated by the Administrative Agent, who may be accompanied by a Lender, upon no less than five (5) Business Days’ prior written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prior written notice shall be required during the occurrence and continuance of an Event of Default) and at reasonable times during normal business hours, to visit and inspect its properties, to examine and make extracts from its books and records, environmental assessment reports and Phase I or Phase II studies, and to discuss its affairs, finances and condition with its officers, all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4" w:name="page105"/>
    <w:bookmarkEnd w:id="104"/>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at such reasonable times and as often as reasonably requested;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Event of Default has occurred and is continuing, the Loan Parties shall not be required to pay for any such inspection (but may be obligated reimburse the Administrative Agent for field exams and appraisals as provided in </w:t>
      </w:r>
      <w:r>
        <w:rPr>
          <w:rFonts w:ascii="Times New Roman" w:cs="Times New Roman" w:eastAsia="Times New Roman" w:hAnsi="Times New Roman"/>
          <w:sz w:val="20"/>
          <w:szCs w:val="20"/>
          <w:u w:val="single" w:color="auto"/>
          <w:color w:val="auto"/>
        </w:rPr>
        <w:t>Sections 5.11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xml:space="preserve"> below). The Loan Parties acknowledge that the Administrative Agent, after exercising its rights of inspection, may prepare and distribute to the Lenders Reports pertaining to the Loan Parties’ assets for internal use by the Administrative Agent and the Lenders. The Loan Parties and the Subsidiaries shall have no obligation to discuss or disclose to Administrative Agent, any Lender, or any of their officers, directors, employees or agents, materials protected by attorney-client privilege (including any attorney work product) materials that constitute non-financial trade secrets or non-financial proprietary information, or materials that the Loan Parties or any of the Subsidiaries may not disclose without violation of a confidentiality obligation binding upon it.</w:t>
      </w:r>
    </w:p>
    <w:p>
      <w:pPr>
        <w:spacing w:after="0" w:line="20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SECTION 5.07.</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Compliance with Laws and Material Contractual Obligations</w:t>
      </w:r>
      <w:r>
        <w:rPr>
          <w:rFonts w:ascii="Times New Roman" w:cs="Times New Roman" w:eastAsia="Times New Roman" w:hAnsi="Times New Roman"/>
          <w:sz w:val="19"/>
          <w:szCs w:val="19"/>
          <w:color w:val="auto"/>
        </w:rPr>
        <w:t>. Each Loan Party will, and will cause each Subsidiary to, (i) comply with all Requirements of Law applicable to it or its property (including without limitation applicable Environmental Laws) and</w:t>
      </w:r>
    </w:p>
    <w:p>
      <w:pPr>
        <w:jc w:val="both"/>
        <w:ind w:firstLine="8"/>
        <w:spacing w:after="0" w:line="241" w:lineRule="auto"/>
        <w:tabs>
          <w:tab w:leader="none" w:pos="29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perform in all material respects its obligations under material agreements to which it is a party, except, in each case for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and employees with Anti-Corruption Laws and applicable Sanctions in all material respects.</w:t>
      </w:r>
    </w:p>
    <w:p>
      <w:pPr>
        <w:spacing w:after="0" w:line="20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SECTION 5.08.</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Revolving Loans and the Letters of Credit will be used only to finance the Transaction Costs and to finance the working capital needs, and for general corporate purposes (including Restricted Payments and Permitted Acquisitions as permitted hereunder), of the Company and its Subsidiaries. No part of the proceeds of any Loan and no Letter of Credit will be used, whether directly or indirectly, for any purpose that entails a violation of any of the Regulations of the Board, including Regulations T, U and X. No Borrower will request any Borrowing or Letter of Credit, and no Borrower shall use, and each Borrower shall ensure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2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SECTION 5.09.</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Each Loan Party will, and will cause each Subsidiary to, maintain with financially sound and reputable carriers (a) insurance in such amounts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information in reasonable detail as to the insurance so maintained.</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SECTION 5.10.</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Casualty and Condemnation</w:t>
      </w:r>
      <w:r>
        <w:rPr>
          <w:rFonts w:ascii="Times New Roman" w:cs="Times New Roman" w:eastAsia="Times New Roman" w:hAnsi="Times New Roman"/>
          <w:sz w:val="20"/>
          <w:szCs w:val="20"/>
          <w:color w:val="auto"/>
        </w:rPr>
        <w:t>. The Borrowers will (a) furnish to the Administrative Agent and the Lenders prompt written notice upon obtaining knowledge of any casualty or other insured damage to any Collateral in excess of $10,000,000 or the commencement of any action or proceeding for the taking of any Collateral or interest therein with a book value in excess of $10,000,000 under power of eminent domain or by condemnation or similar proceeding and (b) ensure that the Net Proceeds of any such event (whether in the form of insurance proceeds, condemnation awards or otherwise)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color w:val="auto"/>
        </w:rPr>
        <w:t>are collected and applied in accordance with the applicable provisions of this Agreement and the Collateral Documents.</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SECTION 5.11.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Appraisals</w:t>
      </w:r>
      <w:r>
        <w:rPr>
          <w:rFonts w:ascii="Times New Roman" w:cs="Times New Roman" w:eastAsia="Times New Roman" w:hAnsi="Times New Roman"/>
          <w:sz w:val="20"/>
          <w:szCs w:val="20"/>
          <w:color w:val="auto"/>
        </w:rPr>
        <w:t xml:space="preserve">. At any time that the Administrative Agent reasonably requests, each Loan Party will permit the Administrative Agent to conduct appraisals or updates thereof of their Inventory with an appraiser engaged by the Administrative Agent, such appraisals and updates to include, without limitation, information required by any applicable Requirement of Law and to be conducted with reasonable prior notice and during normal business hours;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Inventory appraisals shall only be at the expense of the Loan Parties once per two calendar year period so long as at all times during such two calendar year period Aggregate Availability is greater than the greater of $105,000,000 and 30% of the Aggregate Commitment; (ii) one (1) such Inventory appraisal per calendar year shall be at the expense of the Loan Parties if Aggregate Availability is less than the greater of $105,000,000 and 30% of the Aggregate Commitment at any time during any two calendar year period, (iii) two (2) such Inventory appraisals per calendar year shall be at the expense of the Loan Parties if Aggregate Availability is less than the greater of $30,000,000 and 10% of the Aggregate Commitment at any time during such calendar year and (iv) during the occurrence and continuance of an Event of Default, there shall be no limitation on the number or frequency of appraisals that shall be at the sole expense of the Loan Parties.</w:t>
      </w:r>
    </w:p>
    <w:p>
      <w:pPr>
        <w:spacing w:after="0" w:line="20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SECTION 5.12.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Field Examinations</w:t>
      </w:r>
      <w:r>
        <w:rPr>
          <w:rFonts w:ascii="Times New Roman" w:cs="Times New Roman" w:eastAsia="Times New Roman" w:hAnsi="Times New Roman"/>
          <w:sz w:val="20"/>
          <w:szCs w:val="20"/>
          <w:color w:val="auto"/>
        </w:rPr>
        <w:t xml:space="preserve">. At any time that the Administrative Agent reasonably requests, each Loan Party will, and will cause each Subsidiary to, permit, upon reasonable prior notice and during normal business hours, the Administrative Agent to conduct a field examination to ensure adequacy of Collateral included in the Borrowing Bases and related reporting and control systems. For purposes of this </w:t>
      </w:r>
      <w:r>
        <w:rPr>
          <w:rFonts w:ascii="Times New Roman" w:cs="Times New Roman" w:eastAsia="Times New Roman" w:hAnsi="Times New Roman"/>
          <w:sz w:val="20"/>
          <w:szCs w:val="20"/>
          <w:u w:val="single" w:color="auto"/>
          <w:color w:val="auto"/>
        </w:rPr>
        <w:t>Section 5.12</w:t>
      </w:r>
      <w:r>
        <w:rPr>
          <w:rFonts w:ascii="Times New Roman" w:cs="Times New Roman" w:eastAsia="Times New Roman" w:hAnsi="Times New Roman"/>
          <w:sz w:val="20"/>
          <w:szCs w:val="20"/>
          <w:color w:val="auto"/>
        </w:rPr>
        <w:t xml:space="preserve">, it is understood and agreed that a single field examination may consist of examinations conducted at multiple relevant sites and involve one or more relevant Loan Parties and their assets. Only one (1) such field examinations per calendar year shall be at the sole expense of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two (2) such field examinations per calendar year shall be at the sole expense of the Loan Parties if the Aggregate Availability is less than the greater of $30,000,000 and 10% of the Aggregate Commitment at any time during such calendar year and (ii) during the occurrence and continuance of an Event of Default, there shall be no limitation on the number or frequency of field examinations that shall be at the sole expense of the Loan Parties.</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SECTION 5.13.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Accuracy of Information</w:t>
      </w:r>
      <w:r>
        <w:rPr>
          <w:rFonts w:ascii="Times New Roman" w:cs="Times New Roman" w:eastAsia="Times New Roman" w:hAnsi="Times New Roman"/>
          <w:sz w:val="20"/>
          <w:szCs w:val="20"/>
          <w:color w:val="auto"/>
        </w:rPr>
        <w:t xml:space="preserve">. The Loan Parties will ensure that any information, including financial statements or other documents, furnished to the Administrative Agent or the Lenders in writing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Borrowers on the date thereof as to the matters specified in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Loan Parties will only ensure that such information was prepared in good faith based upon assumptions believed to be reasonable at the time.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5.14.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Additional Collateral; Further Assurances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Within sixty (60) days (or such later date as may be agreed upon by the Administrative Agent in its reasonable discretion) after any wholly-owned Subsidiary qualifies as a Material Domestic Subsidiary pursuant to the definition of “</w:t>
      </w:r>
      <w:r>
        <w:rPr>
          <w:rFonts w:ascii="Times New Roman" w:cs="Times New Roman" w:eastAsia="Times New Roman" w:hAnsi="Times New Roman"/>
          <w:sz w:val="20"/>
          <w:szCs w:val="20"/>
          <w:u w:val="single" w:color="auto"/>
          <w:color w:val="auto"/>
        </w:rPr>
        <w:t>Material Domestic Subsidiary</w:t>
      </w:r>
      <w:r>
        <w:rPr>
          <w:rFonts w:ascii="Times New Roman" w:cs="Times New Roman" w:eastAsia="Times New Roman" w:hAnsi="Times New Roman"/>
          <w:sz w:val="20"/>
          <w:szCs w:val="20"/>
          <w:color w:val="auto"/>
        </w:rPr>
        <w:t>”, the Company shall provide the Administrative Agent with written notice thereof setting forth information in reasonable detail describing the material assets of such Person and shall cause each such Subsidiary to deliver to the Administrative Agent a Joinder Agreement and a joinder to the Security Agreement (in the form contemplated thereby) pursuant to which such Subsidiary agrees to be bound by the terms and provisions hereof and thereof, such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6" w:name="page107"/>
    <w:bookmarkEnd w:id="106"/>
    <w:p>
      <w:pPr>
        <w:jc w:val="both"/>
        <w:spacing w:after="0" w:line="246" w:lineRule="auto"/>
        <w:rPr>
          <w:sz w:val="20"/>
          <w:szCs w:val="20"/>
          <w:color w:val="auto"/>
        </w:rPr>
      </w:pPr>
      <w:r>
        <w:rPr>
          <w:rFonts w:ascii="Times New Roman" w:cs="Times New Roman" w:eastAsia="Times New Roman" w:hAnsi="Times New Roman"/>
          <w:sz w:val="20"/>
          <w:szCs w:val="20"/>
          <w:color w:val="auto"/>
        </w:rPr>
        <w:t>delivery to be accompanied by requisite resolutions, other organizational documentation and legal opinions as may be reasonably requested by, and in form and substance reasonably satisfactory to, the Administrative Agent and its counsel. Notwithstanding anything to the contrary in any Loan Document, (i) no Excluded Domestic Subsidiary or Excluded Foreign Subsidiary shall be required to be a Loan Party and (ii) no Collateral constituting fee-owned real property located in the State of New York shall secure any Commitments, Revolving Loans or Revolving Exposure.</w:t>
      </w:r>
    </w:p>
    <w:p>
      <w:pPr>
        <w:spacing w:after="0" w:line="19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Subject the terms, limitations and exceptions set forth in the applicable Collateral Documents and this </w:t>
      </w:r>
      <w:r>
        <w:rPr>
          <w:rFonts w:ascii="Times New Roman" w:cs="Times New Roman" w:eastAsia="Times New Roman" w:hAnsi="Times New Roman"/>
          <w:sz w:val="20"/>
          <w:szCs w:val="20"/>
          <w:u w:val="single" w:color="auto"/>
          <w:color w:val="auto"/>
        </w:rPr>
        <w:t>Section 5.14(b)</w:t>
      </w:r>
      <w:r>
        <w:rPr>
          <w:rFonts w:ascii="Times New Roman" w:cs="Times New Roman" w:eastAsia="Times New Roman" w:hAnsi="Times New Roman"/>
          <w:sz w:val="20"/>
          <w:szCs w:val="20"/>
          <w:color w:val="auto"/>
        </w:rPr>
        <w:t xml:space="preserve">, each Loan Party will cause all of its owned property (whether real, personal, tangible, intangible, or mixed but excluding Excluded Assets and any real property that is not Material Real Property) to be subject at all times to perfected Liens in favor of the Administrative Agent for the benefit of the Secured Parties to secure the Secured Obligations in accordance with the terms and conditions of the Collateral Documents on a first priority basis, subject in any case to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Without limiting the generality of the foregoing, and subject to the terms, limitations and exceptions set forth in the applicable Collateral Documents, the Company (i) will cause the Applicable Pledge Percentage of the issued and outstanding Equity Interests of each Pledge Subsidiary directly owned by the Company or any other Loan Party (other than Excluded Assets) to be subject at all times to a first priority perfected (subject in any case to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Lien in favor of the Administrative Agent to secure the Secured Obligations in accordance with the terms and conditions of the Collateral Documents or such other pledge and security documents as the Administrative Agent shall reasonably request and (ii) will deliver Mortgages and Mortgage Instruments with respect to Material Real Property owned by the Company or such Loan Party to the extent, and within such time period as is, reasonably required by the Administrative Agent. Notwithstanding anything to the contrary in this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(i) no such Mortgage or Mortgage Instruments are required to be delivered hereunder until the date that is ninety (90) days (or such later date as may be agreed upon by the Administrative Agent in its reasonable discretion) after (A) the Effective Date, with respect to Material Real Property owned by the Company or any other Loan Party on the Effective Date or (B) the date of acquisition thereof, with respect to Material Real Property acquired by the Company or any other Loan Party after the Effective Date and (ii) no foreign pledge documentation in respect of the pledge of Equity Interests of a Pledge Subsidiary that is a Material Foreign Subsidiary shall be required hereunder (A) until the date that is ninety (90) days after the Effective Date or such later date as the Administrative Agent may agree in the exercise of its reasonable discretion with respect thereto, (B) to the extent the Administrative Agent or its counsel determines that such pledge would not provide material credit support for the benefit of the Secured Parties pursuant to legally valid, binding and enforceable pledge agreements, and (C) to the extent the Company reasonably determines in its good faith judgment that such pledge would result in a material adverse tax consequence to the Company or any Subsidiary.</w:t>
      </w:r>
    </w:p>
    <w:p>
      <w:pPr>
        <w:spacing w:after="0" w:line="2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at any time after the Effective Date any Subsidiary of the Company that is not a Loan Party shall become party to a guaranty of, or grant a Lien on any assets to secure, the Term Loans/Notes Obligations, any Subordinated Indebtedness or any other Material Indebtedness of a Loan Party, the Company shall promptly notify the Administrative Agent thereof and, within ten (10) days thereof (or such later date as may be agreed upon by the Administrative Agent) cause such Subsidiary to comply with </w:t>
      </w:r>
      <w:r>
        <w:rPr>
          <w:rFonts w:ascii="Times New Roman" w:cs="Times New Roman" w:eastAsia="Times New Roman" w:hAnsi="Times New Roman"/>
          <w:sz w:val="20"/>
          <w:szCs w:val="20"/>
          <w:u w:val="single" w:color="auto"/>
          <w:color w:val="auto"/>
        </w:rPr>
        <w:t>Section 5.14(a)</w:t>
      </w:r>
      <w:r>
        <w:rPr>
          <w:rFonts w:ascii="Times New Roman" w:cs="Times New Roman" w:eastAsia="Times New Roman" w:hAnsi="Times New Roman"/>
          <w:sz w:val="20"/>
          <w:szCs w:val="20"/>
          <w:color w:val="auto"/>
        </w:rPr>
        <w:t xml:space="preserve"> and (b) (but without giving effect to the 30-day grace periods provided therein).</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Without limiting the foregoing, each Loan Party will, and will cause each Subsidiary to, execute and deliver, or cause to be executed and delivered, to the Administrative Agent such documents, agreements and instruments, and take or cause to be taken such further actions (including the filing and recording of financing statements, fixture filings, mortgages, deeds of trust and other documents and such other actions or deliveries of the type required by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as applicable), which may be required by any Requirement of Law or which the Administrative Agent may, from time to time, reasonably request to carry out the terms and conditions of this Agreement and the other Loan Documents and to ensure perfection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7" w:name="page108"/>
    <w:bookmarkEnd w:id="107"/>
    <w:p>
      <w:pPr>
        <w:jc w:val="both"/>
        <w:spacing w:after="0" w:line="254" w:lineRule="auto"/>
        <w:rPr>
          <w:sz w:val="20"/>
          <w:szCs w:val="20"/>
          <w:color w:val="auto"/>
        </w:rPr>
      </w:pPr>
      <w:r>
        <w:rPr>
          <w:rFonts w:ascii="Times New Roman" w:cs="Times New Roman" w:eastAsia="Times New Roman" w:hAnsi="Times New Roman"/>
          <w:sz w:val="20"/>
          <w:szCs w:val="20"/>
          <w:color w:val="auto"/>
        </w:rPr>
        <w:t>and priority of the Liens created or intended to be created by the Collateral Documents, subject to the terms, limitations, and exceptions set forth herein or in any Collateral Document, all at the expense of the Loan Parties, in each case to the extent required by, and subject to the limitations and exceptions of, this Agreement and the other Loan Documents.</w:t>
      </w:r>
    </w:p>
    <w:p>
      <w:pPr>
        <w:spacing w:after="0" w:line="18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any material assets (other than Excluded Assets or other assets not required to be Collateral) are acquired by any Loan Party after the Effective Date (other than assets constituting Collateral under the applicable Collateral Documents that become subject to the Lien granted by the Loan Parties in favor of the Administrative Agent in support of all of the Secured Obligations upon acquisition thereof), the Borrower Representative will promptly (i) notify the Administrative Agent thereof and, if requested by the Administrative Agent or the Required Lenders, cause such assets to be subjected to a Lien securing the Secured Obligations and (ii) take such actions as shall be necessary or reasonably requested by the Administrative Agent to grant and perfect such Liens, subject to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Section, all at the expense of the Loan Parties, subject, however, to the terms, limitations and exceptions set forth herein or in any Collateral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Material Real Property acquired by the Company or any other Loan Party after the Effective Date (including in connection with a Permitted Acquisition), which property would not be automatically subject to any other Lien pursuant to an existing Collateral Document, no Mortgage or Mortgage Instrument shall be required to be delivered hereunder prior to the date that is one hundred twenty (120) days after the acquisition thereof as determined by the Borrower Representative (acting reasonably in good faith) (or such later date as may be agreed upon by the Administrative Agent in its reasonable discretion).</w:t>
      </w:r>
    </w:p>
    <w:p>
      <w:pPr>
        <w:spacing w:after="0" w:line="20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Notwithstanding the foregoing, the parties hereto acknowledge and agree that (i) in circumstances where the Administrative Agent reasonably determines that the cost or effort of obtaining or perfecting a security interest in any asset that constitutes Collateral is excessive in relation to the benefit afforded to the Secured Parties thereby, the Administrative Agent may exclude such Collateral from the creation and perfection requirements set forth in this Agreement and the other Loan Documents and (ii) the Administrative Agent may grant extensions of time for the creation or perfection of Liens in particular property (including extensions of time beyond the Effective Date) where it determines that such creation or perfection cannot be accomplished without undue effort or expense by the time or times at which it would otherwise be required by this Agreement or any other Loan Document.</w:t>
      </w:r>
    </w:p>
    <w:p>
      <w:pPr>
        <w:spacing w:after="0" w:line="19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SECTION 5.15.</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  </w:t>
      </w:r>
      <w:r>
        <w:rPr>
          <w:rFonts w:ascii="Times New Roman" w:cs="Times New Roman" w:eastAsia="Times New Roman" w:hAnsi="Times New Roman"/>
          <w:sz w:val="20"/>
          <w:szCs w:val="20"/>
          <w:u w:val="single" w:color="auto"/>
          <w:color w:val="auto"/>
        </w:rPr>
        <w:t>Post-Closing Matters</w:t>
      </w:r>
      <w:r>
        <w:rPr>
          <w:rFonts w:ascii="Times New Roman" w:cs="Times New Roman" w:eastAsia="Times New Roman" w:hAnsi="Times New Roman"/>
          <w:sz w:val="20"/>
          <w:szCs w:val="20"/>
          <w:color w:val="auto"/>
        </w:rPr>
        <w:t xml:space="preserve">. The Loan Parties will, and will cause each of their Subsidiaries to, execute and deliver the documents and complete the tasks set forth on </w:t>
      </w:r>
      <w:r>
        <w:rPr>
          <w:rFonts w:ascii="Times New Roman" w:cs="Times New Roman" w:eastAsia="Times New Roman" w:hAnsi="Times New Roman"/>
          <w:sz w:val="20"/>
          <w:szCs w:val="20"/>
          <w:u w:val="single" w:color="auto"/>
          <w:color w:val="auto"/>
        </w:rPr>
        <w:t>Part F</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in each case within the time limits specified on such Exhibit.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Until the Commitments shall have expired or been terminated and the principal of and interest on each Loan and all fees payable hereunder shall have been paid in full (other than Unliquidated Obligations not yet due and payable and Obligations expressly stated to survive such payment and termination) and all Letters of Credit shall have expired or terminated, in each case, without any pending draw (or shall have been cash collateralized or backstopped pursuant to arrangements reasonably satisfactory to the Administrative Agent), and all LC Disbursements shall have been reimbursed, each Loan Party executing this Agreement covenants and agrees, jointly and severally with all of the other Loan Parties, with the Lenders that: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20"/>
          <w:szCs w:val="20"/>
          <w:color w:val="auto"/>
        </w:rPr>
        <w:t>SECTION 6.01.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No Loan Party will, nor will it permit any Subsidiary to, create, incur, assume or permit to exist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 except:</w:t>
      </w:r>
    </w:p>
    <w:p>
      <w:pPr>
        <w:spacing w:after="0" w:line="20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the Secured Obligations and any other Indebtedness created under the Loan Documents and (ii) (A) Indebtedness under any Term Loans/Notes Agreement and Permitted Additional Pari Passu Obligations (as defined in the Term Loans/Notes Agreement as of July 8, 2020) in an aggregate principal amount at any one time outstanding not to exceed the sum of $450,000,000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Incremental Term Loans/Notes Amount and (B) any Refinancing Indebtedness thereof;</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existing on the Effective Date and set forth on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Refinancing Indebtedness in respect of any of the foregoing;</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of the Company or any Subsidiary to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such Indebtedness owing by the Company or any other Loan Party shall be unsecured and shall be subordinated in right of payment to the Secured Obligations on terms customary for intercompany subordinated Indebtedness, as reasonably determined by the Administrative Agent, (B) any such Indebtedness owing to the Company or any other Loan Party shall be evidenced by a promissory note which shall have been pledged pursuant to the Security Agreement and (C) any such Indebtedness owing by any Subsidiary that is not a Loan Party to any Loan Party shall be incurred in compliance with </w:t>
      </w:r>
      <w:r>
        <w:rPr>
          <w:rFonts w:ascii="Times New Roman" w:cs="Times New Roman" w:eastAsia="Times New Roman" w:hAnsi="Times New Roman"/>
          <w:sz w:val="20"/>
          <w:szCs w:val="20"/>
          <w:u w:val="single" w:color="auto"/>
          <w:color w:val="auto"/>
        </w:rPr>
        <w:t>Section 6.04(d)</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Guarantees incurred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[Intentionally Omitted];</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(f)</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(i) Indebtedness of the Company or any Subsidiary incurred to finance the acquisition, construction or improvement of any fixed or capital assets, including Finance Lease Obligations, purchase money Indebtedness and any Indebtedness assumed by the Company or any Subsidiary in connection with the acquisition of any such assets or secured by a Lien on any such assets prior to the acquisition thereof and</w:t>
      </w:r>
    </w:p>
    <w:p>
      <w:pPr>
        <w:jc w:val="both"/>
        <w:ind w:firstLine="8"/>
        <w:spacing w:after="0" w:line="242" w:lineRule="auto"/>
        <w:tabs>
          <w:tab w:leader="none" w:pos="32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Refinancing Indebtedness in respect of Indebtedness incurred or assumed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permitted by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not exceed the greater of (x) $30,000,000 and (y) 3% of Consolidated Total Assets (at the time of incurrence);</w:t>
      </w:r>
    </w:p>
    <w:p>
      <w:pPr>
        <w:spacing w:after="0" w:line="20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Indebtedness of any Person that becomes a Subsidiary (or of any Person not previously a Subsidiary that is merged or consolidated with or into a Subsidiary in a transaction permitted hereunder) after the Effective Date, or Indebtedness of any Person that is assumed by any Subsidiary in connection with an acquisition of assets by such Subsidiary in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exists at the time such Person becomes a Subsidiary (or is so merged or consolidated) or such assets are acquired and is not created in contemplation of or in connection with such Person becoming a Subsidiary (or such merger or consolidation) or such assets being acquired, and (ii) Refinancing Indebtedness in respect of Indebtedness assumed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aggregate principal amount of Indebtedness permitted by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exceed the greater of (x) $50,000,000 and (y) 5% of Consolidated Total Assets (at the time of incurrence);</w:t>
      </w:r>
    </w:p>
    <w:p>
      <w:pPr>
        <w:spacing w:after="0" w:line="20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Permitted Unsecured Indebtedness and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immediately prior to and immediately after giving effect (including pro forma effect) to the incurrence of any Permitted Unsecured Indebtedness under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no Default shall have occurred and be continuing, (ii) immediately after giving effect (including pro forma effect) to the incurrence of any Permitted Unsecured Indebtedness, the Total Net Leverage Ratio, calculated on a pro forma basis for the most recently ended Test Period, shall not exceed 4.25 to 1.00, and (iii) the Company will, on the date of incurrence of such Indebtedness, deliver to the Administrative Agent a certificate of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9" w:name="page110"/>
    <w:bookmarkEnd w:id="109"/>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Financial Officer of the Company, dated such date, confirming the satisfaction of the conditions set forth above and attaching a reasonably detailed calculation evidencing compliance with the condition set forth in the preceding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identifying the Permitted Unsecured Indebtedness being incurred and specifying that it is being incurred pursuant to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aggregate amount of Indebtedness incurred by a Subsidiary that is not a Loan Party under this </w:t>
      </w:r>
      <w:r>
        <w:rPr>
          <w:rFonts w:ascii="Times New Roman" w:cs="Times New Roman" w:eastAsia="Times New Roman" w:hAnsi="Times New Roman"/>
          <w:sz w:val="20"/>
          <w:szCs w:val="20"/>
          <w:u w:val="single" w:color="auto"/>
          <w:color w:val="auto"/>
        </w:rPr>
        <w:t>Section 6.01(h)</w:t>
      </w:r>
      <w:r>
        <w:rPr>
          <w:rFonts w:ascii="Times New Roman" w:cs="Times New Roman" w:eastAsia="Times New Roman" w:hAnsi="Times New Roman"/>
          <w:sz w:val="20"/>
          <w:szCs w:val="20"/>
          <w:color w:val="auto"/>
        </w:rPr>
        <w:t xml:space="preserve"> shall not exceed the greater of (x) $30,000,000 and (y) 3% of Consolidated Total Assets (at the time of incurrence);</w:t>
      </w:r>
    </w:p>
    <w:p>
      <w:pPr>
        <w:spacing w:after="0" w:line="19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incurred in the ordinary course of business and owed in respect of any overdrafts and related liabilities arising from treasury, depository and cash management services or in connection with any automated clearing-house transfers of funds;</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in respect of (1) letters of credit, bank guarantees and similar instruments issued for the account of, and (2) lines of credit established for the account of, the Company or any Subsidiary, in the case of each of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xml:space="preserve"> in the ordinary course of business supporting or drawn to support, as applicable, obligations under (i) workers’ compensation, health, disability or other employee benefits, casualty or liability insurance, unemployment insurance and other social security laws and local state and federal payroll taxes, (ii) obligations in connection with self-insurance arrangements in the ordinary course of business and (iii) bids, trade contracts, leases, statutory obligations, surety and appeal bonds, performance and reclamation bonds and obligations of a like nature;</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consisting of (i) client advances or deposits received in the ordinary course of business and (ii) obligations in respect of Repurchase Agreements;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of the Company or any Subsidiary in the form of purchase price adjustments (including in respect of working capital), earnouts, deferred compensation, indemnification or other arrangements representing acquisition consideration or deferred payments of a similar nature incurred in connection with any Permitted Acquisition or other Investments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or Dispositions permitted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Indebtedness of Foreign Subsidiaries and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permitted by this </w:t>
      </w:r>
      <w:r>
        <w:rPr>
          <w:rFonts w:ascii="Times New Roman" w:cs="Times New Roman" w:eastAsia="Times New Roman" w:hAnsi="Times New Roman"/>
          <w:sz w:val="20"/>
          <w:szCs w:val="20"/>
          <w:u w:val="single" w:color="auto"/>
          <w:color w:val="auto"/>
        </w:rPr>
        <w:t>clause (m)</w:t>
      </w:r>
      <w:r>
        <w:rPr>
          <w:rFonts w:ascii="Times New Roman" w:cs="Times New Roman" w:eastAsia="Times New Roman" w:hAnsi="Times New Roman"/>
          <w:sz w:val="20"/>
          <w:szCs w:val="20"/>
          <w:color w:val="auto"/>
        </w:rPr>
        <w:t xml:space="preserve"> shall not exceed the greater of (x) $50,000,000 and (y) 5% of Consolidated Total Assets (at the time of incurrence);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relating to premium financing arrangements for property and casualty insurance plans and health and welfare benefit plans (including health and workers compensation insurance, employment practices liability insurance and directors and officers insurance), if incurred in the ordinary course of business;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other unsecured and Subordinated Indebtedness not otherwise described above, and Refinancing Indebtedness in respect thereof, in an aggregate principal amount at any time outstanding not in excess of the greater of (x) $50,000,000 and (y) 5% of Consolidated Total Assets;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unfunded pension fund and other employee benefit plan obligations and liabilities to the extent they are permitted to remain unfunded under applicable law;</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of the Company or any of its Subsidiaries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in respect to judgments or awards under circumstances not giving rise to an Event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in respect of obligations that are being contested in accordance with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representing deferred compensation, severance, pension, and health and welfare retirement benefits or the equivalent to current and former employees of the Company and its Subsidiaries incurred in the ordinary course of business or existing on the Effective Date; and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Indebtedness consisting of promissory notes issued by the Company or any Subsidiary to present or former employees, officers, directors or consultants (or their estates or beneficiaries under their estates) to finance the purchase or redemption of Equity Interests of the Company permitted by </w:t>
      </w:r>
      <w:r>
        <w:rPr>
          <w:rFonts w:ascii="Arial" w:cs="Arial" w:eastAsia="Arial" w:hAnsi="Arial"/>
          <w:sz w:val="21"/>
          <w:szCs w:val="21"/>
          <w:u w:val="single" w:color="auto"/>
          <w:color w:val="auto"/>
        </w:rPr>
        <w:t>‎</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in the event that an item of Indebtedness (or any portion thereof) meets the criteria of more than one of the categories of permitted Indebtedness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above, the Company, in its sole discretion, will be permitted to divide and classify such item of Indebtedness (or any portion thereof) on the date of incurrence, and at any time and from time to time may later reclassify all or any portion of any item of Indebtedness as having been incurred under any category of permitted Indebtedness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above so long as such Indebtedness is permitted to be incurred pursuant to such provision at the time of reclassification.</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SECTION 6.02.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Liens created under the Loan Documents and (ii) Lien on Collateral of the Loan Parties securing Indebtedness incurred pursuant to </w:t>
      </w:r>
      <w:r>
        <w:rPr>
          <w:rFonts w:ascii="Times New Roman" w:cs="Times New Roman" w:eastAsia="Times New Roman" w:hAnsi="Times New Roman"/>
          <w:sz w:val="20"/>
          <w:szCs w:val="20"/>
          <w:u w:val="single" w:color="auto"/>
          <w:color w:val="auto"/>
        </w:rPr>
        <w:t>Section 6.01(a)(ii)</w:t>
      </w:r>
      <w:r>
        <w:rPr>
          <w:rFonts w:ascii="Times New Roman" w:cs="Times New Roman" w:eastAsia="Times New Roman" w:hAnsi="Times New Roman"/>
          <w:sz w:val="20"/>
          <w:szCs w:val="20"/>
          <w:color w:val="auto"/>
        </w:rPr>
        <w:t xml:space="preserve"> (which Liens shall be subject to an Intercreditor Agreement and, to the extent on ABL Priority Collateral, shall be junior to the Liens securing the Secured Obligations);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Permitted Encumbrances;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Lien on any asset of the Company or any Subsidiary existing on the Effective Date and set forth on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asset of the Company or any Subsidiary other than (A) after-acquired property that is affixed or incorporated into the property covered by such Lien or financed by Indebtedness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(B) proceeds and products thereof and (ii) such Lien shall secure only those obligations that it secures on the Effective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as Refinancing Indebtedness in respect thereof;</w:t>
      </w:r>
    </w:p>
    <w:p>
      <w:pPr>
        <w:spacing w:after="0" w:line="19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Lien existing on any asset prior to the acquisition thereof by the Company or any Subsidiary or existing on any asset of any Person that becomes a Subsidiary (or of any Person not previously a Subsidiary that is merged or consolidated with or into a Subsidiary in a transaction permitted hereunder) after the Effective Date prior to the time such Person becomes a Subsidiary (or is so merged or consolidated);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Subsidiary (or such merger or consolidation), (ii) such Lien shall not apply to any other asset of the Company or any Subsidiary (other than (A) the proceeds or products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1" w:name="page112"/>
    <w:bookmarkEnd w:id="111"/>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such assets, (B)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(C) in the case of any such merger or consolidation, the assets of any Subsidiary without significant assets that was formed solely for the purpose of effecting such acquisition) and (iii) such Lien shall secure only those obligations that it secures on the date of such acquisition or the date such Person becomes a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Times New Roman" w:cs="Times New Roman" w:eastAsia="Times New Roman" w:hAnsi="Times New Roman"/>
          <w:sz w:val="20"/>
          <w:szCs w:val="20"/>
          <w:u w:val="single" w:color="auto"/>
          <w:color w:val="auto"/>
        </w:rPr>
        <w:t>Section 6.01(g)</w:t>
      </w:r>
      <w:r>
        <w:rPr>
          <w:rFonts w:ascii="Times New Roman" w:cs="Times New Roman" w:eastAsia="Times New Roman" w:hAnsi="Times New Roman"/>
          <w:sz w:val="20"/>
          <w:szCs w:val="20"/>
          <w:color w:val="auto"/>
        </w:rPr>
        <w:t xml:space="preserve"> as Refinancing Indebtedness in respect thereof;</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on fixed or capital assets acquired, constructed or improved (including any such assets made the subject of a Finance Lease Obligation incurred) by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secure Indebtedness incurred to finance such acquisition, construction or improvement and permitted by </w:t>
      </w:r>
      <w:r>
        <w:rPr>
          <w:rFonts w:ascii="Times New Roman" w:cs="Times New Roman" w:eastAsia="Times New Roman" w:hAnsi="Times New Roman"/>
          <w:sz w:val="20"/>
          <w:szCs w:val="20"/>
          <w:u w:val="single" w:color="auto"/>
          <w:color w:val="auto"/>
        </w:rPr>
        <w:t>clause (f)(i)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any Refinancing Indebtedness in respect thereof permitted by </w:t>
      </w:r>
      <w:r>
        <w:rPr>
          <w:rFonts w:ascii="Times New Roman" w:cs="Times New Roman" w:eastAsia="Times New Roman" w:hAnsi="Times New Roman"/>
          <w:sz w:val="20"/>
          <w:szCs w:val="20"/>
          <w:u w:val="single" w:color="auto"/>
          <w:color w:val="auto"/>
        </w:rPr>
        <w:t>clause (f)(ii)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(ii) such Liens shall not apply to any other assets (except for replacements, additions and accessions to such assets) of the Company or any Subsidiary, other than the proceeds and products of such fixed or capital assets;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individual financings of equipment provided by one lender may be cross collateralized to other financings of equipment provided by such lender;</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connection with the sale or transfer of any Equity Interests or other assets in a transaction permitted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customary rights and restrictions contained in agreements relating to such sale or transfer pending the completion thereof;</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the case of (i) any Subsidiary that is not a wholly-owned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Lien on assets of any Foreign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Collateral (including any Equity Interests in any Subsidiary that constitute Collateral) or any other assets of the Company or any other Loan Party and (ii) such Lien shall secure only Indebtedness or other obligations of such Foreign Subsidiary permitted hereunder;</w:t>
      </w:r>
    </w:p>
    <w:p>
      <w:pPr>
        <w:spacing w:after="0" w:line="18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(i)</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Liens solely on any cash earnest money deposits, escrow arrangements or similar arrangements made by the Company or any Subsidiary in connection with any letter of intent or purchase agreement for a Permitted Acquisition or other transaction permitted hereunder;</w:t>
      </w:r>
    </w:p>
    <w:p>
      <w:pPr>
        <w:spacing w:after="0" w:line="15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granted (i) by a Subsidiary that is not a Loan Party in respect of Indebtedness permitted to be incurred under </w:t>
      </w:r>
      <w:r>
        <w:rPr>
          <w:rFonts w:ascii="Times New Roman" w:cs="Times New Roman" w:eastAsia="Times New Roman" w:hAnsi="Times New Roman"/>
          <w:sz w:val="20"/>
          <w:szCs w:val="20"/>
          <w:u w:val="single" w:color="auto"/>
          <w:color w:val="auto"/>
        </w:rPr>
        <w:t>Section 6.01(c)</w:t>
      </w:r>
      <w:r>
        <w:rPr>
          <w:rFonts w:ascii="Times New Roman" w:cs="Times New Roman" w:eastAsia="Times New Roman" w:hAnsi="Times New Roman"/>
          <w:sz w:val="20"/>
          <w:szCs w:val="20"/>
          <w:color w:val="auto"/>
        </w:rPr>
        <w:t xml:space="preserve"> and (ii) by any Subsidiary in favor of any Loan Party;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securing judgments for the payment of money not constituting an Event of Default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other Liens securing Indebtedness or other obligations in an aggregate principal amount not to exceed the greater of (x) $30,000,000 and (y) 3% of Consolidated Total Assets at any time outstanding;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2" w:name="page113"/>
    <w:bookmarkEnd w:id="112"/>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arising out of any conditional sale, title retention, consignment or other similar arrangements for the sale of goods entered into by the Company or any Subsidiary in the ordinary course of business;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securing Indebtedness permitted hereunder to finance insurance premiums solely to the extent of such premiums;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encumbering reasonable customary initial deposits and margin deposits and similar Liens attaching to commodity trading accounts or other brokerage accounts incurred in the ordinary course of business and not for speculative purposes;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that are contractual rights of set-off or rights of pledge (i) relating to the establishment of depository relations with banks not given in connection with the issuance of Indebtedness, (ii) relating to pooled deposit or sweep accounts of the Company or any Subsidiary to permit satisfaction of overdraft or similar obligations incurred in the ordinary course of business of the or (3) relating to purchase orders and other agreements entered into with customers of the Company or any of Subsidiary in the ordinary course of business;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Liens deemed to exist in connection with Investments in repurchase agreements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modification, replacement, renewal or extension of any Lien permitted by </w:t>
      </w:r>
      <w:r>
        <w:rPr>
          <w:rFonts w:ascii="Times New Roman" w:cs="Times New Roman" w:eastAsia="Times New Roman" w:hAnsi="Times New Roman"/>
          <w:sz w:val="20"/>
          <w:szCs w:val="20"/>
          <w:u w:val="single" w:color="auto"/>
          <w:color w:val="auto"/>
        </w:rPr>
        <w:t>clauses</w:t>
      </w:r>
      <w:r>
        <w:rPr>
          <w:rFonts w:ascii="Times New Roman" w:cs="Times New Roman" w:eastAsia="Times New Roman" w:hAnsi="Times New Roman"/>
          <w:sz w:val="20"/>
          <w:szCs w:val="20"/>
          <w:color w:val="auto"/>
        </w:rPr>
        <w:t xml:space="preserve"> </w:t>
      </w:r>
      <w:r>
        <w:rPr>
          <w:rFonts w:ascii="Arial" w:cs="Arial" w:eastAsia="Arial" w:hAnsi="Arial"/>
          <w:sz w:val="21"/>
          <w:szCs w:val="21"/>
          <w:u w:val="single" w:color="auto"/>
          <w:color w:val="auto"/>
        </w:rPr>
        <w:t>‎</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Arial" w:cs="Arial" w:eastAsia="Arial" w:hAnsi="Arial"/>
          <w:sz w:val="21"/>
          <w:szCs w:val="21"/>
          <w:u w:val="single" w:color="auto"/>
          <w:color w:val="auto"/>
        </w:rPr>
        <w:t>‎</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of this </w:t>
      </w:r>
      <w:r>
        <w:rPr>
          <w:rFonts w:ascii="Arial" w:cs="Arial" w:eastAsia="Arial" w:hAnsi="Arial"/>
          <w:sz w:val="21"/>
          <w:szCs w:val="21"/>
          <w:u w:val="single" w:color="auto"/>
          <w:color w:val="auto"/>
        </w:rPr>
        <w:t>‎</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Lien does not extend to any additional property, other than (A) after-acquired property that is affixed or incorporated into the property covered by such Lien and (B) proceeds and products thereof, and (ii) the renewal, extension or refinancing of the obligations secured or benefited by such Liens is permitted by </w:t>
      </w:r>
      <w:r>
        <w:rPr>
          <w:rFonts w:ascii="Arial" w:cs="Arial" w:eastAsia="Arial" w:hAnsi="Arial"/>
          <w:sz w:val="21"/>
          <w:szCs w:val="21"/>
          <w:u w:val="single" w:color="auto"/>
          <w:color w:val="auto"/>
        </w:rPr>
        <w:t>‎</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(to the extent constituting Indebtedness); and</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(i) Liens in favor of customs and revenue authorities arising as a matter of law to secure payment of customs duties in connection with the importation of goods in the ordinary course of business and (ii)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7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(A) a Lien securing an item of Indebtedness need not be permitted solely by reference to one category of permitted Liens (or any portion thereof)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but may be permitted in part under any combination thereof and (B) in the event that a Lien securing an item of Indebtedness (or any portion thereof) meets the criteria of one or more of the categories of permitted Liens (or any portion thereof)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the Company may, in its sole discretion, classify or divide such Lien securing such item of Indebtedness (or any portion thereof) in any manner that complies with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20"/>
          <w:szCs w:val="20"/>
          <w:color w:val="auto"/>
        </w:rPr>
        <w:t>SECTION 6.03.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None of the Company or any Subsidiary will merge into or consolidate with any other Person, or permit any other Person to merge into or consolidate with it, or liquidate or dissolve, except that, if at the time thereof and immediately after giving effect thereto no Default shall have occurred and be continuing:</w:t>
      </w:r>
    </w:p>
    <w:p>
      <w:pPr>
        <w:spacing w:after="0" w:line="188" w:lineRule="exact"/>
        <w:rPr>
          <w:sz w:val="20"/>
          <w:szCs w:val="20"/>
          <w:color w:val="auto"/>
        </w:rPr>
      </w:pPr>
    </w:p>
    <w:p>
      <w:pPr>
        <w:jc w:val="both"/>
        <w:ind w:left="660" w:firstLine="648"/>
        <w:spacing w:after="0" w:line="245"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Person (other than the Company or any Subsidiary) may merge or consolidate with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or consolidation involving (A) the Company must result in the Company as the surviving entity, (B) any Borrower must result in such Borrower as the surviving entity and (C) a Loan Party must result in such Loan Party as the surviving entity or, if such Loan Party is not the surviving entity of such merger or consolidation, the Person surviving such merger or consolidation becomes a Loan Party following the consummation of such merger or consolidation in accordance with </w:t>
      </w:r>
      <w:r>
        <w:rPr>
          <w:rFonts w:ascii="Times New Roman" w:cs="Times New Roman" w:eastAsia="Times New Roman" w:hAnsi="Times New Roman"/>
          <w:sz w:val="20"/>
          <w:szCs w:val="20"/>
          <w:u w:val="single" w:color="auto"/>
          <w:color w:val="auto"/>
        </w:rPr>
        <w:t>Section 5.14(a)</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Subsidiary may merge into or consolidate with a Loan Party in a transaction in which the surviving entity is such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involving (A) the Company must result in the Company as the surviving entity and (B) a Borrower must result in such Borrower as the surviving entity);</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(iii)</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any Subsidiary that is not a Loan Party may merge into or consolidate with another Subsidiary that is not a Loan Party;</w:t>
      </w:r>
    </w:p>
    <w:p>
      <w:pPr>
        <w:spacing w:after="0" w:line="241"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Subsidiary that is not a Loan Party may liquidate, wind up or dissolve if the Company determines in good faith that such liquidation, winding up or dissolution is in the best interests of the Company and its Subsidiaries and is not materially disadvantageous to the Lenders; and</w:t>
      </w:r>
    </w:p>
    <w:p>
      <w:pPr>
        <w:spacing w:after="0" w:line="188" w:lineRule="exact"/>
        <w:rPr>
          <w:sz w:val="20"/>
          <w:szCs w:val="20"/>
          <w:color w:val="auto"/>
        </w:rPr>
      </w:pPr>
    </w:p>
    <w:p>
      <w:pPr>
        <w:jc w:val="both"/>
        <w:ind w:left="660" w:right="20" w:firstLine="648"/>
        <w:spacing w:after="0" w:line="269"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Subsidiary may liquidate, wind up or dissolve if its assets are transferred to the Company or any Loan Party or, if such Subsidiary is not a Loan Party, to any other Subsidiary.</w:t>
      </w:r>
    </w:p>
    <w:p>
      <w:pPr>
        <w:spacing w:after="0" w:line="17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No Loan Party will, nor will it permit any of its Subsidiaries to, engage to any material extent in any business substantially different from businesses of the type conducted by the Company and its Subsidiaries (taken as a whole) on the Effective Date and businesses reasonably related, ancillary, similar, complementary or synergistic thereto or reasonable extensions, development or expansion thereof.</w:t>
      </w:r>
    </w:p>
    <w:p>
      <w:pPr>
        <w:spacing w:after="0" w:line="17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 Loan Party will, nor will it permit any of its Subsidiaries to, change its fiscal year from the basis in effect on the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Loan Parties and their Subsidiaries may change their fiscal year from the basis in effect on the Effective Date, subject to such adjustments to this Agreement as the Borrower Representative and the Administrative Agent shall reasonably agree are necessary or appropriate in connection with such change (and the parties hereto hereby authorize the Borrower Representative and the Administrative Agent to make any such amendments to this Agreement as they jointly deem necessary to give effect to the foregoing).</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 Loan Party will, nor will it permit any of its Subsidiaries to, amend, modify or waive any of its rights under its certificate of incorporation, bylaws or other organizational documents, in each case to the extent such amendment, modification or waiver would be materially adverse to the Lenders.</w:t>
      </w:r>
    </w:p>
    <w:p>
      <w:pPr>
        <w:spacing w:after="0" w:line="188"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4" w:name="page115"/>
    <w:bookmarkEnd w:id="114"/>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consent of Administrative Agent as required above), each Division Successor shall be required to comply with the obligations set forth in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and the other further assurances obligations set forth in the Loan Documents and become a Loan Party under this Agreement and the other Loan Documents.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6.04. </w:t>
      </w:r>
      <w:r>
        <w:rPr>
          <w:rFonts w:ascii="Times New Roman" w:cs="Times New Roman" w:eastAsia="Times New Roman" w:hAnsi="Times New Roman"/>
          <w:sz w:val="20"/>
          <w:szCs w:val="20"/>
          <w:u w:val="single" w:color="auto"/>
          <w:color w:val="auto"/>
        </w:rPr>
        <w:t>Investments, Loans, Advances, Guarantees and Acquisitions</w:t>
      </w:r>
      <w:r>
        <w:rPr>
          <w:rFonts w:ascii="Times New Roman" w:cs="Times New Roman" w:eastAsia="Times New Roman" w:hAnsi="Times New Roman"/>
          <w:sz w:val="20"/>
          <w:szCs w:val="20"/>
          <w:color w:val="auto"/>
        </w:rPr>
        <w:t>. No Loan Party will, nor will it permit any Subsidiary to, purchase, hold, acquire (including pursuant to any merger or consolidation with any Person that was not a wholly-owned Subsidiary prior thereto), make or otherwise permit to exist any Investment in any other Person, except: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[reserved];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cash and Permitted Investments;</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Investments existing on the Effective Date in Subsidiaries and (ii) other Investments existing or contemplated on the Effective Date and set forth on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 xml:space="preserve"> and any modification, replacement, renewal, reinvestment or extension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Investment permitted pursuant to this </w:t>
      </w:r>
      <w:r>
        <w:rPr>
          <w:rFonts w:ascii="Times New Roman" w:cs="Times New Roman" w:eastAsia="Times New Roman" w:hAnsi="Times New Roman"/>
          <w:sz w:val="20"/>
          <w:szCs w:val="20"/>
          <w:u w:val="single" w:color="auto"/>
          <w:color w:val="auto"/>
        </w:rPr>
        <w:t>Section 6.04(c)</w:t>
      </w:r>
      <w:r>
        <w:rPr>
          <w:rFonts w:ascii="Times New Roman" w:cs="Times New Roman" w:eastAsia="Times New Roman" w:hAnsi="Times New Roman"/>
          <w:sz w:val="20"/>
          <w:szCs w:val="20"/>
          <w:color w:val="auto"/>
        </w:rPr>
        <w:t xml:space="preserve"> is not increased from the amount of such Investment on the Effective Date except pursuant to the terms of such Investment as of the Effective Date or as otherwise permitted by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additional Investments by the Company in any Loan Party and by any Loan Party in the Company or in another Loan Party, and (ii) Investments (including by way of capital contributions) by the Company and the Subsidiaries in Equity Interests in their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the case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that (x) any such Equity Interests held by the Company or any Loan Party shall be pledged in accordance with the requirements of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and (y) the aggregate amount of Investments made by the Company or any Loan Party in any Subsidiary that is not a Loan Party in reliance on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when combined with the aggregate amount of Guarantees made by the Company or any Loan Party of Indebtedness (excluding, for the avoidance of doubt, Guarantees of obligations not constituting Indebtedness) of any Subsidiary that is not a Loan Party in reliance on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below, shall not exceed the greater of (x) $30,000,000 and (y) 3% of Consolidated Total Assets (at the time made);</w:t>
      </w:r>
    </w:p>
    <w:p>
      <w:pPr>
        <w:spacing w:after="0" w:line="20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Guarantees by the Company or any Subsidiary of Indebtedness or other obligations of the Company or any Subsidiary (including any such Guarantees arising as a result of any such Person being a joint and several co-applicant with respect to any letter of credit or letter of guaranty);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such Guarantee of Subordinated Indebtedness is subordinated to the Secured Obligations on terms no less favorable to the Lenders than those of the Subordinated Indebtedness, (ii) any such Guarantee constituting Indebtedness is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thereof) and (iii) the aggregate amount of Guarantees made by the Company or any Loan Party of Indebtedness (excluding, for the avoidance of doubt, Guarantees of obligations not constituting Indebtedness) of any Subsidiary that is not a Loan Party in reliance on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when combined with the aggregate amount of Investments made by the Company or any Loan Party in any Subsidiary that is not a Loan Party in reliance on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above, shall not exceed the greater of (x) $30,000,000 and (y) 3% of Consolidated Total Assets (at the time made);</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loans, advances or other extensions of credit to officers, directors and employees of the Company or any Subsidiary (i) to finance the purchase of Equity Interests of the Company pursuant to employee plans, (ii) for reasonable and customary business-related travel, entertainment, and moving and relocation, business machines or supplies, automobiles and other similar expenses and advances, in each case incurred in the ordinary course of business, and (iii) for purposes not described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in an aggregate principal amount outstanding at any time under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not to exceed $5,000,000;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5" w:name="page116"/>
    <w:bookmarkEnd w:id="115"/>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received in connection with the bankruptcy or reorganization of, or settlement of delinquent accounts and disputes with, customers and suppliers, or consisting of securities acquired in connection with the satisfaction or enforcement of claims due or owing to the Company or any Subsidiary, in each case in the ordinary course of business or upon the foreclosure with respect to any secured Investment or other transfer of title with respect to any secured Investment;</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Permitted Acquisitions (including any intercompany investments, loans and advances used to consummate Permitted Acquisitions);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Payment Condition shall be satisfied with respect to such Acquisition;</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held by a Subsidiary acquired after the Effective Date or of a Person merged or consolidated with or into the Company or a Subsidiary after the Effective Date, in each case as permitted hereunder, to the extent that such Investments were not made in contemplation of or in connection with such acquisition, merger or consolidation and were in existence on the date of such acquisition, merger or consolidation;</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constituting, or made as a result of the receipt of noncash consideration from a sale, transfer, lease or other disposition of any asset in compliance with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by the Company or any Subsidiary that result solely from the receipt by the Company or such Subsidiary from any of its subsidiaries of a dividend or other Restricted Payment in the form of Equity Interests, evidences of Indebtedness or other securities (but not any additions thereto made after the date of the receipt thereof);</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in the form of Swap Agreements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Investments by Foreign Subsidiaries in other Foreign Subsidiaries or by any Subsidiary that is not a Loan Party in any other Subsidiary that is not a Loan Party;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constituting deposits described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consisting of (i) extensions of trade credit, (ii) deposits made in connection with the purchase of goods or services or the performance of leases, licenses or contracts, in each case, in the ordinary course of business, (iii) notes receivable of, or prepaid royalties and other extensions of credit to, customers and suppliers that are not Affiliates of the Company and that are made in the ordinary course of business, (iv) Guarantees made in the ordinary course of business in support of obligations of the Company or any of its Subsidiaries not constituting Indebtedness for borrowed money, including operating leases and obligations owing to suppliers, customers and licensees and (v) loans, advances or other extensions of credit to one or more customers by the Company or any Subsidiary pursuant to arm’s-length terms (or terms otherwise acceptable to the Administrative Agent in its reasonable discretion) in order to finance such customer’s purchase of chassis that are used by the Company or any Subsidiary to manufacture recreational vehicles for such customer;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such loans, advances and extensions of credit outstanding at any time in reliance on this </w:t>
      </w:r>
      <w:r>
        <w:rPr>
          <w:rFonts w:ascii="Times New Roman" w:cs="Times New Roman" w:eastAsia="Times New Roman" w:hAnsi="Times New Roman"/>
          <w:sz w:val="20"/>
          <w:szCs w:val="20"/>
          <w:u w:val="single" w:color="auto"/>
          <w:color w:val="auto"/>
        </w:rPr>
        <w:t>clause (o)(v)</w:t>
      </w:r>
      <w:r>
        <w:rPr>
          <w:rFonts w:ascii="Times New Roman" w:cs="Times New Roman" w:eastAsia="Times New Roman" w:hAnsi="Times New Roman"/>
          <w:sz w:val="20"/>
          <w:szCs w:val="20"/>
          <w:color w:val="auto"/>
        </w:rPr>
        <w:t xml:space="preserve"> shall not exceed $30,000,000;</w:t>
      </w:r>
    </w:p>
    <w:p>
      <w:pPr>
        <w:spacing w:after="0" w:line="20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mergers and consolidations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that do not involve any Person other than the Company and Subsidiaries that are wholly-owned Subsidiaries;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to the extent constituting Investments, intercompany loans or other intercompany Investments made by Loan Parties in the ordinary course of business to or in any Foreign Subsidiary to</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6" w:name="page117"/>
    <w:bookmarkEnd w:id="116"/>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provide funds as necessary to enable the applicable Foreign Subsidiary to comply with changes in statutory or contractual capital requirements (other than any contractual requirement that constitutes a Guarantee);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consisting of Guarantees in the ordinary course of business to support the obligations of any Subsidiary under its worker’s compensation and general insurance agreements;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the Company’s entry into (including payments of premiums in connection therewith), and the performance of obligations under, Permitted Call Spread Swap Agreements in accordance with their terms;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in joint ventures of the Company or any Subsidiary, taken together with all other Investments made pursuant to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Arial" w:cs="Arial" w:eastAsia="Arial" w:hAnsi="Arial"/>
          <w:sz w:val="21"/>
          <w:szCs w:val="21"/>
          <w:u w:val="single" w:color="auto"/>
          <w:color w:val="auto"/>
        </w:rPr>
        <w:t>‎</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that are at that time outstanding, not to exceed the greater of (x) $50,000,000 and (y) 5% of Consolidated Total Assets (in each case, determined on the date such Investment is made, with the fair market value of each Investment being measured at the time made and without giving effect to subsequent changes in value);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advances of payroll payments to employees in the ordinary course of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to the extent that payment for such Investments is made solely with Equity Interests (other than Disqualified Equity Interests) of the Company;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forgiveness or conversion to equity of any Indebtedness owed by the Company or any Subsidiary and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(x)</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(y)</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arising as a result of Sale and Leaseback Transactions;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(z)</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Investments in any Term Loans/Notes in accordance with any Term Loans/Notes Agreement (as in effect on the date of entry thereto so long as the entry thereto was permitted by the terms of the Loan Documents);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[reserved];</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(bb)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Investments consisting of the acquisition of real property (and any improvements thereon) located at, and commonly known as, 11333 CR2, Middlebury, Indiana 46540 and Vacant Land, CR2, Middlebury, Indiana 46540, pursuant to the exercise by Grand Design of its right of first offer to purchase such property pursuant to the terms of each Lease Agreement, dated as of the date hereof, by and between Three Oaks, LLC, as landlord, and Grand Design, as tenant (or such other terms as may be reasonably acceptable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both immediately before and immediately after giving pro forma effect to any such Investment pursuant to this </w:t>
      </w:r>
      <w:r>
        <w:rPr>
          <w:rFonts w:ascii="Times New Roman" w:cs="Times New Roman" w:eastAsia="Times New Roman" w:hAnsi="Times New Roman"/>
          <w:sz w:val="20"/>
          <w:szCs w:val="20"/>
          <w:u w:val="single" w:color="auto"/>
          <w:color w:val="auto"/>
        </w:rPr>
        <w:t>clause (bb)</w:t>
      </w:r>
      <w:r>
        <w:rPr>
          <w:rFonts w:ascii="Times New Roman" w:cs="Times New Roman" w:eastAsia="Times New Roman" w:hAnsi="Times New Roman"/>
          <w:sz w:val="20"/>
          <w:szCs w:val="20"/>
          <w:color w:val="auto"/>
        </w:rPr>
        <w:t xml:space="preserve">, no Event of Default shall have occurred and be continuing and (ii) the aggregate amount of Investments permitted in reliance on this </w:t>
      </w:r>
      <w:r>
        <w:rPr>
          <w:rFonts w:ascii="Times New Roman" w:cs="Times New Roman" w:eastAsia="Times New Roman" w:hAnsi="Times New Roman"/>
          <w:sz w:val="20"/>
          <w:szCs w:val="20"/>
          <w:u w:val="single" w:color="auto"/>
          <w:color w:val="auto"/>
        </w:rPr>
        <w:t>clause (bb)</w:t>
      </w:r>
      <w:r>
        <w:rPr>
          <w:rFonts w:ascii="Times New Roman" w:cs="Times New Roman" w:eastAsia="Times New Roman" w:hAnsi="Times New Roman"/>
          <w:sz w:val="20"/>
          <w:szCs w:val="20"/>
          <w:color w:val="auto"/>
        </w:rPr>
        <w:t xml:space="preserve"> shall not exceed $20,000,000 (at the time made); and</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any other Investments (including Acquisitions) whether or not of a type described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both immediately before and immediately after giving pro forma effect to any such Investment pursuant to this </w:t>
      </w:r>
      <w:r>
        <w:rPr>
          <w:rFonts w:ascii="Times New Roman" w:cs="Times New Roman" w:eastAsia="Times New Roman" w:hAnsi="Times New Roman"/>
          <w:sz w:val="20"/>
          <w:szCs w:val="20"/>
          <w:u w:val="single" w:color="auto"/>
          <w:color w:val="auto"/>
        </w:rPr>
        <w:t>clause (cc)</w:t>
      </w:r>
      <w:r>
        <w:rPr>
          <w:rFonts w:ascii="Times New Roman" w:cs="Times New Roman" w:eastAsia="Times New Roman" w:hAnsi="Times New Roman"/>
          <w:sz w:val="20"/>
          <w:szCs w:val="20"/>
          <w:color w:val="auto"/>
        </w:rPr>
        <w:t xml:space="preserve">, no Event of Default shall have occurred and be continuing and the Payment Condition shall be satisfied with respect to such Investment and (ii) any Acquisitions made pursuant to this </w:t>
      </w:r>
      <w:r>
        <w:rPr>
          <w:rFonts w:ascii="Times New Roman" w:cs="Times New Roman" w:eastAsia="Times New Roman" w:hAnsi="Times New Roman"/>
          <w:sz w:val="20"/>
          <w:szCs w:val="20"/>
          <w:u w:val="single" w:color="auto"/>
          <w:color w:val="auto"/>
        </w:rPr>
        <w:t>clause (cc)</w:t>
      </w:r>
      <w:r>
        <w:rPr>
          <w:rFonts w:ascii="Times New Roman" w:cs="Times New Roman" w:eastAsia="Times New Roman" w:hAnsi="Times New Roman"/>
          <w:sz w:val="20"/>
          <w:szCs w:val="20"/>
          <w:color w:val="auto"/>
        </w:rPr>
        <w:t xml:space="preserve"> must constitute a Permitted Acquisition.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7" w:name="page118"/>
    <w:bookmarkEnd w:id="117"/>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the foregoing, any Acquisition made in reliance on any provision of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must satisfy the requirements of a Permitted Acquisition.</w:t>
      </w:r>
    </w:p>
    <w:p>
      <w:pPr>
        <w:spacing w:after="0" w:line="1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Notwithstanding anything contrary set forth above, if any Investment is denominated in a foreign currency, no fluctuation in currency values shall result in a breach of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in the event that an Investment (or any portion thereof) meets the criteria of more than one of the categories of permitted Investments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(cc)</w:t>
      </w:r>
      <w:r>
        <w:rPr>
          <w:rFonts w:ascii="Times New Roman" w:cs="Times New Roman" w:eastAsia="Times New Roman" w:hAnsi="Times New Roman"/>
          <w:sz w:val="20"/>
          <w:szCs w:val="20"/>
          <w:color w:val="auto"/>
        </w:rPr>
        <w:t xml:space="preserve"> above, the Company and the Subsidiaries, in their sole discretion, will be permitted to divide and classify such Investment (or any portion thereof) on the date of incurrence, and at any time and from time to time may later reclassify all or any portion of any Investment as having been incurred under any category of permitted Investments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(cc)</w:t>
      </w:r>
      <w:r>
        <w:rPr>
          <w:rFonts w:ascii="Times New Roman" w:cs="Times New Roman" w:eastAsia="Times New Roman" w:hAnsi="Times New Roman"/>
          <w:sz w:val="20"/>
          <w:szCs w:val="20"/>
          <w:color w:val="auto"/>
        </w:rPr>
        <w:t xml:space="preserve"> above so long as such Investment is permitted to be incurred pursuant to such provision at the time of reclassification. For the avoidance of doubt, an Investment entered into in reliance on </w:t>
      </w:r>
      <w:r>
        <w:rPr>
          <w:rFonts w:ascii="Times New Roman" w:cs="Times New Roman" w:eastAsia="Times New Roman" w:hAnsi="Times New Roman"/>
          <w:sz w:val="20"/>
          <w:szCs w:val="20"/>
          <w:u w:val="single" w:color="auto"/>
          <w:color w:val="auto"/>
        </w:rPr>
        <w:t>clause (cc)</w:t>
      </w:r>
      <w:r>
        <w:rPr>
          <w:rFonts w:ascii="Times New Roman" w:cs="Times New Roman" w:eastAsia="Times New Roman" w:hAnsi="Times New Roman"/>
          <w:sz w:val="20"/>
          <w:szCs w:val="20"/>
          <w:color w:val="auto"/>
        </w:rPr>
        <w:t xml:space="preserve"> above that was permitted at the time entered into shall continue to be permitted under such clause notwithstanding any failure to satisfy the Payment Condition (or any other condition in such clause) at a later date with respect to any subsequent Investment.</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purposes of determining the amount of any Investment outstanding, such amount shall be deemed to be the amount of such Investment when made, purchased or acquired (without adjustment for subsequent increases or decreases in the value of such Investment) less any amount realized in respect of such Investment upon the sale, collection or return of capital (not to exceed the original amount invested.</w:t>
      </w:r>
    </w:p>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SECTION 6.05.</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 xml:space="preserve">. No Loan Party will, nor will it permit any Subsidiary to, sell, transfer, lease or otherwise dispose of any asset, including any Equity Interest owned by it, nor will any Subsidiary issue any additional Equity Interest in such Subsidiary (other than issuing directors’ qualifying shares and other than issuing Equity Interests to the Company or another Subsidiary in compliance with </w:t>
      </w:r>
      <w:r>
        <w:rPr>
          <w:rFonts w:ascii="Times New Roman" w:cs="Times New Roman" w:eastAsia="Times New Roman" w:hAnsi="Times New Roman"/>
          <w:sz w:val="20"/>
          <w:szCs w:val="20"/>
          <w:u w:val="single" w:color="auto"/>
          <w:color w:val="auto"/>
        </w:rPr>
        <w:t>Section 6.04(d)</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except:</w:t>
      </w:r>
    </w:p>
    <w:p>
      <w:pPr>
        <w:spacing w:after="0" w:line="19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Dispositions of (i) inventory or goods held for sale (including, for the avoidance of doubt, such Dispositions made by the Company or any other Loan Party to Subsidiaries that are not Loan Parties, so long as such Dispositions are at prices and on terms and conditions at least substantially as favorable to the Company or such Loan Party as those that could be obtained at the time in a comparable arm’s-length transaction with a Person that is not a Subsidiary), (ii) immaterial assets (including allowing any registrations or any applications for registration of any immaterial intellectual property to lapse or go abandoned in the ordinary course of business), (iii) used, obsolete, damaged or surplus property or equipment, whether now owned or hereafter acquired, and (iv) cash and Permitted Investments, in each case in the ordinary course of business;</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Dispositions to the Company or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Disposition to a Subsidiary that is not a Loan Party (i) shall be made in compliance with </w:t>
      </w:r>
      <w:r>
        <w:rPr>
          <w:rFonts w:ascii="Times New Roman" w:cs="Times New Roman" w:eastAsia="Times New Roman" w:hAnsi="Times New Roman"/>
          <w:sz w:val="20"/>
          <w:szCs w:val="20"/>
          <w:u w:val="single" w:color="auto"/>
          <w:color w:val="auto"/>
        </w:rPr>
        <w:t>Sections 6.04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6.08</w:t>
      </w:r>
      <w:r>
        <w:rPr>
          <w:rFonts w:ascii="Times New Roman" w:cs="Times New Roman" w:eastAsia="Times New Roman" w:hAnsi="Times New Roman"/>
          <w:sz w:val="20"/>
          <w:szCs w:val="20"/>
          <w:color w:val="auto"/>
        </w:rPr>
        <w:t xml:space="preserve"> if and to the extent applicable and (ii) shall not, in the case of any Disposition by the Company or any other Loan Party to Subsidiaries that are not Loan Parties in any fiscal year that are not made as Investments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involve assets having an aggregate fair market value for all such assets so Disposed in such fiscal year in excess of $15,000,000;</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Dispositions of accounts receivable in connection with the compromise, settlement or collection thereof in the ordinary course of business consistent with past practice and not as part of any accounts receivables financing transaction;</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to the extent constituting Dispositions, transactions permitted by </w:t>
      </w:r>
      <w:r>
        <w:rPr>
          <w:rFonts w:ascii="Times New Roman" w:cs="Times New Roman" w:eastAsia="Times New Roman" w:hAnsi="Times New Roman"/>
          <w:sz w:val="20"/>
          <w:szCs w:val="20"/>
          <w:u w:val="single" w:color="auto"/>
          <w:color w:val="auto"/>
        </w:rPr>
        <w:t>Sections 6.01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6.03</w:t>
      </w:r>
      <w:r>
        <w:rPr>
          <w:rFonts w:ascii="Times New Roman" w:cs="Times New Roman" w:eastAsia="Times New Roman" w:hAnsi="Times New Roman"/>
          <w:sz w:val="20"/>
          <w:szCs w:val="20"/>
          <w:color w:val="auto"/>
        </w:rPr>
        <w:t>, (ii) Dispositions of assets to the extent that such Disposition constitutes an Investment referred to in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8" w:name="page119"/>
    <w:bookmarkEnd w:id="118"/>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(iii) Dispositions of assets to the extent that such Disposition constitute a Restricted Payment referred to in and permitted by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Sale and Leaseback Transactions permitted by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Licenses, leases or subleases entered into in the ordinary course of business, including in connection with effectuating any tax subsidy arrangement, including a payment-in-lieu of taxes arrangement, to the extent that they do not materially interfere with the business of the Company or any Subsidiary;</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Licenses or sublicenses of intellectual property in the ordinary course of business, to the extent that they do not materially interfere with the business of the Company or any Subsidiary;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asset of any of the Company or any Subsidiary;</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Dispositions of assets (including as a result of like-kind exchanges) to the extent that (i) 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Dispositions of Investments in joint ventures to the extent required by, or made pursuant to customary buy/sell arrangements between, the joint venture parties set forth in joint venture arrangements;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abandonment, cancellation, non-renewal or discontinuance of use or maintenance of non-material intellectual property or rights relating thereto (including registrations and applications for registration) that the Company determines in its reasonable judgment to be desirable to the conduct of its business and not materially disadvantageous to the interests of the Lenders;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Dispositions of assets acquired pursuant to or in order to effectuate a Permitted Acquisition which assets are not used or useful to the core or principal business of the Company and its Subsidiaries in an aggregate amount not to exceed 30% of the aggregate consideration in respect of such Permitted Acquisition;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Dispositions of assets that the Company determines in its reasonable judgment to be no longer used or useful in the conduct of the business of the Company or any Subsidiary outside the ordinary course of business (and for consideration complying with the requirements applicable to Dispositions pursuant to </w:t>
      </w:r>
      <w:r>
        <w:rPr>
          <w:rFonts w:ascii="Times New Roman" w:cs="Times New Roman" w:eastAsia="Times New Roman" w:hAnsi="Times New Roman"/>
          <w:sz w:val="20"/>
          <w:szCs w:val="20"/>
          <w:u w:val="single" w:color="auto"/>
          <w:color w:val="auto"/>
        </w:rPr>
        <w:t>clause (s)</w:t>
      </w:r>
      <w:r>
        <w:rPr>
          <w:rFonts w:ascii="Times New Roman" w:cs="Times New Roman" w:eastAsia="Times New Roman" w:hAnsi="Times New Roman"/>
          <w:sz w:val="20"/>
          <w:szCs w:val="20"/>
          <w:color w:val="auto"/>
        </w:rPr>
        <w:t xml:space="preserve"> below) in an aggregate amount not to exceed $20,000,000;</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any swap of assets in exchange for services or other assets of comparable or greater value or usefulness to the business of the Company and the Subsidiaries as a whole, as determined in good faith by the Company;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unwinding of any Swap Contract pursuant to its terms;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20"/>
          <w:szCs w:val="20"/>
          <w:color w:val="auto"/>
        </w:rPr>
        <w:t>(q)</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sales or other issuances of Equity Interests in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(r)</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Dispositions contemplated as of the Effective Date and listed on </w:t>
      </w:r>
      <w:r>
        <w:rPr>
          <w:rFonts w:ascii="Times New Roman" w:cs="Times New Roman" w:eastAsia="Times New Roman" w:hAnsi="Times New Roman"/>
          <w:sz w:val="20"/>
          <w:szCs w:val="20"/>
          <w:u w:val="single" w:color="auto"/>
          <w:color w:val="auto"/>
        </w:rPr>
        <w:t>Schedule 6.05</w:t>
      </w:r>
      <w:r>
        <w:rPr>
          <w:rFonts w:ascii="Times New Roman" w:cs="Times New Roman" w:eastAsia="Times New Roman" w:hAnsi="Times New Roman"/>
          <w:sz w:val="20"/>
          <w:szCs w:val="20"/>
          <w:color w:val="auto"/>
        </w:rPr>
        <w:t>; and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(s)</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any other Disposition of assets (including Equity Interests);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the total fair market value of the assets subject to any such Disposition or series of related Dispositions is in excess of $15,000,000, it shall be for fair market value (or if not for fair market value, the shortfall is permitted as and treated as an Investment under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(ii) at least 75% of the total consideration for any such Disposition in excess of $20,000,000 received by the Company and its Subsidiaries is in the form of cash or Permitted Investments, (iii) no Default or Event of Default then exists or would result after giving effect (including pro forma effect) thereto (except if such Disposition is made pursuant to an agreement entered into at a time when no Default or Event of Default exists) and (iv) if the Dispositions since the delivery of the most recent Borrowing Base Certificates results (on a pro forma basis) in a reduction of 10% or more of the Aggregate Borrowing Base (based on the most recent Borrowing Base Certificates delivered to the Administrative Agent), the Borrower Representative shall be required to deliver an updated Aggregate Borrowing Base Certificate, together with an updated Borrowing Base Certificate for each Borrower,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for purposes of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above, the following shall be deemed to be cash:</w:t>
      </w:r>
    </w:p>
    <w:p>
      <w:pPr>
        <w:spacing w:after="0" w:line="5" w:lineRule="exact"/>
        <w:rPr>
          <w:sz w:val="20"/>
          <w:szCs w:val="20"/>
          <w:color w:val="auto"/>
        </w:rPr>
      </w:pPr>
    </w:p>
    <w:p>
      <w:pPr>
        <w:jc w:val="both"/>
        <w:ind w:firstLine="8"/>
        <w:spacing w:after="0"/>
        <w:tabs>
          <w:tab w:leader="none" w:pos="325"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liabilities (as shown on the Company’s or such Subsidiary’s most recent balance sheet provided hereunder or in the footnotes thereto) of the Company or such Subsidiary (other than liabilities that are by their terms subordinated to the Obligations) that are assumed by the transferee with respect to the applicable Disposition and for which the Company and its Subsidiaries shall have been validly released by all applicable creditors in writing, (B) any securities received by the Company or such Subsidiary from such transferee that are converted by the Company or such Subsidiary into cash or Permitted Investments (to the extent of the cash or Permitted Investments received in the conversion) within one hundred eighty (180) days following the closing of the applicable Disposition and (C) aggregate non-cash consideration received by the Company or such Subsidiary having an aggregate fair market value (determined in good faith by the Company as of the closing of the applicable Disposition for which such non-cash consideration is received and without giving effect to subsequent changes in value) not to exceed the greater of (x) $30,000,000 and (y) 3% of Consolidated Total Assets at any time since the Effective Date (net of any non-cash consideration converted into cash and Permitted Investments).</w:t>
      </w:r>
    </w:p>
    <w:p>
      <w:pPr>
        <w:spacing w:after="0" w:line="20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SECTION 6.06.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Sale and Leaseback Transactions</w:t>
      </w:r>
      <w:r>
        <w:rPr>
          <w:rFonts w:ascii="Times New Roman" w:cs="Times New Roman" w:eastAsia="Times New Roman" w:hAnsi="Times New Roman"/>
          <w:sz w:val="20"/>
          <w:szCs w:val="20"/>
          <w:color w:val="auto"/>
        </w:rPr>
        <w:t xml:space="preserve">. No Loan Party will, nor will it permit any Subsidiary to, enter into any Sale and Leaseback Transaction unless (a) any Finance Lease Obligations arising in connection therewith are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(b) any Liens arising in connection therewith (including Liens deemed to arise in connection with any such Finance Lease Obligations) are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SECTION 6.07.</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Swap Agreements</w:t>
      </w:r>
      <w:r>
        <w:rPr>
          <w:rFonts w:ascii="Times New Roman" w:cs="Times New Roman" w:eastAsia="Times New Roman" w:hAnsi="Times New Roman"/>
          <w:sz w:val="19"/>
          <w:szCs w:val="19"/>
          <w:color w:val="auto"/>
        </w:rPr>
        <w:t>. No Loan Party will, nor will it permit any Subsidiary to, enter into any Swap Agreement, except</w:t>
      </w:r>
    </w:p>
    <w:p>
      <w:pPr>
        <w:spacing w:after="0" w:line="33" w:lineRule="exact"/>
        <w:rPr>
          <w:sz w:val="20"/>
          <w:szCs w:val="20"/>
          <w:color w:val="auto"/>
        </w:rPr>
      </w:pPr>
    </w:p>
    <w:p>
      <w:pPr>
        <w:jc w:val="both"/>
        <w:ind w:firstLine="8"/>
        <w:spacing w:after="0" w:line="258" w:lineRule="auto"/>
        <w:tabs>
          <w:tab w:leader="none" w:pos="278"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Swap Agreements entered into to hedge or mitigate risks to which the Company or any Subsidiary has actual exposure (other than those in respect of the Equity Interests or Indebtedness of the Company or any Subsidiary), (b) Swap Agreements entered into in order to effectively cap, collar or exchange interest rates (from fixed to floating rates, from one floating rate to another floating rate or otherwise) with respect to any interest-bearing liability or investment of the Company or any Subsidiary and (c) Permitted Call Spread Swap Agreements.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SECTION 6.08.</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No Loan Party will, nor will it permit any Subsidiary to, sell, lease or otherwise transfer any assets to, or purchase, lease or otherwise acquire any assets from, or otherwise engage in any other transactions with, any of its Affiliates, except:</w:t>
      </w:r>
    </w:p>
    <w:p>
      <w:pPr>
        <w:spacing w:after="0" w:line="18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transactions that are at prices and on terms and conditions at least substantially as favorable to the Company or such Subsidiary (or, in the case of a transaction between a Loan Party and a non-Loan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20" w:name="page121"/>
    <w:bookmarkEnd w:id="120"/>
    <w:p>
      <w:pPr>
        <w:jc w:val="both"/>
        <w:spacing w:after="0" w:line="269" w:lineRule="auto"/>
        <w:rPr>
          <w:sz w:val="20"/>
          <w:szCs w:val="20"/>
          <w:color w:val="auto"/>
        </w:rPr>
      </w:pPr>
      <w:r>
        <w:rPr>
          <w:rFonts w:ascii="Times New Roman" w:cs="Times New Roman" w:eastAsia="Times New Roman" w:hAnsi="Times New Roman"/>
          <w:sz w:val="20"/>
          <w:szCs w:val="20"/>
          <w:color w:val="auto"/>
        </w:rPr>
        <w:t>Party, at least substantially as favorable to such Loan Party) as those that could be obtained at the time in a comparable arm’s-length transaction with a Person that is not an Affiliate;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transactions between or among the Company and the other Loan Parties or any Person that becomes a Loan Party as a result of or in connection with such loan or other transaction to the extent permitted hereunder and not involving any other Affiliate;</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transactions between or among Subsidiaries that are not Loan Parties and not involving any other Affiliate and (ii) transactions between any Loan Party and any Subsidiary that is not a Loan Party to the extent permitted hereunder;</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Investment (including loans or advances to employees)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payment of reasonable fees to directors of the Company or any Subsidiary who are not employees of the Company or any Subsidiary;</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compensation, expense reimbursement and indemnification of, and other employment arrangements (including severance arrangements and health, disability and similar insurance or benefit plans) with, directors, officers, managers, employees and consultants of the Company or any Subsidiary entered into in the ordinary course of business and transactions pursuant to equity-based plans and employee benefit plans and arrangements in the ordinary course of business;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Restricted Payment permitted by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issuance or sale of Equity Interests to, and any repurchase, retirement, redemption or other acquisition or retirement of Equity Interests owned by, Affiliates to the extent not prohibited under this Agreement;</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payments or other transactions pursuant to any tax sharing agreement among the Loan Parties and their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tax sharing agreement is on arm’s-length terms usual and customary for agreements of that type;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consummation of the Transactions and the payment of the Transaction Costs;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payment of customary fees and reasonable out of pocket costs to, and indemnities provided on behalf of, directors, officers, managers, employees and consultants of the Company or any Subsidiary in the ordinary course of business to the extent attributable to the ownership or operation of the Company and its Subsidiaries;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transactions pursuant to agreements in existence on the Effective Date and set forth on </w:t>
      </w:r>
      <w:r>
        <w:rPr>
          <w:rFonts w:ascii="Times New Roman" w:cs="Times New Roman" w:eastAsia="Times New Roman" w:hAnsi="Times New Roman"/>
          <w:sz w:val="20"/>
          <w:szCs w:val="20"/>
          <w:u w:val="single" w:color="auto"/>
          <w:color w:val="auto"/>
        </w:rPr>
        <w:t>Schedule 6.08</w:t>
      </w:r>
      <w:r>
        <w:rPr>
          <w:rFonts w:ascii="Times New Roman" w:cs="Times New Roman" w:eastAsia="Times New Roman" w:hAnsi="Times New Roman"/>
          <w:sz w:val="20"/>
          <w:szCs w:val="20"/>
          <w:color w:val="auto"/>
        </w:rPr>
        <w:t xml:space="preserve"> or any amendment thereto to the extent such an amendment is not adverse to the Lenders in any material respect;</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joint venture which would constitute a transaction with an Affiliate solely as a result of the Company or any Subsidiary owning an equity interest or otherwise controlling such joint venture or similar entity;</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transactions with joint ventures, customers, suppliers, contractors, joint venture partners (including physicians) or purchasers or sellers of goods or services, in each case which are in the ordinary course of business (including pursuant to joint venture agreements) and otherwise in compliance with the terms of the Loan Documents, and which are fair to the Company or its applicable Subsidiaries in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21" w:name="page122"/>
    <w:bookmarkEnd w:id="121"/>
    <w:p>
      <w:pPr>
        <w:jc w:val="both"/>
        <w:spacing w:after="0" w:line="269" w:lineRule="auto"/>
        <w:rPr>
          <w:sz w:val="20"/>
          <w:szCs w:val="20"/>
          <w:color w:val="auto"/>
        </w:rPr>
      </w:pPr>
      <w:r>
        <w:rPr>
          <w:rFonts w:ascii="Times New Roman" w:cs="Times New Roman" w:eastAsia="Times New Roman" w:hAnsi="Times New Roman"/>
          <w:sz w:val="20"/>
          <w:szCs w:val="20"/>
          <w:color w:val="auto"/>
        </w:rPr>
        <w:t>reasonable determination of the board of directors, chief executive officer or chief financial officer of the Company or its Subsidiaries, as applicable, or are on terms at least as favorable as might reasonably have been obtained at such time from an unaffiliated party;</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existing Indebtedness and any other obligations otherwise permitted hereunder pursuant to an agreement existing on the Effective Date as set forth on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as such agreement may be amended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and</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lease or sublease entered into between the Company or any Subsidiary, as lessee, and any Affiliate of the Company, as lessor or sublessor, which is approved by a majority of the disinterested members of the board of directors of the Company in good faith.</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SECTION 6.09.</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No Loan Party will, nor will it permit any Subsidiary to, will declare or make, directly or indirectly, any Restricted Payment, or incur any obligation (contingent or otherwise) to do so, except that:</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Subsidiary may declare and pay dividends or make other distributions with respect to its Equity Interests, in each case ratably to the holders of such Equity Interests (or if not ratably, on a basis more favorable to the Company and the Loan Parties);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Company may declare and pay dividends with respect to its Equity Interests payable solely in shares of Qualified Equity Interests of the Company;</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Company may repurchase, purchase, acquire, cancel or retire for value Equity Interests of the Company from present or former employees, officers, directors or consultants (or their estates or beneficiaries under their estates) of the Company or any Subsidiary upon the death, disability, retirement or termination of employment or service of such employees, officers, directors or consultants, or to the extent required, pursuant to employee benefit plans, employment agreements, stock purchase agreements or stock purchase plans, or other benefit plans;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Restricted Payments made pursuant to this </w:t>
      </w:r>
      <w:r>
        <w:rPr>
          <w:rFonts w:ascii="Times New Roman" w:cs="Times New Roman" w:eastAsia="Times New Roman" w:hAnsi="Times New Roman"/>
          <w:sz w:val="20"/>
          <w:szCs w:val="20"/>
          <w:u w:val="single" w:color="auto"/>
          <w:color w:val="auto"/>
        </w:rPr>
        <w:t>Section 6.09(c)</w:t>
      </w:r>
      <w:r>
        <w:rPr>
          <w:rFonts w:ascii="Times New Roman" w:cs="Times New Roman" w:eastAsia="Times New Roman" w:hAnsi="Times New Roman"/>
          <w:sz w:val="20"/>
          <w:szCs w:val="20"/>
          <w:color w:val="auto"/>
        </w:rPr>
        <w:t xml:space="preserve"> shall not exceed $10,000,000 in any fiscal year (with unused amounts in any calendar year being carried over to succeeding calendar years subject to a maximum of $20,000,000);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amount in any calendar year may be increased by an amount not to exceed:</w:t>
      </w:r>
    </w:p>
    <w:p>
      <w:pPr>
        <w:spacing w:after="0" w:line="199"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net cash proceeds from the sale of Equity Interests (other than Disqualified Equity Interests) of the Company or any Subsidiary to members of management, managers, directors or consultants of the Company or any Subsidiary that occurs after the Effective Date, to the extent net cash proceeds from the sale of such Equity Interests have not otherwise been applied to the payment of Restricted Payments by virtue of </w:t>
      </w:r>
      <w:r>
        <w:rPr>
          <w:rFonts w:ascii="Times New Roman" w:cs="Times New Roman" w:eastAsia="Times New Roman" w:hAnsi="Times New Roman"/>
          <w:sz w:val="20"/>
          <w:szCs w:val="20"/>
          <w:u w:val="single" w:color="auto"/>
          <w:color w:val="auto"/>
        </w:rPr>
        <w:t>Section 6.09(b)</w:t>
      </w:r>
      <w:r>
        <w:rPr>
          <w:rFonts w:ascii="Times New Roman" w:cs="Times New Roman" w:eastAsia="Times New Roman" w:hAnsi="Times New Roman"/>
          <w:sz w:val="20"/>
          <w:szCs w:val="20"/>
          <w:color w:val="auto"/>
        </w:rPr>
        <w:t xml:space="preserve"> or this </w:t>
      </w:r>
      <w:r>
        <w:rPr>
          <w:rFonts w:ascii="Times New Roman" w:cs="Times New Roman" w:eastAsia="Times New Roman" w:hAnsi="Times New Roman"/>
          <w:sz w:val="20"/>
          <w:szCs w:val="20"/>
          <w:u w:val="single" w:color="auto"/>
          <w:color w:val="auto"/>
        </w:rPr>
        <w:t>Section 6.09(c)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net cash proceeds of key man life insurance policies received by the Company or any Subsidiary; less</w:t>
      </w:r>
    </w:p>
    <w:p>
      <w:pPr>
        <w:spacing w:after="0" w:line="225" w:lineRule="exact"/>
        <w:rPr>
          <w:sz w:val="20"/>
          <w:szCs w:val="20"/>
          <w:color w:val="auto"/>
        </w:rPr>
      </w:pPr>
    </w:p>
    <w:p>
      <w:pPr>
        <w:jc w:val="both"/>
        <w:ind w:left="660" w:firstLine="648"/>
        <w:spacing w:after="0" w:line="288"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amount of any Restricted Payments previously made with the cash proceeds described in </w:t>
      </w:r>
      <w:r>
        <w:rPr>
          <w:rFonts w:ascii="Times New Roman" w:cs="Times New Roman" w:eastAsia="Times New Roman" w:hAnsi="Times New Roman"/>
          <w:sz w:val="20"/>
          <w:szCs w:val="20"/>
          <w:u w:val="single" w:color="auto"/>
          <w:color w:val="auto"/>
        </w:rPr>
        <w:t>clauses</w:t>
      </w:r>
      <w:r>
        <w:rPr>
          <w:rFonts w:ascii="Times New Roman" w:cs="Times New Roman" w:eastAsia="Times New Roman" w:hAnsi="Times New Roman"/>
          <w:sz w:val="20"/>
          <w:szCs w:val="20"/>
          <w:color w:val="auto"/>
        </w:rPr>
        <w:t xml:space="preserve"> </w:t>
      </w:r>
      <w:r>
        <w:rPr>
          <w:rFonts w:ascii="Arial" w:cs="Arial" w:eastAsia="Arial" w:hAnsi="Arial"/>
          <w:sz w:val="21"/>
          <w:szCs w:val="21"/>
          <w:u w:val="single" w:color="auto"/>
          <w:color w:val="auto"/>
        </w:rPr>
        <w:t>‎</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and </w:t>
      </w:r>
      <w:r>
        <w:rPr>
          <w:rFonts w:ascii="Arial" w:cs="Arial" w:eastAsia="Arial" w:hAnsi="Arial"/>
          <w:sz w:val="21"/>
          <w:szCs w:val="21"/>
          <w:u w:val="single" w:color="auto"/>
          <w:color w:val="auto"/>
        </w:rPr>
        <w:t>‎</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6.09(c)</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Company may make cash payments in lieu of the issuance of fractional shares representing insignificant interests in the Company in connection with (i) the exercise of warrants, options or other securities convertible into or exchangeable for Equity Interests in the Company and (ii) any dividend, split or combination thereof or any Permitted Acquisition;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22" w:name="page123"/>
    <w:bookmarkEnd w:id="122"/>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Company may acquire Equity Interests of the Company upon the exercise of stock options for such Equity Interests of the Company if such Equity Interests represent a portion of the exercise price of such stock options or in connection with tax withholding obligations arising in connection with the exercise of options by, or the vesting of restricted Equity Interests held by, any current or former director, officer or employee of the Company or its Subsidiaries;</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Company may convert or exchange any Equity Interests of the Company for or into Qualified Equity Interests of the Company;</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the Company and its Subsidiaries may declare or make, or agree to pay or make, directly or indirectly, any other Restricted Payments (whether or not of a type described in the other paragraphs of this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so long as, both immediately before and after giving effect (including pro forma effect) to such Restricted Payment (x) no Default or Event of Default shall have occurred and be continuing and (y) the Payment Condition shall be satisfied with respect to such Restricted Payments;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the Company may make Restricted Payments within sixty (60) days after the date of declaration thereof, if at the date of declaration of such Restricted Payments, such Restricted Payments would have been permitted pursuant to another clause of this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Company and its Subsidiaries may make Restricted Payments to effect the Transactions; and</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Company and its Subsidiaries may declare or make, or agree to pay or make, directly or indirectly, any other Restricted Payments (whether or not of the type described in the other paragraphs of this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so long as (i) both immediately before and after giving effect (including pro forma effect) to such Restricted Payments, no Default or Event of Default has occurred and is continuing and (ii) the aggregate amount of such Restricted Payments made in reliance on this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during any fiscal year of the Company shall not exceed $20,000,000.</w:t>
      </w:r>
    </w:p>
    <w:p>
      <w:pPr>
        <w:spacing w:after="0" w:line="19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Notwithstanding the foregoing, the Company may also repurchase, exchange or induce the conversion of Permitted Convertible Notes by delivery of shares of the Company’s common stock and/or a different series of Permitted Convertible Notes (which series (x) matures after, and does not require any scheduled amortization or other scheduled payments of principal prior to, the analogous date under the indenture governing the Permitted Convertible Notes that are so repurchased, exchanged or converted and (y) has terms, conditions and covenants that are no less favorable to the Company than the Permitted Convertible Notes that are so repurchased, exchanged or converted (as determined by the board of directors of the Company, or a committee thereof, in good faith)) (any such series of Permitted Convertible Notes, “</w:t>
      </w:r>
      <w:r>
        <w:rPr>
          <w:rFonts w:ascii="Times New Roman" w:cs="Times New Roman" w:eastAsia="Times New Roman" w:hAnsi="Times New Roman"/>
          <w:sz w:val="20"/>
          <w:szCs w:val="20"/>
          <w:u w:val="single" w:color="auto"/>
          <w:color w:val="auto"/>
        </w:rPr>
        <w:t>Refinancing Convertible Notes</w:t>
      </w:r>
      <w:r>
        <w:rPr>
          <w:rFonts w:ascii="Times New Roman" w:cs="Times New Roman" w:eastAsia="Times New Roman" w:hAnsi="Times New Roman"/>
          <w:sz w:val="20"/>
          <w:szCs w:val="20"/>
          <w:color w:val="auto"/>
        </w:rPr>
        <w:t xml:space="preserve">”) and/or by payment of cash (in an amount that does not exceed the proceeds received by the Company from the substantially concurrent issuance of shares of the Company’s common stock and/or a Refinancing Convertible Notes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net cash proceeds, if any, received by the Company pursuant to the related exercise or early unwind or termination of the related Permitted Call Spread Swap Agreements pursuant to the immediately following proviso);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substantially concurrently with, or a commercially reasonable period of time before or after, the related settlement date for the Permitted Convertible Notes that are so repurchased, exchanged or converted, the Company shall (and, for the avoidance of doubt, shall be permitted under this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 xml:space="preserve"> to) exercise or unwind or terminate early (whether in cash, shares or any combination thereof) the portion of the Permitted Call Spread Swap Agreements, if any, corresponding to such Permitted Convertible Notes that are so repurchased, exchanged or converted.</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6.10.</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Subordinated Indebtedness and Amendments to Subordinated Indebtedness Documents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23" w:name="page124"/>
    <w:bookmarkEnd w:id="123"/>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 Loan Party will, nor will it permit any Subsidiary to, directly or indirectly voluntarily prepay, defease or in substance defease, purchase, redeem, retire or otherwise acquire, any Subordinated Indebtedness or any Indebtedness from time to time outstanding under the Subordinated Indebtedness Documents, except:</w:t>
      </w:r>
    </w:p>
    <w:p>
      <w:pPr>
        <w:spacing w:after="0" w:line="188" w:lineRule="exact"/>
        <w:rPr>
          <w:sz w:val="20"/>
          <w:szCs w:val="20"/>
          <w:color w:val="auto"/>
        </w:rPr>
      </w:pPr>
    </w:p>
    <w:p>
      <w:pPr>
        <w:jc w:val="both"/>
        <w:ind w:left="660" w:right="20" w:firstLine="64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regularly scheduled interest and principal payments as and when due in respect of any Subordinated Indebtedness, other than payments prohibited by the subordination provisions thereof;</w:t>
      </w:r>
    </w:p>
    <w:p>
      <w:pPr>
        <w:spacing w:after="0" w:line="173"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refinancings of Subordinated Indebtedness with the proceeds of Refinancing Indebtedness permitted in respect thereof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payments of or in respect of Subordinated Indebtedness made solely with Qualified Equity Interests in the Company or the conversion of any Subordinated Indebtedness into Qualified Equity Interests of the Company;</w:t>
      </w:r>
    </w:p>
    <w:p>
      <w:pPr>
        <w:spacing w:after="0" w:line="173" w:lineRule="exact"/>
        <w:rPr>
          <w:sz w:val="20"/>
          <w:szCs w:val="20"/>
          <w:color w:val="auto"/>
        </w:rPr>
      </w:pPr>
    </w:p>
    <w:p>
      <w:pPr>
        <w:jc w:val="both"/>
        <w:ind w:left="660" w:firstLine="648"/>
        <w:spacing w:after="0" w:line="246"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prepayments of intercompany Subordinated Indebtedness permitted hereby owed by the Company or any Subsidiary to the Company or any Subsidiary, other than prepayments prohibited by the subordination provisions governing such Subordinated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prepayment of any Subordinated Indebtedness owed by the Company or any Loan Party to any Subsidiary that is not a Loan Party shall be permitted so long as no Default shall have occurred and be continuing or would result after giving effect (including pro forma effect) thereto; and</w:t>
      </w:r>
    </w:p>
    <w:p>
      <w:pPr>
        <w:spacing w:after="0" w:line="198"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so long as no Default shall have occurred and be continuing or would result therefrom, the Company may on any date make payments of or in respect of Subordinated Indebtedness if at the time of making such payment and immediately after giving effect (including pro forma effect) thereto, the Payment Condition shall be satisfied.</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Furthermore, no Loan Party will, nor will it permit any Subsidiary to, amend the Subordinated Indebtedness Documents relating to any Subordinated Indebtedness or any document, agreement or instrument evidencing any Indebtedness incurred pursuant to the Subordinated Indebtedness Documents (or any replacements, substitutions, extensions or renewals thereof) or pursuant to which such Indebtedness is issued where such amendment, modification or supplement amends, modifies or adds any provision thereof in a manner which (i) when taken as a whole, is materially adverse the Lenders or (ii) is more onerous than the applicable provision in this Agreement (except in each case to the extent permitted under the applicable subordination agreement governing such Subordinated Indebtedness).</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SECTION 6.11.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xml:space="preserve">. No Loan Party will, nor will it permit any Subsidiary to, directly or indirectly, enter into, incur or permit to exist any agreement or other arrangement that restricts or imposes any condition upon (a) the ability of the Company or any Subsidiary to create, incur or permit to exist any Lien upon any of its assets to secure the Secured Obligations or (b) the ability of any Subsidiary to pay dividends or other distributions with respect to any of its Equity Interests or to make or repay loans or advances to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foregoing shall not apply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restrictions and conditions imposed by law or by this Agreement or any other Loan Document;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24" w:name="page125"/>
    <w:bookmarkEnd w:id="124"/>
    <w:p>
      <w:pPr>
        <w:jc w:val="both"/>
        <w:ind w:left="180" w:firstLine="648"/>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restrictions and conditions contained in any agreement or document governing or evidencing Refinancing Indebtedness in respect of Indebtedness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restrictions and conditions contained in any such agreement or document referred to in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are not less favorable in any material respect to the Lenders than the restrictions and conditions imposed by this Agreement;</w:t>
      </w:r>
    </w:p>
    <w:p>
      <w:pPr>
        <w:spacing w:after="0" w:line="193" w:lineRule="exact"/>
        <w:rPr>
          <w:sz w:val="20"/>
          <w:szCs w:val="20"/>
          <w:color w:val="auto"/>
        </w:rPr>
      </w:pPr>
    </w:p>
    <w:p>
      <w:pPr>
        <w:jc w:val="both"/>
        <w:ind w:left="180"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restrictions and conditions existing on the date hereof identified on </w:t>
      </w:r>
      <w:r>
        <w:rPr>
          <w:rFonts w:ascii="Times New Roman" w:cs="Times New Roman" w:eastAsia="Times New Roman" w:hAnsi="Times New Roman"/>
          <w:sz w:val="20"/>
          <w:szCs w:val="20"/>
          <w:u w:val="single" w:color="auto"/>
          <w:color w:val="auto"/>
        </w:rPr>
        <w:t>Schedule 6.11</w:t>
      </w:r>
      <w:r>
        <w:rPr>
          <w:rFonts w:ascii="Times New Roman" w:cs="Times New Roman" w:eastAsia="Times New Roman" w:hAnsi="Times New Roman"/>
          <w:sz w:val="20"/>
          <w:szCs w:val="20"/>
          <w:color w:val="auto"/>
        </w:rPr>
        <w:t xml:space="preserve">, and restrictions and conditions contained in any agreement evidencing any renewal, extension or refinancing permitted hereunder of any agreement identified on </w:t>
      </w:r>
      <w:r>
        <w:rPr>
          <w:rFonts w:ascii="Times New Roman" w:cs="Times New Roman" w:eastAsia="Times New Roman" w:hAnsi="Times New Roman"/>
          <w:sz w:val="20"/>
          <w:szCs w:val="20"/>
          <w:u w:val="single" w:color="auto"/>
          <w:color w:val="auto"/>
        </w:rPr>
        <w:t>Schedule 6.11</w:t>
      </w:r>
      <w:r>
        <w:rPr>
          <w:rFonts w:ascii="Times New Roman" w:cs="Times New Roman" w:eastAsia="Times New Roman" w:hAnsi="Times New Roman"/>
          <w:sz w:val="20"/>
          <w:szCs w:val="20"/>
          <w:color w:val="auto"/>
        </w:rPr>
        <w:t xml:space="preserve"> so long as such renewal, extension or refinancing does not expand the scope of such restrictions or conditions;</w:t>
      </w:r>
    </w:p>
    <w:p>
      <w:pPr>
        <w:spacing w:after="0" w:line="193"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in the case of any Subsidiary that is not a wholly-owned Subsidiary, restrictions and conditions imposed by its organizational documents or any related joint venture or similar agreements;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apply only to such Subsidiary and to the Equity Interests of such Subsidiary;</w:t>
      </w:r>
    </w:p>
    <w:p>
      <w:pPr>
        <w:spacing w:after="0" w:line="188"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restrictions imposed by any agreement governing Indebtedness incurred by any Loan Party or any Subsidiary after the Effective Date and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that are, taken as a whole, in the good faith judgment of the Company, no more restrictive with respect to the Company or any Subsidiary than those contained in this Agreement;</w:t>
      </w:r>
    </w:p>
    <w:p>
      <w:pPr>
        <w:spacing w:after="0" w:line="188" w:lineRule="exact"/>
        <w:rPr>
          <w:sz w:val="20"/>
          <w:szCs w:val="20"/>
          <w:color w:val="auto"/>
        </w:rPr>
      </w:pPr>
    </w:p>
    <w:p>
      <w:pPr>
        <w:jc w:val="both"/>
        <w:ind w:left="180" w:firstLine="648"/>
        <w:spacing w:after="0" w:line="249"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customary restrictions and conditions contained in agreements relating to the sale, transfer, lease or other Disposition of a Subsidiary or any assets of the Company or any Subsidiary, in each case pending such transaction;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and conditions apply only to such Subsidiary or the assets that are to be sold, leased or otherwise transferred and, in each case, such transaction is permitted hereunder;</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restrictions relating to assets encumbered by a Lien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[reserved];</w:t>
      </w:r>
    </w:p>
    <w:p>
      <w:pPr>
        <w:spacing w:after="0" w:line="229" w:lineRule="exact"/>
        <w:rPr>
          <w:sz w:val="20"/>
          <w:szCs w:val="20"/>
          <w:color w:val="auto"/>
        </w:rPr>
      </w:pPr>
    </w:p>
    <w:p>
      <w:pPr>
        <w:jc w:val="both"/>
        <w:ind w:left="180" w:firstLine="64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restrictions imposed by any agreement governing Indebtedness of a Subsidiary which is not a Loan Party to the extent such Indebtedness is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and</w:t>
      </w:r>
    </w:p>
    <w:p>
      <w:pPr>
        <w:spacing w:after="0" w:line="173" w:lineRule="exact"/>
        <w:rPr>
          <w:sz w:val="20"/>
          <w:szCs w:val="20"/>
          <w:color w:val="auto"/>
        </w:rPr>
      </w:pPr>
    </w:p>
    <w:p>
      <w:pPr>
        <w:jc w:val="both"/>
        <w:ind w:left="180" w:firstLine="648"/>
        <w:spacing w:after="0" w:line="269"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restrictions or conditions on cash or other deposits imposed by customers under contracts entered into in the ordinary course of business; and</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shall not apply to:</w:t>
      </w:r>
    </w:p>
    <w:p>
      <w:pPr>
        <w:spacing w:after="0" w:line="229"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restrictions and conditions imposed by any agreement relating to secured Indebtedness permitted by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if such restrictions and conditions apply only to the assets securing such Indebtedness;</w:t>
      </w:r>
    </w:p>
    <w:p>
      <w:pPr>
        <w:spacing w:after="0" w:line="1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9"/>
          <w:szCs w:val="19"/>
          <w:color w:val="auto"/>
        </w:rPr>
        <w:t>(B)</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customary provisions in leases, subleases, licenses and other agreements restricting the assignment thereof; and</w:t>
      </w:r>
    </w:p>
    <w:p>
      <w:pPr>
        <w:spacing w:after="0" w:line="200" w:lineRule="exact"/>
        <w:rPr>
          <w:sz w:val="20"/>
          <w:szCs w:val="20"/>
          <w:color w:val="auto"/>
        </w:rPr>
      </w:pPr>
    </w:p>
    <w:p>
      <w:pPr>
        <w:spacing w:after="0" w:line="25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13970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13" w:right="339" w:bottom="1440" w:gutter="0" w:footer="0" w:header="0"/>
        </w:sectPr>
      </w:pPr>
    </w:p>
    <w:bookmarkStart w:id="125" w:name="page126"/>
    <w:bookmarkEnd w:id="125"/>
    <w:p>
      <w:pPr>
        <w:jc w:val="both"/>
        <w:ind w:left="1300" w:firstLine="648"/>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restrictions imposed by agreements relating to Indebtedness of any Subsidiary in existence at the time such Subsidiary became a Subsidiary and otherwise permitted by </w:t>
      </w:r>
      <w:r>
        <w:rPr>
          <w:rFonts w:ascii="Times New Roman" w:cs="Times New Roman" w:eastAsia="Times New Roman" w:hAnsi="Times New Roman"/>
          <w:sz w:val="20"/>
          <w:szCs w:val="20"/>
          <w:u w:val="single" w:color="auto"/>
          <w:color w:val="auto"/>
        </w:rPr>
        <w:t>Section 6.01(g)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apply only to such Subsidiary and its assets (or any special purpose acquisition Subsidiary without material assets acquiring such Subsidiary pursuant to a merger).</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Nothing in this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shall be deemed to modify the obligations of the Loan Parties under </w:t>
      </w:r>
      <w:r>
        <w:rPr>
          <w:rFonts w:ascii="Times New Roman" w:cs="Times New Roman" w:eastAsia="Times New Roman" w:hAnsi="Times New Roman"/>
          <w:sz w:val="20"/>
          <w:szCs w:val="20"/>
          <w:u w:val="single" w:color="auto"/>
          <w:color w:val="auto"/>
        </w:rPr>
        <w:t>Section 5.14</w:t>
      </w:r>
      <w:r>
        <w:rPr>
          <w:rFonts w:ascii="Times New Roman" w:cs="Times New Roman" w:eastAsia="Times New Roman" w:hAnsi="Times New Roman"/>
          <w:sz w:val="20"/>
          <w:szCs w:val="20"/>
          <w:color w:val="auto"/>
        </w:rPr>
        <w:t xml:space="preserve"> or under the Collateral Documents.</w:t>
      </w:r>
    </w:p>
    <w:p>
      <w:pPr>
        <w:spacing w:after="0" w:line="17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SECTION 6.12.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Fixed Charge Coverage Ratio</w:t>
      </w:r>
      <w:r>
        <w:rPr>
          <w:rFonts w:ascii="Times New Roman" w:cs="Times New Roman" w:eastAsia="Times New Roman" w:hAnsi="Times New Roman"/>
          <w:sz w:val="20"/>
          <w:szCs w:val="20"/>
          <w:color w:val="auto"/>
        </w:rPr>
        <w:t>. During any FCCR Test Period, the Borrowers will not permit the Fixed Charge Coverage Ratio as of the last day of any period of four fiscal quarters ending during such FCCR Test Period, to be less than 1.00 to 1.00.</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6.13.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SECTION 6.14.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Depository Banks</w:t>
      </w:r>
      <w:r>
        <w:rPr>
          <w:rFonts w:ascii="Times New Roman" w:cs="Times New Roman" w:eastAsia="Times New Roman" w:hAnsi="Times New Roman"/>
          <w:sz w:val="20"/>
          <w:szCs w:val="20"/>
          <w:color w:val="auto"/>
        </w:rPr>
        <w:t xml:space="preserve">. Each Borrower and each Subsidiary will maintain the Administrative Agent as its principal depository bank, including for the maintenance of operating, administrative, cash management, collection activity and other deposit accounts for the conduct of its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and the Lenders acknowledge and agree that the Borrowers and their Subsidiaries will not be required to maintain with the Administrative Agent any Excluded Accounts or any accounts governing controlled disbursement services provided by any financial institution other than the Administrative Agent.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w:t>
      </w:r>
    </w:p>
    <w:p>
      <w:pPr>
        <w:spacing w:after="0" w:line="22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of the following events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shall occur:</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Borrower shall fail to pay any interest on any Loan or any fee or any other amount (other than an amount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Article) payable under this Agreement or any other Loan Document, when and as the same shall become due and payable, and such failure shall continue unremedied for a period of three (3) Business Days;</w:t>
      </w:r>
    </w:p>
    <w:p>
      <w:pPr>
        <w:spacing w:after="0" w:line="18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representation or warranty made or deemed made by or on behalf of any Borrower or any other Loan Party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Loan Party shall fail to observe or perform any covenant, condition or agreement contained in </w:t>
      </w:r>
      <w:r>
        <w:rPr>
          <w:rFonts w:ascii="Times New Roman" w:cs="Times New Roman" w:eastAsia="Times New Roman" w:hAnsi="Times New Roman"/>
          <w:sz w:val="20"/>
          <w:szCs w:val="20"/>
          <w:u w:val="single" w:color="auto"/>
          <w:color w:val="auto"/>
        </w:rPr>
        <w:t>Section 5.02(a)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5.03</w:t>
      </w:r>
      <w:r>
        <w:rPr>
          <w:rFonts w:ascii="Times New Roman" w:cs="Times New Roman" w:eastAsia="Times New Roman" w:hAnsi="Times New Roman"/>
          <w:sz w:val="20"/>
          <w:szCs w:val="20"/>
          <w:color w:val="auto"/>
        </w:rPr>
        <w:t xml:space="preserve"> (with respect to a Borrower’s existence), </w:t>
      </w:r>
      <w:r>
        <w:rPr>
          <w:rFonts w:ascii="Times New Roman" w:cs="Times New Roman" w:eastAsia="Times New Roman" w:hAnsi="Times New Roman"/>
          <w:sz w:val="20"/>
          <w:szCs w:val="20"/>
          <w:u w:val="single" w:color="auto"/>
          <w:color w:val="auto"/>
        </w:rPr>
        <w:t>5.08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5.14</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Loan Party shall fail to observe or perform any covenant, condition or agreement contained in this Agreement (other than those which constitute a default under another Section of this Article), and such failure shall continue unremedied for a period of (i) five (5) days after the earlier of any Loan Party’s knowledge of such breach or notice thereof from the Administrative Agent (which notice will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26" w:name="page127"/>
    <w:bookmarkEnd w:id="126"/>
    <w:p>
      <w:pPr>
        <w:jc w:val="both"/>
        <w:spacing w:after="0" w:line="249" w:lineRule="auto"/>
        <w:rPr>
          <w:sz w:val="20"/>
          <w:szCs w:val="20"/>
          <w:color w:val="auto"/>
        </w:rPr>
      </w:pPr>
      <w:r>
        <w:rPr>
          <w:rFonts w:ascii="Times New Roman" w:cs="Times New Roman" w:eastAsia="Times New Roman" w:hAnsi="Times New Roman"/>
          <w:sz w:val="20"/>
          <w:szCs w:val="20"/>
          <w:color w:val="auto"/>
        </w:rPr>
        <w:t>be given at the request of any Lender) if such breach relates to terms or provisions of Section 5.01, 5.02 (other than Section 5.02(a)), 5.03, 5.04, 5.05, 5.07 or 5.09 of this Agreement or (ii) thirty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Loan Party or any Material Subsidiary shall fail to make any payment (whether of principal or interest and regardless of amount) in respect of any Material Indebtedness of such Loan Party or Material Subsidiary, as applicable, when and as the same shall become due and payable, which is not cured within any applicable grace period therefor;</w:t>
      </w:r>
    </w:p>
    <w:p>
      <w:pPr>
        <w:spacing w:after="0" w:line="18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event or condition occurs that results in any Material Indebtedness becoming due prior to its scheduled maturity or that enables or permits, after giving effect to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thereof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exchange, repurchase, conversion or settlement with respect to any Permitted Convertible Notes, or satisfaction of any condition giving rise to or permitting the foregoing, pursuant to their terms unless such redemption, repurchase, conversion or settlement results from a default thereunder or an event of the type that constitutes an Event of Default or (vi) any early payment requirement or unwinding or termination with respect to any Permitted Call Spread Swap Agreement, or satisfaction of any condition giving rise to or permitting the foregoing, in accordance with the terms thereof where neither the Company nor any of its Affiliates is the “defaulting party” (or substantially equivalent term) under the terms of such Permitted Call Spread Swap Agreement;</w:t>
      </w:r>
    </w:p>
    <w:p>
      <w:pPr>
        <w:spacing w:after="0" w:line="20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(h)</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 involuntary proceeding shall be commenced or an involuntary petition shall be filed seeking (i) liquidation, reorganization or other relief in respect of any Borrower or any Material Subsidiary or its debts, or of a substantial part of its assets, under any Federal, state or foreign bankruptcy, insolvency, receivership or similar law now or hereafter in effect or (ii) the appointment of a receiver, trustee, custodian, sequestrator,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27" w:name="page128"/>
    <w:bookmarkEnd w:id="127"/>
    <w:p>
      <w:pPr>
        <w:jc w:val="both"/>
        <w:spacing w:after="0" w:line="254" w:lineRule="auto"/>
        <w:rPr>
          <w:sz w:val="20"/>
          <w:szCs w:val="20"/>
          <w:color w:val="auto"/>
        </w:rPr>
      </w:pPr>
      <w:r>
        <w:rPr>
          <w:rFonts w:ascii="Times New Roman" w:cs="Times New Roman" w:eastAsia="Times New Roman" w:hAnsi="Times New Roman"/>
          <w:sz w:val="20"/>
          <w:szCs w:val="20"/>
          <w:color w:val="auto"/>
        </w:rPr>
        <w:t>conservator or similar official for any Borrower or any Material Subsidiary or for a substantial part of its assets, and, in any such case, such proceeding or petition shall continue undismissed for sixty (60) days or an order or decree approving or ordering any of the foregoing shall be entered;</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Borrower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this Article, (iii) apply for or consent to the appointment of a receiver, trustee, custodian, sequestrator, conservator or similar official for any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9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(j)</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Borrower or any Material Subsidiary shall become unable, admit in writing its inability or fail generally to pay its debts as they become due;</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(k)</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one or more judgments for the payment of money in an aggregate amount in excess of $30,000,000 (to the extent not paid, fully bonded or covered by a solvent and unaffiliated insurer that has not denied coverage) shall be rendered against any Loan Party or any Material Subsidiary or any combination thereof and the same shall remain undischarged for a period of sixty (60) consecutive days during which execution shall not be effectively stayed (by reason of pending appeal or otherwise), or any action shall be legally taken by a judgment creditor to attach or levy upon any assets of any Loan Party or any Material Subsidiary to enforce any such judgment and such action shall not have been stayed;</w:t>
      </w:r>
    </w:p>
    <w:p>
      <w:pPr>
        <w:spacing w:after="0" w:line="19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(l)</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 ERISA Event shall have occurred that, when taken together with all other ERISA Events that have occurred, could reasonably be expected to result in a Material Adverse Effect;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Change in Control shall occur;</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occurrence of any “default” or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as defined in any Loan Document (other than this Agreement), or the breach of any of the terms or provisions of any Loan Document (other than this Agreement), which default or breach continues beyond any period of grace therein provided (but if no specific grace period is provided therein, which default or breach continues beyond thirty (30) days after the earlier of knowledge of such default or breach or notice thereof);</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Loan Document, after execution thereof and for any reason other than as expressly permitted hereunder or thereunder or in satisfaction in full of the Obligations, ceases to be valid, binding and enforceable against the Company or any other Loan Party party thereto in accordance with its terms in all material respects (or any Loan Party shall challenge the enforceability of any Loan Document or shall assert in writing, or engage in any action or inaction based on any such assertion, that any material provision of any of the Loan Documents has ceased to be or otherwise is not valid, binding and enforceable in accordance with its terms in any material respect, other than as expressly permitted hereunder or thereunder or the satisfaction in full in cash of the Obligations then due and payable); or</w:t>
      </w:r>
    </w:p>
    <w:p>
      <w:pPr>
        <w:spacing w:after="0" w:line="198"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0"/>
          <w:szCs w:val="20"/>
          <w:color w:val="auto"/>
        </w:rPr>
        <w:t>(p)</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as permitted by the terms of any Collateral Document or this Agreement, (i) any Collateral Document shall for any reason fail to create or keep created a valid security interest in any material portion of the Collateral purported to be covered thereby, or</w:t>
      </w:r>
    </w:p>
    <w:p>
      <w:pPr>
        <w:spacing w:after="0" w:line="2" w:lineRule="exact"/>
        <w:rPr>
          <w:sz w:val="20"/>
          <w:szCs w:val="20"/>
          <w:color w:val="auto"/>
        </w:rPr>
      </w:pPr>
    </w:p>
    <w:p>
      <w:pPr>
        <w:jc w:val="both"/>
        <w:ind w:firstLine="8"/>
        <w:spacing w:after="0" w:line="241" w:lineRule="auto"/>
        <w:tabs>
          <w:tab w:leader="none" w:pos="30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as a result of the failure of the Administrative Agent to take any action within its control to maintain perfection of the Liens created in favor of the Administrative Agent for the benefit of the Secured Parties pursuant to the Loan Documents (excluding any action based on facts or circumstances for which the Administrative Agent has not been notified in accordance with the provisions of the Loan Documents), any Lien securing any material portion of the Secured Obligations shall cease to be a perfected Lien having the priority required by the Loan Documents;</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then, and in every such event (other than an event with respect to any Borrower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this Article), and at any time thereafter during the continuance of such event, the Administrative Agent may, and at the request of the Required Lenders shall, by written notice to the Borrower Representative, take either or both of the following actions, at the same or different times: (i) terminate the Commitments and thereupon the Commitments shall terminate immediately, (ii) declare the Loans then outstanding to be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28" w:name="page129"/>
    <w:bookmarkEnd w:id="128"/>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of the Borrowers accrued hereunder and under the other Loan Documents, shall become due and payable immediately, without presentment, demand, protest or other notice of any kind, all of which are hereby waived by the Borrowers and (iii) require cash collateral for the LC Exposure in accordance with </w:t>
      </w:r>
      <w:r>
        <w:rPr>
          <w:rFonts w:ascii="Times New Roman" w:cs="Times New Roman" w:eastAsia="Times New Roman" w:hAnsi="Times New Roman"/>
          <w:sz w:val="20"/>
          <w:szCs w:val="20"/>
          <w:u w:val="single" w:color="auto"/>
          <w:color w:val="auto"/>
        </w:rPr>
        <w:t>Section 2.06(j)</w:t>
      </w:r>
      <w:r>
        <w:rPr>
          <w:rFonts w:ascii="Times New Roman" w:cs="Times New Roman" w:eastAsia="Times New Roman" w:hAnsi="Times New Roman"/>
          <w:sz w:val="20"/>
          <w:szCs w:val="20"/>
          <w:color w:val="auto"/>
        </w:rPr>
        <w:t xml:space="preserve">; and in case of any event with respect to any Borrower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this Article, the Commitments shall automatically terminate and the principal of the Loans then outstanding and the cash collateral for the LC Exposure, together with accrued interest thereon and all fees and other Secured Obligations accrued hereunder and under the other Loan Documents, shall automatically become due and payable, without presentment, demand, protest or other notice of any kind, all of which are hereby waived by the Borrowers.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Administrative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8.01.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Authorization and Action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Lender, on behalf of itself and any of its Affiliates that are Secured Parties and the Issuing Bank hereby irrevocably appoints the entity named as Administrative Agent in the heading of this Agreement and its successors and assigns to serve as the administrative agent and collateral agent under the Loan Documents and each Lender and the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the Issuing Bank hereby grants to the Administrative Agent any required powers of attorney to execute and enforce any Collateral Document governed by the laws of such jurisdiction on such Lender’s or such Issuing Bank’s behalf. Without limiting the foregoing, each Lender and the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20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the Issuing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29" w:name="page130"/>
    <w:bookmarkEnd w:id="129"/>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In performing its functions and duties hereunder and under the other Loan Documents, the Administrative Agent is acting solely on behalf of the Lenders and the Issuing Bank (except in limited circumstances expressly provided for herein relating to the maintenance of the Register), and its duties are entirely mechanical and administrative in nature. Without limiting the generality of the foregoing:</w:t>
      </w:r>
    </w:p>
    <w:p>
      <w:pPr>
        <w:spacing w:after="0" w:line="170" w:lineRule="exact"/>
        <w:rPr>
          <w:sz w:val="20"/>
          <w:szCs w:val="20"/>
          <w:color w:val="auto"/>
        </w:rPr>
      </w:pPr>
    </w:p>
    <w:p>
      <w:pPr>
        <w:jc w:val="both"/>
        <w:ind w:left="660" w:firstLine="648"/>
        <w:spacing w:after="0" w:line="243"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does not assume and shall not be deemed to have assumed any obligation or duty or any other relationship as the agent, fiduciary or trustee of or for any Lender, Issuing Bank or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spacing w:after="0" w:line="199"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nothing in this Agreement or any Loan Document shall require the Administrative Agent to account to any Lender for any sum or the profit element of any sum received by the Administrative Agent for its own account.</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None of either Lead Arranger nor the Syndication Agent shall have any obligations or duties whatsoever in such capacity under this Agreement or any other Loan Document and shall incur no liability hereunder or thereunder in such capacity, but shall have the benefit of the indemnities provided for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30" w:name="page131"/>
    <w:bookmarkEnd w:id="130"/>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98"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 and the Administrative Agent (including any claim under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allowed in such judicial proceeding; and</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(ii)</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to collect and receive any monies or other property payable or deliverable on any such claims and to distribute the same;</w:t>
      </w:r>
    </w:p>
    <w:p>
      <w:pPr>
        <w:spacing w:after="0" w:line="24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proceeding is hereby authorized by each Lender, the Issuing Bank and each other Secured Party to make such payments to the Administrative Agent and, in the event that the Administrative Agent shall consent to the making of such payments directly to the Lenders, the Issuing Bank or the other Secured Parties, to pay to the Administrative Agent any amount due to it, in its capacity as the Administrative Agent, under the Loan Documents (including under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(g)</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provisions of this Article are solely for the benefit of the Administrative Agent, the Lenders and the Issuing Bank, and, except solely to the extent of the Borrowers’ right to consent pursuant to and subject to the conditions set forth in this Article, no Borrower nor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8.02.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Administrative Agent’s Reliance, Indemnification, Etc.</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Neither the Administrative Agent nor any of its Related Parties shall be (i) liable for any action taken or omitted to be taken by such party, the Administrative Agent or any of its Related Parties under or in connection with this Agreement or the other Loan Documents</w:t>
      </w:r>
    </w:p>
    <w:p>
      <w:pPr>
        <w:spacing w:after="0" w:line="2" w:lineRule="exact"/>
        <w:rPr>
          <w:sz w:val="20"/>
          <w:szCs w:val="20"/>
          <w:color w:val="auto"/>
        </w:rPr>
      </w:pPr>
    </w:p>
    <w:p>
      <w:pPr>
        <w:jc w:val="both"/>
        <w:ind w:firstLine="8"/>
        <w:spacing w:after="0"/>
        <w:tabs>
          <w:tab w:leader="none" w:pos="28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31" w:name="page132"/>
    <w:bookmarkEnd w:id="131"/>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sufficiency of this Agreement or any other Loan Document or for any failure of any Loan Party to perform its obligations hereunder or thereunder.</w:t>
      </w:r>
    </w:p>
    <w:p>
      <w:pPr>
        <w:spacing w:after="0" w:line="1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shall be deemed not to have knowledge of any Default unless and until written notice thereof (stating that it is a “notice of default”) is given to the Administrative Agent by the Borrower Representative, a Lender or the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spacing w:after="0" w:line="20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Without limiting the foregoing, the Administrative Agent (i) may treat the payee of any promissory note as its holder until such promissory note has been assigned in accordance with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(ii) may rely on the Register to the extent set forth in </w:t>
      </w:r>
      <w:r>
        <w:rPr>
          <w:rFonts w:ascii="Times New Roman" w:cs="Times New Roman" w:eastAsia="Times New Roman" w:hAnsi="Times New Roman"/>
          <w:sz w:val="19"/>
          <w:szCs w:val="19"/>
          <w:u w:val="single" w:color="auto"/>
          <w:color w:val="auto"/>
        </w:rPr>
        <w:t>Section 9.04(b)</w:t>
      </w:r>
      <w:r>
        <w:rPr>
          <w:rFonts w:ascii="Times New Roman" w:cs="Times New Roman" w:eastAsia="Times New Roman" w:hAnsi="Times New Roman"/>
          <w:sz w:val="19"/>
          <w:szCs w:val="19"/>
          <w:color w:val="auto"/>
        </w:rPr>
        <w:t>,</w:t>
      </w:r>
    </w:p>
    <w:p>
      <w:pPr>
        <w:jc w:val="both"/>
        <w:ind w:firstLine="8"/>
        <w:spacing w:after="0"/>
        <w:tabs>
          <w:tab w:leader="none" w:pos="36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8.03.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Posting of Communications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Borrowers agree that the Administrative Agent may, but shall not be obligated to, make any Communications available to the Lenders and the Issuing Bank by posting the Communications on IntraLinks™, DebtDomain, SyndTrak, ClearPar or any other electronic system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each Borrower acknowledges and agrees that the distribution of material through an electronic medium is not necessarily secure, that the Administrative Agent is not responsible for approving or vetting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32" w:name="page133"/>
    <w:bookmarkEnd w:id="132"/>
    <w:p>
      <w:pPr>
        <w:jc w:val="both"/>
        <w:spacing w:after="0" w:line="254" w:lineRule="auto"/>
        <w:rPr>
          <w:sz w:val="20"/>
          <w:szCs w:val="20"/>
          <w:color w:val="auto"/>
        </w:rPr>
      </w:pPr>
      <w:r>
        <w:rPr>
          <w:rFonts w:ascii="Times New Roman" w:cs="Times New Roman" w:eastAsia="Times New Roman" w:hAnsi="Times New Roman"/>
          <w:sz w:val="20"/>
          <w:szCs w:val="20"/>
          <w:color w:val="auto"/>
        </w:rPr>
        <w:t>the representatives or contacts of any Lender that are added to the Approved Electronic Platform, and that there may be confidentiality and other risks associated with such distribution. Each of the Lenders, the Issuing Bank and each Borrower hereby approves distribution of the Communications through the Approved Electronic Platform and understands and assumes the risks of such distribution.</w:t>
      </w:r>
    </w:p>
    <w:p>
      <w:pPr>
        <w:spacing w:after="0" w:line="18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APPROVED ELECTRONIC PLATFORM AND THE COMMUNICATIONS ARE PROVIDED “</w:t>
      </w:r>
      <w:r>
        <w:rPr>
          <w:rFonts w:ascii="Times New Roman" w:cs="Times New Roman" w:eastAsia="Times New Roman" w:hAnsi="Times New Roman"/>
          <w:sz w:val="20"/>
          <w:szCs w:val="20"/>
          <w:u w:val="single" w:color="auto"/>
          <w:color w:val="auto"/>
        </w:rPr>
        <w:t>AS IS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AVAILABLE</w:t>
      </w:r>
      <w:r>
        <w:rPr>
          <w:rFonts w:ascii="Times New Roman" w:cs="Times New Roman" w:eastAsia="Times New Roman" w:hAnsi="Times New Roman"/>
          <w:sz w:val="20"/>
          <w:szCs w:val="20"/>
          <w:color w:val="auto"/>
        </w:rPr>
        <w:t>”.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THE LEAD ARRANGERS, THE SYNDICATION AGENT OR ANY OF THEIR RESPECTIVE RELATED PARTIES (COLLECTIVELY, “</w:t>
      </w:r>
      <w:r>
        <w:rPr>
          <w:rFonts w:ascii="Times New Roman" w:cs="Times New Roman" w:eastAsia="Times New Roman" w:hAnsi="Times New Roman"/>
          <w:sz w:val="20"/>
          <w:szCs w:val="20"/>
          <w:u w:val="single" w:color="auto"/>
          <w:color w:val="auto"/>
        </w:rPr>
        <w:t>APPLICABLE PARTIES</w:t>
      </w:r>
      <w:r>
        <w:rPr>
          <w:rFonts w:ascii="Times New Roman" w:cs="Times New Roman" w:eastAsia="Times New Roman" w:hAnsi="Times New Roman"/>
          <w:sz w:val="20"/>
          <w:szCs w:val="20"/>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209" w:lineRule="exact"/>
        <w:rPr>
          <w:sz w:val="20"/>
          <w:szCs w:val="20"/>
          <w:color w:val="auto"/>
        </w:rPr>
      </w:pPr>
    </w:p>
    <w:p>
      <w:pPr>
        <w:jc w:val="both"/>
        <w:ind w:left="1300" w:right="1300"/>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Issuing Bank by means of electronic communications pursuant to this Section, including through an Approved Electronic Platform.</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of the Lenders, Issuing Bank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Nothing herein shall prejudice the right of the Administrative Agent, any Lender or Issuing Bank to give any notice or other communication pursuant to any Loan Document in any other manner specified in such Loan Document.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33" w:name="page134"/>
    <w:bookmarkEnd w:id="133"/>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SECTION 8.04.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The Administrative Agent Individually</w:t>
      </w:r>
      <w:r>
        <w:rPr>
          <w:rFonts w:ascii="Times New Roman" w:cs="Times New Roman" w:eastAsia="Times New Roman" w:hAnsi="Times New Roman"/>
          <w:sz w:val="20"/>
          <w:szCs w:val="20"/>
          <w:color w:val="auto"/>
        </w:rPr>
        <w:t>.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8.05.</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Successor Administrative Agent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may resign at any time by giving 30 days’ prior written notice thereof to the Lenders, the Issuing Bank and the Borrower Representative,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20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Notwithstanding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Borrowers, whereupon, on the date of effectiveness of such resignation stated in such notice, (i) the retiring Administrative Agent shall be discharged from its duties and obligations hereunder and under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all payments required to be made hereunder or under any other Loan Document to the Administrative Agent for the account of any Person other than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34" w:name="page135"/>
    <w:bookmarkEnd w:id="134"/>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w:t>
      </w:r>
      <w:r>
        <w:rPr>
          <w:rFonts w:ascii="Times New Roman" w:cs="Times New Roman" w:eastAsia="Times New Roman" w:hAnsi="Times New Roman"/>
          <w:sz w:val="20"/>
          <w:szCs w:val="20"/>
          <w:u w:val="single" w:color="auto"/>
          <w:color w:val="auto"/>
        </w:rPr>
        <w:t>Section 2.17(d)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8.06. </w:t>
      </w:r>
      <w:r>
        <w:rPr>
          <w:rFonts w:ascii="Times New Roman" w:cs="Times New Roman" w:eastAsia="Times New Roman" w:hAnsi="Times New Roman"/>
          <w:sz w:val="20"/>
          <w:szCs w:val="20"/>
          <w:u w:val="single" w:color="auto"/>
          <w:color w:val="auto"/>
        </w:rPr>
        <w:t>Acknowledgements of Lenders and Issuing Bank</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Lender represents and warrants that (i) the Loan Documents set forth the terms of a commercial lending facility, (ii) it is engaged in making, acquiring or holding commercial loans and in providing other facilities set forth herein as may be applicable to such Lender,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the Lead Arrangers, the Syndication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the Lead Arrangers, the Syndication Agent or any other Lender,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20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Each Lender hereby agrees that (i) it has requested a copy of each Report prepared by or on behalf of the Administrative Agent;</w:t>
      </w:r>
    </w:p>
    <w:p>
      <w:pPr>
        <w:spacing w:after="0" w:line="33" w:lineRule="exact"/>
        <w:rPr>
          <w:sz w:val="20"/>
          <w:szCs w:val="20"/>
          <w:color w:val="auto"/>
        </w:rPr>
      </w:pPr>
    </w:p>
    <w:p>
      <w:pPr>
        <w:jc w:val="both"/>
        <w:ind w:firstLine="8"/>
        <w:spacing w:after="0"/>
        <w:tabs>
          <w:tab w:leader="none" w:pos="29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35" w:name="page136"/>
    <w:bookmarkEnd w:id="135"/>
    <w:p>
      <w:pPr>
        <w:jc w:val="both"/>
        <w:spacing w:after="0" w:line="243" w:lineRule="auto"/>
        <w:rPr>
          <w:sz w:val="20"/>
          <w:szCs w:val="20"/>
          <w:color w:val="auto"/>
        </w:rPr>
      </w:pPr>
      <w:r>
        <w:rPr>
          <w:rFonts w:ascii="Times New Roman" w:cs="Times New Roman" w:eastAsia="Times New Roman" w:hAnsi="Times New Roman"/>
          <w:sz w:val="20"/>
          <w:szCs w:val="20"/>
          <w:color w:val="auto"/>
        </w:rPr>
        <w:t>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a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20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8.06(d) shall be conclusive, absent manifest error.</w:t>
      </w:r>
    </w:p>
    <w:p>
      <w:pPr>
        <w:spacing w:after="0" w:line="211" w:lineRule="exact"/>
        <w:rPr>
          <w:sz w:val="20"/>
          <w:szCs w:val="20"/>
          <w:color w:val="auto"/>
        </w:rPr>
      </w:pPr>
    </w:p>
    <w:p>
      <w:pPr>
        <w:jc w:val="both"/>
        <w:ind w:left="600" w:firstLine="713"/>
        <w:spacing w:after="0" w:line="242" w:lineRule="auto"/>
        <w:rPr>
          <w:sz w:val="20"/>
          <w:szCs w:val="20"/>
          <w:color w:val="auto"/>
        </w:rPr>
      </w:pPr>
      <w:r>
        <w:rPr>
          <w:rFonts w:ascii="Times New Roman" w:cs="Times New Roman" w:eastAsia="Times New Roman" w:hAnsi="Times New Roman"/>
          <w:sz w:val="20"/>
          <w:szCs w:val="20"/>
          <w:color w:val="auto"/>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0"/>
          <w:szCs w:val="20"/>
          <w:u w:val="single" w:color="auto"/>
          <w:color w:val="auto"/>
        </w:rPr>
        <w:t>Payment Notice</w:t>
      </w:r>
      <w:r>
        <w:rPr>
          <w:rFonts w:ascii="Times New Roman" w:cs="Times New Roman" w:eastAsia="Times New Roman" w:hAnsi="Times New Roman"/>
          <w:sz w:val="20"/>
          <w:szCs w:val="20"/>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203" w:lineRule="exact"/>
        <w:rPr>
          <w:sz w:val="20"/>
          <w:szCs w:val="20"/>
          <w:color w:val="auto"/>
        </w:rPr>
      </w:pPr>
    </w:p>
    <w:p>
      <w:pPr>
        <w:jc w:val="both"/>
        <w:ind w:left="600" w:firstLine="713"/>
        <w:spacing w:after="0" w:line="254" w:lineRule="auto"/>
        <w:rPr>
          <w:sz w:val="20"/>
          <w:szCs w:val="20"/>
          <w:color w:val="auto"/>
        </w:rPr>
      </w:pPr>
      <w:r>
        <w:rPr>
          <w:rFonts w:ascii="Times New Roman" w:cs="Times New Roman" w:eastAsia="Times New Roman" w:hAnsi="Times New Roman"/>
          <w:sz w:val="20"/>
          <w:szCs w:val="20"/>
          <w:color w:val="auto"/>
        </w:rPr>
        <w:t>(iii)   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36" w:name="page137"/>
    <w:bookmarkEnd w:id="136"/>
    <w:p>
      <w:pPr>
        <w:ind w:left="600"/>
        <w:spacing w:after="0"/>
        <w:rPr>
          <w:sz w:val="20"/>
          <w:szCs w:val="20"/>
          <w:color w:val="auto"/>
        </w:rPr>
      </w:pPr>
      <w:r>
        <w:rPr>
          <w:rFonts w:ascii="Times New Roman" w:cs="Times New Roman" w:eastAsia="Times New Roman" w:hAnsi="Times New Roman"/>
          <w:sz w:val="20"/>
          <w:szCs w:val="20"/>
          <w:color w:val="auto"/>
        </w:rPr>
        <w:t>prepay, repay, discharge or otherwise satisfy any Obligations owed by any Borrower or any other Loan Party.</w:t>
      </w:r>
    </w:p>
    <w:p>
      <w:pPr>
        <w:spacing w:after="0" w:line="22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(iv)   Each party’s obligations under this Section 8.06(d)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8.07.</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Collateral Matters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with respect to the exercise of setoff rights in accordance with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9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9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Secured Parties irrevocably authorize the Administrative Agent, at its option and in its discretion, 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6.02(b)</w:t>
      </w:r>
      <w:r>
        <w:rPr>
          <w:rFonts w:ascii="Times New Roman" w:cs="Times New Roman" w:eastAsia="Times New Roman" w:hAnsi="Times New Roman"/>
          <w:sz w:val="20"/>
          <w:szCs w:val="20"/>
          <w:color w:val="auto"/>
        </w:rPr>
        <w:t>.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9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SECTION 8.08.</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 Bidding</w:t>
      </w:r>
      <w:r>
        <w:rPr>
          <w:rFonts w:ascii="Times New Roman" w:cs="Times New Roman" w:eastAsia="Times New Roman" w:hAnsi="Times New Roman"/>
          <w:sz w:val="20"/>
          <w:szCs w:val="20"/>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37" w:name="page138"/>
    <w:bookmarkEnd w:id="137"/>
    <w:p>
      <w:pPr>
        <w:jc w:val="both"/>
        <w:spacing w:after="0" w:line="253" w:lineRule="auto"/>
        <w:rPr>
          <w:sz w:val="20"/>
          <w:szCs w:val="20"/>
          <w:color w:val="auto"/>
        </w:rPr>
      </w:pPr>
      <w:r>
        <w:rPr>
          <w:rFonts w:ascii="Times New Roman" w:cs="Times New Roman" w:eastAsia="Times New Roman" w:hAnsi="Times New Roman"/>
          <w:sz w:val="19"/>
          <w:szCs w:val="19"/>
          <w:color w:val="auto"/>
        </w:rPr>
        <w:t>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Times New Roman" w:cs="Times New Roman" w:eastAsia="Times New Roman" w:hAnsi="Times New Roman"/>
          <w:sz w:val="19"/>
          <w:szCs w:val="19"/>
          <w:u w:val="single" w:color="auto"/>
          <w:color w:val="auto"/>
        </w:rPr>
        <w:t>clause</w:t>
      </w:r>
    </w:p>
    <w:p>
      <w:pPr>
        <w:spacing w:after="0" w:line="3" w:lineRule="exact"/>
        <w:rPr>
          <w:sz w:val="20"/>
          <w:szCs w:val="20"/>
          <w:color w:val="auto"/>
        </w:rPr>
      </w:pPr>
    </w:p>
    <w:p>
      <w:pPr>
        <w:jc w:val="both"/>
        <w:ind w:firstLine="8"/>
        <w:spacing w:after="0" w:line="241" w:lineRule="auto"/>
        <w:tabs>
          <w:tab w:leader="none" w:pos="297" w:val="left"/>
        </w:tabs>
        <w:numPr>
          <w:ilvl w:val="0"/>
          <w:numId w:val="3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8.09.</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Lender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and not, for the avoidance of doubt, to or for the benefit of any Borrower or any other Loan Party, that at least one of the following is and will be true:</w:t>
      </w:r>
    </w:p>
    <w:p>
      <w:pPr>
        <w:spacing w:after="0" w:line="193"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such Lender is not using “plan assets” (within the meaning of the Plan Asset Regulations) of one or more Benefit Plans in connection with the Loans, the Letters of Credit or the Commitments,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38" w:name="page139"/>
    <w:bookmarkEnd w:id="138"/>
    <w:p>
      <w:pPr>
        <w:jc w:val="both"/>
        <w:ind w:left="660" w:firstLine="648"/>
        <w:spacing w:after="0" w:line="244"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9"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such Lender is an investment fund managed by a “</w:t>
      </w:r>
      <w:r>
        <w:rPr>
          <w:rFonts w:ascii="Times New Roman" w:cs="Times New Roman" w:eastAsia="Times New Roman" w:hAnsi="Times New Roman"/>
          <w:sz w:val="20"/>
          <w:szCs w:val="20"/>
          <w:u w:val="single" w:color="auto"/>
          <w:color w:val="auto"/>
        </w:rPr>
        <w:t>Qualified Professional Asset Manager</w:t>
      </w:r>
      <w:r>
        <w:rPr>
          <w:rFonts w:ascii="Times New Roman" w:cs="Times New Roman" w:eastAsia="Times New Roman" w:hAnsi="Times New Roman"/>
          <w:sz w:val="20"/>
          <w:szCs w:val="20"/>
          <w:color w:val="auto"/>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99" w:lineRule="exact"/>
        <w:rPr>
          <w:sz w:val="20"/>
          <w:szCs w:val="20"/>
          <w:color w:val="auto"/>
        </w:rPr>
      </w:pPr>
    </w:p>
    <w:p>
      <w:pPr>
        <w:jc w:val="both"/>
        <w:ind w:left="660" w:right="20" w:firstLine="648"/>
        <w:spacing w:after="0" w:line="269"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such other representation, warranty and covenant as may be agreed in writing between the Administrative Agent, in its sole discretion, and such Lender.</w:t>
      </w:r>
    </w:p>
    <w:p>
      <w:pPr>
        <w:spacing w:after="0" w:line="17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addition, unless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such Lender has not provided another representation, warranty and covenant as provided in </w:t>
      </w:r>
      <w:r>
        <w:rPr>
          <w:rFonts w:ascii="Times New Roman" w:cs="Times New Roman" w:eastAsia="Times New Roman" w:hAnsi="Times New Roman"/>
          <w:sz w:val="20"/>
          <w:szCs w:val="20"/>
          <w:u w:val="single" w:color="auto"/>
          <w:color w:val="auto"/>
        </w:rPr>
        <w:t>sub-clause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Lead Arrangers and their respective Affiliates, and not, for the avoidance of doubt, to or for the benefit of any Borrower or any other Loan Party, that none of the Administrative Agent, the Lead Arrangers, the Syndication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The Administrative Agent, the Syndication Agent and the Lead Arrangers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39" w:name="page140"/>
    <w:bookmarkEnd w:id="139"/>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SECTION 8.10.</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JPMCB has adopted internal policies and procedures that address requirements placed on federally regulated lenders under the National Flood Insurance Reform Act of 1994 and related legislation (the “</w:t>
      </w:r>
      <w:r>
        <w:rPr>
          <w:rFonts w:ascii="Times New Roman" w:cs="Times New Roman" w:eastAsia="Times New Roman" w:hAnsi="Times New Roman"/>
          <w:sz w:val="20"/>
          <w:szCs w:val="20"/>
          <w:u w:val="single" w:color="auto"/>
          <w:color w:val="auto"/>
        </w:rPr>
        <w:t>Flood Laws</w:t>
      </w:r>
      <w:r>
        <w:rPr>
          <w:rFonts w:ascii="Times New Roman" w:cs="Times New Roman" w:eastAsia="Times New Roman" w:hAnsi="Times New Roman"/>
          <w:sz w:val="20"/>
          <w:szCs w:val="20"/>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9.01.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in the case of notices and other communications expressly permitted to be given by telephone or Electronic Systems (and subject in each case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facsimile, as follows:</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to any Loan Party, to the Borrower Representative at:</w:t>
      </w:r>
    </w:p>
    <w:p>
      <w:pPr>
        <w:spacing w:after="0" w:line="22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Winnebago Industries, Inc.</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13200 Pioneer Trail, Suite 150</w:t>
      </w:r>
    </w:p>
    <w:p>
      <w:pPr>
        <w:ind w:left="1920"/>
        <w:spacing w:after="0"/>
        <w:rPr>
          <w:sz w:val="20"/>
          <w:szCs w:val="20"/>
          <w:color w:val="auto"/>
        </w:rPr>
      </w:pPr>
      <w:r>
        <w:rPr>
          <w:rFonts w:ascii="Times New Roman" w:cs="Times New Roman" w:eastAsia="Times New Roman" w:hAnsi="Times New Roman"/>
          <w:sz w:val="20"/>
          <w:szCs w:val="20"/>
          <w:color w:val="auto"/>
        </w:rPr>
        <w:t>Eden Prairie, MN 55347</w:t>
      </w:r>
    </w:p>
    <w:p>
      <w:pPr>
        <w:ind w:left="1920"/>
        <w:spacing w:after="0"/>
        <w:rPr>
          <w:sz w:val="20"/>
          <w:szCs w:val="20"/>
          <w:color w:val="auto"/>
        </w:rPr>
      </w:pPr>
      <w:r>
        <w:rPr>
          <w:rFonts w:ascii="Times New Roman" w:cs="Times New Roman" w:eastAsia="Times New Roman" w:hAnsi="Times New Roman"/>
          <w:sz w:val="20"/>
          <w:szCs w:val="20"/>
          <w:color w:val="auto"/>
        </w:rPr>
        <w:t>Attention: Kathryn Hiebert, Treasurer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to the Administrative Agent (other than for purposes of a notification of the DQ List), JPMCB in its capacity as an</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Issuing Bank or the Swingline Lender, to JPMCB at:</w:t>
      </w:r>
    </w:p>
    <w:p>
      <w:pPr>
        <w:spacing w:after="0" w:line="2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0"/>
          <w:szCs w:val="20"/>
          <w:color w:val="auto"/>
        </w:rPr>
        <w:t>10 S. Dearborn St.</w:t>
      </w:r>
    </w:p>
    <w:p>
      <w:pPr>
        <w:ind w:left="1920"/>
        <w:spacing w:after="0"/>
        <w:rPr>
          <w:sz w:val="20"/>
          <w:szCs w:val="20"/>
          <w:color w:val="auto"/>
        </w:rPr>
      </w:pPr>
      <w:r>
        <w:rPr>
          <w:rFonts w:ascii="Times New Roman" w:cs="Times New Roman" w:eastAsia="Times New Roman" w:hAnsi="Times New Roman"/>
          <w:sz w:val="20"/>
          <w:szCs w:val="20"/>
          <w:color w:val="auto"/>
        </w:rPr>
        <w:t>Chicago, Illinois 60603</w:t>
      </w:r>
    </w:p>
    <w:p>
      <w:pPr>
        <w:ind w:left="1920"/>
        <w:spacing w:after="0"/>
        <w:rPr>
          <w:sz w:val="20"/>
          <w:szCs w:val="20"/>
          <w:color w:val="auto"/>
        </w:rPr>
      </w:pPr>
      <w:r>
        <w:rPr>
          <w:rFonts w:ascii="Times New Roman" w:cs="Times New Roman" w:eastAsia="Times New Roman" w:hAnsi="Times New Roman"/>
          <w:sz w:val="20"/>
          <w:szCs w:val="20"/>
          <w:color w:val="auto"/>
        </w:rPr>
        <w:t>Attention: John Morrone</w:t>
      </w:r>
    </w:p>
    <w:p>
      <w:pPr>
        <w:ind w:left="1920"/>
        <w:spacing w:after="0"/>
        <w:rPr>
          <w:sz w:val="20"/>
          <w:szCs w:val="20"/>
          <w:color w:val="auto"/>
        </w:rPr>
      </w:pPr>
      <w:r>
        <w:rPr>
          <w:rFonts w:ascii="Times New Roman" w:cs="Times New Roman" w:eastAsia="Times New Roman" w:hAnsi="Times New Roman"/>
          <w:sz w:val="20"/>
          <w:szCs w:val="20"/>
          <w:color w:val="auto"/>
        </w:rPr>
        <w:t>Facsimile No: (312) 548-1943</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to the Administrative Agent for purposes of a notification of the DQ List, to JPMDQ_Contact@jpmorgan.com; and</w:t>
      </w:r>
    </w:p>
    <w:p>
      <w:pPr>
        <w:spacing w:after="0" w:line="229"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to any other Lender or Issuing Bank, to it at its address or facsimile number set forth in its Administrative Questionnaire.</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All such notices and other communications (i) sent by hand or overnight courier service, or mailed by certified or registered mail, shall be deemed to have been given when received, (ii) sent by facsimile shall be deemed to have been given when 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normal business hours of the recipient, such notice or communication shall be deemed to have been given at the opening of business on the next Business Day of the recipient, or (iii) delivered through Electronic Systems or Approved Electronic Platform, as applicable, to the extent provided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below shall be effective as provided in such paragraph.</w:t>
      </w:r>
    </w:p>
    <w:p>
      <w:pPr>
        <w:spacing w:after="0" w:line="198"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Notices and other communications to the Lenders and the Issuing Banks hereunder may be delivered or furnished by using Electronic Systems or Approved Electronic Platforms, as applicable, or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0" w:name="page141"/>
    <w:bookmarkEnd w:id="140"/>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unless otherwise agreed by the Administrative Agent and the applicable Lender. The Administrative Agent or the Company may, in its discretion, agree to accept notices and other communications to it hereunder by Electronic Systems or Approved Electronic Platforms, as applicable,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9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party hereto may change its address or telecopy number for notices and other communications hereunder by notice to the other parties hereto. Unless otherwise set forth herein, all notices and other communications given to any party hereto in accordance with the provisions of this Agreement shall be deemed to have been given on the date of receipt.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9.02.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Waivers; Amendments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Borrower therefrom shall in any event be effective unless the same shall be permitted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as provided in the first sentence of </w:t>
      </w:r>
      <w:r>
        <w:rPr>
          <w:rFonts w:ascii="Times New Roman" w:cs="Times New Roman" w:eastAsia="Times New Roman" w:hAnsi="Times New Roman"/>
          <w:sz w:val="20"/>
          <w:szCs w:val="20"/>
          <w:u w:val="single" w:color="auto"/>
          <w:color w:val="auto"/>
        </w:rPr>
        <w:t>Section 2.09(f)</w:t>
      </w:r>
      <w:r>
        <w:rPr>
          <w:rFonts w:ascii="Times New Roman" w:cs="Times New Roman" w:eastAsia="Times New Roman" w:hAnsi="Times New Roman"/>
          <w:sz w:val="20"/>
          <w:szCs w:val="20"/>
          <w:color w:val="auto"/>
        </w:rPr>
        <w:t xml:space="preserve"> (with respect to any commitment increase) and subject to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and except as provided in </w:t>
      </w:r>
      <w:r>
        <w:rPr>
          <w:rFonts w:ascii="Times New Roman" w:cs="Times New Roman" w:eastAsia="Times New Roman" w:hAnsi="Times New Roman"/>
          <w:sz w:val="20"/>
          <w:szCs w:val="20"/>
          <w:u w:val="single" w:color="auto"/>
          <w:color w:val="auto"/>
        </w:rPr>
        <w:t>Section 6.03(c)</w:t>
      </w:r>
      <w:r>
        <w:rPr>
          <w:rFonts w:ascii="Times New Roman" w:cs="Times New Roman" w:eastAsia="Times New Roman" w:hAnsi="Times New Roman"/>
          <w:sz w:val="20"/>
          <w:szCs w:val="20"/>
          <w:color w:val="auto"/>
        </w:rPr>
        <w:t xml:space="preserve"> with respect to changes in fiscal year,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agreement shall:</w:t>
      </w:r>
    </w:p>
    <w:p>
      <w:pPr>
        <w:spacing w:after="0" w:line="198" w:lineRule="exact"/>
        <w:rPr>
          <w:sz w:val="20"/>
          <w:szCs w:val="20"/>
          <w:color w:val="auto"/>
        </w:rPr>
      </w:pPr>
    </w:p>
    <w:p>
      <w:pPr>
        <w:ind w:left="660" w:firstLine="648"/>
        <w:spacing w:after="0" w:line="26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increase the Commitment of any Lender without the written consent of such Lender (including any such Lender that is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waiver of any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1" w:name="page142"/>
    <w:bookmarkEnd w:id="141"/>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 xml:space="preserve">condition precedent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or the waiver of any Default or mandatory prepayment shall not constitute an increase of any Commitment of any Lender;</w:t>
      </w:r>
    </w:p>
    <w:p>
      <w:pPr>
        <w:spacing w:after="0" w:line="173" w:lineRule="exact"/>
        <w:rPr>
          <w:sz w:val="20"/>
          <w:szCs w:val="20"/>
          <w:color w:val="auto"/>
        </w:rPr>
      </w:pPr>
    </w:p>
    <w:p>
      <w:pPr>
        <w:jc w:val="both"/>
        <w:ind w:left="660" w:firstLine="648"/>
        <w:spacing w:after="0" w:line="244"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amendment or modification of the financial covenants in this Agreement (or defined terms used in the financial covenants in this Agreement) shall not constitute a reduction in the rate of interest or fees for purposes of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and (y) only the consent of the Required Lenders shall be necessary to reduce or waive any obligation of the Borrowers to pay interest or any other amount at the applicable default rate set forth in </w:t>
      </w:r>
      <w:r>
        <w:rPr>
          <w:rFonts w:ascii="Times New Roman" w:cs="Times New Roman" w:eastAsia="Times New Roman" w:hAnsi="Times New Roman"/>
          <w:sz w:val="20"/>
          <w:szCs w:val="20"/>
          <w:u w:val="single" w:color="auto"/>
          <w:color w:val="auto"/>
        </w:rPr>
        <w:t>Section 2.13(e)</w:t>
      </w:r>
      <w:r>
        <w:rPr>
          <w:rFonts w:ascii="Times New Roman" w:cs="Times New Roman" w:eastAsia="Times New Roman" w:hAnsi="Times New Roman"/>
          <w:sz w:val="20"/>
          <w:szCs w:val="20"/>
          <w:color w:val="auto"/>
        </w:rPr>
        <w:t xml:space="preserve"> or to amend </w:t>
      </w:r>
      <w:r>
        <w:rPr>
          <w:rFonts w:ascii="Times New Roman" w:cs="Times New Roman" w:eastAsia="Times New Roman" w:hAnsi="Times New Roman"/>
          <w:sz w:val="20"/>
          <w:szCs w:val="20"/>
          <w:u w:val="single" w:color="auto"/>
          <w:color w:val="auto"/>
        </w:rPr>
        <w:t>Section 2.13(e)</w:t>
      </w:r>
      <w:r>
        <w:rPr>
          <w:rFonts w:ascii="Times New Roman" w:cs="Times New Roman" w:eastAsia="Times New Roman" w:hAnsi="Times New Roman"/>
          <w:sz w:val="20"/>
          <w:szCs w:val="20"/>
          <w:color w:val="auto"/>
        </w:rPr>
        <w:t>;</w:t>
      </w:r>
    </w:p>
    <w:p>
      <w:pPr>
        <w:spacing w:after="0" w:line="199"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(including any such Lender that is a Defaulting Lender) directly affected thereby (other than with respect to the matters set forth in </w:t>
      </w:r>
      <w:r>
        <w:rPr>
          <w:rFonts w:ascii="Times New Roman" w:cs="Times New Roman" w:eastAsia="Times New Roman" w:hAnsi="Times New Roman"/>
          <w:sz w:val="20"/>
          <w:szCs w:val="20"/>
          <w:u w:val="single" w:color="auto"/>
          <w:color w:val="auto"/>
        </w:rPr>
        <w:t>clauses (ii)(x)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(ii)(y)</w:t>
      </w:r>
      <w:r>
        <w:rPr>
          <w:rFonts w:ascii="Times New Roman" w:cs="Times New Roman" w:eastAsia="Times New Roman" w:hAnsi="Times New Roman"/>
          <w:sz w:val="20"/>
          <w:szCs w:val="20"/>
          <w:color w:val="auto"/>
        </w:rPr>
        <w:t xml:space="preserve"> above);</w:t>
      </w:r>
    </w:p>
    <w:p>
      <w:pPr>
        <w:spacing w:after="0" w:line="19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change </w:t>
      </w:r>
      <w:r>
        <w:rPr>
          <w:rFonts w:ascii="Times New Roman" w:cs="Times New Roman" w:eastAsia="Times New Roman" w:hAnsi="Times New Roman"/>
          <w:sz w:val="20"/>
          <w:szCs w:val="20"/>
          <w:u w:val="single" w:color="auto"/>
          <w:color w:val="auto"/>
        </w:rPr>
        <w:t>Section 2.09(d)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or (d) in a manner that would alter the pro rata sharing of payments or the order in which such payments are to be applied required thereby, without the written consent of each Lender (other than any Defaulting Lender);</w:t>
      </w:r>
    </w:p>
    <w:p>
      <w:pPr>
        <w:spacing w:after="0" w:line="188"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change the definition of any Borrowing Base (or any defined terms used therein) in a manner that makes more credit available, increase the advance rates set forth in the definition of Borrowing Base or add new categories of eligible assets, in each case, without the written consent of each Lender (other than any Defaulting Lender);</w:t>
      </w:r>
    </w:p>
    <w:p>
      <w:pPr>
        <w:spacing w:after="0" w:line="188"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color w:val="auto"/>
        </w:rPr>
        <w:t>(vi)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change any of the provisions of this Section or the definition of “</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w:t>
      </w:r>
    </w:p>
    <w:p>
      <w:pPr>
        <w:spacing w:after="0" w:line="19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(vii)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release all or substantially all of the value of the Loan Guaranty (except as otherwise permitted herein or in the other Loan Documents, including with respect to a sale, disposition or dissolution of a Loan Guarantor permitted herein), without the written consent of each Lender (other than any Defaulting Lender); or</w:t>
      </w:r>
    </w:p>
    <w:p>
      <w:pPr>
        <w:spacing w:after="0" w:line="188"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20"/>
          <w:szCs w:val="20"/>
          <w:color w:val="auto"/>
        </w:rPr>
        <w:t>(viii)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except as provided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Section or in any Collateral Document (as in effect on the Effective Date), release all or substantially all of the Collateral, without the written consent of each Lender (other than any Defaulting Lender);</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require the consent of the Administrative Agent, each Issuing Bank and the Swingline Lender) and (B) no such agreement shall amend or modify the provisions of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or any letter of credit application and any bilateral agreement between the Borrower Representative and the Issuing Bank regarding the Issuing Bank’s Issuing Bank Sublimit or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2" w:name="page143"/>
    <w:bookmarkEnd w:id="142"/>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respective rights and obligations between any Borrower and the Issuing Bank in connection with the issuance of Letters of Credit without the prior written consent of the Administrative Agent and the Issuing Bank, respectively. The Administrative Agent may also amend the Commitment Schedule to reflect assignments entered into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Notwithstanding the foregoing, this Agreement and any other Loan Document may be amended (or amended and restated) with the written consent of the Required Lenders, the Administrative Agent and each Borrower (x) to add one or more credit facilities to this Agreement and to permit extensions of credit from time to time outstanding thereunder and the accrued interest and fees in respect thereof to share ratably in the benefits of this Agreement and the other Loan Documents with the Revolving Loans and the accrued interest and fees in respect thereof and (y) to include appropriately the Lenders holding such credit facilities in any determination of the Required Lenders and Lenders.</w:t>
      </w:r>
    </w:p>
    <w:p>
      <w:pPr>
        <w:spacing w:after="0" w:line="19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Lenders and the Issuing Bank hereby irrevocably authorize the Administrative Agent, at its option and in its sole discretion, to release any Liens granted to the Administrative Agent by the Loan Parties on any Collateral (i) upon satisfaction of the Final Release Conditions,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(iii) constituting property leased to a Loan Party under a lease which has expired or been terminated in a transaction permitted under this Agreement, (iv) constituting Excluded Assets or (v) as required to effect any sale or other disposition of such Collateral in connection with any exercise of remedies of the Administrative Agent and the Lenders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Except as provided in the preceding sentence, the Administrative Agent will not release any Liens on Collateral without the prior written authorization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in its discretion, release its Liens on Collateral valued in the aggregate not in excess of $15,000,000 during any calendar year without the prior written authorization of the Required Lenders(it being agreed that the Administrative Agent may rely conclusively on one or more certificates of the Borrowers as to the value of any Collateral to be so released, without further inquiry). Any execution and delivery by the Administrative Agent of documents in connection with any such release shall be without recourse to or warranty by the Administrative Agent.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6.02(e)</w:t>
      </w:r>
      <w:r>
        <w:rPr>
          <w:rFonts w:ascii="Times New Roman" w:cs="Times New Roman" w:eastAsia="Times New Roman" w:hAnsi="Times New Roman"/>
          <w:sz w:val="20"/>
          <w:szCs w:val="20"/>
          <w:color w:val="auto"/>
        </w:rPr>
        <w:t xml:space="preserve"> or (ii) in the event that the Company shall have advised the Administrative Agent that, notwithstanding the use by the Company of commercially reasonable efforts to obtain the consent of such holder (but without the requirement to pay any sums to obtain such consent) to permit the Administrative Agent to retain its liens (on a subordinated basis as contemplated by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the holder of such other Indebtedness requires, as a condition to the extension of such credit, that the Liens on such assets granted to or held by the Administrative Agent under any Loan Document be released, to release the Administrative Agent’s Liens on such assets.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3" w:name="page144"/>
    <w:bookmarkEnd w:id="143"/>
    <w:p>
      <w:pPr>
        <w:jc w:val="both"/>
        <w:spacing w:after="0" w:line="241" w:lineRule="auto"/>
        <w:rPr>
          <w:sz w:val="20"/>
          <w:szCs w:val="20"/>
          <w:color w:val="auto"/>
        </w:rPr>
      </w:pPr>
      <w:r>
        <w:rPr>
          <w:rFonts w:ascii="Times New Roman" w:cs="Times New Roman" w:eastAsia="Times New Roman" w:hAnsi="Times New Roman"/>
          <w:sz w:val="20"/>
          <w:szCs w:val="20"/>
          <w:color w:val="auto"/>
        </w:rPr>
        <w:t>necessary but not obtained being referred to herein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Company may elect to replace a Non-Consenting Lender as a Lender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(ii) such Non-Consenting Lender shall have received in same day funds on the day of such replacement (1) all interest, fees and other amounts then accrued but unpaid to such Non-Consenting Lender by such Borrower hereunder to and including the date of termination, including without limitation payments due to such Non-Consenting Lender under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(2) an amount, if any, equal to the payment which would have been due to such Lender on the day of such replacement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20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Notwithstanding anything to the contrary herein the Administrative Agent may, with the consent of the Borrowers only, amend, modify or supplement this Agreement or any of the other Loan Documents (i) to correct, amend, resolve or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(iii) to effect the granting, perfection, protection, expansion or enhancement of any security interest in any Collateral or additional property to become Collateral for the benefit of the Secured Parties, (iv) to make administrative or operational changes not adverse to any Lender or (v) to add a guarantor or collateral or otherwise enhance the rights and benefits of the Lenders.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9.03.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Expenses; Limitation of Liability; Indemnity; Damage Waiver</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Loan Parties shall, jointly and severally, pay (i) all reasonable out-of-pocket expenses incurred by the Administrative Agent and the Lead Arrangers and their respective Affiliates (including the reasonable and documented fees, disbursements and other charges of one primary counsel and one local counsel in each applicable jurisdiction for the Administrative Agent and the Lead Arrangers and their respective Affiliates, in each case, for all such parties taken together) in connection with the syndication and distribution (including, without limitation, via the internet or through any Electronic System or Approved Electronic Platform)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out-of-pocket expenses incurred by the Administrative Agent, any Issuing Bank or any Lender (including the reasonable and documented fees, disbursements and other charges of one primary counsel and one local counsel in each applicable jurisdiction for the Administrative Agent,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4" w:name="page145"/>
    <w:bookmarkEnd w:id="144"/>
    <w:p>
      <w:pPr>
        <w:jc w:val="both"/>
        <w:spacing w:after="0" w:line="244" w:lineRule="auto"/>
        <w:rPr>
          <w:sz w:val="20"/>
          <w:szCs w:val="20"/>
          <w:color w:val="auto"/>
        </w:rPr>
      </w:pPr>
      <w:r>
        <w:rPr>
          <w:rFonts w:ascii="Times New Roman" w:cs="Times New Roman" w:eastAsia="Times New Roman" w:hAnsi="Times New Roman"/>
          <w:sz w:val="20"/>
          <w:szCs w:val="20"/>
          <w:color w:val="auto"/>
        </w:rPr>
        <w:t>Issuing Banks and the Lenders taken as a whole (and, in light of actual or potential conflicts of interest or the availability of different claims or defenses (as reasonably determined by the affected party), one additional firm of counsel to each group of similarly affected parties))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19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subject to the limits set forth in </w:t>
      </w:r>
      <w:r>
        <w:rPr>
          <w:rFonts w:ascii="Times New Roman" w:cs="Times New Roman" w:eastAsia="Times New Roman" w:hAnsi="Times New Roman"/>
          <w:sz w:val="20"/>
          <w:szCs w:val="20"/>
          <w:u w:val="single" w:color="auto"/>
          <w:color w:val="auto"/>
        </w:rPr>
        <w:t>Sections 5.11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5.12</w:t>
      </w:r>
      <w:r>
        <w:rPr>
          <w:rFonts w:ascii="Times New Roman" w:cs="Times New Roman" w:eastAsia="Times New Roman" w:hAnsi="Times New Roman"/>
          <w:sz w:val="20"/>
          <w:szCs w:val="20"/>
          <w:color w:val="auto"/>
        </w:rPr>
        <w:t>, appraisals, field examinations and the preparation of Reports based on the fees charged by a third party retained by the Administrative Agent or the internally allocated fees for each Person employed by the Administrative Agent with respect to each appraisal and field examination;</w:t>
      </w:r>
    </w:p>
    <w:p>
      <w:pPr>
        <w:spacing w:after="0" w:line="188"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background checks regarding senior management of the Loan Parties, as deemed necessary or appropriate in the sole discretion of the Administrative Agent;</w:t>
      </w:r>
    </w:p>
    <w:p>
      <w:pPr>
        <w:spacing w:after="0" w:line="173" w:lineRule="exact"/>
        <w:rPr>
          <w:sz w:val="20"/>
          <w:szCs w:val="20"/>
          <w:color w:val="auto"/>
        </w:rPr>
      </w:pPr>
    </w:p>
    <w:p>
      <w:pPr>
        <w:jc w:val="both"/>
        <w:ind w:left="660" w:firstLine="648"/>
        <w:spacing w:after="0" w:line="295" w:lineRule="auto"/>
        <w:rPr>
          <w:sz w:val="20"/>
          <w:szCs w:val="20"/>
          <w:color w:val="auto"/>
        </w:rPr>
      </w:pPr>
      <w:r>
        <w:rPr>
          <w:rFonts w:ascii="Times New Roman" w:cs="Times New Roman" w:eastAsia="Times New Roman" w:hAnsi="Times New Roman"/>
          <w:sz w:val="19"/>
          <w:szCs w:val="19"/>
          <w:color w:val="auto"/>
        </w:rPr>
        <w:t>(iii)</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Other Taxes, fees and other charges for (A) lien and title searches and title insurance and (B) recording the Mortgages, filing financing statements and continuations, and other actions to perfect, protect, and continue the Administrative Agent’s Liens;</w:t>
      </w:r>
    </w:p>
    <w:p>
      <w:pPr>
        <w:spacing w:after="0" w:line="151" w:lineRule="exact"/>
        <w:rPr>
          <w:sz w:val="20"/>
          <w:szCs w:val="20"/>
          <w:color w:val="auto"/>
        </w:rPr>
      </w:pPr>
    </w:p>
    <w:p>
      <w:pPr>
        <w:jc w:val="both"/>
        <w:ind w:left="660" w:right="20" w:firstLine="648"/>
        <w:spacing w:after="0" w:line="269"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sums paid or incurred to take any action required of any Loan Party under the Loan Documents that such Loan Party fails to pay or take; and</w:t>
      </w:r>
    </w:p>
    <w:p>
      <w:pPr>
        <w:spacing w:after="0" w:line="173" w:lineRule="exact"/>
        <w:rPr>
          <w:sz w:val="20"/>
          <w:szCs w:val="20"/>
          <w:color w:val="auto"/>
        </w:rPr>
      </w:pPr>
    </w:p>
    <w:p>
      <w:pPr>
        <w:jc w:val="both"/>
        <w:ind w:left="660" w:right="20" w:firstLine="648"/>
        <w:spacing w:after="0" w:line="269"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forwarding loan proceeds, collecting checks and other items of payment, and establishing and maintaining the accounts and lock boxes, and costs and expenses of preserving and protecting the Collateral.</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All of the foregoing fees, costs and expenses may be charged to the Company as Revolving Loans or to another deposit account, all as described in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The Loan Parties shall, jointly and severally, indemnify the Administrative Agent, the Lead Arrangers, the Syndication Agent, each Issuing Bank and each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penalties, incremental taxes, liabilities and related expenses (including the reasonable and documented fees, charges and disbursements and other charges of (x) one primary counsel and one local counsel in each applicable jurisdiction, in each case for the Indemnitees taken as a whole and (y) one additional counsel for each affected Indemnitee in light of actual or potential conflicts of interest or the availability of different claims or defenses)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(iv) the failure of a Loan Party to deliver to the Administrative Agent the required receipts or other required documentary evidence with respect to a payment made by a Loan Party for Taxes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or (v) any actual or prospective claim,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5" w:name="page146"/>
    <w:bookmarkEnd w:id="145"/>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litigation, investigation, arbitration or proceeding relating to any of the foregoing, whether or not such claim, litigation, investigation, arbitration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penalties, liabilities or related expenses are determined by a court of competent jurisdiction by final and nonappealable judgment to have resulted from (x) the gross negligence or willful misconduct of such Indemnitee or (y) the material breach in bad faith by such Indemnitee of its express obligations under this Agreement pursuant to a claim initiated by the Company. This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xml:space="preserve"> shall not apply with respect to Taxes other than any Taxes that represent losses, claims or damages arising from any non-Tax claim.</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Lender Reimbursement</w:t>
      </w:r>
      <w:r>
        <w:rPr>
          <w:rFonts w:ascii="Times New Roman" w:cs="Times New Roman" w:eastAsia="Times New Roman" w:hAnsi="Times New Roman"/>
          <w:sz w:val="19"/>
          <w:szCs w:val="19"/>
          <w:color w:val="auto"/>
        </w:rPr>
        <w:t xml:space="preserve">. Each Lender severally agrees to pay any amount required to be paid by any Loan Party under </w:t>
      </w:r>
      <w:r>
        <w:rPr>
          <w:rFonts w:ascii="Times New Roman" w:cs="Times New Roman" w:eastAsia="Times New Roman" w:hAnsi="Times New Roman"/>
          <w:sz w:val="19"/>
          <w:szCs w:val="19"/>
          <w:u w:val="single" w:color="auto"/>
          <w:color w:val="auto"/>
        </w:rPr>
        <w:t>paragraph</w:t>
      </w:r>
    </w:p>
    <w:p>
      <w:pPr>
        <w:spacing w:after="0" w:line="33" w:lineRule="exact"/>
        <w:rPr>
          <w:sz w:val="20"/>
          <w:szCs w:val="20"/>
          <w:color w:val="auto"/>
        </w:rPr>
      </w:pPr>
    </w:p>
    <w:p>
      <w:pPr>
        <w:jc w:val="both"/>
        <w:ind w:firstLine="8"/>
        <w:spacing w:after="0" w:line="239" w:lineRule="auto"/>
        <w:tabs>
          <w:tab w:leader="none" w:pos="269" w:val="left"/>
        </w:tabs>
        <w:numPr>
          <w:ilvl w:val="0"/>
          <w:numId w:val="4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to the Administrative Agent, each Issuing Bank and the Swingline Lender, and each Related Party of any of the foregoing Persons (each, an “</w:t>
      </w:r>
      <w:r>
        <w:rPr>
          <w:rFonts w:ascii="Times New Roman" w:cs="Times New Roman" w:eastAsia="Times New Roman" w:hAnsi="Times New Roman"/>
          <w:sz w:val="20"/>
          <w:szCs w:val="20"/>
          <w:u w:val="single" w:color="auto"/>
          <w:color w:val="auto"/>
        </w:rPr>
        <w:t>Agent Indemnitee</w:t>
      </w:r>
      <w:r>
        <w:rPr>
          <w:rFonts w:ascii="Times New Roman" w:cs="Times New Roman" w:eastAsia="Times New Roman" w:hAnsi="Times New Roman"/>
          <w:sz w:val="20"/>
          <w:szCs w:val="20"/>
          <w:color w:val="auto"/>
        </w:rPr>
        <w:t xml:space="preserve">”) (to the extent not reimbursed by a Loan Party and without limiting the obligation of any Loan Party to do so), ratably according to their respective Applicable Percentage in effect on the date on which indemnification is sought under this Section (or, if indemnification is sought after the date upon which the Commitments shall have terminated and the Loans shall have been paid in full, ratably in accordance with such Applicable Percentage immediately prior to such date), and agrees to indemnify and hold each Agent Indemnitee harmless from and against any and all losses, claims, damages,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such Agent Indemnitee in its capacity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until satisfaction of the Final Release Conditions.</w:t>
      </w:r>
    </w:p>
    <w:p>
      <w:pPr>
        <w:spacing w:after="0" w:line="21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To the extent permitted by applicable law, no Loan Party shall assert, and each Loan Party hereby waives, any claim against the Administrative Agent, the Lead Arrangers, the Syndication Agent and any Lender, and any Related Party of any of the foregoing Persons (each such Person being called a “</w:t>
      </w:r>
      <w:r>
        <w:rPr>
          <w:rFonts w:ascii="Times New Roman" w:cs="Times New Roman" w:eastAsia="Times New Roman" w:hAnsi="Times New Roman"/>
          <w:sz w:val="20"/>
          <w:szCs w:val="20"/>
          <w:u w:val="single" w:color="auto"/>
          <w:color w:val="auto"/>
        </w:rPr>
        <w:t>Lender-Related Person</w:t>
      </w:r>
      <w:r>
        <w:rPr>
          <w:rFonts w:ascii="Times New Roman" w:cs="Times New Roman" w:eastAsia="Times New Roman" w:hAnsi="Times New Roman"/>
          <w:sz w:val="20"/>
          <w:szCs w:val="20"/>
          <w:color w:val="auto"/>
        </w:rPr>
        <w:t xml:space="preserve">”) (i) for any damages arising from the use by others of information or other materials obtained through telecommunications, electronic or other information transmission systems (including the Internet) other than actual or direct damages that are determined by a court of competent jurisdiction by final and nonappealable judgment to have resulted from the gross negligence or willful misconduct of such Lender-Related Person or any of its Related Parties. To the extent permitted by applicable law, no Lender-Related Person shall assert against any Loan Party or its Related Parties and no Loan Party shall assert against any Lender-Related Person, and each Lender-Related Person and Loan Party hereby waives, any claim,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contained in this sentence shall limit the Company’s indemnity obligations to the extent set forth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All amounts due under this Section shall be payable not later than fifteen (15) days after written demand therefor.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9.04.</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(including any Affiliate of the relevant Issuing Bank that issues any Letter of Credit), except that</w:t>
      </w:r>
    </w:p>
    <w:p>
      <w:pPr>
        <w:spacing w:after="0" w:line="2" w:lineRule="exact"/>
        <w:rPr>
          <w:sz w:val="20"/>
          <w:szCs w:val="20"/>
          <w:color w:val="auto"/>
        </w:rPr>
      </w:pPr>
    </w:p>
    <w:p>
      <w:pPr>
        <w:jc w:val="both"/>
        <w:ind w:firstLine="8"/>
        <w:spacing w:after="0"/>
        <w:tabs>
          <w:tab w:leader="none" w:pos="24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relevant Issuing Bank that issues any Letter of Credit), Participants (to the extent provided in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 Subject to the conditions set forth in </w:t>
      </w:r>
      <w:r>
        <w:rPr>
          <w:rFonts w:ascii="Times New Roman" w:cs="Times New Roman" w:eastAsia="Times New Roman" w:hAnsi="Times New Roman"/>
          <w:sz w:val="20"/>
          <w:szCs w:val="20"/>
          <w:u w:val="single" w:color="auto"/>
          <w:color w:val="auto"/>
        </w:rPr>
        <w:t>paragraph (b)(ii)</w:t>
      </w:r>
      <w:r>
        <w:rPr>
          <w:rFonts w:ascii="Times New Roman" w:cs="Times New Roman" w:eastAsia="Times New Roman" w:hAnsi="Times New Roman"/>
          <w:sz w:val="20"/>
          <w:szCs w:val="20"/>
          <w:color w:val="auto"/>
        </w:rPr>
        <w:t xml:space="preserve"> 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of:</w:t>
      </w:r>
    </w:p>
    <w:p>
      <w:pPr>
        <w:spacing w:after="0" w:line="188" w:lineRule="exact"/>
        <w:rPr>
          <w:sz w:val="20"/>
          <w:szCs w:val="20"/>
          <w:color w:val="auto"/>
        </w:rPr>
      </w:pPr>
    </w:p>
    <w:p>
      <w:pPr>
        <w:jc w:val="both"/>
        <w:ind w:left="1300" w:firstLine="648"/>
        <w:spacing w:after="0" w:line="246"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Borrower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Representative shall be deemed to have consented to any assignment unless it shall object thereto by written notice to the Administrative Agent within five (5) Business Days after having received notice thereof and (ii) no consent of the Borrower Representative shall be required for an assignment to a Lender, an Affiliate of a Lender, an Approved Fund or, if an Event of Default has occurred and is continuing, any other assignee;</w:t>
      </w:r>
    </w:p>
    <w:p>
      <w:pPr>
        <w:spacing w:after="0" w:line="19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Issuing Bank; and</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Swingline Lender.</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Assignments shall be subject to the following additional conditions:</w:t>
      </w:r>
    </w:p>
    <w:p>
      <w:pPr>
        <w:spacing w:after="0" w:line="229" w:lineRule="exact"/>
        <w:rPr>
          <w:sz w:val="20"/>
          <w:szCs w:val="20"/>
          <w:color w:val="auto"/>
        </w:rPr>
      </w:pPr>
    </w:p>
    <w:p>
      <w:pPr>
        <w:jc w:val="both"/>
        <w:ind w:left="1300" w:firstLine="648"/>
        <w:spacing w:after="0" w:line="245"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Borrower Representative shall be required if an Event of Default has occurred and is continuing;</w:t>
      </w:r>
    </w:p>
    <w:p>
      <w:pPr>
        <w:spacing w:after="0" w:line="198" w:lineRule="exact"/>
        <w:rPr>
          <w:sz w:val="20"/>
          <w:szCs w:val="20"/>
          <w:color w:val="auto"/>
        </w:rPr>
      </w:pPr>
    </w:p>
    <w:p>
      <w:pPr>
        <w:jc w:val="both"/>
        <w:ind w:left="1300" w:right="20" w:firstLine="648"/>
        <w:spacing w:after="0" w:line="26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partial assignment shall be made as an assignment of a proportionate part of all the assigning Lender’s rights and obligations under this Agreement;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7" w:name="page148"/>
    <w:bookmarkEnd w:id="147"/>
    <w:p>
      <w:pPr>
        <w:jc w:val="both"/>
        <w:ind w:left="1300" w:firstLine="648"/>
        <w:spacing w:after="0" w:line="256"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(unless waived by the Administrative Agent), such fee to be paid by either the assigning Lender or the assignee Lender or shared between such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only one such processing and recordation fee shall be payable in the event of simultaneous assignments and delegations from any Lender or its Approved Funds to one or more other Approved Funds of such Lender and (2) with respect to any assignment and delegation pursuant to </w:t>
      </w:r>
      <w:r>
        <w:rPr>
          <w:rFonts w:ascii="Times New Roman" w:cs="Times New Roman" w:eastAsia="Times New Roman" w:hAnsi="Times New Roman"/>
          <w:sz w:val="19"/>
          <w:szCs w:val="19"/>
          <w:u w:val="single" w:color="auto"/>
          <w:color w:val="auto"/>
        </w:rPr>
        <w:t>Section 2.19(b)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9.02(e)</w:t>
      </w:r>
      <w:r>
        <w:rPr>
          <w:rFonts w:ascii="Times New Roman" w:cs="Times New Roman" w:eastAsia="Times New Roman" w:hAnsi="Times New Roman"/>
          <w:sz w:val="19"/>
          <w:szCs w:val="19"/>
          <w:color w:val="auto"/>
        </w:rPr>
        <w:t>, the parties hereto agree that such assignment and delegation may be effected pursuant to an Assignment and Assumption executed by the Company, the Administrative Agent and the assignee and that the Lender required to make such assignment and delegation need not be a party thereto; and</w:t>
      </w:r>
    </w:p>
    <w:p>
      <w:pPr>
        <w:spacing w:after="0" w:line="194" w:lineRule="exact"/>
        <w:rPr>
          <w:sz w:val="20"/>
          <w:szCs w:val="20"/>
          <w:color w:val="auto"/>
        </w:rPr>
      </w:pPr>
    </w:p>
    <w:p>
      <w:pPr>
        <w:jc w:val="both"/>
        <w:ind w:left="1300" w:firstLine="648"/>
        <w:spacing w:after="0" w:line="246"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assignee, if it shall not be a Lender, shall deliver to the Administrative Agent an Administrative Questionnaire in which the assignee designates one or more credit contacts to whom all syndicate-level information (which may contain MNPI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the purposes of this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the terms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have the following meanings: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Ineligible Institution</w:t>
      </w:r>
      <w:r>
        <w:rPr>
          <w:rFonts w:ascii="Times New Roman" w:cs="Times New Roman" w:eastAsia="Times New Roman" w:hAnsi="Times New Roman"/>
          <w:sz w:val="20"/>
          <w:szCs w:val="20"/>
          <w:color w:val="auto"/>
        </w:rPr>
        <w:t>” means (a) a natural person, (b) a Defaulting Lender or its Lender Parent, (c) the Borrowers, any of their Subsidiaries or any of their Affiliates, (d) a company, investment vehicle or trust for, or owned and operated for the primary benefit of, a natural person or relative(s) thereof or (e) a Disqualified Lender.</w:t>
      </w:r>
    </w:p>
    <w:p>
      <w:pPr>
        <w:spacing w:after="0" w:line="188" w:lineRule="exact"/>
        <w:rPr>
          <w:sz w:val="20"/>
          <w:szCs w:val="20"/>
          <w:color w:val="auto"/>
        </w:rPr>
      </w:pPr>
    </w:p>
    <w:p>
      <w:pPr>
        <w:jc w:val="both"/>
        <w:ind w:left="660" w:firstLine="648"/>
        <w:spacing w:after="0" w:line="243"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Subject to acceptance and recording thereof pursuant to </w:t>
      </w:r>
      <w:r>
        <w:rPr>
          <w:rFonts w:ascii="Times New Roman" w:cs="Times New Roman" w:eastAsia="Times New Roman" w:hAnsi="Times New Roman"/>
          <w:sz w:val="20"/>
          <w:szCs w:val="20"/>
          <w:u w:val="single" w:color="auto"/>
          <w:color w:val="auto"/>
        </w:rPr>
        <w:t>paragraph (b)(iv)</w:t>
      </w:r>
      <w:r>
        <w:rPr>
          <w:rFonts w:ascii="Times New Roman" w:cs="Times New Roman" w:eastAsia="Times New Roman" w:hAnsi="Times New Roman"/>
          <w:sz w:val="20"/>
          <w:szCs w:val="20"/>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w:t>
      </w:r>
    </w:p>
    <w:p>
      <w:pPr>
        <w:spacing w:after="0" w:line="19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acting for this purpose as a non-fiduciary agent of each Borrower, shall maintain at one of its offices a copy of each Assignment and Assumption delivered to it and a register for the recordation of the names and addresses of the Lenders, and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8" w:name="page149"/>
    <w:bookmarkEnd w:id="148"/>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Commitment of, and principal amount (and stated interest) of the Loans and LC Disbursements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198" w:lineRule="exact"/>
        <w:rPr>
          <w:sz w:val="20"/>
          <w:szCs w:val="20"/>
          <w:color w:val="auto"/>
        </w:rPr>
      </w:pPr>
    </w:p>
    <w:p>
      <w:pPr>
        <w:jc w:val="both"/>
        <w:ind w:left="660" w:firstLine="648"/>
        <w:spacing w:after="0" w:line="242"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any written consent to such assignment required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the Administrative Agent shall accept such 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 Lender or the assignee shall have failed to make any payment required to be made by it pursuant to </w:t>
      </w:r>
      <w:r>
        <w:rPr>
          <w:rFonts w:ascii="Times New Roman" w:cs="Times New Roman" w:eastAsia="Times New Roman" w:hAnsi="Times New Roman"/>
          <w:sz w:val="20"/>
          <w:szCs w:val="20"/>
          <w:u w:val="single" w:color="auto"/>
          <w:color w:val="auto"/>
        </w:rPr>
        <w:t>Section 2.05(c)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2.07(b)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9.03(c)</w:t>
      </w:r>
      <w:r>
        <w:rPr>
          <w:rFonts w:ascii="Times New Roman" w:cs="Times New Roman" w:eastAsia="Times New Roman" w:hAnsi="Times New Roman"/>
          <w:sz w:val="20"/>
          <w:szCs w:val="20"/>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Lender may, without the consent of, or notice to, any Borrower, the Administrative Agent, the Issuing Banks or the Swingline Lender,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other than an Ineligible Institution, in all or a portion of such Lender’s rights and obligations under this Agreement (including all or a portion of its Commitment and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that affects such Participant. Each Lender that sells a participation agrees, at any Borrower’s request and expense, to use reasonable efforts to cooperate with such Borrower to effectuate the provisions of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with respect to any Participant. Each Borrower agrees that each Participant shall be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shall be delivered to the participating Lender and the information and documentation required under </w:t>
      </w:r>
      <w:r>
        <w:rPr>
          <w:rFonts w:ascii="Times New Roman" w:cs="Times New Roman" w:eastAsia="Times New Roman" w:hAnsi="Times New Roman"/>
          <w:sz w:val="20"/>
          <w:szCs w:val="20"/>
          <w:u w:val="single" w:color="auto"/>
          <w:color w:val="auto"/>
        </w:rPr>
        <w:t>2.17(g)</w:t>
      </w:r>
      <w:r>
        <w:rPr>
          <w:rFonts w:ascii="Times New Roman" w:cs="Times New Roman" w:eastAsia="Times New Roman" w:hAnsi="Times New Roman"/>
          <w:sz w:val="20"/>
          <w:szCs w:val="20"/>
          <w:color w:val="auto"/>
        </w:rPr>
        <w:t xml:space="preserve"> will be delivered to the Borrowers and the Administrative Agent))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2.18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(B) shall not be entitled to receive any greater payment under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as though it were a Lender, provided such Participant agrees to be subject to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 xml:space="preserve"> as though it were a Lender. Each Lender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49" w:name="page150"/>
    <w:bookmarkEnd w:id="149"/>
    <w:p>
      <w:pPr>
        <w:jc w:val="both"/>
        <w:spacing w:after="0" w:line="242" w:lineRule="auto"/>
        <w:rPr>
          <w:sz w:val="20"/>
          <w:szCs w:val="20"/>
          <w:color w:val="auto"/>
        </w:rPr>
      </w:pPr>
      <w:r>
        <w:rPr>
          <w:rFonts w:ascii="Times New Roman" w:cs="Times New Roman" w:eastAsia="Times New Roman" w:hAnsi="Times New Roman"/>
          <w:sz w:val="20"/>
          <w:szCs w:val="20"/>
          <w:color w:val="auto"/>
        </w:rPr>
        <w:t>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Disqualified Lenders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660" w:firstLine="648"/>
        <w:spacing w:after="0" w:line="242"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 assignment or participation shall be made to any Person that was a Disqualified Lender as of the date (the “</w:t>
      </w:r>
      <w:r>
        <w:rPr>
          <w:rFonts w:ascii="Times New Roman" w:cs="Times New Roman" w:eastAsia="Times New Roman" w:hAnsi="Times New Roman"/>
          <w:sz w:val="20"/>
          <w:szCs w:val="20"/>
          <w:u w:val="single" w:color="auto"/>
          <w:color w:val="auto"/>
        </w:rPr>
        <w:t>Trade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and/or the expiration of the notice period referred to in, the definition of “</w:t>
      </w:r>
      <w:r>
        <w:rPr>
          <w:rFonts w:ascii="Times New Roman" w:cs="Times New Roman" w:eastAsia="Times New Roman" w:hAnsi="Times New Roman"/>
          <w:sz w:val="20"/>
          <w:szCs w:val="20"/>
          <w:u w:val="single" w:color="auto"/>
          <w:color w:val="auto"/>
        </w:rPr>
        <w:t>Disqualified Lender</w:t>
      </w:r>
      <w:r>
        <w:rPr>
          <w:rFonts w:ascii="Times New Roman" w:cs="Times New Roman" w:eastAsia="Times New Roman" w:hAnsi="Times New Roman"/>
          <w:sz w:val="20"/>
          <w:szCs w:val="20"/>
          <w:color w:val="auto"/>
        </w:rPr>
        <w:t xml:space="preserve">”), (x) such assignee or Participant shall not retroactively be disqualified from being a Lender or Participant and (y) the execution by the Company of an Assignment and Assumption with respect to such assignee will not by itself result in such assignee no longer being considered a Disqualified Lender. Any assignment or participation in violation of this </w:t>
      </w:r>
      <w:r>
        <w:rPr>
          <w:rFonts w:ascii="Times New Roman" w:cs="Times New Roman" w:eastAsia="Times New Roman" w:hAnsi="Times New Roman"/>
          <w:sz w:val="20"/>
          <w:szCs w:val="20"/>
          <w:u w:val="single" w:color="auto"/>
          <w:color w:val="auto"/>
        </w:rPr>
        <w:t>clause (e)(i)</w:t>
      </w:r>
      <w:r>
        <w:rPr>
          <w:rFonts w:ascii="Times New Roman" w:cs="Times New Roman" w:eastAsia="Times New Roman" w:hAnsi="Times New Roman"/>
          <w:sz w:val="20"/>
          <w:szCs w:val="20"/>
          <w:color w:val="auto"/>
        </w:rPr>
        <w:t xml:space="preserve"> shall not be void, but the other provisions of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shall apply.</w:t>
      </w:r>
    </w:p>
    <w:p>
      <w:pPr>
        <w:spacing w:after="0" w:line="203" w:lineRule="exact"/>
        <w:rPr>
          <w:sz w:val="20"/>
          <w:szCs w:val="20"/>
          <w:color w:val="auto"/>
        </w:rPr>
      </w:pPr>
    </w:p>
    <w:p>
      <w:pPr>
        <w:jc w:val="both"/>
        <w:ind w:left="660" w:firstLine="648"/>
        <w:spacing w:after="0" w:line="259" w:lineRule="auto"/>
        <w:rPr>
          <w:sz w:val="20"/>
          <w:szCs w:val="20"/>
          <w:color w:val="auto"/>
        </w:rPr>
      </w:pPr>
      <w:r>
        <w:rPr>
          <w:rFonts w:ascii="Times New Roman" w:cs="Times New Roman" w:eastAsia="Times New Roman" w:hAnsi="Times New Roman"/>
          <w:sz w:val="19"/>
          <w:szCs w:val="19"/>
          <w:color w:val="auto"/>
        </w:rPr>
        <w:t>(ii)</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If any assignment or participation is made to any Disqualified Lender without the Company’s prior written consent in violation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or if any Person becomes a Disqualified Lender after the applicable Trade Date, the Company may, at its sole expense and effort, upon notice to the applicable Disqualified Lender and the Administrative Agent, require such Disqualified Lender to assign, without recourse (in accordance with and subject to the restrictions contained in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all of its interest, rights and obligations under this Agreement to one or more Persons (other than an Ineligible Institution) at the lesser of (x) the principal amount thereof and (y) the amount that such Disqualified Lender paid to acquire such interests, rights and obligations in each case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accrued interest, accrued fees and all other amounts (other than principal amounts) payable to it hereunder.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0" w:name="page151"/>
    <w:bookmarkEnd w:id="150"/>
    <w:p>
      <w:pPr>
        <w:jc w:val="both"/>
        <w:ind w:left="660" w:firstLine="648"/>
        <w:spacing w:after="0" w:line="241"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Notwithstanding anything to the contrary contained in this Agreement, Disqualified Lenders to whom an assignment or participation is made in violation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(A) will not have the right to (x) receive information, reports or other materials provided to Lenders by the Company, the Administrative Agent or any other Lender, (y) attend or participate in meetings attended by the Lenders (or any of them) and the Administrative Agent, or (z) access any electronic site established for the Lenders or confidential communications from counsel to or financial advisors of the Administrative Agent or the Lenders and (B)(x)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(y) for purposes of voting on any plan of reorganization, each Disqualified Lender party hereto hereby agrees (1) not to vote on such plan of reorganization, (2) if such Disqualified Lender does vote on such plan of reorganization notwithstanding the restriction in the foregoing </w:t>
      </w:r>
      <w:r>
        <w:rPr>
          <w:rFonts w:ascii="Times New Roman" w:cs="Times New Roman" w:eastAsia="Times New Roman" w:hAnsi="Times New Roman"/>
          <w:sz w:val="20"/>
          <w:szCs w:val="20"/>
          <w:u w:val="single" w:color="auto"/>
          <w:color w:val="auto"/>
        </w:rPr>
        <w:t>clause (1)</w:t>
      </w:r>
      <w:r>
        <w:rPr>
          <w:rFonts w:ascii="Times New Roman" w:cs="Times New Roman" w:eastAsia="Times New Roman" w:hAnsi="Times New Roman"/>
          <w:sz w:val="20"/>
          <w:szCs w:val="20"/>
          <w:color w:val="auto"/>
        </w:rPr>
        <w:t xml:space="preserve">, such vote will be deemed not to be in good faith and shall be “designated” pursuant to Section 1126(e) of the Bankruptcy Code (or any similar provision in any other applicable laws), and such vote shall not be counted in determining whether the applicable class has accepted or rejected such plan of reorganization in accordance with Section 1126(c) of the Bankruptcy Code (or any similar provision in any other applicable laws) and (3)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color w:val="auto"/>
        </w:rPr>
        <w:t>(iv)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shall have the right, and the Company hereby expressly authorizes the Administrative Agent, to (A) post the list of Disqualified Lenders provided by the Company and any updates thereto from time to time (collectively, the “</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on an Approved Electronic Platform, including that portion of such Approved Electronic Platform that is designated for “public side” Lenders and/or (B) provide the DQ List to each Lender or potential Lender requesting the same.</w:t>
      </w:r>
    </w:p>
    <w:p>
      <w:pPr>
        <w:spacing w:after="0" w:line="193" w:lineRule="exact"/>
        <w:rPr>
          <w:sz w:val="20"/>
          <w:szCs w:val="20"/>
          <w:color w:val="auto"/>
        </w:rPr>
      </w:pPr>
    </w:p>
    <w:p>
      <w:pPr>
        <w:jc w:val="both"/>
        <w:ind w:left="660" w:firstLine="648"/>
        <w:spacing w:after="0" w:line="247" w:lineRule="auto"/>
        <w:rPr>
          <w:sz w:val="20"/>
          <w:szCs w:val="20"/>
          <w:color w:val="auto"/>
        </w:rPr>
      </w:pPr>
      <w:r>
        <w:rPr>
          <w:rFonts w:ascii="Times New Roman" w:cs="Times New Roman" w:eastAsia="Times New Roman" w:hAnsi="Times New Roman"/>
          <w:sz w:val="20"/>
          <w:szCs w:val="20"/>
          <w:color w:val="auto"/>
        </w:rPr>
        <w:t>(v)</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Administrative Agent and the Lenders shall not be responsible or have any liability for, or have any duty to ascertain, inquire into, monitor or enforce, compliance with the provisions hereof relating to Disqualified Lenders. Without limiting the generality of the foregoing, neither the Administrative Agent nor any Lender shall </w:t>
      </w:r>
      <w:r>
        <w:rPr>
          <w:rFonts w:ascii="Arial" w:cs="Arial" w:eastAsia="Arial" w:hAnsi="Arial"/>
          <w:sz w:val="21"/>
          <w:szCs w:val="21"/>
          <w:color w:val="auto"/>
        </w:rPr>
        <w:t>‎</w:t>
      </w:r>
      <w:r>
        <w:rPr>
          <w:rFonts w:ascii="Times New Roman" w:cs="Times New Roman" w:eastAsia="Times New Roman" w:hAnsi="Times New Roman"/>
          <w:sz w:val="20"/>
          <w:szCs w:val="20"/>
          <w:color w:val="auto"/>
        </w:rPr>
        <w:t xml:space="preserve">(x) be obligated to ascertain, monitor or inquire as to whether any other Lender or Participant or prospective Lender or Participant is a Disqualified </w:t>
      </w:r>
      <w:r>
        <w:rPr>
          <w:rFonts w:ascii="Arial" w:cs="Arial" w:eastAsia="Arial" w:hAnsi="Arial"/>
          <w:sz w:val="21"/>
          <w:szCs w:val="21"/>
          <w:color w:val="auto"/>
        </w:rPr>
        <w:t>‎</w:t>
      </w:r>
      <w:r>
        <w:rPr>
          <w:rFonts w:ascii="Times New Roman" w:cs="Times New Roman" w:eastAsia="Times New Roman" w:hAnsi="Times New Roman"/>
          <w:sz w:val="20"/>
          <w:szCs w:val="20"/>
          <w:color w:val="auto"/>
        </w:rPr>
        <w:t xml:space="preserve">Lender or (y) have any liability with respect to or arising out of any assignment or participation of Loans, or disclosure of confidential information, by any other Person to any </w:t>
      </w:r>
      <w:r>
        <w:rPr>
          <w:rFonts w:ascii="Arial" w:cs="Arial" w:eastAsia="Arial" w:hAnsi="Arial"/>
          <w:sz w:val="21"/>
          <w:szCs w:val="21"/>
          <w:color w:val="auto"/>
        </w:rPr>
        <w:t>‎</w:t>
      </w:r>
      <w:r>
        <w:rPr>
          <w:rFonts w:ascii="Times New Roman" w:cs="Times New Roman" w:eastAsia="Times New Roman" w:hAnsi="Times New Roman"/>
          <w:sz w:val="20"/>
          <w:szCs w:val="20"/>
          <w:color w:val="auto"/>
        </w:rPr>
        <w:t>Disqualified Lender.</w:t>
      </w:r>
      <w:r>
        <w:rPr>
          <w:rFonts w:ascii="Arial" w:cs="Arial" w:eastAsia="Arial" w:hAnsi="Arial"/>
          <w:sz w:val="21"/>
          <w:szCs w:val="21"/>
          <w:color w:val="auto"/>
        </w:rPr>
        <w:t>‎</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SECTION 9.05.</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Final Release Conditions have been satisfied. The provisions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1" w:name="page152"/>
    <w:bookmarkEnd w:id="151"/>
    <w:p>
      <w:pPr>
        <w:ind w:left="660"/>
        <w:spacing w:after="0"/>
        <w:rPr>
          <w:sz w:val="20"/>
          <w:szCs w:val="20"/>
          <w:color w:val="auto"/>
        </w:rPr>
      </w:pPr>
      <w:r>
        <w:rPr>
          <w:rFonts w:ascii="Times New Roman" w:cs="Times New Roman" w:eastAsia="Times New Roman" w:hAnsi="Times New Roman"/>
          <w:sz w:val="20"/>
          <w:szCs w:val="20"/>
          <w:color w:val="auto"/>
        </w:rPr>
        <w:t>SECTION 9.06.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Counterparts; Integration; Effectiveness; Electronic Execution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20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2" w:name="page153"/>
    <w:bookmarkEnd w:id="152"/>
    <w:p>
      <w:pPr>
        <w:jc w:val="both"/>
        <w:spacing w:after="0" w:line="249" w:lineRule="auto"/>
        <w:rPr>
          <w:sz w:val="20"/>
          <w:szCs w:val="20"/>
          <w:color w:val="auto"/>
        </w:rPr>
      </w:pPr>
      <w:r>
        <w:rPr>
          <w:rFonts w:ascii="Times New Roman" w:cs="Times New Roman" w:eastAsia="Times New Roman" w:hAnsi="Times New Roman"/>
          <w:sz w:val="20"/>
          <w:szCs w:val="20"/>
          <w:color w:val="auto"/>
        </w:rPr>
        <w:t>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SECTION 9.07.</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SECTION 9.08.</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Right of Setoff</w:t>
      </w:r>
      <w:r>
        <w:rPr>
          <w:rFonts w:ascii="Times New Roman" w:cs="Times New Roman" w:eastAsia="Times New Roman" w:hAnsi="Times New Roman"/>
          <w:sz w:val="19"/>
          <w:szCs w:val="19"/>
          <w:color w:val="auto"/>
        </w:rPr>
        <w:t xml:space="preserve">.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w:t>
      </w:r>
    </w:p>
    <w:p>
      <w:pPr>
        <w:spacing w:after="0" w:line="1" w:lineRule="exact"/>
        <w:rPr>
          <w:sz w:val="20"/>
          <w:szCs w:val="20"/>
          <w:color w:val="auto"/>
        </w:rPr>
      </w:pPr>
    </w:p>
    <w:p>
      <w:pPr>
        <w:jc w:val="both"/>
        <w:ind w:firstLine="8"/>
        <w:spacing w:after="0"/>
        <w:tabs>
          <w:tab w:leader="none" w:pos="2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9.09.</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Governing Law; Jurisdiction; Consent to Service of Process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Loan Documents (other than those containing a contrary express choice of law provision) shall be governed by and construed in accordance with the internal laws of the State of New York, but giving effect to federal laws applicable to national banks.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spacing w:after="0" w:line="19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(c)</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Each of the parties hereto hereby irrevocably and unconditionally submits, for itself and its property, to the exclusive jurisdiction of any U.S. federal or New York state court sitting in New York, New York, and any appellate court from any thereof, in any action or proceeding arising out of or relating to any Loan Documents, the transactions relating hereto or thereto, or for recognition or enforcement of</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3" w:name="page154"/>
    <w:bookmarkEnd w:id="153"/>
    <w:p>
      <w:pPr>
        <w:jc w:val="both"/>
        <w:spacing w:after="0" w:line="244" w:lineRule="auto"/>
        <w:rPr>
          <w:sz w:val="20"/>
          <w:szCs w:val="20"/>
          <w:color w:val="auto"/>
        </w:rPr>
      </w:pPr>
      <w:r>
        <w:rPr>
          <w:rFonts w:ascii="Times New Roman" w:cs="Times New Roman" w:eastAsia="Times New Roman" w:hAnsi="Times New Roman"/>
          <w:sz w:val="20"/>
          <w:szCs w:val="20"/>
          <w:color w:val="auto"/>
        </w:rPr>
        <w:t>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party to this Agreement irrevocably consents to service of process in the manner provided for notices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Nothing in this Agreement or any other Loan Document will affect the right of any party to this Agreement to serve process in any other manner permitted by law.</w:t>
      </w:r>
    </w:p>
    <w:p>
      <w:pPr>
        <w:spacing w:after="0" w:line="18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SECTION 9.10.</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SECTION 9.11.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SECTION 9.12.</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w:t>
      </w:r>
    </w:p>
    <w:p>
      <w:pPr>
        <w:spacing w:after="0" w:line="1" w:lineRule="exact"/>
        <w:rPr>
          <w:sz w:val="20"/>
          <w:szCs w:val="20"/>
          <w:color w:val="auto"/>
        </w:rPr>
      </w:pPr>
    </w:p>
    <w:p>
      <w:pPr>
        <w:ind w:firstLine="8"/>
        <w:spacing w:after="0" w:line="246" w:lineRule="auto"/>
        <w:tabs>
          <w:tab w:leader="none" w:pos="25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 agreement containing provisions substantially the same as those of this Section, to (1) any assignee of or Participant in, or any prospective assignee of or Participant in, any of its rights or obligations under this Agreement (it being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4" w:name="page155"/>
    <w:bookmarkEnd w:id="154"/>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understood that the DQ List may be disclosed to any assignee or Participant, or prospective assignee or Participant, in reliance on this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or (2) any actual or prospective counterparty (or its advisors) to any swap or derivative transaction relating to any Borrower and its obligations, (g) on a confidential basis to (1) any rating agency in connection with rating the Company or its Subsidiaries or the credit facilities provided for herein or (2) the CUSIP Service Bureau or any similar agency in connection with the issuance and monitoring of CUSIP numbers with respect to the credit facilities provided for herein, (h) with the consent of the Company or (i) to the extent such Information (1) becomes publicly available other than as a result of a breach of this Section or (2) becomes available to the Administrative Agent, the Issuing Banks or any Lender on a nonconfidential basis from a source other than the Company. For the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the Company relating to the Company or its business, whether or not identified at the time of delivery as confidential, other than (x) any such information that is available to the Administrative Agent, any Issuing Bank or any Lender on a nonconfidential basis prior to disclosure by the Company, (y) any such information that is independently developed, discovered or arrived at by the Administrative Agent, any Issuing Bank or any Lender and (z) information pertaining to this Agreement routinely provided by arrangers to data service providers, including league table providers, that serve the lending industry;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EACH LENDER ACKNOWLEDGES THAT INFORMATION AS DEFINED IN THE IMMEDIATELY PRECEDING PARAGRAPH FURNISHED TO IT PURSUANT TO THIS AGREEMENT MAY INCLUDE MNPI CONCERNING THE COMPANY AND ITS RELATED PARTIES OR THEIR RESPECTIVE SECURITIES, AND CONFIRMS THAT IT HAS DEVELOPED COMPLIANCE PROCEDURES REGARDING THE USE OF MNPI AND THAT IT WILL HANDLE SUCH MNPI IN ACCORDANCE WITH THOSE PROCEDURES AND APPLICABLE LAW, INCLUDING FEDERAL AND STATE SECURITIES LAWS.</w:t>
      </w:r>
    </w:p>
    <w:p>
      <w:pPr>
        <w:spacing w:after="0" w:line="19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ALL INFORMATION, INCLUDING REQUESTS FOR WAIVERS AND AMENDMENTS, FURNISHED BY THE COMPANY OR THE ADMINISTRATIVE AGENT PURSUANT TO, OR IN THE COURSE OF ADMINISTERING, THIS AGREEMENT WILL BE SYNDICATE-LEVEL INFORMATION, WHICH MAY CONTAIN MNPI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MNPI IN ACCORDANCE WITH ITS COMPLIANCE PROCEDURES AND APPLICABLE LAW.</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SECTION 9.13.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9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SECTION 9.14.</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Several Obligations; Nonreliance; Violation of Law</w:t>
      </w:r>
      <w:r>
        <w:rPr>
          <w:rFonts w:ascii="Times New Roman" w:cs="Times New Roman" w:eastAsia="Times New Roman" w:hAnsi="Times New Roman"/>
          <w:sz w:val="19"/>
          <w:szCs w:val="19"/>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55" w:name="page156"/>
    <w:bookmarkEnd w:id="155"/>
    <w:p>
      <w:pPr>
        <w:jc w:val="both"/>
        <w:spacing w:after="0" w:line="254" w:lineRule="auto"/>
        <w:rPr>
          <w:sz w:val="20"/>
          <w:szCs w:val="20"/>
          <w:color w:val="auto"/>
        </w:rPr>
      </w:pPr>
      <w:r>
        <w:rPr>
          <w:rFonts w:ascii="Times New Roman" w:cs="Times New Roman" w:eastAsia="Times New Roman" w:hAnsi="Times New Roman"/>
          <w:sz w:val="20"/>
          <w:szCs w:val="20"/>
          <w:color w:val="auto"/>
        </w:rPr>
        <w:t>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SECTION 9.15.</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SECTION 9.16.</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Appointment for Perfection</w:t>
      </w:r>
      <w:r>
        <w:rPr>
          <w:rFonts w:ascii="Times New Roman" w:cs="Times New Roman" w:eastAsia="Times New Roman" w:hAnsi="Times New Roman"/>
          <w:sz w:val="20"/>
          <w:szCs w:val="20"/>
          <w:color w:val="auto"/>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SECTION 9.17.</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9.18.</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Release of Loan Guarantors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Loan Guarantor shall automatically be released from its obligations under the Loan Guaranty upon the consummation of any transaction permitted by this Agreement as a result of which such Loan Guarantor ceases to be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9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Further, the Administrative Agent may (and is hereby irrevocably authorized by each Lender to), upon the request of the Company, release any Loan Guarantor from its obligations under the Loan Guaranty if (i) such Loan Guarantor is no longer a Material Subsidiary or is otherwise not required pursuant to the terms of this Agreement to provide a Loan Guaranty or (ii) such release is approved, authorized or ratified by the requisite Lenders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At such time as (i) the principal and interest on the Loans, the fees, expenses and other amounts payable under the Loan Documents and the other Secured Obligations (other than Banking Services Obligations, Swap Agreement Obligations and Unliquidated Obligations, in each case, not then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6" w:name="page157"/>
    <w:bookmarkEnd w:id="156"/>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due and payable) shall have been paid in full in cash, (ii) the Commitments shall have been terminated, and (iii) no Letters of Credit shall be outstanding (or any outstanding Letters of Credit shall have been cash collateralized or backstopped pursuant to arrangements reasonably satisfactory to the Administrative Agent and the applicable Issuing Bank) (the conditions set forth in the preceding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u w:val="single" w:color="auto"/>
          <w:color w:val="auto"/>
        </w:rPr>
        <w:t>Final Release Conditions</w:t>
      </w:r>
      <w:r>
        <w:rPr>
          <w:rFonts w:ascii="Times New Roman" w:cs="Times New Roman" w:eastAsia="Times New Roman" w:hAnsi="Times New Roman"/>
          <w:sz w:val="20"/>
          <w:szCs w:val="20"/>
          <w:color w:val="auto"/>
        </w:rPr>
        <w:t>”), the Loan Guaranty and all obligations (other than those expressly stated to survive such termination) of each Loan Guarantor thereunder shall automatically terminate, all without delivery of any instrument or performance of any act by any Person.</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SECTION 9.19.</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Intercreditor Agreements</w:t>
      </w:r>
      <w:r>
        <w:rPr>
          <w:rFonts w:ascii="Times New Roman" w:cs="Times New Roman" w:eastAsia="Times New Roman" w:hAnsi="Times New Roman"/>
          <w:sz w:val="20"/>
          <w:szCs w:val="20"/>
          <w:color w:val="auto"/>
        </w:rPr>
        <w:t xml:space="preserve">. Without limiting the authority granted to the Administrative Agent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hereof, each Lender (and each Person that becomes a Lender hereunder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hereby authorizes and directs the Administrative Agent to enter into any Intercreditor Agreement on behalf of such Lender and agrees that the Administrative Agent may take such actions on its behalf as is contemplated by the terms of such Intercreditor Agreement. In the event of any conflict between the terms of any Intercreditor Agreement and this Agreement, the terms of such Intercreditor Agreement shall govern and control.</w:t>
      </w:r>
    </w:p>
    <w:p>
      <w:pPr>
        <w:spacing w:after="0" w:line="19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SECTION 9.20.</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Marketing Consent</w:t>
      </w:r>
      <w:r>
        <w:rPr>
          <w:rFonts w:ascii="Times New Roman" w:cs="Times New Roman" w:eastAsia="Times New Roman" w:hAnsi="Times New Roman"/>
          <w:sz w:val="19"/>
          <w:szCs w:val="19"/>
          <w:color w:val="auto"/>
        </w:rPr>
        <w:t>. The Borrowers hereby authorize JPMCB and its affiliates (collectively, the “</w:t>
      </w:r>
      <w:r>
        <w:rPr>
          <w:rFonts w:ascii="Times New Roman" w:cs="Times New Roman" w:eastAsia="Times New Roman" w:hAnsi="Times New Roman"/>
          <w:sz w:val="19"/>
          <w:szCs w:val="19"/>
          <w:u w:val="single" w:color="auto"/>
          <w:color w:val="auto"/>
        </w:rPr>
        <w:t>JPMCB Parties</w:t>
      </w:r>
      <w:r>
        <w:rPr>
          <w:rFonts w:ascii="Times New Roman" w:cs="Times New Roman" w:eastAsia="Times New Roman" w:hAnsi="Times New Roman"/>
          <w:sz w:val="19"/>
          <w:szCs w:val="19"/>
          <w:color w:val="auto"/>
        </w:rPr>
        <w:t>”), at their respective sole expense, but without any prior approval by any Borrower, to include the Borrowers’ names and logos in advertising slicks posted on their internet sites, in pitchbooks or sent in mailings to prospective customers and to give such other publicity to this Agreement as each may from time to time determine in its sole discretion. Notwithstanding the foregoing, JPMCB Parties shall not publish the Borrowers’ names in a newspaper or magazine without obtaining the Borrowers’ prior written approval. The foregoing authorization shall remain in effect unless and until the Borrower Representative notifies JPMCB in writing that such authorization is revoked.</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SECTION 9.21.</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application of any Write-Down and Conversion Powers by the applicable Resolution Authority to any such liabilities arising hereunder which may be payable to it by any party hereto that is an Affected Financial Institution; and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effects of any Bail-In Action on any such liability, including, if applicable:</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reduction in full or in part or cancellation of any such liability;</w:t>
      </w:r>
    </w:p>
    <w:p>
      <w:pPr>
        <w:spacing w:after="0" w:line="229" w:lineRule="exact"/>
        <w:rPr>
          <w:sz w:val="20"/>
          <w:szCs w:val="20"/>
          <w:color w:val="auto"/>
        </w:rPr>
      </w:pPr>
    </w:p>
    <w:p>
      <w:pPr>
        <w:jc w:val="both"/>
        <w:ind w:left="660" w:firstLine="648"/>
        <w:spacing w:after="0" w:line="249"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3" w:lineRule="exact"/>
        <w:rPr>
          <w:sz w:val="20"/>
          <w:szCs w:val="20"/>
          <w:color w:val="auto"/>
        </w:rPr>
      </w:pPr>
    </w:p>
    <w:p>
      <w:pPr>
        <w:jc w:val="both"/>
        <w:ind w:left="660" w:firstLine="648"/>
        <w:spacing w:after="0" w:line="269" w:lineRule="auto"/>
        <w:rPr>
          <w:sz w:val="20"/>
          <w:szCs w:val="20"/>
          <w:color w:val="auto"/>
        </w:rPr>
      </w:pPr>
      <w:r>
        <w:rPr>
          <w:rFonts w:ascii="Times New Roman" w:cs="Times New Roman" w:eastAsia="Times New Roman" w:hAnsi="Times New Roman"/>
          <w:sz w:val="20"/>
          <w:szCs w:val="20"/>
          <w:color w:val="auto"/>
        </w:rPr>
        <w:t>(iii)</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variation of the terms of such liability in connection with the exercise of the Write-Down and Conversion Powers of the applicable Resolution Authority.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SECTION 9.22.</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 Fiduciary Duty, etc.</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7" w:name="page158"/>
    <w:bookmarkEnd w:id="157"/>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spacing w:after="0" w:line="20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Borrower and other companies with which any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20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spacing w:after="0" w:line="20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SECTION 9.23.</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auto"/>
        </w:rPr>
        <w:t>QFC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8" w:name="page159"/>
    <w:bookmarkEnd w:id="158"/>
    <w:p>
      <w:pPr>
        <w:jc w:val="both"/>
        <w:spacing w:after="0" w:line="243" w:lineRule="auto"/>
        <w:rPr>
          <w:sz w:val="20"/>
          <w:szCs w:val="20"/>
          <w:color w:val="auto"/>
        </w:rPr>
      </w:pPr>
      <w:r>
        <w:rPr>
          <w:rFonts w:ascii="Times New Roman" w:cs="Times New Roman" w:eastAsia="Times New Roman" w:hAnsi="Times New Roman"/>
          <w:sz w:val="20"/>
          <w:szCs w:val="20"/>
          <w:color w:val="auto"/>
        </w:rPr>
        <w:t>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Loan Guaranty</w:t>
      </w:r>
    </w:p>
    <w:p>
      <w:pPr>
        <w:spacing w:after="0" w:line="22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10.01. </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and 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definition of “</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21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10.02. </w:t>
      </w:r>
      <w:r>
        <w:rPr>
          <w:rFonts w:ascii="Times New Roman" w:cs="Times New Roman" w:eastAsia="Times New Roman" w:hAnsi="Times New Roman"/>
          <w:sz w:val="20"/>
          <w:szCs w:val="20"/>
          <w:u w:val="single" w:color="auto"/>
          <w:color w:val="auto"/>
        </w:rPr>
        <w:t>Guaranty of Payment</w:t>
      </w:r>
      <w:r>
        <w:rPr>
          <w:rFonts w:ascii="Times New Roman" w:cs="Times New Roman" w:eastAsia="Times New Roman" w:hAnsi="Times New Roman"/>
          <w:sz w:val="20"/>
          <w:szCs w:val="20"/>
          <w:color w:val="auto"/>
        </w:rPr>
        <w:t>. This Loan Guaranty is a guaranty of payment and not of collection. Each Loan Guarantor waives any right to require the Administrative Agent, the Issuing Bank or any Lender to sue any Borrower, any Loan Guarantor, any other guarantor of, or any other Person obligated for, all or any part of the Guaranteed Obligations (each, an “</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or otherwise to enforce its payment against any collateral securing all or any part of the Guaranteed Obligations.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10.03. </w:t>
      </w:r>
      <w:r>
        <w:rPr>
          <w:rFonts w:ascii="Times New Roman" w:cs="Times New Roman" w:eastAsia="Times New Roman" w:hAnsi="Times New Roman"/>
          <w:sz w:val="20"/>
          <w:szCs w:val="20"/>
          <w:u w:val="single" w:color="auto"/>
          <w:color w:val="auto"/>
        </w:rPr>
        <w:t>No Discharge or Diminishment of Loan Guaranty</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(a)</w:t>
      </w:r>
      <w:r>
        <w:rPr>
          <w:rFonts w:ascii="Times New Roman" w:cs="Times New Roman" w:eastAsia="Times New Roman" w:hAnsi="Times New Roman"/>
          <w:sz w:val="11"/>
          <w:szCs w:val="11"/>
          <w:color w:val="auto"/>
        </w:rPr>
        <w:t>              </w:t>
      </w:r>
      <w:r>
        <w:rPr>
          <w:rFonts w:ascii="Times New Roman" w:cs="Times New Roman" w:eastAsia="Times New Roman" w:hAnsi="Times New Roman"/>
          <w:sz w:val="19"/>
          <w:szCs w:val="19"/>
          <w:color w:val="auto"/>
        </w:rPr>
        <w:t xml:space="preserve"> 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59" w:name="page160"/>
    <w:bookmarkEnd w:id="159"/>
    <w:p>
      <w:pPr>
        <w:jc w:val="both"/>
        <w:spacing w:after="0" w:line="269" w:lineRule="auto"/>
        <w:rPr>
          <w:sz w:val="20"/>
          <w:szCs w:val="20"/>
          <w:color w:val="auto"/>
        </w:rPr>
      </w:pPr>
      <w:r>
        <w:rPr>
          <w:rFonts w:ascii="Times New Roman" w:cs="Times New Roman" w:eastAsia="Times New Roman" w:hAnsi="Times New Roman"/>
          <w:sz w:val="20"/>
          <w:szCs w:val="20"/>
          <w:color w:val="auto"/>
        </w:rPr>
        <w:t>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9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20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10.04. </w:t>
      </w:r>
      <w:r>
        <w:rPr>
          <w:rFonts w:ascii="Times New Roman" w:cs="Times New Roman" w:eastAsia="Times New Roman" w:hAnsi="Times New Roman"/>
          <w:sz w:val="20"/>
          <w:szCs w:val="20"/>
          <w:u w:val="single" w:color="auto"/>
          <w:color w:val="auto"/>
        </w:rPr>
        <w:t>Defenses Waived</w:t>
      </w:r>
      <w:r>
        <w:rPr>
          <w:rFonts w:ascii="Times New Roman" w:cs="Times New Roman" w:eastAsia="Times New Roman" w:hAnsi="Times New Roman"/>
          <w:sz w:val="20"/>
          <w:szCs w:val="20"/>
          <w:color w:val="auto"/>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2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10.05. </w:t>
      </w:r>
      <w:r>
        <w:rPr>
          <w:rFonts w:ascii="Times New Roman" w:cs="Times New Roman" w:eastAsia="Times New Roman" w:hAnsi="Times New Roman"/>
          <w:sz w:val="20"/>
          <w:szCs w:val="20"/>
          <w:u w:val="single" w:color="auto"/>
          <w:color w:val="auto"/>
        </w:rPr>
        <w:t>Rights of Subrogation</w:t>
      </w:r>
      <w:r>
        <w:rPr>
          <w:rFonts w:ascii="Times New Roman" w:cs="Times New Roman" w:eastAsia="Times New Roman" w:hAnsi="Times New Roman"/>
          <w:sz w:val="20"/>
          <w:szCs w:val="20"/>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60" w:name="page161"/>
    <w:bookmarkEnd w:id="160"/>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 xml:space="preserve">SECTION 10.06. </w:t>
      </w:r>
      <w:r>
        <w:rPr>
          <w:rFonts w:ascii="Times New Roman" w:cs="Times New Roman" w:eastAsia="Times New Roman" w:hAnsi="Times New Roman"/>
          <w:sz w:val="19"/>
          <w:szCs w:val="19"/>
          <w:u w:val="single" w:color="auto"/>
          <w:color w:val="auto"/>
        </w:rPr>
        <w:t>Reinstatement; Stay of Acceleration</w:t>
      </w:r>
      <w:r>
        <w:rPr>
          <w:rFonts w:ascii="Times New Roman" w:cs="Times New Roman" w:eastAsia="Times New Roman" w:hAnsi="Times New Roman"/>
          <w:sz w:val="19"/>
          <w:szCs w:val="19"/>
          <w:color w:val="auto"/>
        </w:rPr>
        <w:t>.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10.07.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10.08.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xml:space="preserve">.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shall be deemed to constitute a waiver of, or eliminate, limit, reduce or otherwise impair any rights or remedies the Administrative Agent or any Lender may have in respect of, any Default or Event of Default that shall exist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hereof as a result of any such notice of termination.</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10.09.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xml:space="preserve">. Any obligation of any Borrower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of this Agreement to pay any additional amounts to, or indemnify, any Lender, Issuing Bank, or the Administrative Agent for any Taxes that are required to be withheld or deducted from payments made to any Lender, Issuing Bank, or the Administrative Agent or to pay for, or indemnify any Lender, Issuing Bank, or the Administrative Agent for, any Other Taxes, shall apply mutatis mutandis (and without duplication) to each Loan Guarantor with respect to this Loan Guaranty and payments made with respect to Guaranteed Obligations.</w:t>
      </w:r>
    </w:p>
    <w:p>
      <w:pPr>
        <w:spacing w:after="0" w:line="19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10.10. </w:t>
      </w: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SECTION 10.11. </w:t>
      </w: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To the extent that any Loan Guarantor shall make a payment under this Loan Guaranty (a “</w:t>
      </w:r>
      <w:r>
        <w:rPr>
          <w:rFonts w:ascii="Times New Roman" w:cs="Times New Roman" w:eastAsia="Times New Roman" w:hAnsi="Times New Roman"/>
          <w:sz w:val="20"/>
          <w:szCs w:val="20"/>
          <w:u w:val="single" w:color="auto"/>
          <w:color w:val="auto"/>
        </w:rPr>
        <w:t>Guarantor Payment</w:t>
      </w:r>
      <w:r>
        <w:rPr>
          <w:rFonts w:ascii="Times New Roman" w:cs="Times New Roman" w:eastAsia="Times New Roman" w:hAnsi="Times New Roman"/>
          <w:sz w:val="20"/>
          <w:szCs w:val="20"/>
          <w:color w:val="auto"/>
        </w:rPr>
        <w:t>”) which, taking into account all other Guarantor Payments then previously or concurrently made by any other Loan Guarantor, exceeds the amount which otherwise would have been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61" w:name="page162"/>
    <w:bookmarkEnd w:id="161"/>
    <w:p>
      <w:pPr>
        <w:jc w:val="both"/>
        <w:spacing w:after="0" w:line="257" w:lineRule="auto"/>
        <w:rPr>
          <w:sz w:val="20"/>
          <w:szCs w:val="20"/>
          <w:color w:val="auto"/>
        </w:rPr>
      </w:pPr>
      <w:r>
        <w:rPr>
          <w:rFonts w:ascii="Times New Roman" w:cs="Times New Roman" w:eastAsia="Times New Roman" w:hAnsi="Times New Roman"/>
          <w:sz w:val="19"/>
          <w:szCs w:val="19"/>
          <w:color w:val="auto"/>
        </w:rPr>
        <w:t>paid by or attributable to such Loan Guarantor if each Loan Guarantor had paid the aggregate Guaranteed Obligations satisfied by such Guarantor Payment in the same proportion as such Loan Guarantor’s “</w:t>
      </w:r>
      <w:r>
        <w:rPr>
          <w:rFonts w:ascii="Times New Roman" w:cs="Times New Roman" w:eastAsia="Times New Roman" w:hAnsi="Times New Roman"/>
          <w:sz w:val="19"/>
          <w:szCs w:val="19"/>
          <w:u w:val="single" w:color="auto"/>
          <w:color w:val="auto"/>
        </w:rPr>
        <w:t>Allocable Amount</w:t>
      </w:r>
      <w:r>
        <w:rPr>
          <w:rFonts w:ascii="Times New Roman" w:cs="Times New Roman" w:eastAsia="Times New Roman" w:hAnsi="Times New Roman"/>
          <w:sz w:val="19"/>
          <w:szCs w:val="19"/>
          <w:color w:val="auto"/>
        </w:rPr>
        <w: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the Issuing Bank, and this Agreement, the Swap Agreement Obligations and the Banking Services Obligations have terminated,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As of any date of determination, the “</w:t>
      </w:r>
      <w:r>
        <w:rPr>
          <w:rFonts w:ascii="Times New Roman" w:cs="Times New Roman" w:eastAsia="Times New Roman" w:hAnsi="Times New Roman"/>
          <w:sz w:val="20"/>
          <w:szCs w:val="20"/>
          <w:u w:val="single" w:color="auto"/>
          <w:color w:val="auto"/>
        </w:rPr>
        <w:t>Allocable Amount</w:t>
      </w:r>
      <w:r>
        <w:rPr>
          <w:rFonts w:ascii="Times New Roman" w:cs="Times New Roman" w:eastAsia="Times New Roman" w:hAnsi="Times New Roman"/>
          <w:sz w:val="20"/>
          <w:szCs w:val="20"/>
          <w:color w:val="auto"/>
        </w:rPr>
        <w: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is intended only to define the relative rights of the Loan Guarantors, and nothing set forth in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is intended to or shall impair the obligations of the Loan Guarantors, jointly and severally, to pay any amounts as and when the same shall become due and payable in accordance with the terms of this Loan Guaranty.</w:t>
      </w:r>
    </w:p>
    <w:p>
      <w:pPr>
        <w:spacing w:after="0" w:line="18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parties hereto acknowledge that the rights of contribution and indemnification hereunder shall constitute assets of the Loan Guarantor or Loan Guarantors to which such contribution and indemnification is owing.</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12"/>
          <w:szCs w:val="12"/>
          <w:color w:val="auto"/>
        </w:rPr>
        <w:t>              </w:t>
      </w:r>
      <w:r>
        <w:rPr>
          <w:rFonts w:ascii="Times New Roman" w:cs="Times New Roman" w:eastAsia="Times New Roman" w:hAnsi="Times New Roman"/>
          <w:sz w:val="20"/>
          <w:szCs w:val="20"/>
          <w:color w:val="auto"/>
        </w:rPr>
        <w:t xml:space="preserve"> The rights of the indemnifying Loan Guarantors against other Loan Guarantors under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xml:space="preserve"> shall be exercisable upon satisfaction of the Final Release Conditions.</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10.12. </w:t>
      </w:r>
      <w:r>
        <w:rPr>
          <w:rFonts w:ascii="Times New Roman" w:cs="Times New Roman" w:eastAsia="Times New Roman" w:hAnsi="Times New Roman"/>
          <w:sz w:val="20"/>
          <w:szCs w:val="20"/>
          <w:u w:val="single" w:color="auto"/>
          <w:color w:val="auto"/>
        </w:rPr>
        <w:t>Liability Cumulative</w:t>
      </w:r>
      <w:r>
        <w:rPr>
          <w:rFonts w:ascii="Times New Roman" w:cs="Times New Roman" w:eastAsia="Times New Roman" w:hAnsi="Times New Roman"/>
          <w:sz w:val="20"/>
          <w:szCs w:val="20"/>
          <w:color w:val="auto"/>
        </w:rPr>
        <w:t xml:space="preserve">. The liability of each Loan Party as a Loan Guarantor under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10.13. </w:t>
      </w:r>
      <w:r>
        <w:rPr>
          <w:rFonts w:ascii="Times New Roman" w:cs="Times New Roman" w:eastAsia="Times New Roman" w:hAnsi="Times New Roman"/>
          <w:sz w:val="20"/>
          <w:szCs w:val="20"/>
          <w:u w:val="single" w:color="auto"/>
          <w:color w:val="auto"/>
        </w:rPr>
        <w:t>Keepwell</w:t>
      </w:r>
      <w:r>
        <w:rPr>
          <w:rFonts w:ascii="Times New Roman" w:cs="Times New Roman" w:eastAsia="Times New Roman" w:hAnsi="Times New Roman"/>
          <w:sz w:val="20"/>
          <w:szCs w:val="20"/>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Qualified ECP Guarantor shall only be liable under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for the maximum amount of such liability that can be hereby incurred without rendering its obligations under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or otherwise under this Loan Guaranty voidable under applicable law relating to fraudulent conveyance or fraudulent transfer, and not for any greater amount). Except as otherwise provided herein, the obligations of each Qualified ECP Guarantor under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shall remain in full force and effect until satisfaction of the Final Release Conditions. Each Qualified ECP Guarantor intends that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constitute, and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shall be deemed to constitute, a “keepwell, support, or other agreement” for the benefit of each other Loan Party for all purposes of Section 1a(18)(A)(v)(II) of the Commodity Exchange Act.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0"/>
          <w:szCs w:val="20"/>
          <w:color w:val="auto"/>
        </w:rPr>
        <w:t>ARTICLE XI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Borrower Representative</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11.01. </w:t>
      </w:r>
      <w:r>
        <w:rPr>
          <w:rFonts w:ascii="Times New Roman" w:cs="Times New Roman" w:eastAsia="Times New Roman" w:hAnsi="Times New Roman"/>
          <w:sz w:val="20"/>
          <w:szCs w:val="20"/>
          <w:u w:val="single" w:color="auto"/>
          <w:color w:val="auto"/>
        </w:rPr>
        <w:t>Appointment; Nature of Relationship</w:t>
      </w:r>
      <w:r>
        <w:rPr>
          <w:rFonts w:ascii="Times New Roman" w:cs="Times New Roman" w:eastAsia="Times New Roman" w:hAnsi="Times New Roman"/>
          <w:sz w:val="20"/>
          <w:szCs w:val="20"/>
          <w:color w:val="auto"/>
        </w:rPr>
        <w:t>. The Company is hereby appointed by each of the Borrowers as its contractual representative (herein referred to as the “</w:t>
      </w:r>
      <w:r>
        <w:rPr>
          <w:rFonts w:ascii="Times New Roman" w:cs="Times New Roman" w:eastAsia="Times New Roman" w:hAnsi="Times New Roman"/>
          <w:sz w:val="20"/>
          <w:szCs w:val="20"/>
          <w:u w:val="single" w:color="auto"/>
          <w:color w:val="auto"/>
        </w:rPr>
        <w:t>Borrower Representative</w:t>
      </w:r>
      <w:r>
        <w:rPr>
          <w:rFonts w:ascii="Times New Roman" w:cs="Times New Roman" w:eastAsia="Times New Roman" w:hAnsi="Times New Roman"/>
          <w:sz w:val="20"/>
          <w:szCs w:val="20"/>
          <w:color w:val="auto"/>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Additionally, the Borrowers hereby appoint the Borrower Representative as their agent to receive all of the proceeds of the Loans in the Funding Account(s), at which time the Borrower Representative shall promptly disburse such Loans to the appropriate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 Revolving Loan, such amount shall not cause the Borrowers to violate the Revolving Exposure Limitations. The Administrative Agent and the Lenders, and their respective officers, directors, agents or employees, shall not be liable to the Borrower Representative or any Borrower for any action taken or omitted to be taken by the Borrower Representative or the Borrowers pursuant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11.02. </w:t>
      </w:r>
      <w:r>
        <w:rPr>
          <w:rFonts w:ascii="Times New Roman" w:cs="Times New Roman" w:eastAsia="Times New Roman" w:hAnsi="Times New Roman"/>
          <w:sz w:val="20"/>
          <w:szCs w:val="20"/>
          <w:u w:val="single" w:color="auto"/>
          <w:color w:val="auto"/>
        </w:rPr>
        <w:t>Powers</w:t>
      </w:r>
      <w:r>
        <w:rPr>
          <w:rFonts w:ascii="Times New Roman" w:cs="Times New Roman" w:eastAsia="Times New Roman" w:hAnsi="Times New Roman"/>
          <w:sz w:val="20"/>
          <w:szCs w:val="20"/>
          <w:color w:val="auto"/>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193"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11.03. </w:t>
      </w:r>
      <w:r>
        <w:rPr>
          <w:rFonts w:ascii="Times New Roman" w:cs="Times New Roman" w:eastAsia="Times New Roman" w:hAnsi="Times New Roman"/>
          <w:sz w:val="20"/>
          <w:szCs w:val="20"/>
          <w:u w:val="single" w:color="auto"/>
          <w:color w:val="auto"/>
        </w:rPr>
        <w:t>Employment of Agents</w:t>
      </w:r>
      <w:r>
        <w:rPr>
          <w:rFonts w:ascii="Times New Roman" w:cs="Times New Roman" w:eastAsia="Times New Roman" w:hAnsi="Times New Roman"/>
          <w:sz w:val="20"/>
          <w:szCs w:val="20"/>
          <w:color w:val="auto"/>
        </w:rPr>
        <w:t>. The Borrower Representative may execute any of its duties as the Borrower Representative hereunder and under any other Loan Document by or through authorized officers.</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11.04.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Each Borrower shall immediately notify the Borrower Representative of the occurrence of any Default or Event of Default hereunder referring to this Agreement describing such Default or Event of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11.05. </w:t>
      </w:r>
      <w:r>
        <w:rPr>
          <w:rFonts w:ascii="Times New Roman" w:cs="Times New Roman" w:eastAsia="Times New Roman" w:hAnsi="Times New Roman"/>
          <w:sz w:val="20"/>
          <w:szCs w:val="20"/>
          <w:u w:val="single" w:color="auto"/>
          <w:color w:val="auto"/>
        </w:rPr>
        <w:t>Successor Borrower Representative</w:t>
      </w:r>
      <w:r>
        <w:rPr>
          <w:rFonts w:ascii="Times New Roman" w:cs="Times New Roman" w:eastAsia="Times New Roman" w:hAnsi="Times New Roman"/>
          <w:sz w:val="20"/>
          <w:szCs w:val="20"/>
          <w:color w:val="auto"/>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11.06. </w:t>
      </w:r>
      <w:r>
        <w:rPr>
          <w:rFonts w:ascii="Times New Roman" w:cs="Times New Roman" w:eastAsia="Times New Roman" w:hAnsi="Times New Roman"/>
          <w:sz w:val="20"/>
          <w:szCs w:val="20"/>
          <w:u w:val="single" w:color="auto"/>
          <w:color w:val="auto"/>
        </w:rPr>
        <w:t>Execution of Loan Documents; Borrowing Base Certificate</w:t>
      </w:r>
      <w:r>
        <w:rPr>
          <w:rFonts w:ascii="Times New Roman" w:cs="Times New Roman" w:eastAsia="Times New Roman" w:hAnsi="Times New Roman"/>
          <w:sz w:val="20"/>
          <w:szCs w:val="20"/>
          <w:color w:val="auto"/>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Aggregate Borrowing Base Certificate and the Borrowing Base Certificate of each Borrower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63" w:name="page164"/>
    <w:bookmarkEnd w:id="163"/>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11.07. </w:t>
      </w:r>
      <w:r>
        <w:rPr>
          <w:rFonts w:ascii="Times New Roman" w:cs="Times New Roman" w:eastAsia="Times New Roman" w:hAnsi="Times New Roman"/>
          <w:sz w:val="20"/>
          <w:szCs w:val="20"/>
          <w:u w:val="single" w:color="auto"/>
          <w:color w:val="auto"/>
        </w:rPr>
        <w:t>Reporting</w:t>
      </w:r>
      <w:r>
        <w:rPr>
          <w:rFonts w:ascii="Times New Roman" w:cs="Times New Roman" w:eastAsia="Times New Roman" w:hAnsi="Times New Roman"/>
          <w:sz w:val="20"/>
          <w:szCs w:val="20"/>
          <w:color w:val="auto"/>
        </w:rPr>
        <w:t>.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Aggregate Borrowing Base Certificate and the Borrowing Base Certificate of each Borrower and Compliance Certificate required pursuant to the provisions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64" w:name="page165"/>
    <w:bookmarkEnd w:id="164"/>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by their respective authorized officers as of the day and year first above written.</w:t>
      </w:r>
    </w:p>
    <w:p>
      <w:pPr>
        <w:spacing w:after="0" w:line="1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WINNEBAGO INDUSTRIES, INC., as Borrower</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/s/ Stacy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Name: Stacy Bogart</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Title: Senior Vice President, General Counsel and Secretary</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WINNEBAGO OF INDIANA, LLC, as Borrower</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/s/ Stacy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Name: Stacy Bogart</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Title: Senior Vice President, General Counsel and Secretary</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GRAND DESIGN RV, LLC, as Borrower</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/s/ Stacy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Name: Stacy Bogart</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Title: Senior Vice President, General Counsel and Secretary</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NEWMAR CORPORATION, as Borrower</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/s/ Stacy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Name: Stacy Bogart</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Title: Senior Vice President, General Counsel and Secretary</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OCTAVIUS CORPORATION, as Loan Guarantor</w:t>
      </w: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By: /s/ Stacy Bogart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Name: Stacy Bogart</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Title: Senior Vice President, General Counsel and Secretary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Second Amended and Restated Credit Agreement –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65" w:name="page166"/>
    <w:bookmarkEnd w:id="165"/>
    <w:p>
      <w:pPr>
        <w:ind w:left="4520"/>
        <w:spacing w:after="0"/>
        <w:rPr>
          <w:sz w:val="20"/>
          <w:szCs w:val="20"/>
          <w:color w:val="auto"/>
        </w:rPr>
      </w:pPr>
      <w:r>
        <w:rPr>
          <w:rFonts w:ascii="Times New Roman" w:cs="Times New Roman" w:eastAsia="Times New Roman" w:hAnsi="Times New Roman"/>
          <w:sz w:val="19"/>
          <w:szCs w:val="19"/>
          <w:color w:val="auto"/>
        </w:rPr>
        <w:t>JPMORGAN CHASE BANK, N.A., individually as</w:t>
      </w:r>
    </w:p>
    <w:p>
      <w:pPr>
        <w:spacing w:after="0" w:line="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a Lender, as Swingline Lender, as an Issuing</w:t>
      </w:r>
    </w:p>
    <w:p>
      <w:pPr>
        <w:ind w:left="5000"/>
        <w:spacing w:after="0"/>
        <w:rPr>
          <w:sz w:val="20"/>
          <w:szCs w:val="20"/>
          <w:color w:val="auto"/>
        </w:rPr>
      </w:pPr>
      <w:r>
        <w:rPr>
          <w:rFonts w:ascii="Times New Roman" w:cs="Times New Roman" w:eastAsia="Times New Roman" w:hAnsi="Times New Roman"/>
          <w:sz w:val="20"/>
          <w:szCs w:val="20"/>
          <w:color w:val="auto"/>
        </w:rPr>
        <w:t>Bank and as Administrative Agent</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John Morrone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Name: John Morrone</w:t>
      </w:r>
    </w:p>
    <w:p>
      <w:pPr>
        <w:spacing w:after="0" w:line="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Title: Authorized Signer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Amended and Restated Credit Agreement –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66" w:name="page167"/>
    <w:bookmarkEnd w:id="166"/>
    <w:p>
      <w:pPr>
        <w:jc w:val="center"/>
        <w:ind w:left="3560"/>
        <w:spacing w:after="0"/>
        <w:rPr>
          <w:sz w:val="20"/>
          <w:szCs w:val="20"/>
          <w:color w:val="auto"/>
        </w:rPr>
      </w:pPr>
      <w:r>
        <w:rPr>
          <w:rFonts w:ascii="Times New Roman" w:cs="Times New Roman" w:eastAsia="Times New Roman" w:hAnsi="Times New Roman"/>
          <w:sz w:val="20"/>
          <w:szCs w:val="20"/>
          <w:color w:val="auto"/>
        </w:rPr>
        <w:t>BMO HARRIS BANK N.A., individually as</w:t>
      </w:r>
    </w:p>
    <w:p>
      <w:pPr>
        <w:spacing w:after="0" w:line="22" w:lineRule="exact"/>
        <w:rPr>
          <w:sz w:val="20"/>
          <w:szCs w:val="20"/>
          <w:color w:val="auto"/>
        </w:rPr>
      </w:pPr>
    </w:p>
    <w:p>
      <w:pPr>
        <w:jc w:val="center"/>
        <w:ind w:left="3560"/>
        <w:spacing w:after="0"/>
        <w:rPr>
          <w:sz w:val="20"/>
          <w:szCs w:val="20"/>
          <w:color w:val="auto"/>
        </w:rPr>
      </w:pPr>
      <w:r>
        <w:rPr>
          <w:rFonts w:ascii="Times New Roman" w:cs="Times New Roman" w:eastAsia="Times New Roman" w:hAnsi="Times New Roman"/>
          <w:sz w:val="20"/>
          <w:szCs w:val="20"/>
          <w:color w:val="auto"/>
        </w:rPr>
        <w:t>a Lender and as an Issuing Bank</w:t>
      </w:r>
    </w:p>
    <w:p>
      <w:pPr>
        <w:spacing w:after="0" w:line="200" w:lineRule="exact"/>
        <w:rPr>
          <w:sz w:val="20"/>
          <w:szCs w:val="20"/>
          <w:color w:val="auto"/>
        </w:rPr>
      </w:pPr>
    </w:p>
    <w:p>
      <w:pPr>
        <w:spacing w:after="0" w:line="237" w:lineRule="exact"/>
        <w:rPr>
          <w:sz w:val="20"/>
          <w:szCs w:val="20"/>
          <w:color w:val="auto"/>
        </w:rPr>
      </w:pPr>
    </w:p>
    <w:p>
      <w:pPr>
        <w:jc w:val="right"/>
        <w:ind w:right="2379"/>
        <w:spacing w:after="0"/>
        <w:rPr>
          <w:sz w:val="20"/>
          <w:szCs w:val="20"/>
          <w:color w:val="auto"/>
        </w:rPr>
      </w:pPr>
      <w:r>
        <w:rPr>
          <w:rFonts w:ascii="Times New Roman" w:cs="Times New Roman" w:eastAsia="Times New Roman" w:hAnsi="Times New Roman"/>
          <w:sz w:val="20"/>
          <w:szCs w:val="20"/>
          <w:color w:val="auto"/>
        </w:rPr>
        <w:t>By: /s/ Stephanie Bach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jc w:val="right"/>
        <w:ind w:right="2359"/>
        <w:spacing w:after="0"/>
        <w:rPr>
          <w:sz w:val="20"/>
          <w:szCs w:val="20"/>
          <w:color w:val="auto"/>
        </w:rPr>
      </w:pPr>
      <w:r>
        <w:rPr>
          <w:rFonts w:ascii="Times New Roman" w:cs="Times New Roman" w:eastAsia="Times New Roman" w:hAnsi="Times New Roman"/>
          <w:sz w:val="20"/>
          <w:szCs w:val="20"/>
          <w:color w:val="auto"/>
        </w:rPr>
        <w:t>Name: Stephanie Bach</w:t>
      </w:r>
    </w:p>
    <w:p>
      <w:pPr>
        <w:spacing w:after="0" w:line="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Amended and Restated Credit Agreement –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7" w:name="page168"/>
    <w:bookmarkEnd w:id="167"/>
    <w:p>
      <w:pPr>
        <w:ind w:left="4520"/>
        <w:spacing w:after="0"/>
        <w:rPr>
          <w:sz w:val="20"/>
          <w:szCs w:val="20"/>
          <w:color w:val="auto"/>
        </w:rPr>
      </w:pPr>
      <w:r>
        <w:rPr>
          <w:rFonts w:ascii="Times New Roman" w:cs="Times New Roman" w:eastAsia="Times New Roman" w:hAnsi="Times New Roman"/>
          <w:sz w:val="19"/>
          <w:szCs w:val="19"/>
          <w:color w:val="auto"/>
        </w:rPr>
        <w:t>GOLDMAN SACHS BANK USA, individually as</w:t>
      </w:r>
    </w:p>
    <w:p>
      <w:pPr>
        <w:spacing w:after="0" w:line="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a Lender</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Jonathan Dworkin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Name: Jonathan Dworkin</w:t>
      </w:r>
    </w:p>
    <w:p>
      <w:pPr>
        <w:spacing w:after="0" w:line="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Amended and Restated Credit Agreement –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8" w:name="page169"/>
    <w:bookmarkEnd w:id="168"/>
    <w:p>
      <w:pPr>
        <w:ind w:left="4520"/>
        <w:spacing w:after="0"/>
        <w:rPr>
          <w:sz w:val="20"/>
          <w:szCs w:val="20"/>
          <w:color w:val="auto"/>
        </w:rPr>
      </w:pPr>
      <w:r>
        <w:rPr>
          <w:rFonts w:ascii="Times New Roman" w:cs="Times New Roman" w:eastAsia="Times New Roman" w:hAnsi="Times New Roman"/>
          <w:sz w:val="20"/>
          <w:szCs w:val="20"/>
          <w:color w:val="auto"/>
        </w:rPr>
        <w:t>WELLS FARGO BANK, NATIONAL</w:t>
      </w:r>
    </w:p>
    <w:p>
      <w:pPr>
        <w:spacing w:after="0" w:line="22"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20"/>
          <w:szCs w:val="20"/>
          <w:color w:val="auto"/>
        </w:rPr>
        <w:t>ASSOCIATION, individually as a Lender</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Erica Scola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Name: Erica Scola</w:t>
      </w:r>
    </w:p>
    <w:p>
      <w:pPr>
        <w:spacing w:after="0" w:line="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Title: Director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Amended and Restated Credit Agreement –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69" w:name="page170"/>
    <w:bookmarkEnd w:id="169"/>
    <w:p>
      <w:pPr>
        <w:ind w:left="4520"/>
        <w:spacing w:after="0"/>
        <w:rPr>
          <w:sz w:val="20"/>
          <w:szCs w:val="20"/>
          <w:color w:val="auto"/>
        </w:rPr>
      </w:pPr>
      <w:r>
        <w:rPr>
          <w:rFonts w:ascii="Times New Roman" w:cs="Times New Roman" w:eastAsia="Times New Roman" w:hAnsi="Times New Roman"/>
          <w:sz w:val="20"/>
          <w:szCs w:val="20"/>
          <w:color w:val="auto"/>
        </w:rPr>
        <w:t>U.S. BANK NATIONAL ASSOCIATION,</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individually as a Lender</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 /s/ Matthew Kasper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35153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Name: Matthew Kasper</w:t>
      </w:r>
    </w:p>
    <w:p>
      <w:pPr>
        <w:spacing w:after="0" w:line="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Second Amended and Restated Credit Agreement – 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lowerRoman"/>
      <w:start w:val="10"/>
    </w:lvl>
  </w:abstractNum>
  <w:abstractNum w:abstractNumId="2">
    <w:nsid w:val="2D1D5AE9"/>
    <w:multiLevelType w:val="hybridMultilevel"/>
    <w:lvl w:ilvl="0">
      <w:lvlJc w:val="left"/>
      <w:lvlText w:val="%1"/>
      <w:numFmt w:val="lowerLetter"/>
      <w:start w:val="1"/>
    </w:lvl>
    <w:lvl w:ilvl="1">
      <w:lvlJc w:val="left"/>
      <w:lvlText w:val="(%2)"/>
      <w:numFmt w:val="lowerLetter"/>
      <w:start w:val="1"/>
    </w:lvl>
  </w:abstractNum>
  <w:abstractNum w:abstractNumId="3">
    <w:nsid w:val="6763845E"/>
    <w:multiLevelType w:val="hybridMultilevel"/>
    <w:lvl w:ilvl="0">
      <w:lvlJc w:val="left"/>
      <w:lvlText w:val="(%1)"/>
      <w:numFmt w:val="lowerLetter"/>
      <w:start w:val="25"/>
    </w:lvl>
    <w:lvl w:ilvl="1">
      <w:lvlJc w:val="left"/>
      <w:lvlText w:val="(%2)"/>
      <w:numFmt w:val="lowerLetter"/>
      <w:start w:val="2"/>
    </w:lvl>
  </w:abstractNum>
  <w:abstractNum w:abstractNumId="4">
    <w:nsid w:val="75A2A8D4"/>
    <w:multiLevelType w:val="hybridMultilevel"/>
    <w:lvl w:ilvl="0">
      <w:lvlJc w:val="left"/>
      <w:lvlText w:val="(%1)"/>
      <w:numFmt w:val="lowerLetter"/>
      <w:start w:val="25"/>
    </w:lvl>
    <w:lvl w:ilvl="1">
      <w:lvlJc w:val="left"/>
      <w:lvlText w:val="%2"/>
      <w:numFmt w:val="lowerLetter"/>
      <w:start w:val="1"/>
    </w:lvl>
  </w:abstractNum>
  <w:abstractNum w:abstractNumId="5">
    <w:nsid w:val="8EDBDAB"/>
    <w:multiLevelType w:val="hybridMultilevel"/>
    <w:lvl w:ilvl="0">
      <w:lvlJc w:val="left"/>
      <w:lvlText w:val="(%1)"/>
      <w:numFmt w:val="lowerLetter"/>
      <w:start w:val="25"/>
    </w:lvl>
    <w:lvl w:ilvl="1">
      <w:lvlJc w:val="left"/>
      <w:lvlText w:val="(%2)"/>
      <w:numFmt w:val="lowerLetter"/>
      <w:start w:val="4"/>
    </w:lvl>
  </w:abstractNum>
  <w:abstractNum w:abstractNumId="6">
    <w:nsid w:val="79838CB2"/>
    <w:multiLevelType w:val="hybridMultilevel"/>
    <w:lvl w:ilvl="0">
      <w:lvlJc w:val="left"/>
      <w:lvlText w:val="(%1)"/>
      <w:numFmt w:val="lowerLetter"/>
      <w:start w:val="2"/>
    </w:lvl>
  </w:abstractNum>
  <w:abstractNum w:abstractNumId="7">
    <w:nsid w:val="4353D0CD"/>
    <w:multiLevelType w:val="hybridMultilevel"/>
    <w:lvl w:ilvl="0">
      <w:lvlJc w:val="left"/>
      <w:lvlText w:val="(%1)"/>
      <w:numFmt w:val="lowerLetter"/>
      <w:start w:val="2"/>
    </w:lvl>
  </w:abstractNum>
  <w:abstractNum w:abstractNumId="8">
    <w:nsid w:val="B03E0C6"/>
    <w:multiLevelType w:val="hybridMultilevel"/>
    <w:lvl w:ilvl="0">
      <w:lvlJc w:val="left"/>
      <w:lvlText w:val="(%1)"/>
      <w:numFmt w:val="lowerRoman"/>
      <w:start w:val="10"/>
    </w:lvl>
  </w:abstractNum>
  <w:abstractNum w:abstractNumId="9">
    <w:nsid w:val="189A769B"/>
    <w:multiLevelType w:val="hybridMultilevel"/>
    <w:lvl w:ilvl="0">
      <w:lvlJc w:val="left"/>
      <w:lvlText w:val="(%1)"/>
      <w:numFmt w:val="lowerRoman"/>
      <w:start w:val="1"/>
    </w:lvl>
  </w:abstractNum>
  <w:abstractNum w:abstractNumId="10">
    <w:nsid w:val="54E49EB4"/>
    <w:multiLevelType w:val="hybridMultilevel"/>
    <w:lvl w:ilvl="0">
      <w:lvlJc w:val="left"/>
      <w:lvlText w:val="(%1)"/>
      <w:numFmt w:val="lowerRoman"/>
      <w:start w:val="1"/>
    </w:lvl>
  </w:abstractNum>
  <w:abstractNum w:abstractNumId="11">
    <w:nsid w:val="71F32454"/>
    <w:multiLevelType w:val="hybridMultilevel"/>
    <w:lvl w:ilvl="0">
      <w:lvlJc w:val="left"/>
      <w:lvlText w:val="(%1)"/>
      <w:numFmt w:val="lowerRoman"/>
      <w:start w:val="2"/>
    </w:lvl>
  </w:abstractNum>
  <w:abstractNum w:abstractNumId="12">
    <w:nsid w:val="2CA88611"/>
    <w:multiLevelType w:val="hybridMultilevel"/>
    <w:lvl w:ilvl="0">
      <w:lvlJc w:val="left"/>
      <w:lvlText w:val="(%1)"/>
      <w:numFmt w:val="lowerRoman"/>
      <w:start w:val="2"/>
    </w:lvl>
  </w:abstractNum>
  <w:abstractNum w:abstractNumId="13">
    <w:nsid w:val="836C40E"/>
    <w:multiLevelType w:val="hybridMultilevel"/>
    <w:lvl w:ilvl="0">
      <w:lvlJc w:val="left"/>
      <w:lvlText w:val="(%1)"/>
      <w:numFmt w:val="lowerLetter"/>
      <w:start w:val="1"/>
    </w:lvl>
  </w:abstractNum>
  <w:abstractNum w:abstractNumId="14">
    <w:nsid w:val="2901D82"/>
    <w:multiLevelType w:val="hybridMultilevel"/>
    <w:lvl w:ilvl="0">
      <w:lvlJc w:val="left"/>
      <w:lvlText w:val="(%1)"/>
      <w:numFmt w:val="lowerLetter"/>
      <w:start w:val="5"/>
    </w:lvl>
  </w:abstractNum>
  <w:abstractNum w:abstractNumId="15">
    <w:nsid w:val="3A95F874"/>
    <w:multiLevelType w:val="hybridMultilevel"/>
    <w:lvl w:ilvl="0">
      <w:lvlJc w:val="left"/>
      <w:lvlText w:val="(%1)"/>
      <w:numFmt w:val="lowerLetter"/>
      <w:start w:val="7"/>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1)"/>
      <w:numFmt w:val="lowerRoman"/>
      <w:start w:val="1"/>
    </w:lvl>
  </w:abstractNum>
  <w:abstractNum w:abstractNumId="18">
    <w:nsid w:val="7C3DBD3D"/>
    <w:multiLevelType w:val="hybridMultilevel"/>
    <w:lvl w:ilvl="0">
      <w:lvlJc w:val="left"/>
      <w:lvlText w:val="(%1)"/>
      <w:numFmt w:val="lowerRoman"/>
      <w:start w:val="3"/>
    </w:lvl>
  </w:abstractNum>
  <w:abstractNum w:abstractNumId="19">
    <w:nsid w:val="737B8DDC"/>
    <w:multiLevelType w:val="hybridMultilevel"/>
    <w:lvl w:ilvl="0">
      <w:lvlJc w:val="left"/>
      <w:lvlText w:val="(%1)"/>
      <w:numFmt w:val="lowerRoman"/>
      <w:start w:val="4"/>
    </w:lvl>
  </w:abstractNum>
  <w:abstractNum w:abstractNumId="20">
    <w:nsid w:val="6CEAF087"/>
    <w:multiLevelType w:val="hybridMultilevel"/>
    <w:lvl w:ilvl="0">
      <w:lvlJc w:val="left"/>
      <w:lvlText w:val="(%1)"/>
      <w:numFmt w:val="lowerRoman"/>
      <w:start w:val="2"/>
    </w:lvl>
  </w:abstractNum>
  <w:abstractNum w:abstractNumId="21">
    <w:nsid w:val="22221A70"/>
    <w:multiLevelType w:val="hybridMultilevel"/>
    <w:lvl w:ilvl="0">
      <w:lvlJc w:val="left"/>
      <w:lvlText w:val="(%1)"/>
      <w:numFmt w:val="lowerLetter"/>
      <w:start w:val="1"/>
    </w:lvl>
  </w:abstractNum>
  <w:abstractNum w:abstractNumId="22">
    <w:nsid w:val="4516DDE9"/>
    <w:multiLevelType w:val="hybridMultilevel"/>
    <w:lvl w:ilvl="0">
      <w:lvlJc w:val="left"/>
      <w:lvlText w:val="(%1)"/>
      <w:numFmt w:val="lowerLetter"/>
      <w:start w:val="2"/>
    </w:lvl>
  </w:abstractNum>
  <w:abstractNum w:abstractNumId="23">
    <w:nsid w:val="3006C83E"/>
    <w:multiLevelType w:val="hybridMultilevel"/>
    <w:lvl w:ilvl="0">
      <w:lvlJc w:val="left"/>
      <w:lvlText w:val="(%1)"/>
      <w:numFmt w:val="lowerLetter"/>
      <w:start w:val="2"/>
    </w:lvl>
  </w:abstractNum>
  <w:abstractNum w:abstractNumId="24">
    <w:nsid w:val="614FD4A1"/>
    <w:multiLevelType w:val="hybridMultilevel"/>
    <w:lvl w:ilvl="0">
      <w:lvlJc w:val="left"/>
      <w:lvlText w:val="(%1)"/>
      <w:numFmt w:val="lowerRoman"/>
      <w:start w:val="3"/>
    </w:lvl>
  </w:abstractNum>
  <w:abstractNum w:abstractNumId="25">
    <w:nsid w:val="419AC241"/>
    <w:multiLevelType w:val="hybridMultilevel"/>
    <w:lvl w:ilvl="0">
      <w:lvlJc w:val="left"/>
      <w:lvlText w:val="(%1)"/>
      <w:numFmt w:val="lowerLetter"/>
      <w:start w:val="25"/>
    </w:lvl>
  </w:abstractNum>
  <w:abstractNum w:abstractNumId="26">
    <w:nsid w:val="5577F8E1"/>
    <w:multiLevelType w:val="hybridMultilevel"/>
    <w:lvl w:ilvl="0">
      <w:lvlJc w:val="left"/>
      <w:lvlText w:val="(%1)"/>
      <w:numFmt w:val="lowerRoman"/>
      <w:start w:val="10"/>
    </w:lvl>
  </w:abstractNum>
  <w:abstractNum w:abstractNumId="27">
    <w:nsid w:val="440BADFC"/>
    <w:multiLevelType w:val="hybridMultilevel"/>
    <w:lvl w:ilvl="0">
      <w:lvlJc w:val="left"/>
      <w:lvlText w:val="(%1)"/>
      <w:numFmt w:val="lowerRoman"/>
      <w:start w:val="3"/>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1)"/>
      <w:numFmt w:val="lowerLetter"/>
      <w:start w:val="25"/>
    </w:lvl>
  </w:abstractNum>
  <w:abstractNum w:abstractNumId="30">
    <w:nsid w:val="77465F01"/>
    <w:multiLevelType w:val="hybridMultilevel"/>
    <w:lvl w:ilvl="0">
      <w:lvlJc w:val="left"/>
      <w:lvlText w:val="(%1)"/>
      <w:numFmt w:val="lowerRoman"/>
      <w:start w:val="2"/>
    </w:lvl>
  </w:abstractNum>
  <w:abstractNum w:abstractNumId="31">
    <w:nsid w:val="7724C67E"/>
    <w:multiLevelType w:val="hybridMultilevel"/>
    <w:lvl w:ilvl="0">
      <w:lvlJc w:val="left"/>
      <w:lvlText w:val="(%1)"/>
      <w:numFmt w:val="lowerRoman"/>
      <w:start w:val="2"/>
    </w:lvl>
  </w:abstractNum>
  <w:abstractNum w:abstractNumId="32">
    <w:nsid w:val="5C482A97"/>
    <w:multiLevelType w:val="hybridMultilevel"/>
    <w:lvl w:ilvl="0">
      <w:lvlJc w:val="left"/>
      <w:lvlText w:val="(%1)"/>
      <w:numFmt w:val="upperLetter"/>
      <w:start w:val="1"/>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lowerRoman"/>
      <w:start w:val="2"/>
    </w:lvl>
  </w:abstractNum>
  <w:abstractNum w:abstractNumId="35">
    <w:nsid w:val="51EAD36B"/>
    <w:multiLevelType w:val="hybridMultilevel"/>
    <w:lvl w:ilvl="0">
      <w:lvlJc w:val="left"/>
      <w:lvlText w:val="(%1)"/>
      <w:numFmt w:val="lowerRoman"/>
      <w:start w:val="10"/>
    </w:lvl>
  </w:abstractNum>
  <w:abstractNum w:abstractNumId="36">
    <w:nsid w:val="2D517796"/>
    <w:multiLevelType w:val="hybridMultilevel"/>
    <w:lvl w:ilvl="0">
      <w:lvlJc w:val="left"/>
      <w:lvlText w:val="(%1)"/>
      <w:numFmt w:val="lowerRoman"/>
      <w:start w:val="3"/>
    </w:lvl>
  </w:abstractNum>
  <w:abstractNum w:abstractNumId="37">
    <w:nsid w:val="580BD78F"/>
    <w:multiLevelType w:val="hybridMultilevel"/>
    <w:lvl w:ilvl="0">
      <w:lvlJc w:val="left"/>
      <w:lvlText w:val="(%1)"/>
      <w:numFmt w:val="lowerRoman"/>
      <w:start w:val="2"/>
    </w:lvl>
  </w:abstractNum>
  <w:abstractNum w:abstractNumId="38">
    <w:nsid w:val="153EA438"/>
    <w:multiLevelType w:val="hybridMultilevel"/>
    <w:lvl w:ilvl="0">
      <w:lvlJc w:val="left"/>
      <w:lvlText w:val="(%1)"/>
      <w:numFmt w:val="lowerRoman"/>
      <w:start w:val="2"/>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lowerRoman"/>
      <w:start w:val="1"/>
    </w:lvl>
  </w:abstractNum>
  <w:abstractNum w:abstractNumId="41">
    <w:nsid w:val="6A2342EC"/>
    <w:multiLevelType w:val="hybridMultilevel"/>
    <w:lvl w:ilvl="0">
      <w:lvlJc w:val="left"/>
      <w:lvlText w:val="(%1)"/>
      <w:numFmt w:val="lowerRoman"/>
      <w:start w:val="10"/>
    </w:lvl>
  </w:abstractNum>
  <w:abstractNum w:abstractNumId="42">
    <w:nsid w:val="2A487CB0"/>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2022-07-19T07:06:23Z</dcterms:created>
  <dcterms:modified xsi:type="dcterms:W3CDTF">2022-07-19T07:06:23Z</dcterms:modified>
</cp:coreProperties>
</file>