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right"/>
        <w:ind w:right="15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14202A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 xml:space="preserve">Filed by party other than the Registrant </w:t>
      </w:r>
      <w:r>
        <w:rPr>
          <w:rFonts w:ascii="MS PGothic" w:cs="MS PGothic" w:eastAsia="MS PGothic" w:hAnsi="MS PGothic"/>
          <w:sz w:val="18"/>
          <w:szCs w:val="18"/>
          <w:color w:val="14202A"/>
        </w:rPr>
        <w:t>☐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Check the appropriate box: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Preliminary Proxy Statement</w:t>
      </w:r>
    </w:p>
    <w:p>
      <w:pPr>
        <w:spacing w:after="0" w:line="99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4202A"/>
        </w:rPr>
        <w:t>Confidential, For Use of the Commission Only (as permitted by Rule 14a-6(e)(2))</w:t>
      </w:r>
    </w:p>
    <w:p>
      <w:pPr>
        <w:spacing w:after="0" w:line="107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Definitive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Definitive Additional Materials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2285365</wp:posOffset>
            </wp:positionH>
            <wp:positionV relativeFrom="paragraph">
              <wp:posOffset>120015</wp:posOffset>
            </wp:positionV>
            <wp:extent cx="2571750" cy="6083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 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 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14202A"/>
        </w:rPr>
        <w:t>WINNEBAGO INDUSTRIES,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485140</wp:posOffset>
            </wp:positionH>
            <wp:positionV relativeFrom="paragraph">
              <wp:posOffset>6350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485140</wp:posOffset>
            </wp:positionH>
            <wp:positionV relativeFrom="paragraph">
              <wp:posOffset>167640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(Name of Person(s) Filing Proxy Statement, if Other than the Registrant)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Payment of Filing Fee (Check all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No fee required.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Fee previously paid with preliminary materials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14202A"/>
        </w:rPr>
      </w:pPr>
    </w:p>
    <w:p>
      <w:pPr>
        <w:ind w:left="440" w:hanging="428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14202A"/>
        </w:rPr>
      </w:pPr>
      <w:r>
        <w:rPr>
          <w:rFonts w:ascii="Times New Roman" w:cs="Times New Roman" w:eastAsia="Times New Roman" w:hAnsi="Times New Roman"/>
          <w:sz w:val="18"/>
          <w:szCs w:val="18"/>
          <w:color w:val="14202A"/>
        </w:rPr>
        <w:t>Fee computed on table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462915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557530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702945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9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1095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0581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05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2026-11-03T07:25:04Z</dcterms:created>
  <dcterms:modified xsi:type="dcterms:W3CDTF">2026-11-03T07:25:04Z</dcterms:modified>
</cp:coreProperties>
</file>