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92075</wp:posOffset>
            </wp:positionV>
            <wp:extent cx="13722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35"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42545</wp:posOffset>
            </wp:positionV>
            <wp:extent cx="13722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9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October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121920</wp:posOffset>
            </wp:positionV>
            <wp:extent cx="302704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2704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31" w:lineRule="exact"/>
        <w:rPr>
          <w:sz w:val="24"/>
          <w:szCs w:val="24"/>
          <w:color w:val="auto"/>
        </w:rPr>
      </w:pPr>
    </w:p>
    <w:tbl>
      <w:tblPr>
        <w:tblLayout w:type="fixed"/>
        <w:tblInd w:w="1120" w:type="dxa"/>
        <w:tblCellMar>
          <w:top w:w="0" w:type="dxa"/>
          <w:left w:w="0" w:type="dxa"/>
          <w:bottom w:w="0" w:type="dxa"/>
          <w:right w:w="0" w:type="dxa"/>
        </w:tblCellMar>
      </w:tblPr>
      <w:tr>
        <w:trPr>
          <w:trHeight w:val="228"/>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25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001-06403</w:t>
            </w:r>
          </w:p>
        </w:tc>
        <w:tc>
          <w:tcPr>
            <w:tcW w:w="1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9"/>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9"/>
              <w:spacing w:after="0"/>
              <w:rPr>
                <w:sz w:val="20"/>
                <w:szCs w:val="20"/>
                <w:color w:val="auto"/>
              </w:rPr>
            </w:pPr>
            <w:r>
              <w:rPr>
                <w:rFonts w:ascii="Arial" w:cs="Arial" w:eastAsia="Arial" w:hAnsi="Arial"/>
                <w:sz w:val="16"/>
                <w:szCs w:val="16"/>
                <w:color w:val="auto"/>
              </w:rPr>
              <w:t>Identification No.)</w:t>
            </w:r>
          </w:p>
        </w:tc>
      </w:tr>
      <w:tr>
        <w:trPr>
          <w:trHeight w:val="499"/>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9"/>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9"/>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4" w:lineRule="exact"/>
        <w:rPr>
          <w:sz w:val="24"/>
          <w:szCs w:val="24"/>
          <w:color w:val="auto"/>
        </w:rPr>
      </w:pPr>
    </w:p>
    <w:p>
      <w:pPr>
        <w:ind w:right="2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right="3120" w:firstLine="8"/>
        <w:spacing w:after="0" w:line="456" w:lineRule="auto"/>
        <w:tabs>
          <w:tab w:leader="none" w:pos="306"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4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91" w:lineRule="exact"/>
        <w:rPr>
          <w:sz w:val="24"/>
          <w:szCs w:val="24"/>
          <w:color w:val="auto"/>
        </w:rPr>
      </w:pPr>
    </w:p>
    <w:p>
      <w:pPr>
        <w:ind w:right="200"/>
        <w:spacing w:after="0" w:line="24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208" w:lineRule="exact"/>
        <w:rPr>
          <w:sz w:val="24"/>
          <w:szCs w:val="24"/>
          <w:color w:val="auto"/>
        </w:rPr>
      </w:pPr>
    </w:p>
    <w:p>
      <w:pPr>
        <w:ind w:right="320"/>
        <w:spacing w:after="0" w:line="269"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ectPr>
          <w:pgSz w:w="11900" w:h="16838" w:orient="portrait"/>
          <w:cols w:equalWidth="0" w:num="1">
            <w:col w:w="11440"/>
          </w:cols>
          <w:pgMar w:left="240" w:top="661"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14"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On October 23, 2019, Winnebago Industries, Inc. issued a press release to report financial results for the fourth quarter and full year of Fiscal 2019 ended August 31, 2019. A copy of the press release is attached as Exhibit 99.1 and is incorporated by reference herein.</w:t>
      </w:r>
    </w:p>
    <w:p>
      <w:pPr>
        <w:spacing w:after="0" w:line="16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fourth quarter and full year of Fiscal 2019.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7023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140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r>
        <w:rPr>
          <w:rFonts w:ascii="Arial" w:cs="Arial" w:eastAsia="Arial" w:hAnsi="Arial"/>
          <w:sz w:val="16"/>
          <w:szCs w:val="16"/>
          <w:u w:val="single" w:color="auto"/>
          <w:color w:val="0000FF"/>
        </w:rPr>
        <w:tab/>
      </w:r>
      <w:hyperlink w:anchor="page4">
        <w:r>
          <w:rPr>
            <w:rFonts w:ascii="Arial" w:cs="Arial" w:eastAsia="Arial" w:hAnsi="Arial"/>
            <w:sz w:val="16"/>
            <w:szCs w:val="16"/>
            <w:u w:val="single" w:color="auto"/>
            <w:color w:val="0000FF"/>
          </w:rPr>
          <w:t>Press Release of Winnebago Industries, Inc. dated October 23, 2019</w:t>
        </w:r>
      </w:hyperlink>
    </w:p>
    <w:p>
      <w:pPr>
        <w:sectPr>
          <w:pgSz w:w="11900" w:h="16838" w:orient="portrait"/>
          <w:cols w:equalWidth="0" w:num="1">
            <w:col w:w="11380"/>
          </w:cols>
          <w:pgMar w:left="240" w:top="554" w:right="27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6580" w:type="dxa"/>
            <w:vAlign w:val="bottom"/>
            <w:gridSpan w:val="2"/>
          </w:tcPr>
          <w:p>
            <w:pPr>
              <w:ind w:left="114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600" w:type="dxa"/>
            <w:vAlign w:val="bottom"/>
          </w:tcPr>
          <w:p>
            <w:pPr>
              <w:ind w:left="200"/>
              <w:spacing w:after="0"/>
              <w:rPr>
                <w:sz w:val="20"/>
                <w:szCs w:val="20"/>
                <w:color w:val="auto"/>
              </w:rPr>
            </w:pPr>
            <w:r>
              <w:rPr>
                <w:rFonts w:ascii="Arial" w:cs="Arial" w:eastAsia="Arial" w:hAnsi="Arial"/>
                <w:sz w:val="16"/>
                <w:szCs w:val="16"/>
                <w:color w:val="auto"/>
              </w:rPr>
              <w:t>October 23, 2019</w:t>
            </w:r>
          </w:p>
        </w:tc>
        <w:tc>
          <w:tcPr>
            <w:tcW w:w="1920" w:type="dxa"/>
            <w:vAlign w:val="bottom"/>
          </w:tcPr>
          <w:p>
            <w:pPr>
              <w:ind w:left="114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37"/>
        </w:trPr>
        <w:tc>
          <w:tcPr>
            <w:tcW w:w="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920" w:type="dxa"/>
            <w:vAlign w:val="bottom"/>
          </w:tcPr>
          <w:p>
            <w:pPr>
              <w:ind w:left="114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70"/>
        </w:trPr>
        <w:tc>
          <w:tcPr>
            <w:tcW w:w="60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1920" w:type="dxa"/>
            <w:vAlign w:val="bottom"/>
          </w:tcPr>
          <w:p>
            <w:pPr>
              <w:ind w:left="114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bl>
    <w:p>
      <w:pPr>
        <w:sectPr>
          <w:pgSz w:w="11900" w:h="16838" w:orient="portrait"/>
          <w:cols w:equalWidth="0" w:num="1">
            <w:col w:w="11220"/>
          </w:cols>
          <w:pgMar w:left="240" w:top="54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24" w:lineRule="exact"/>
        <w:rPr>
          <w:sz w:val="20"/>
          <w:szCs w:val="20"/>
          <w:color w:val="auto"/>
        </w:rPr>
      </w:pPr>
    </w:p>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-381000</wp:posOffset>
            </wp:positionV>
            <wp:extent cx="230695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6955" cy="3257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ANNOUNCES FOURTH QUARTER AND FULL YEAR FISCAL 2019 RESULTS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Record Full Year EPS of $3.52, Up 9% as Full Year Gross Margins Grew 60 Basis Points to 15.5% --</w:t>
      </w:r>
    </w:p>
    <w:p>
      <w:pPr>
        <w:spacing w:after="0" w:line="181" w:lineRule="exact"/>
        <w:rPr>
          <w:sz w:val="20"/>
          <w:szCs w:val="20"/>
          <w:color w:val="auto"/>
        </w:rPr>
      </w:pPr>
    </w:p>
    <w:p>
      <w:pPr>
        <w:jc w:val="center"/>
        <w:spacing w:after="0" w:line="488" w:lineRule="auto"/>
        <w:rPr>
          <w:sz w:val="20"/>
          <w:szCs w:val="20"/>
          <w:color w:val="auto"/>
        </w:rPr>
      </w:pPr>
      <w:r>
        <w:rPr>
          <w:rFonts w:ascii="Arial" w:cs="Arial" w:eastAsia="Arial" w:hAnsi="Arial"/>
          <w:sz w:val="16"/>
          <w:szCs w:val="16"/>
          <w:b w:val="1"/>
          <w:bCs w:val="1"/>
          <w:color w:val="auto"/>
        </w:rPr>
        <w:t>-- Strong Full Year Revenues of $2 Billion Reflect Outperformance in RV and Marine Industries -- -- Strong Annual Operating Cash Flow of $133.8 million, Up 61% Over Prior Year -- -- Quarterly and Full Year Towable Segment Revenues Increased 6% -- -- Quarterly Diluted EPS of $1.01 Up 7% as Quarterly Gross Margins Grew 10 Basis Points to 15.7% --</w:t>
      </w:r>
    </w:p>
    <w:p>
      <w:pPr>
        <w:spacing w:after="0" w:line="212" w:lineRule="exact"/>
        <w:rPr>
          <w:sz w:val="20"/>
          <w:szCs w:val="20"/>
          <w:color w:val="auto"/>
        </w:rPr>
      </w:pPr>
    </w:p>
    <w:p>
      <w:pPr>
        <w:ind w:right="120"/>
        <w:spacing w:after="0" w:line="366" w:lineRule="auto"/>
        <w:rPr>
          <w:sz w:val="20"/>
          <w:szCs w:val="20"/>
          <w:color w:val="auto"/>
        </w:rPr>
      </w:pPr>
      <w:r>
        <w:rPr>
          <w:rFonts w:ascii="Arial" w:cs="Arial" w:eastAsia="Arial" w:hAnsi="Arial"/>
          <w:sz w:val="16"/>
          <w:szCs w:val="16"/>
          <w:color w:val="auto"/>
        </w:rPr>
        <w:t>FOREST CITY, IOWA, October 23, 2019 - Winnebago Industries, Inc. (NYSE:WGO), a leading outdoor lifestyle product manufacturer, today reported financial results for the Company's fourth quarter and full year Fiscal 2019.</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Fourth Quarter Fiscal 2019 Results</w:t>
      </w:r>
    </w:p>
    <w:p>
      <w:pPr>
        <w:spacing w:after="0" w:line="86" w:lineRule="exact"/>
        <w:rPr>
          <w:sz w:val="20"/>
          <w:szCs w:val="20"/>
          <w:color w:val="auto"/>
        </w:rPr>
      </w:pPr>
    </w:p>
    <w:p>
      <w:pPr>
        <w:ind w:right="80"/>
        <w:spacing w:after="0" w:line="354" w:lineRule="auto"/>
        <w:rPr>
          <w:sz w:val="20"/>
          <w:szCs w:val="20"/>
          <w:color w:val="auto"/>
        </w:rPr>
      </w:pPr>
      <w:r>
        <w:rPr>
          <w:rFonts w:ascii="Arial" w:cs="Arial" w:eastAsia="Arial" w:hAnsi="Arial"/>
          <w:sz w:val="16"/>
          <w:szCs w:val="16"/>
          <w:color w:val="auto"/>
        </w:rPr>
        <w:t>Revenues for the Fiscal 2019 fourth quarter ended August 31, 2019, were $530.4 million, a decrease of 1.1% compared to $536.2 million for the Fiscal 2018 period. Gross profit was $83.2 million, a decrease of 0.8% compared to $83.8 million for the Fiscal 2018 period. Gross profit margin increased 10 basis points to 15.7% in the quarter, driven by favorable segment mix from accelerated growth in the Towable segment. Operating income was $44.8 million for the quarter, a decrease of 2.0% compared to $45.7 million in the fourth quarter of last year. Fiscal 2019 fourth quarter net income was $31.9 million, an increase of 7.0% compared to $29.8 million in the same period last year. Earnings per diluted share were $1.01, an increase of 7.4% compared to earnings per diluted share of $0.94 in the same period last year. Net income and earnings per share were favorably impacted by an improved tax rate resulting from the Tax Cuts and Jobs Act ("TCJA"). Net income and earnings per share were unfavorably impacted by due diligence costs of $0.7 million, or $0.02 earnings per share, related to the Newmar acquisition announced on September 16, 2019. Consolidated Adjusted EBITDA was $50.8 million for the quarter, a decrease of 5.1% compared to $53.6 million last year.</w:t>
      </w:r>
    </w:p>
    <w:p>
      <w:pPr>
        <w:spacing w:after="0" w:line="259" w:lineRule="exact"/>
        <w:rPr>
          <w:sz w:val="20"/>
          <w:szCs w:val="20"/>
          <w:color w:val="auto"/>
        </w:rPr>
      </w:pPr>
    </w:p>
    <w:p>
      <w:pPr>
        <w:spacing w:after="0" w:line="354" w:lineRule="auto"/>
        <w:rPr>
          <w:sz w:val="20"/>
          <w:szCs w:val="20"/>
          <w:color w:val="auto"/>
        </w:rPr>
      </w:pPr>
      <w:r>
        <w:rPr>
          <w:rFonts w:ascii="Arial" w:cs="Arial" w:eastAsia="Arial" w:hAnsi="Arial"/>
          <w:sz w:val="16"/>
          <w:szCs w:val="16"/>
          <w:color w:val="auto"/>
        </w:rPr>
        <w:t>President and Chief Executive Officer, Michael Happe, commented, “In Fiscal Year 2019, our team made significant strides in profitably strengthening our core recreational vehicles business, while also executing a successful first full year in the marine industry. In the face of challenging RV market conditions, we drove increased share in our towables segment and continued to stabilize our motorhome platform with improved products and dealer relationships. We are especially pleased to deliver record profitability for the Company against the headwinds of ongoing tariffs and higher levels of competitive promotional activity in our target markets. Grand Design continues to set the pace within our brand portfolio, producing material market share gains and superlative customer satisfaction. We continue to be excited with the positive progress we are making to transform Winnebago Industries into a premier outdoor lifestyle company, focused on authentic differentiation in the areas of product quality, valued innovation, and superior customer service. Our commitment to building a diversified portfolio of truly premium, iconic brands was recently bolstered with the mid-September announced acquisition of Newmar, the foremost luxury motorhome manufacturer in North America. As always, I want to thank all of our Winnebago Industries employees across each of our brands for their tireless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364" w:right="239" w:bottom="1440" w:gutter="0" w:footer="0" w:header="0"/>
        </w:sectPr>
      </w:pPr>
    </w:p>
    <w:bookmarkStart w:id="4" w:name="page5"/>
    <w:bookmarkEnd w:id="4"/>
    <w:p>
      <w:pPr>
        <w:ind w:right="140"/>
        <w:spacing w:after="0" w:line="366" w:lineRule="auto"/>
        <w:rPr>
          <w:sz w:val="20"/>
          <w:szCs w:val="20"/>
          <w:color w:val="auto"/>
        </w:rPr>
      </w:pPr>
      <w:r>
        <w:rPr>
          <w:rFonts w:ascii="Arial" w:cs="Arial" w:eastAsia="Arial" w:hAnsi="Arial"/>
          <w:sz w:val="16"/>
          <w:szCs w:val="16"/>
          <w:color w:val="auto"/>
        </w:rPr>
        <w:t>work and service to our channel partners and end customers. Every day the culture is strengthened through their relentless focus on safely driving excellence in our markets and giving back to the communities we have a presence in”.</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Full Year Fiscal 2019 Results</w:t>
      </w:r>
    </w:p>
    <w:p>
      <w:pPr>
        <w:spacing w:after="0" w:line="86" w:lineRule="exact"/>
        <w:rPr>
          <w:sz w:val="20"/>
          <w:szCs w:val="20"/>
          <w:color w:val="auto"/>
        </w:rPr>
      </w:pPr>
    </w:p>
    <w:p>
      <w:pPr>
        <w:ind w:right="80"/>
        <w:spacing w:after="0" w:line="354" w:lineRule="auto"/>
        <w:rPr>
          <w:sz w:val="20"/>
          <w:szCs w:val="20"/>
          <w:color w:val="auto"/>
        </w:rPr>
      </w:pPr>
      <w:r>
        <w:rPr>
          <w:rFonts w:ascii="Arial" w:cs="Arial" w:eastAsia="Arial" w:hAnsi="Arial"/>
          <w:sz w:val="16"/>
          <w:szCs w:val="16"/>
          <w:color w:val="auto"/>
        </w:rPr>
        <w:t>Fiscal 2019 revenues of $1.99 billion decreased 1.5% from $2.02 billion in Fiscal 2018 driven by strong growth in the Towable segment of 6.2% which was more than offset by a decline in the Motorhome segment of 17.9%. Gross profit margin improved 60 basis points, primarily due to accelerated growth in the Towable segment and improved Motorhome profitability. Operating income was $155.3 million for Fiscal 2019, a decline of 3.2% compared to $160.4 million in Fiscal 2018. Net income for Fiscal 2019 was $111.8 million, an increase of 9.2% compared to $102.4 million in Fiscal 2018. Earnings per diluted share were $3.52, an increase of 9.3% compared to earnings per diluted share of $3.22 in Fiscal 2018. Net income and earnings per share were favorably impacted by an improved tax rate resulting from the Tax Cuts and Jobs Act ("TCJA") and a favorable change in estimate related to prior year R&amp;D tax credits. Fiscal 2019 consolidated Adjusted EBITDA was $179.7 million, a decrease of 1.2% from $181.7 million in Fiscal 2018.</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ind w:right="80"/>
        <w:spacing w:after="0" w:line="355" w:lineRule="auto"/>
        <w:rPr>
          <w:sz w:val="20"/>
          <w:szCs w:val="20"/>
          <w:color w:val="auto"/>
        </w:rPr>
      </w:pPr>
      <w:r>
        <w:rPr>
          <w:rFonts w:ascii="Arial" w:cs="Arial" w:eastAsia="Arial" w:hAnsi="Arial"/>
          <w:sz w:val="16"/>
          <w:szCs w:val="16"/>
          <w:color w:val="auto"/>
        </w:rPr>
        <w:t>Revenues for the Towable segment were $307.0 million for the fourth quarter, up 6.3% over the prior year, driven by pricing actions and continued strong organic unit deliveries in the Grand Design RV brand. Segment Adjusted EBITDA was $42.0 million, up slightly over the prior year. Adjusted EBITDA margin decreased 80 basis points, driven by higher input costs and increased sales allowances, partially offset by pricing actions. Backlog decreased 4.3%, in dollars, over the prior year period, reflecting the positive impact of utilizing additional capacity added during calendar 2018 and dealers continuing to normalize inventory levels.</w:t>
      </w:r>
    </w:p>
    <w:p>
      <w:pPr>
        <w:spacing w:after="0" w:line="260" w:lineRule="exact"/>
        <w:rPr>
          <w:sz w:val="20"/>
          <w:szCs w:val="20"/>
          <w:color w:val="auto"/>
        </w:rPr>
      </w:pPr>
    </w:p>
    <w:p>
      <w:pPr>
        <w:ind w:right="120"/>
        <w:spacing w:after="0" w:line="359" w:lineRule="auto"/>
        <w:rPr>
          <w:sz w:val="20"/>
          <w:szCs w:val="20"/>
          <w:color w:val="auto"/>
        </w:rPr>
      </w:pPr>
      <w:r>
        <w:rPr>
          <w:rFonts w:ascii="Arial" w:cs="Arial" w:eastAsia="Arial" w:hAnsi="Arial"/>
          <w:sz w:val="16"/>
          <w:szCs w:val="16"/>
          <w:color w:val="auto"/>
        </w:rPr>
        <w:t>For the full year Fiscal 2019, revenues for the Towable segment were $1.20 billion, up 6.2% from Fiscal 2018. Segment Adjusted EBITDA for the full year was $163.7 million, up 4.2% from Fiscal 2018. Adjusted EBITDA margin decreased 20 basis points for the full year. Fiscal 2019 marked a strong period of growth for the Towable segment as unit deliveries grew almost 1%, well ahead of industry-wide declines of 20% (TTM thru August, 2019).</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w:t>
      </w:r>
    </w:p>
    <w:p>
      <w:pPr>
        <w:spacing w:after="0" w:line="86" w:lineRule="exact"/>
        <w:rPr>
          <w:sz w:val="20"/>
          <w:szCs w:val="20"/>
          <w:color w:val="auto"/>
        </w:rPr>
      </w:pPr>
    </w:p>
    <w:p>
      <w:pPr>
        <w:ind w:right="160"/>
        <w:spacing w:after="0" w:line="355" w:lineRule="auto"/>
        <w:rPr>
          <w:sz w:val="20"/>
          <w:szCs w:val="20"/>
          <w:color w:val="auto"/>
        </w:rPr>
      </w:pPr>
      <w:r>
        <w:rPr>
          <w:rFonts w:ascii="Arial" w:cs="Arial" w:eastAsia="Arial" w:hAnsi="Arial"/>
          <w:sz w:val="16"/>
          <w:szCs w:val="16"/>
          <w:color w:val="auto"/>
        </w:rPr>
        <w:t>In the fourth quarter, revenues for the Motorhome segment were $200.7 million, down 12.2% from the previous year driven by strength in the Class B line-up which was more than offset by decreases in Class C and Class A. Segment Adjusted EBITDA was $10.7 million, down 18.9% from the prior year. Adjusted EBITDA margin of 5.4% decreased 40 basis points, primarily due to higher input costs and fixed cost de-leverage, partially offset by pricing actions, positive product mix and decreased sales allowances. Fourth quarter Adjusted EBITDA margin increased 520 basis points sequentially from the third quarter of Fiscal 2019 due to an improvement in supply of Class B and C chassis, although ongoing challenges still persist. Backlog increased 5.0%, in dollars, over the prior year, due to an increase in Class B units, particularly the Revel and Travato models, and an increase in the View/Navion diesel models in Class C.</w:t>
      </w:r>
    </w:p>
    <w:p>
      <w:pPr>
        <w:spacing w:after="0" w:line="258" w:lineRule="exact"/>
        <w:rPr>
          <w:sz w:val="20"/>
          <w:szCs w:val="20"/>
          <w:color w:val="auto"/>
        </w:rPr>
      </w:pPr>
    </w:p>
    <w:p>
      <w:pPr>
        <w:ind w:right="60"/>
        <w:spacing w:after="0" w:line="356" w:lineRule="auto"/>
        <w:rPr>
          <w:sz w:val="20"/>
          <w:szCs w:val="20"/>
          <w:color w:val="auto"/>
        </w:rPr>
      </w:pPr>
      <w:r>
        <w:rPr>
          <w:rFonts w:ascii="Arial" w:cs="Arial" w:eastAsia="Arial" w:hAnsi="Arial"/>
          <w:sz w:val="16"/>
          <w:szCs w:val="16"/>
          <w:color w:val="auto"/>
        </w:rPr>
        <w:t>For the full year Fiscal 2019, revenues for the Motorhome segment were $706.9 million, down 17.9% from Fiscal 2018, slightly improved versus the decline of motorhome industry shipments of 21.7% (TTM thru August, 2019). Segment Adjusted EBITDA for the full year was $27.5 million, down 22.7% from Fiscal 2018. Adjusted EBITDA margin of 3.9% was down 20 basis points for the full year, primarily due to higher input costs and fixed cost de-leverage partially offset by pricing actions and positive product mix.</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spacing w:after="0" w:line="366" w:lineRule="auto"/>
        <w:rPr>
          <w:sz w:val="20"/>
          <w:szCs w:val="20"/>
          <w:color w:val="auto"/>
        </w:rPr>
      </w:pPr>
      <w:r>
        <w:rPr>
          <w:rFonts w:ascii="Arial" w:cs="Arial" w:eastAsia="Arial" w:hAnsi="Arial"/>
          <w:sz w:val="16"/>
          <w:szCs w:val="16"/>
          <w:color w:val="auto"/>
        </w:rPr>
        <w:t>As of August 31, 2019, the Company had total outstanding debt of $254.3 million ($260.0 million of debt, net of debt issuance costs of $5.7 million) and working capital of $212.9 million. Cash flow from operations was $133.8 million for the full year Fiscal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425"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2019, an increase of 60.5% from the prior period in Fiscal 2018 due to year-on-year improvements in cash flow from changes in working capital.</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560"/>
        <w:spacing w:after="0" w:line="366" w:lineRule="auto"/>
        <w:rPr>
          <w:sz w:val="20"/>
          <w:szCs w:val="20"/>
          <w:color w:val="auto"/>
        </w:rPr>
      </w:pPr>
      <w:r>
        <w:rPr>
          <w:rFonts w:ascii="Arial" w:cs="Arial" w:eastAsia="Arial" w:hAnsi="Arial"/>
          <w:sz w:val="16"/>
          <w:szCs w:val="16"/>
          <w:color w:val="auto"/>
        </w:rPr>
        <w:t>On August 14, 2019, the Company’s board of directors approved a quarterly cash dividend of $0.11 per share paid on September 25, 2019, to common stockholders of record at the close of business on September 11, 2019.</w:t>
      </w:r>
    </w:p>
    <w:p>
      <w:pPr>
        <w:spacing w:after="0" w:line="249" w:lineRule="exact"/>
        <w:rPr>
          <w:sz w:val="20"/>
          <w:szCs w:val="20"/>
          <w:color w:val="auto"/>
        </w:rPr>
      </w:pPr>
    </w:p>
    <w:p>
      <w:pPr>
        <w:ind w:right="140"/>
        <w:spacing w:after="0" w:line="354" w:lineRule="auto"/>
        <w:rPr>
          <w:sz w:val="20"/>
          <w:szCs w:val="20"/>
          <w:color w:val="auto"/>
        </w:rPr>
      </w:pPr>
      <w:r>
        <w:rPr>
          <w:rFonts w:ascii="Arial" w:cs="Arial" w:eastAsia="Arial" w:hAnsi="Arial"/>
          <w:sz w:val="16"/>
          <w:szCs w:val="16"/>
          <w:color w:val="auto"/>
        </w:rPr>
        <w:t>Mr. Happe continued, “With the mid-November close of our latest acquisition, we will have four of the most premium and sought after brands in the outdoor lifestyle arena - Winnebago, Grand Design, Newmar, and Chris-Craft. Each of these business platforms offers a unique and distinct value proposition to outdoor enthusiasts, but all have golden threads via our enterprise focus on quality, service, and innovation. We are a larger, more balanced, increasingly diversified organization delivering consistent and rising profitability in challenging market conditions. While pleased with our progress over the last four years, we remain determined and driven to outperform the industries in which we compete in the future. There is significant runway in front of our team and overall business. The North American consumer continues to participate in record levels in outdoor recreation activities and we believe our brands are poised to help our customers have extraordinary experiences as they travel, live, work, and play in the outdoors.”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180"/>
        <w:spacing w:after="0" w:line="359" w:lineRule="auto"/>
        <w:rPr>
          <w:sz w:val="20"/>
          <w:szCs w:val="20"/>
          <w:color w:val="auto"/>
        </w:rPr>
      </w:pPr>
      <w:r>
        <w:rPr>
          <w:rFonts w:ascii="Arial" w:cs="Arial" w:eastAsia="Arial" w:hAnsi="Arial"/>
          <w:sz w:val="16"/>
          <w:szCs w:val="16"/>
          <w:color w:val="auto"/>
        </w:rPr>
        <w:t>Winnebago Industries, Inc. will conduct an earnings conference call at 9:00 a.m. Central Time today. Members of the news media, investors, and the general public are invited to access a live broadcast of the conference call via the Investor Relations page of the Company's website at http://investor.wgo.net. The event will be archived and available for replay for the next 90 days.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Winnebago Industries, Inc. is a leading U.S. manufacturer of outdoor lifestyle products under the Winnebago, Grand Design and Chris-Craft brands, which are used primarily in leisure travel and outdoor recreation activities. The Company builds quality motorhomes, travel trailers, fifth wheel products and boats. Winnebago Industries has multiple facilities in Iowa, Indiana, Minnesota, Oregon and Florida. The Company's common stock is listed on the New York Stock Exchange and trades under the symbol WGO. For access to Winnebago Industries' investor relations material or to add your name to an automatic email list for Company news releases, visit http://investor.wgo.net.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risks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425"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6"/>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tcBorders>
              <w:bottom w:val="single" w:sz="8" w:color="auto"/>
            </w:tcBorders>
          </w:tcPr>
          <w:p>
            <w:pPr>
              <w:spacing w:after="0"/>
              <w:rPr>
                <w:sz w:val="19"/>
                <w:szCs w:val="19"/>
                <w:color w:val="auto"/>
              </w:rPr>
            </w:pPr>
          </w:p>
        </w:tc>
      </w:tr>
      <w:tr>
        <w:trPr>
          <w:trHeight w:val="264"/>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percent and per share data)</w:t>
            </w:r>
          </w:p>
        </w:tc>
        <w:tc>
          <w:tcPr>
            <w:tcW w:w="4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rPr>
              <w:t>August 31, 2019</w:t>
            </w: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August 25, 2018</w:t>
            </w:r>
          </w:p>
        </w:tc>
        <w:tc>
          <w:tcPr>
            <w:tcW w:w="940" w:type="dxa"/>
            <w:vAlign w:val="bottom"/>
            <w:tcBorders>
              <w:bottom w:val="single" w:sz="8" w:color="auto"/>
            </w:tcBorders>
          </w:tcPr>
          <w:p>
            <w:pPr>
              <w:spacing w:after="0"/>
              <w:rPr>
                <w:sz w:val="22"/>
                <w:szCs w:val="22"/>
                <w:color w:val="auto"/>
              </w:rPr>
            </w:pPr>
          </w:p>
        </w:tc>
      </w:tr>
      <w:tr>
        <w:trPr>
          <w:trHeight w:val="270"/>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530,396</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536,188</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447,208</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84.3 %</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452,358</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84.4 %</w:t>
            </w: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83,188</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15.7 %</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83,830</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15.6 %</w:t>
            </w:r>
          </w:p>
        </w:tc>
      </w:tr>
      <w:tr>
        <w:trPr>
          <w:trHeight w:val="260"/>
        </w:trPr>
        <w:tc>
          <w:tcPr>
            <w:tcW w:w="44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4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35,992</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6.8 %</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34,735</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6.5 %</w:t>
            </w:r>
          </w:p>
        </w:tc>
      </w:tr>
      <w:tr>
        <w:trPr>
          <w:trHeight w:val="273"/>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2,431</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3,407</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0.6 %</w:t>
            </w:r>
          </w:p>
        </w:tc>
      </w:tr>
      <w:tr>
        <w:trPr>
          <w:trHeight w:val="250"/>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38,423</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7.2 %</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38,142</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7.1 %</w:t>
            </w: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44,765</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8.4 %</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45,688</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8.5 %</w:t>
            </w:r>
          </w:p>
        </w:tc>
      </w:tr>
      <w:tr>
        <w:trPr>
          <w:trHeight w:val="260"/>
        </w:trPr>
        <w:tc>
          <w:tcPr>
            <w:tcW w:w="44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4,646</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4,375</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0.8 %</w:t>
            </w:r>
          </w:p>
        </w:tc>
      </w:tr>
      <w:tr>
        <w:trPr>
          <w:trHeight w:val="273"/>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5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r>
      <w:tr>
        <w:trPr>
          <w:trHeight w:val="247"/>
        </w:trPr>
        <w:tc>
          <w:tcPr>
            <w:tcW w:w="44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4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40,370</w:t>
            </w:r>
          </w:p>
        </w:tc>
        <w:tc>
          <w:tcPr>
            <w:tcW w:w="1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7.6 %</w:t>
            </w:r>
          </w:p>
        </w:tc>
        <w:tc>
          <w:tcPr>
            <w:tcW w:w="12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41,595</w:t>
            </w:r>
          </w:p>
        </w:tc>
        <w:tc>
          <w:tcPr>
            <w:tcW w:w="12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7.8 %</w:t>
            </w:r>
          </w:p>
        </w:tc>
      </w:tr>
      <w:tr>
        <w:trPr>
          <w:trHeight w:val="273"/>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8,502</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11,805</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2.2 %</w:t>
            </w:r>
          </w:p>
        </w:tc>
      </w:tr>
      <w:tr>
        <w:trPr>
          <w:trHeight w:val="280"/>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31,868</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6.0 %</w:t>
            </w:r>
          </w:p>
        </w:tc>
        <w:tc>
          <w:tcPr>
            <w:tcW w:w="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29,790</w:t>
            </w: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5.6 %</w:t>
            </w:r>
          </w:p>
        </w:tc>
      </w:tr>
      <w:tr>
        <w:trPr>
          <w:trHeight w:val="267"/>
        </w:trPr>
        <w:tc>
          <w:tcPr>
            <w:tcW w:w="44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0"/>
        </w:trPr>
        <w:tc>
          <w:tcPr>
            <w:tcW w:w="4440" w:type="dxa"/>
            <w:vAlign w:val="bottom"/>
          </w:tcPr>
          <w:p>
            <w:pPr>
              <w:ind w:left="40"/>
              <w:spacing w:after="0"/>
              <w:rPr>
                <w:sz w:val="20"/>
                <w:szCs w:val="20"/>
                <w:color w:val="auto"/>
              </w:rPr>
            </w:pPr>
            <w:r>
              <w:rPr>
                <w:rFonts w:ascii="Arial" w:cs="Arial" w:eastAsia="Arial" w:hAnsi="Arial"/>
                <w:sz w:val="16"/>
                <w:szCs w:val="16"/>
                <w:color w:val="auto"/>
              </w:rPr>
              <w:t>Income per common share:</w:t>
            </w: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0.94</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0"/>
        </w:trPr>
        <w:tc>
          <w:tcPr>
            <w:tcW w:w="4440" w:type="dxa"/>
            <w:vAlign w:val="bottom"/>
          </w:tcPr>
          <w:p>
            <w:pPr>
              <w:ind w:left="120"/>
              <w:spacing w:after="0"/>
              <w:rPr>
                <w:sz w:val="20"/>
                <w:szCs w:val="20"/>
                <w:color w:val="auto"/>
              </w:rPr>
            </w:pPr>
            <w:r>
              <w:rPr>
                <w:rFonts w:ascii="Arial" w:cs="Arial" w:eastAsia="Arial" w:hAnsi="Arial"/>
                <w:sz w:val="16"/>
                <w:szCs w:val="16"/>
                <w:color w:val="auto"/>
              </w:rPr>
              <w:t>Diluted</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0.94</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0"/>
        </w:trPr>
        <w:tc>
          <w:tcPr>
            <w:tcW w:w="4440" w:type="dxa"/>
            <w:vAlign w:val="bottom"/>
          </w:tcPr>
          <w:p>
            <w:pPr>
              <w:ind w:left="120"/>
              <w:spacing w:after="0"/>
              <w:rPr>
                <w:sz w:val="20"/>
                <w:szCs w:val="20"/>
                <w:color w:val="auto"/>
              </w:rPr>
            </w:pPr>
            <w:r>
              <w:rPr>
                <w:rFonts w:ascii="Arial" w:cs="Arial" w:eastAsia="Arial" w:hAnsi="Arial"/>
                <w:sz w:val="16"/>
                <w:szCs w:val="16"/>
                <w:color w:val="auto"/>
              </w:rPr>
              <w:t>Basic</w:t>
            </w:r>
          </w:p>
        </w:tc>
        <w:tc>
          <w:tcPr>
            <w:tcW w:w="4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31,507</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31,532</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31,696</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31,755</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547"/>
        </w:trPr>
        <w:tc>
          <w:tcPr>
            <w:tcW w:w="44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Year Ended</w:t>
            </w: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4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percent and per share data)</w:t>
            </w:r>
          </w:p>
        </w:tc>
        <w:tc>
          <w:tcPr>
            <w:tcW w:w="4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rPr>
              <w:t>August 31, 2019</w:t>
            </w: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August 25, 2018</w:t>
            </w:r>
          </w:p>
        </w:tc>
        <w:tc>
          <w:tcPr>
            <w:tcW w:w="940" w:type="dxa"/>
            <w:vAlign w:val="bottom"/>
            <w:tcBorders>
              <w:bottom w:val="single" w:sz="8" w:color="auto"/>
            </w:tcBorders>
          </w:tcPr>
          <w:p>
            <w:pPr>
              <w:spacing w:after="0"/>
              <w:rPr>
                <w:sz w:val="22"/>
                <w:szCs w:val="22"/>
                <w:color w:val="auto"/>
              </w:rPr>
            </w:pPr>
          </w:p>
        </w:tc>
      </w:tr>
      <w:tr>
        <w:trPr>
          <w:trHeight w:val="270"/>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1,985,674</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2,016,829</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1,678,477</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84.5 %</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1,716,993</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85.1 %</w:t>
            </w: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307,197</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15.5 %</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299,836</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14.9 %</w:t>
            </w:r>
          </w:p>
        </w:tc>
      </w:tr>
      <w:tr>
        <w:trPr>
          <w:trHeight w:val="260"/>
        </w:trPr>
        <w:tc>
          <w:tcPr>
            <w:tcW w:w="44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4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142,295</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130,116</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6.5 %</w:t>
            </w:r>
          </w:p>
        </w:tc>
      </w:tr>
      <w:tr>
        <w:trPr>
          <w:trHeight w:val="273"/>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9,635</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9,328</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0.5 %</w:t>
            </w:r>
          </w:p>
        </w:tc>
      </w:tr>
      <w:tr>
        <w:trPr>
          <w:trHeight w:val="250"/>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4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151,930</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7.7 %</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139,444</w:t>
            </w: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6.9 %</w:t>
            </w:r>
          </w:p>
        </w:tc>
      </w:tr>
      <w:tr>
        <w:trPr>
          <w:trHeight w:val="257"/>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4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155,267</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7.8 %</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160,392</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8.0 %</w:t>
            </w:r>
          </w:p>
        </w:tc>
      </w:tr>
      <w:tr>
        <w:trPr>
          <w:trHeight w:val="260"/>
        </w:trPr>
        <w:tc>
          <w:tcPr>
            <w:tcW w:w="44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4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17,939</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18,246</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0.9 %</w:t>
            </w:r>
          </w:p>
        </w:tc>
      </w:tr>
      <w:tr>
        <w:trPr>
          <w:trHeight w:val="273"/>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47"/>
        </w:trPr>
        <w:tc>
          <w:tcPr>
            <w:tcW w:w="44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42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138,909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7.0 %</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142,640</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7.1 %</w:t>
            </w:r>
          </w:p>
        </w:tc>
      </w:tr>
      <w:tr>
        <w:trPr>
          <w:trHeight w:val="273"/>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27,111</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40,283</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2.0 %</w:t>
            </w:r>
          </w:p>
        </w:tc>
      </w:tr>
      <w:tr>
        <w:trPr>
          <w:trHeight w:val="280"/>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111,798</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5.6 %</w:t>
            </w:r>
          </w:p>
        </w:tc>
        <w:tc>
          <w:tcPr>
            <w:tcW w:w="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102,357</w:t>
            </w: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5.1 %</w:t>
            </w:r>
          </w:p>
        </w:tc>
      </w:tr>
      <w:tr>
        <w:trPr>
          <w:trHeight w:val="267"/>
        </w:trPr>
        <w:tc>
          <w:tcPr>
            <w:tcW w:w="44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0"/>
        </w:trPr>
        <w:tc>
          <w:tcPr>
            <w:tcW w:w="4440" w:type="dxa"/>
            <w:vAlign w:val="bottom"/>
          </w:tcPr>
          <w:p>
            <w:pPr>
              <w:ind w:left="40"/>
              <w:spacing w:after="0"/>
              <w:rPr>
                <w:sz w:val="20"/>
                <w:szCs w:val="20"/>
                <w:color w:val="auto"/>
              </w:rPr>
            </w:pPr>
            <w:r>
              <w:rPr>
                <w:rFonts w:ascii="Arial" w:cs="Arial" w:eastAsia="Arial" w:hAnsi="Arial"/>
                <w:sz w:val="16"/>
                <w:szCs w:val="16"/>
                <w:color w:val="auto"/>
              </w:rPr>
              <w:t>Income per common share:</w:t>
            </w:r>
          </w:p>
        </w:tc>
        <w:tc>
          <w:tcPr>
            <w:tcW w:w="4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0"/>
        </w:trPr>
        <w:tc>
          <w:tcPr>
            <w:tcW w:w="4440" w:type="dxa"/>
            <w:vAlign w:val="bottom"/>
          </w:tcPr>
          <w:p>
            <w:pPr>
              <w:ind w:left="180"/>
              <w:spacing w:after="0"/>
              <w:rPr>
                <w:sz w:val="20"/>
                <w:szCs w:val="20"/>
                <w:color w:val="auto"/>
              </w:rPr>
            </w:pPr>
            <w:r>
              <w:rPr>
                <w:rFonts w:ascii="Arial" w:cs="Arial" w:eastAsia="Arial" w:hAnsi="Arial"/>
                <w:sz w:val="16"/>
                <w:szCs w:val="16"/>
                <w:color w:val="auto"/>
              </w:rPr>
              <w:t>Diluted</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0"/>
        </w:trPr>
        <w:tc>
          <w:tcPr>
            <w:tcW w:w="4440" w:type="dxa"/>
            <w:vAlign w:val="bottom"/>
          </w:tcPr>
          <w:p>
            <w:pPr>
              <w:ind w:left="120"/>
              <w:spacing w:after="0"/>
              <w:rPr>
                <w:sz w:val="20"/>
                <w:szCs w:val="20"/>
                <w:color w:val="auto"/>
              </w:rPr>
            </w:pPr>
            <w:r>
              <w:rPr>
                <w:rFonts w:ascii="Arial" w:cs="Arial" w:eastAsia="Arial" w:hAnsi="Arial"/>
                <w:sz w:val="16"/>
                <w:szCs w:val="16"/>
                <w:color w:val="auto"/>
              </w:rPr>
              <w:t>Basic</w:t>
            </w:r>
          </w:p>
        </w:tc>
        <w:tc>
          <w:tcPr>
            <w:tcW w:w="4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31,536</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31,596</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4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31,721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31,814</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ectPr>
          <w:pgSz w:w="11900" w:h="16838" w:orient="portrait"/>
          <w:cols w:equalWidth="0" w:num="1">
            <w:col w:w="11420"/>
          </w:cols>
          <w:pgMar w:left="240" w:top="360"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6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31, 2019</w:t>
            </w:r>
          </w:p>
        </w:tc>
        <w:tc>
          <w:tcPr>
            <w:tcW w:w="200" w:type="dxa"/>
            <w:vAlign w:val="bottom"/>
          </w:tcPr>
          <w:p>
            <w:pPr>
              <w:spacing w:after="0"/>
              <w:rPr>
                <w:sz w:val="19"/>
                <w:szCs w:val="19"/>
                <w:color w:val="auto"/>
              </w:rPr>
            </w:pPr>
          </w:p>
        </w:tc>
        <w:tc>
          <w:tcPr>
            <w:tcW w:w="162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25, 2018</w:t>
            </w:r>
          </w:p>
        </w:tc>
        <w:tc>
          <w:tcPr>
            <w:tcW w:w="0" w:type="dxa"/>
            <w:vAlign w:val="bottom"/>
          </w:tcPr>
          <w:p>
            <w:pPr>
              <w:spacing w:after="0"/>
              <w:rPr>
                <w:sz w:val="1"/>
                <w:szCs w:val="1"/>
                <w:color w:val="auto"/>
              </w:rPr>
            </w:pPr>
          </w:p>
        </w:tc>
      </w:tr>
      <w:tr>
        <w:trPr>
          <w:trHeight w:val="270"/>
        </w:trPr>
        <w:tc>
          <w:tcPr>
            <w:tcW w:w="4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8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37,431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2,342</w:t>
            </w: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Receivables, net</w:t>
            </w:r>
          </w:p>
        </w:tc>
        <w:tc>
          <w:tcPr>
            <w:tcW w:w="2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158,049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164,585</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201,126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195,128</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Prepaid expenses and other assets</w:t>
            </w:r>
          </w:p>
        </w:tc>
        <w:tc>
          <w:tcPr>
            <w:tcW w:w="2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14,051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9,883</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410,657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371,938</w:t>
            </w:r>
          </w:p>
        </w:tc>
        <w:tc>
          <w:tcPr>
            <w:tcW w:w="0" w:type="dxa"/>
            <w:vAlign w:val="bottom"/>
          </w:tcPr>
          <w:p>
            <w:pPr>
              <w:spacing w:after="0"/>
              <w:rPr>
                <w:sz w:val="1"/>
                <w:szCs w:val="1"/>
                <w:color w:val="auto"/>
              </w:rPr>
            </w:pPr>
          </w:p>
        </w:tc>
      </w:tr>
      <w:tr>
        <w:trPr>
          <w:trHeight w:val="260"/>
        </w:trPr>
        <w:tc>
          <w:tcPr>
            <w:tcW w:w="48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127,572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101,193</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Goodwill</w:t>
            </w:r>
          </w:p>
        </w:tc>
        <w:tc>
          <w:tcPr>
            <w:tcW w:w="2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274,931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274,370</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2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256,082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265,717</w:t>
            </w: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Investment in life insurance</w:t>
            </w:r>
          </w:p>
        </w:tc>
        <w:tc>
          <w:tcPr>
            <w:tcW w:w="2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26,846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28,297</w:t>
            </w:r>
          </w:p>
        </w:tc>
        <w:tc>
          <w:tcPr>
            <w:tcW w:w="0" w:type="dxa"/>
            <w:vAlign w:val="bottom"/>
          </w:tcPr>
          <w:p>
            <w:pPr>
              <w:spacing w:after="0"/>
              <w:rPr>
                <w:sz w:val="1"/>
                <w:szCs w:val="1"/>
                <w:color w:val="auto"/>
              </w:rPr>
            </w:pPr>
          </w:p>
        </w:tc>
      </w:tr>
      <w:tr>
        <w:trPr>
          <w:trHeight w:val="273"/>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8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8,143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10,290</w:t>
            </w:r>
          </w:p>
        </w:tc>
        <w:tc>
          <w:tcPr>
            <w:tcW w:w="0" w:type="dxa"/>
            <w:vAlign w:val="bottom"/>
          </w:tcPr>
          <w:p>
            <w:pPr>
              <w:spacing w:after="0"/>
              <w:rPr>
                <w:sz w:val="1"/>
                <w:szCs w:val="1"/>
                <w:color w:val="auto"/>
              </w:rPr>
            </w:pPr>
          </w:p>
        </w:tc>
      </w:tr>
      <w:tr>
        <w:trPr>
          <w:trHeight w:val="280"/>
        </w:trPr>
        <w:tc>
          <w:tcPr>
            <w:tcW w:w="48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1,104,231</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1,051,805</w:t>
            </w:r>
          </w:p>
        </w:tc>
        <w:tc>
          <w:tcPr>
            <w:tcW w:w="0" w:type="dxa"/>
            <w:vAlign w:val="bottom"/>
          </w:tcPr>
          <w:p>
            <w:pPr>
              <w:spacing w:after="0"/>
              <w:rPr>
                <w:sz w:val="1"/>
                <w:szCs w:val="1"/>
                <w:color w:val="auto"/>
              </w:rPr>
            </w:pPr>
          </w:p>
        </w:tc>
      </w:tr>
      <w:tr>
        <w:trPr>
          <w:trHeight w:val="281"/>
        </w:trPr>
        <w:tc>
          <w:tcPr>
            <w:tcW w:w="4860" w:type="dxa"/>
            <w:vAlign w:val="bottom"/>
            <w:tcBorders>
              <w:top w:val="single" w:sz="8" w:color="CCEEFF"/>
            </w:tcBorders>
            <w:shd w:val="clear" w:color="auto" w:fill="CCEEFF"/>
          </w:tcPr>
          <w:p>
            <w:pPr>
              <w:spacing w:after="0"/>
              <w:rPr>
                <w:sz w:val="24"/>
                <w:szCs w:val="24"/>
                <w:color w:val="auto"/>
              </w:rPr>
            </w:pPr>
          </w:p>
        </w:tc>
        <w:tc>
          <w:tcPr>
            <w:tcW w:w="28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16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6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81,635</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81,039</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payable</w:t>
            </w:r>
          </w:p>
        </w:tc>
        <w:tc>
          <w:tcPr>
            <w:tcW w:w="2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15,655</w:t>
            </w: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2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107,217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107,491</w:t>
            </w:r>
          </w:p>
        </w:tc>
        <w:tc>
          <w:tcPr>
            <w:tcW w:w="0" w:type="dxa"/>
            <w:vAlign w:val="bottom"/>
          </w:tcPr>
          <w:p>
            <w:pPr>
              <w:spacing w:after="0"/>
              <w:rPr>
                <w:sz w:val="1"/>
                <w:szCs w:val="1"/>
                <w:color w:val="auto"/>
              </w:rPr>
            </w:pPr>
          </w:p>
        </w:tc>
      </w:tr>
      <w:tr>
        <w:trPr>
          <w:trHeight w:val="273"/>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maturities of long-term debt</w:t>
            </w:r>
          </w:p>
        </w:tc>
        <w:tc>
          <w:tcPr>
            <w:tcW w:w="28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8,892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current liabilities</w:t>
            </w:r>
          </w:p>
        </w:tc>
        <w:tc>
          <w:tcPr>
            <w:tcW w:w="28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197,744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204,185</w:t>
            </w: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2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245,402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291,441</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12,032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4,457</w:t>
            </w:r>
          </w:p>
        </w:tc>
        <w:tc>
          <w:tcPr>
            <w:tcW w:w="0" w:type="dxa"/>
            <w:vAlign w:val="bottom"/>
          </w:tcPr>
          <w:p>
            <w:pPr>
              <w:spacing w:after="0"/>
              <w:rPr>
                <w:sz w:val="1"/>
                <w:szCs w:val="1"/>
                <w:color w:val="auto"/>
              </w:rPr>
            </w:pPr>
          </w:p>
        </w:tc>
      </w:tr>
      <w:tr>
        <w:trPr>
          <w:trHeight w:val="260"/>
        </w:trPr>
        <w:tc>
          <w:tcPr>
            <w:tcW w:w="4860" w:type="dxa"/>
            <w:vAlign w:val="bottom"/>
          </w:tcPr>
          <w:p>
            <w:pPr>
              <w:ind w:left="180"/>
              <w:spacing w:after="0"/>
              <w:rPr>
                <w:sz w:val="20"/>
                <w:szCs w:val="20"/>
                <w:color w:val="auto"/>
              </w:rPr>
            </w:pPr>
            <w:r>
              <w:rPr>
                <w:rFonts w:ascii="Arial" w:cs="Arial" w:eastAsia="Arial" w:hAnsi="Arial"/>
                <w:sz w:val="16"/>
                <w:szCs w:val="16"/>
                <w:color w:val="auto"/>
              </w:rPr>
              <w:t>Unrecognized tax benefits</w:t>
            </w:r>
          </w:p>
        </w:tc>
        <w:tc>
          <w:tcPr>
            <w:tcW w:w="2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3,591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80"/>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compensation benefits, net of current portion</w:t>
            </w:r>
          </w:p>
        </w:tc>
        <w:tc>
          <w:tcPr>
            <w:tcW w:w="2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12,878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15,282</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2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non-current liabilities</w:t>
            </w:r>
          </w:p>
        </w:tc>
        <w:tc>
          <w:tcPr>
            <w:tcW w:w="2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274,275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313,175</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Stockholders' equity</w:t>
            </w:r>
          </w:p>
        </w:tc>
        <w:tc>
          <w:tcPr>
            <w:tcW w:w="28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632,212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534,445</w:t>
            </w:r>
          </w:p>
        </w:tc>
        <w:tc>
          <w:tcPr>
            <w:tcW w:w="0" w:type="dxa"/>
            <w:vAlign w:val="bottom"/>
          </w:tcPr>
          <w:p>
            <w:pPr>
              <w:spacing w:after="0"/>
              <w:rPr>
                <w:sz w:val="1"/>
                <w:szCs w:val="1"/>
                <w:color w:val="auto"/>
              </w:rPr>
            </w:pPr>
          </w:p>
        </w:tc>
      </w:tr>
      <w:tr>
        <w:trPr>
          <w:trHeight w:val="24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3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1,104,231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1,051,805</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jc w:val="right"/>
              <w:ind w:right="1819"/>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48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4"/>
          </w:tcPr>
          <w:p>
            <w:pPr>
              <w:jc w:val="right"/>
              <w:ind w:right="1339"/>
              <w:spacing w:after="0"/>
              <w:rPr>
                <w:sz w:val="20"/>
                <w:szCs w:val="20"/>
                <w:color w:val="auto"/>
              </w:rPr>
            </w:pPr>
            <w:r>
              <w:rPr>
                <w:rFonts w:ascii="Arial" w:cs="Arial" w:eastAsia="Arial" w:hAnsi="Arial"/>
                <w:sz w:val="16"/>
                <w:szCs w:val="16"/>
                <w:b w:val="1"/>
                <w:bCs w:val="1"/>
                <w:color w:val="auto"/>
              </w:rPr>
              <w:t>Year Ended</w:t>
            </w:r>
          </w:p>
        </w:tc>
      </w:tr>
      <w:tr>
        <w:trPr>
          <w:trHeight w:val="26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2"/>
                <w:szCs w:val="22"/>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31, 2019</w:t>
            </w:r>
          </w:p>
        </w:tc>
        <w:tc>
          <w:tcPr>
            <w:tcW w:w="200" w:type="dxa"/>
            <w:vAlign w:val="bottom"/>
          </w:tcPr>
          <w:p>
            <w:pPr>
              <w:spacing w:after="0"/>
              <w:rPr>
                <w:sz w:val="22"/>
                <w:szCs w:val="22"/>
                <w:color w:val="auto"/>
              </w:rPr>
            </w:pPr>
          </w:p>
        </w:tc>
        <w:tc>
          <w:tcPr>
            <w:tcW w:w="1620" w:type="dxa"/>
            <w:vAlign w:val="bottom"/>
          </w:tcPr>
          <w:p>
            <w:pPr>
              <w:jc w:val="right"/>
              <w:ind w:right="219"/>
              <w:spacing w:after="0"/>
              <w:rPr>
                <w:sz w:val="20"/>
                <w:szCs w:val="20"/>
                <w:color w:val="auto"/>
              </w:rPr>
            </w:pPr>
            <w:r>
              <w:rPr>
                <w:rFonts w:ascii="Arial" w:cs="Arial" w:eastAsia="Arial" w:hAnsi="Arial"/>
                <w:sz w:val="16"/>
                <w:szCs w:val="16"/>
                <w:b w:val="1"/>
                <w:bCs w:val="1"/>
                <w:color w:val="auto"/>
              </w:rPr>
              <w:t>August 25, 2018</w:t>
            </w:r>
          </w:p>
        </w:tc>
      </w:tr>
      <w:tr>
        <w:trPr>
          <w:trHeight w:val="270"/>
        </w:trPr>
        <w:tc>
          <w:tcPr>
            <w:tcW w:w="7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Borders>
              <w:top w:val="single" w:sz="8" w:color="auto"/>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111,798</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102,357</w:t>
            </w:r>
          </w:p>
        </w:tc>
      </w:tr>
      <w:tr>
        <w:trPr>
          <w:trHeight w:val="28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13,682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9,849</w:t>
            </w: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intangibles</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9,635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9,328</w:t>
            </w: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1,612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2,206</w:t>
            </w: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Last in, first-out expense</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3,344</w:t>
            </w: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7,058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7,434</w:t>
            </w: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7,984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5,784</w:t>
            </w: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1,313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28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Receivables</w:t>
            </w: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6,418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(37,739)</w:t>
            </w: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(46,429)</w:t>
            </w: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(4,499)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2,353</w:t>
            </w: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(13,810)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7,939</w:t>
            </w:r>
          </w:p>
        </w:tc>
      </w:tr>
      <w:tr>
        <w:trPr>
          <w:trHeight w:val="273"/>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17,992</w:t>
            </w:r>
          </w:p>
        </w:tc>
      </w:tr>
      <w:tr>
        <w:trPr>
          <w:trHeight w:val="25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133,750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83,346</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(40,858)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(28,668)</w:t>
            </w: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of business, net of cash acquired</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(81,200)</w:t>
            </w: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Proceeds from the sale of property</w:t>
            </w: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338</w:t>
            </w:r>
          </w:p>
        </w:tc>
      </w:tr>
      <w:tr>
        <w:trPr>
          <w:trHeight w:val="273"/>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2,476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w:t>
            </w:r>
          </w:p>
        </w:tc>
      </w:tr>
      <w:tr>
        <w:trPr>
          <w:trHeight w:val="25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(111,761)</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Borrowings on credit agreement</w:t>
            </w: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891,892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221,133</w:t>
            </w: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Repayments of credit agreement</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(930,424)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(206,601)</w:t>
            </w: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Payments of cash dividends</w:t>
            </w: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(13,670)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(12,738)</w:t>
            </w:r>
          </w:p>
        </w:tc>
      </w:tr>
      <w:tr>
        <w:trPr>
          <w:trHeight w:val="280"/>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for repurchases of common stock</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(6,481)</w:t>
            </w:r>
          </w:p>
        </w:tc>
      </w:tr>
      <w:tr>
        <w:trPr>
          <w:trHeight w:val="260"/>
        </w:trPr>
        <w:tc>
          <w:tcPr>
            <w:tcW w:w="7660" w:type="dxa"/>
            <w:vAlign w:val="bottom"/>
          </w:tcPr>
          <w:p>
            <w:pPr>
              <w:ind w:left="180"/>
              <w:spacing w:after="0"/>
              <w:rPr>
                <w:sz w:val="20"/>
                <w:szCs w:val="20"/>
                <w:color w:val="auto"/>
              </w:rPr>
            </w:pPr>
            <w:r>
              <w:rPr>
                <w:rFonts w:ascii="Arial" w:cs="Arial" w:eastAsia="Arial" w:hAnsi="Arial"/>
                <w:sz w:val="16"/>
                <w:szCs w:val="16"/>
                <w:color w:val="auto"/>
              </w:rPr>
              <w:t>Payments of debt issuance costs</w:t>
            </w:r>
          </w:p>
        </w:tc>
        <w:tc>
          <w:tcPr>
            <w:tcW w:w="220" w:type="dxa"/>
            <w:vAlign w:val="bottom"/>
          </w:tcPr>
          <w:p>
            <w:pPr>
              <w:spacing w:after="0"/>
              <w:rPr>
                <w:sz w:val="22"/>
                <w:szCs w:val="22"/>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(589)</w:t>
            </w:r>
          </w:p>
        </w:tc>
      </w:tr>
      <w:tr>
        <w:trPr>
          <w:trHeight w:val="273"/>
        </w:trPr>
        <w:tc>
          <w:tcPr>
            <w:tcW w:w="7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r>
      <w:tr>
        <w:trPr>
          <w:trHeight w:val="25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(59,725)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(5,188)</w:t>
            </w:r>
          </w:p>
        </w:tc>
      </w:tr>
      <w:tr>
        <w:trPr>
          <w:trHeight w:val="284"/>
        </w:trPr>
        <w:tc>
          <w:tcPr>
            <w:tcW w:w="7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35,089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(33,603)</w:t>
            </w:r>
          </w:p>
        </w:tc>
      </w:tr>
      <w:tr>
        <w:trPr>
          <w:trHeight w:val="273"/>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2,342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35,945</w:t>
            </w:r>
          </w:p>
        </w:tc>
      </w:tr>
      <w:tr>
        <w:trPr>
          <w:trHeight w:val="280"/>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37,431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2,342</w:t>
            </w:r>
          </w:p>
        </w:tc>
      </w:tr>
      <w:tr>
        <w:trPr>
          <w:trHeight w:val="267"/>
        </w:trPr>
        <w:tc>
          <w:tcPr>
            <w:tcW w:w="7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60"/>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Supplement cash flow disclosure:</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80"/>
        </w:trPr>
        <w:tc>
          <w:tcPr>
            <w:tcW w:w="7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paid, net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37,061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26,436</w:t>
            </w:r>
          </w:p>
        </w:tc>
      </w:tr>
      <w:tr>
        <w:trPr>
          <w:trHeight w:val="260"/>
        </w:trPr>
        <w:tc>
          <w:tcPr>
            <w:tcW w:w="7660" w:type="dxa"/>
            <w:vAlign w:val="bottom"/>
          </w:tcPr>
          <w:p>
            <w:pPr>
              <w:ind w:left="280"/>
              <w:spacing w:after="0"/>
              <w:rPr>
                <w:sz w:val="20"/>
                <w:szCs w:val="20"/>
                <w:color w:val="auto"/>
              </w:rPr>
            </w:pPr>
            <w:r>
              <w:rPr>
                <w:rFonts w:ascii="Arial" w:cs="Arial" w:eastAsia="Arial" w:hAnsi="Arial"/>
                <w:sz w:val="16"/>
                <w:szCs w:val="16"/>
                <w:color w:val="auto"/>
              </w:rPr>
              <w:t>Interest paid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14,921</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16,565</w:t>
            </w:r>
          </w:p>
        </w:tc>
      </w:tr>
      <w:tr>
        <w:trPr>
          <w:trHeight w:val="280"/>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51"/>
        </w:trPr>
        <w:tc>
          <w:tcPr>
            <w:tcW w:w="7660" w:type="dxa"/>
            <w:vAlign w:val="bottom"/>
          </w:tcPr>
          <w:p>
            <w:pPr>
              <w:ind w:left="280"/>
              <w:spacing w:after="0"/>
              <w:rPr>
                <w:sz w:val="20"/>
                <w:szCs w:val="20"/>
                <w:color w:val="auto"/>
              </w:rPr>
            </w:pPr>
            <w:r>
              <w:rPr>
                <w:rFonts w:ascii="Arial" w:cs="Arial" w:eastAsia="Arial" w:hAnsi="Arial"/>
                <w:sz w:val="16"/>
                <w:szCs w:val="16"/>
                <w:color w:val="auto"/>
              </w:rPr>
              <w:t>Capital expenditures in accounts payable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698</w:t>
            </w:r>
          </w:p>
        </w:tc>
      </w:tr>
    </w:tbl>
    <w:p>
      <w:pPr>
        <w:spacing w:after="0" w:line="200" w:lineRule="exact"/>
        <w:rPr>
          <w:sz w:val="20"/>
          <w:szCs w:val="20"/>
          <w:color w:val="auto"/>
        </w:rPr>
      </w:pPr>
    </w:p>
    <w:p>
      <w:pPr>
        <w:sectPr>
          <w:pgSz w:w="11900" w:h="16838" w:orient="portrait"/>
          <w:cols w:equalWidth="0" w:num="1">
            <w:col w:w="11420"/>
          </w:cols>
          <w:pgMar w:left="240" w:top="360" w:right="239" w:bottom="1440" w:gutter="0" w:footer="0" w:header="0"/>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6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Towable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jc w:val="center"/>
              <w:ind w:right="8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2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Pr>
          <w:p>
            <w:pPr>
              <w:spacing w:after="0"/>
              <w:rPr>
                <w:sz w:val="22"/>
                <w:szCs w:val="22"/>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22"/>
                <w:szCs w:val="22"/>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25, 2018</w:t>
            </w:r>
          </w:p>
        </w:tc>
        <w:tc>
          <w:tcPr>
            <w:tcW w:w="120" w:type="dxa"/>
            <w:vAlign w:val="bottom"/>
          </w:tcPr>
          <w:p>
            <w:pPr>
              <w:spacing w:after="0"/>
              <w:rPr>
                <w:sz w:val="22"/>
                <w:szCs w:val="22"/>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22"/>
                <w:szCs w:val="2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70"/>
        </w:trPr>
        <w:tc>
          <w:tcPr>
            <w:tcW w:w="2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306,992</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288,684</w:t>
            </w:r>
          </w:p>
        </w:tc>
        <w:tc>
          <w:tcPr>
            <w:tcW w:w="12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18,308</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6.3 %</w:t>
            </w:r>
          </w:p>
        </w:tc>
      </w:tr>
      <w:tr>
        <w:trPr>
          <w:trHeight w:val="251"/>
        </w:trPr>
        <w:tc>
          <w:tcPr>
            <w:tcW w:w="238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21"/>
                <w:szCs w:val="21"/>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42,039</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41,944</w:t>
            </w:r>
          </w:p>
        </w:tc>
        <w:tc>
          <w:tcPr>
            <w:tcW w:w="1420" w:type="dxa"/>
            <w:vAlign w:val="bottom"/>
            <w:gridSpan w:val="2"/>
          </w:tcPr>
          <w:p>
            <w:pPr>
              <w:jc w:val="right"/>
              <w:ind w:right="7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1"/>
                <w:szCs w:val="21"/>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0.2 %</w:t>
            </w:r>
          </w:p>
        </w:tc>
      </w:tr>
      <w:tr>
        <w:trPr>
          <w:trHeight w:val="513"/>
        </w:trPr>
        <w:tc>
          <w:tcPr>
            <w:tcW w:w="2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center"/>
              <w:ind w:right="88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70"/>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25, 2018</w:t>
            </w:r>
          </w:p>
        </w:tc>
        <w:tc>
          <w:tcPr>
            <w:tcW w:w="12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5,894</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5,950</w:t>
            </w:r>
          </w:p>
        </w:tc>
        <w:tc>
          <w:tcPr>
            <w:tcW w:w="14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62.8%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(0.9)%</w:t>
            </w:r>
          </w:p>
        </w:tc>
      </w:tr>
      <w:tr>
        <w:trPr>
          <w:trHeight w:val="264"/>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3,553</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3,519</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1.0 %</w:t>
            </w:r>
          </w:p>
        </w:tc>
      </w:tr>
      <w:tr>
        <w:trPr>
          <w:trHeight w:val="240"/>
        </w:trPr>
        <w:tc>
          <w:tcPr>
            <w:tcW w:w="2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towables</w:t>
            </w: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9,447</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9,469</w:t>
            </w:r>
          </w:p>
        </w:tc>
        <w:tc>
          <w:tcPr>
            <w:tcW w:w="14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544"/>
        </w:trPr>
        <w:tc>
          <w:tcPr>
            <w:tcW w:w="2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b w:val="1"/>
                <w:bCs w:val="1"/>
                <w:color w:val="auto"/>
                <w:w w:val="99"/>
              </w:rPr>
              <w:t>Year Ended</w:t>
            </w: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64"/>
        </w:trPr>
        <w:tc>
          <w:tcPr>
            <w:tcW w:w="2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Pr>
          <w:p>
            <w:pPr>
              <w:spacing w:after="0"/>
              <w:rPr>
                <w:sz w:val="22"/>
                <w:szCs w:val="22"/>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22"/>
                <w:szCs w:val="22"/>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25, 2018</w:t>
            </w:r>
          </w:p>
        </w:tc>
        <w:tc>
          <w:tcPr>
            <w:tcW w:w="120" w:type="dxa"/>
            <w:vAlign w:val="bottom"/>
          </w:tcPr>
          <w:p>
            <w:pPr>
              <w:spacing w:after="0"/>
              <w:rPr>
                <w:sz w:val="22"/>
                <w:szCs w:val="22"/>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22"/>
                <w:szCs w:val="22"/>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70"/>
        </w:trPr>
        <w:tc>
          <w:tcPr>
            <w:tcW w:w="2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1,197,327</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1,127,723</w:t>
            </w:r>
          </w:p>
        </w:tc>
        <w:tc>
          <w:tcPr>
            <w:tcW w:w="12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69,604</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6.2 %</w:t>
            </w:r>
          </w:p>
        </w:tc>
      </w:tr>
      <w:tr>
        <w:trPr>
          <w:trHeight w:val="251"/>
        </w:trPr>
        <w:tc>
          <w:tcPr>
            <w:tcW w:w="238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21"/>
                <w:szCs w:val="21"/>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163,677</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157,010</w:t>
            </w:r>
          </w:p>
        </w:tc>
        <w:tc>
          <w:tcPr>
            <w:tcW w:w="1420" w:type="dxa"/>
            <w:vAlign w:val="bottom"/>
            <w:gridSpan w:val="2"/>
          </w:tcPr>
          <w:p>
            <w:pPr>
              <w:jc w:val="right"/>
              <w:ind w:right="79"/>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6,667</w:t>
            </w:r>
          </w:p>
        </w:tc>
        <w:tc>
          <w:tcPr>
            <w:tcW w:w="100" w:type="dxa"/>
            <w:vAlign w:val="bottom"/>
          </w:tcPr>
          <w:p>
            <w:pPr>
              <w:spacing w:after="0"/>
              <w:rPr>
                <w:sz w:val="21"/>
                <w:szCs w:val="21"/>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4.2 %</w:t>
            </w:r>
          </w:p>
        </w:tc>
      </w:tr>
      <w:tr>
        <w:trPr>
          <w:trHeight w:val="513"/>
        </w:trPr>
        <w:tc>
          <w:tcPr>
            <w:tcW w:w="23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b w:val="1"/>
                <w:bCs w:val="1"/>
                <w:color w:val="auto"/>
                <w:w w:val="99"/>
              </w:rPr>
              <w:t>Year Ended</w:t>
            </w: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70"/>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25, 2018</w:t>
            </w:r>
          </w:p>
        </w:tc>
        <w:tc>
          <w:tcPr>
            <w:tcW w:w="12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18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22,458</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22,360</w:t>
            </w:r>
          </w:p>
        </w:tc>
        <w:tc>
          <w:tcPr>
            <w:tcW w:w="14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61.1%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0.4 %</w:t>
            </w:r>
          </w:p>
        </w:tc>
      </w:tr>
      <w:tr>
        <w:trPr>
          <w:trHeight w:val="264"/>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14,371</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14,229</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1.0 %</w:t>
            </w:r>
          </w:p>
        </w:tc>
      </w:tr>
      <w:tr>
        <w:trPr>
          <w:trHeight w:val="240"/>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towables</w:t>
            </w: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36,829</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36,589</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0.7 %</w:t>
            </w:r>
          </w:p>
        </w:tc>
      </w:tr>
      <w:tr>
        <w:trPr>
          <w:trHeight w:val="20"/>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44"/>
        </w:trPr>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25, 2018</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70"/>
        </w:trPr>
        <w:tc>
          <w:tcPr>
            <w:tcW w:w="2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8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0"/>
        </w:trPr>
        <w:tc>
          <w:tcPr>
            <w:tcW w:w="2380" w:type="dxa"/>
            <w:vAlign w:val="bottom"/>
          </w:tcPr>
          <w:p>
            <w:pPr>
              <w:ind w:left="18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7,225</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7,651</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(426)</w:t>
            </w:r>
          </w:p>
        </w:tc>
        <w:tc>
          <w:tcPr>
            <w:tcW w:w="10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(5.6)%</w:t>
            </w:r>
          </w:p>
        </w:tc>
      </w:tr>
      <w:tr>
        <w:trPr>
          <w:trHeight w:val="280"/>
        </w:trPr>
        <w:tc>
          <w:tcPr>
            <w:tcW w:w="2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Dollars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234,339</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244,854</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(10,515)</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w:t>
            </w:r>
          </w:p>
        </w:tc>
      </w:tr>
      <w:tr>
        <w:trPr>
          <w:trHeight w:val="260"/>
        </w:trPr>
        <w:tc>
          <w:tcPr>
            <w:tcW w:w="2380" w:type="dxa"/>
            <w:vAlign w:val="bottom"/>
          </w:tcPr>
          <w:p>
            <w:pPr>
              <w:ind w:left="40"/>
              <w:spacing w:after="0"/>
              <w:rPr>
                <w:sz w:val="20"/>
                <w:szCs w:val="20"/>
                <w:color w:val="auto"/>
              </w:rPr>
            </w:pPr>
            <w:r>
              <w:rPr>
                <w:rFonts w:ascii="Arial" w:cs="Arial" w:eastAsia="Arial" w:hAnsi="Arial"/>
                <w:sz w:val="16"/>
                <w:szCs w:val="16"/>
                <w:b w:val="1"/>
                <w:bCs w:val="1"/>
                <w:color w:val="auto"/>
              </w:rPr>
              <w:t>Dealer Inventory</w:t>
            </w: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2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15,658</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14,877</w:t>
            </w: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781</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5.2 %</w:t>
            </w:r>
          </w:p>
        </w:tc>
      </w:tr>
    </w:tbl>
    <w:p>
      <w:pPr>
        <w:spacing w:after="0" w:line="5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55" w:lineRule="exact"/>
        <w:rPr>
          <w:rFonts w:ascii="Arial" w:cs="Arial" w:eastAsia="Arial" w:hAnsi="Arial"/>
          <w:sz w:val="14"/>
          <w:szCs w:val="14"/>
          <w:color w:val="auto"/>
        </w:rPr>
      </w:pPr>
    </w:p>
    <w:p>
      <w:pPr>
        <w:ind w:left="260" w:right="20" w:hanging="252"/>
        <w:spacing w:after="0" w:line="258" w:lineRule="auto"/>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generally to be shipped within the next six months. Orders in backlog can be cancelled or postponed at the option of the dealer at any time without penalty and, therefore, backlog may not necessarily be an accurate measure of future sales.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6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 Motorhome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unit data)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center"/>
              <w:ind w:right="8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r>
      <w:tr>
        <w:trPr>
          <w:trHeight w:val="264"/>
        </w:trPr>
        <w:tc>
          <w:tcPr>
            <w:tcW w:w="2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Pr>
          <w:p>
            <w:pPr>
              <w:spacing w:after="0"/>
              <w:rPr>
                <w:sz w:val="22"/>
                <w:szCs w:val="22"/>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22"/>
                <w:szCs w:val="22"/>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25, 2018</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22"/>
                <w:szCs w:val="2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70"/>
        </w:trPr>
        <w:tc>
          <w:tcPr>
            <w:tcW w:w="2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200,698</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228,527</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(27,829)</w:t>
            </w:r>
          </w:p>
        </w:tc>
        <w:tc>
          <w:tcPr>
            <w:tcW w:w="1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(12.2)%</w:t>
            </w:r>
          </w:p>
        </w:tc>
      </w:tr>
      <w:tr>
        <w:trPr>
          <w:trHeight w:val="251"/>
        </w:trPr>
        <w:tc>
          <w:tcPr>
            <w:tcW w:w="240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21"/>
                <w:szCs w:val="21"/>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10,739</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13,244</w:t>
            </w:r>
          </w:p>
        </w:tc>
        <w:tc>
          <w:tcPr>
            <w:tcW w:w="100" w:type="dxa"/>
            <w:vAlign w:val="bottom"/>
          </w:tcPr>
          <w:p>
            <w:pPr>
              <w:spacing w:after="0"/>
              <w:rPr>
                <w:sz w:val="21"/>
                <w:szCs w:val="21"/>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(2,505)</w:t>
            </w:r>
          </w:p>
        </w:tc>
        <w:tc>
          <w:tcPr>
            <w:tcW w:w="120" w:type="dxa"/>
            <w:vAlign w:val="bottom"/>
          </w:tcPr>
          <w:p>
            <w:pPr>
              <w:spacing w:after="0"/>
              <w:rPr>
                <w:sz w:val="21"/>
                <w:szCs w:val="21"/>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(18.9)%</w:t>
            </w:r>
          </w:p>
        </w:tc>
      </w:tr>
      <w:tr>
        <w:trPr>
          <w:trHeight w:val="513"/>
        </w:trPr>
        <w:tc>
          <w:tcPr>
            <w:tcW w:w="2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right="86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70"/>
        </w:trPr>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August 25, 2018</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(62.3)%</w:t>
            </w: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937</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49.9 %</w:t>
            </w:r>
          </w:p>
        </w:tc>
      </w:tr>
      <w:tr>
        <w:trPr>
          <w:trHeight w:val="27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795</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(31.9)%</w:t>
            </w:r>
          </w:p>
        </w:tc>
      </w:tr>
      <w:tr>
        <w:trPr>
          <w:trHeight w:val="240"/>
        </w:trPr>
        <w:tc>
          <w:tcPr>
            <w:tcW w:w="2400" w:type="dxa"/>
            <w:vAlign w:val="bottom"/>
          </w:tcPr>
          <w:p>
            <w:pPr>
              <w:ind w:left="180"/>
              <w:spacing w:after="0"/>
              <w:rPr>
                <w:sz w:val="20"/>
                <w:szCs w:val="20"/>
                <w:color w:val="auto"/>
              </w:rPr>
            </w:pPr>
            <w:r>
              <w:rPr>
                <w:rFonts w:ascii="Arial" w:cs="Arial" w:eastAsia="Arial" w:hAnsi="Arial"/>
                <w:sz w:val="16"/>
                <w:szCs w:val="16"/>
                <w:color w:val="auto"/>
              </w:rPr>
              <w:t>Total motorhomes</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1,985</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2,463</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(19.4)%</w:t>
            </w:r>
          </w:p>
        </w:tc>
      </w:tr>
      <w:tr>
        <w:trPr>
          <w:trHeight w:val="20"/>
        </w:trPr>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44"/>
        </w:trPr>
        <w:tc>
          <w:tcPr>
            <w:tcW w:w="2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479"/>
              <w:spacing w:after="0"/>
              <w:rPr>
                <w:sz w:val="20"/>
                <w:szCs w:val="20"/>
                <w:color w:val="auto"/>
              </w:rPr>
            </w:pPr>
            <w:r>
              <w:rPr>
                <w:rFonts w:ascii="Arial" w:cs="Arial" w:eastAsia="Arial" w:hAnsi="Arial"/>
                <w:sz w:val="16"/>
                <w:szCs w:val="16"/>
                <w:b w:val="1"/>
                <w:bCs w:val="1"/>
                <w:color w:val="auto"/>
                <w:w w:val="99"/>
              </w:rPr>
              <w:t>Year Ended</w:t>
            </w: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64"/>
        </w:trPr>
        <w:tc>
          <w:tcPr>
            <w:tcW w:w="2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Pr>
          <w:p>
            <w:pPr>
              <w:spacing w:after="0"/>
              <w:rPr>
                <w:sz w:val="22"/>
                <w:szCs w:val="22"/>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22"/>
                <w:szCs w:val="22"/>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25, 2018</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22"/>
                <w:szCs w:val="2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70"/>
        </w:trPr>
        <w:tc>
          <w:tcPr>
            <w:tcW w:w="2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706,927</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860,675</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(153,748)</w:t>
            </w:r>
          </w:p>
        </w:tc>
        <w:tc>
          <w:tcPr>
            <w:tcW w:w="1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(17.9)%</w:t>
            </w:r>
          </w:p>
        </w:tc>
      </w:tr>
      <w:tr>
        <w:trPr>
          <w:trHeight w:val="251"/>
        </w:trPr>
        <w:tc>
          <w:tcPr>
            <w:tcW w:w="240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21"/>
                <w:szCs w:val="21"/>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27,455</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35,508</w:t>
            </w:r>
          </w:p>
        </w:tc>
        <w:tc>
          <w:tcPr>
            <w:tcW w:w="100" w:type="dxa"/>
            <w:vAlign w:val="bottom"/>
          </w:tcPr>
          <w:p>
            <w:pPr>
              <w:spacing w:after="0"/>
              <w:rPr>
                <w:sz w:val="21"/>
                <w:szCs w:val="21"/>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(8,053)</w:t>
            </w:r>
          </w:p>
        </w:tc>
        <w:tc>
          <w:tcPr>
            <w:tcW w:w="120" w:type="dxa"/>
            <w:vAlign w:val="bottom"/>
          </w:tcPr>
          <w:p>
            <w:pPr>
              <w:spacing w:after="0"/>
              <w:rPr>
                <w:sz w:val="21"/>
                <w:szCs w:val="21"/>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(22.7)%</w:t>
            </w:r>
          </w:p>
        </w:tc>
      </w:tr>
      <w:tr>
        <w:trPr>
          <w:trHeight w:val="513"/>
        </w:trPr>
        <w:tc>
          <w:tcPr>
            <w:tcW w:w="2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center"/>
              <w:ind w:left="479"/>
              <w:spacing w:after="0"/>
              <w:rPr>
                <w:sz w:val="20"/>
                <w:szCs w:val="20"/>
                <w:color w:val="auto"/>
              </w:rPr>
            </w:pPr>
            <w:r>
              <w:rPr>
                <w:rFonts w:ascii="Arial" w:cs="Arial" w:eastAsia="Arial" w:hAnsi="Arial"/>
                <w:sz w:val="16"/>
                <w:szCs w:val="16"/>
                <w:b w:val="1"/>
                <w:bCs w:val="1"/>
                <w:color w:val="auto"/>
                <w:w w:val="99"/>
              </w:rPr>
              <w:t>Year Ended</w:t>
            </w: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70"/>
        </w:trPr>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August 25, 2018</w:t>
            </w:r>
          </w:p>
        </w:tc>
        <w:tc>
          <w:tcPr>
            <w:tcW w:w="10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(1)</w:t>
            </w:r>
          </w:p>
        </w:tc>
        <w:tc>
          <w:tcPr>
            <w:tcW w:w="10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2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1,582</w:t>
            </w:r>
          </w:p>
        </w:tc>
        <w:tc>
          <w:tcPr>
            <w:tcW w:w="142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2,997</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(47.2)%</w:t>
            </w: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2,784</w:t>
            </w:r>
          </w:p>
        </w:tc>
        <w:tc>
          <w:tcPr>
            <w:tcW w:w="1420" w:type="dxa"/>
            <w:vAlign w:val="bottom"/>
            <w:gridSpan w:val="2"/>
          </w:tcPr>
          <w:p>
            <w:pPr>
              <w:jc w:val="right"/>
              <w:ind w:right="9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772</w:t>
            </w:r>
          </w:p>
        </w:tc>
        <w:tc>
          <w:tcPr>
            <w:tcW w:w="12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38.4 %</w:t>
            </w:r>
          </w:p>
        </w:tc>
      </w:tr>
      <w:tr>
        <w:trPr>
          <w:trHeight w:val="273"/>
        </w:trPr>
        <w:tc>
          <w:tcPr>
            <w:tcW w:w="2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3,225</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42.5%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4,539</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2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(28.9)%</w:t>
            </w:r>
          </w:p>
        </w:tc>
      </w:tr>
      <w:tr>
        <w:trPr>
          <w:trHeight w:val="240"/>
        </w:trPr>
        <w:tc>
          <w:tcPr>
            <w:tcW w:w="2400" w:type="dxa"/>
            <w:vAlign w:val="bottom"/>
          </w:tcPr>
          <w:p>
            <w:pPr>
              <w:ind w:left="180"/>
              <w:spacing w:after="0"/>
              <w:rPr>
                <w:sz w:val="20"/>
                <w:szCs w:val="20"/>
                <w:color w:val="auto"/>
              </w:rPr>
            </w:pPr>
            <w:r>
              <w:rPr>
                <w:rFonts w:ascii="Arial" w:cs="Arial" w:eastAsia="Arial" w:hAnsi="Arial"/>
                <w:sz w:val="16"/>
                <w:szCs w:val="16"/>
                <w:color w:val="auto"/>
              </w:rPr>
              <w:t>Total motorhomes</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7,591</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9,548</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(20.5)%</w:t>
            </w:r>
          </w:p>
        </w:tc>
      </w:tr>
      <w:tr>
        <w:trPr>
          <w:trHeight w:val="20"/>
        </w:trPr>
        <w:tc>
          <w:tcPr>
            <w:tcW w:w="2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44"/>
        </w:trPr>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31, 2019</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August 25, 2018</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70"/>
        </w:trPr>
        <w:tc>
          <w:tcPr>
            <w:tcW w:w="24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8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0"/>
        </w:trPr>
        <w:tc>
          <w:tcPr>
            <w:tcW w:w="2400" w:type="dxa"/>
            <w:vAlign w:val="bottom"/>
          </w:tcPr>
          <w:p>
            <w:pPr>
              <w:ind w:left="18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1,808</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1,693</w:t>
            </w: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6.8 %</w:t>
            </w:r>
          </w:p>
        </w:tc>
      </w:tr>
      <w:tr>
        <w:trPr>
          <w:trHeight w:val="280"/>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Dollars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165,373</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157,554</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7,819</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5.0 %</w:t>
            </w:r>
          </w:p>
        </w:tc>
      </w:tr>
      <w:tr>
        <w:trPr>
          <w:trHeight w:val="260"/>
        </w:trPr>
        <w:tc>
          <w:tcPr>
            <w:tcW w:w="2400" w:type="dxa"/>
            <w:vAlign w:val="bottom"/>
          </w:tcPr>
          <w:p>
            <w:pPr>
              <w:ind w:left="40"/>
              <w:spacing w:after="0"/>
              <w:rPr>
                <w:sz w:val="20"/>
                <w:szCs w:val="20"/>
                <w:color w:val="auto"/>
              </w:rPr>
            </w:pPr>
            <w:r>
              <w:rPr>
                <w:rFonts w:ascii="Arial" w:cs="Arial" w:eastAsia="Arial" w:hAnsi="Arial"/>
                <w:sz w:val="16"/>
                <w:szCs w:val="16"/>
                <w:b w:val="1"/>
                <w:bCs w:val="1"/>
                <w:color w:val="auto"/>
              </w:rPr>
              <w:t>Dealer Inventory</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2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3,891</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4,620</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(15.8)%</w:t>
            </w:r>
          </w:p>
        </w:tc>
      </w:tr>
    </w:tbl>
    <w:p>
      <w:pPr>
        <w:spacing w:after="0" w:line="59"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55" w:lineRule="exact"/>
        <w:rPr>
          <w:rFonts w:ascii="Arial" w:cs="Arial" w:eastAsia="Arial" w:hAnsi="Arial"/>
          <w:sz w:val="14"/>
          <w:szCs w:val="14"/>
          <w:color w:val="auto"/>
        </w:rPr>
      </w:pPr>
    </w:p>
    <w:p>
      <w:pPr>
        <w:ind w:left="260" w:right="20" w:hanging="252"/>
        <w:spacing w:after="0" w:line="258"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76" w:right="239" w:bottom="1440" w:gutter="0" w:footer="0" w:header="0"/>
        </w:sectPr>
      </w:pPr>
    </w:p>
    <w:bookmarkStart w:id="11" w:name="page12"/>
    <w:bookmarkEnd w:id="11"/>
    <w:p>
      <w:pPr>
        <w:ind w:left="4560"/>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Non-GAAP Reconciliation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23"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4"/>
          </w:tcPr>
          <w:p>
            <w:pPr>
              <w:jc w:val="right"/>
              <w:ind w:right="1399"/>
              <w:spacing w:after="0"/>
              <w:rPr>
                <w:sz w:val="20"/>
                <w:szCs w:val="20"/>
                <w:color w:val="auto"/>
              </w:rPr>
            </w:pPr>
            <w:r>
              <w:rPr>
                <w:rFonts w:ascii="Arial" w:cs="Arial" w:eastAsia="Arial" w:hAnsi="Arial"/>
                <w:sz w:val="16"/>
                <w:szCs w:val="16"/>
                <w:b w:val="1"/>
                <w:bCs w:val="1"/>
                <w:color w:val="auto"/>
              </w:rPr>
              <w:t>Year Ended</w:t>
            </w:r>
          </w:p>
        </w:tc>
      </w:tr>
      <w:tr>
        <w:trPr>
          <w:trHeight w:val="264"/>
        </w:trPr>
        <w:tc>
          <w:tcPr>
            <w:tcW w:w="35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2"/>
                <w:szCs w:val="22"/>
                <w:color w:val="auto"/>
              </w:rPr>
            </w:pPr>
          </w:p>
        </w:tc>
        <w:tc>
          <w:tcPr>
            <w:tcW w:w="178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31, 2019</w:t>
            </w:r>
          </w:p>
        </w:tc>
        <w:tc>
          <w:tcPr>
            <w:tcW w:w="220" w:type="dxa"/>
            <w:vAlign w:val="bottom"/>
          </w:tcPr>
          <w:p>
            <w:pPr>
              <w:spacing w:after="0"/>
              <w:rPr>
                <w:sz w:val="22"/>
                <w:szCs w:val="22"/>
                <w:color w:val="auto"/>
              </w:rPr>
            </w:pP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25, 2018</w:t>
            </w:r>
          </w:p>
        </w:tc>
        <w:tc>
          <w:tcPr>
            <w:tcW w:w="220" w:type="dxa"/>
            <w:vAlign w:val="bottom"/>
          </w:tcPr>
          <w:p>
            <w:pPr>
              <w:spacing w:after="0"/>
              <w:rPr>
                <w:sz w:val="22"/>
                <w:szCs w:val="22"/>
                <w:color w:val="auto"/>
              </w:rPr>
            </w:pP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31, 2019</w:t>
            </w:r>
          </w:p>
        </w:tc>
        <w:tc>
          <w:tcPr>
            <w:tcW w:w="220" w:type="dxa"/>
            <w:vAlign w:val="bottom"/>
          </w:tcPr>
          <w:p>
            <w:pPr>
              <w:spacing w:after="0"/>
              <w:rPr>
                <w:sz w:val="22"/>
                <w:szCs w:val="22"/>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25, 2018</w:t>
            </w:r>
          </w:p>
        </w:tc>
      </w:tr>
      <w:tr>
        <w:trPr>
          <w:trHeight w:val="257"/>
        </w:trPr>
        <w:tc>
          <w:tcPr>
            <w:tcW w:w="35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31,868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29,790</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111,798</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102,357</w:t>
            </w:r>
          </w:p>
        </w:tc>
      </w:tr>
      <w:tr>
        <w:trPr>
          <w:trHeight w:val="260"/>
        </w:trPr>
        <w:tc>
          <w:tcPr>
            <w:tcW w:w="358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2"/>
                <w:szCs w:val="22"/>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4,646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4,375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17,939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18,246</w:t>
            </w:r>
          </w:p>
        </w:tc>
      </w:tr>
      <w:tr>
        <w:trPr>
          <w:trHeight w:val="280"/>
        </w:trPr>
        <w:tc>
          <w:tcPr>
            <w:tcW w:w="3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8,502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11,805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27,111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40,283</w:t>
            </w:r>
          </w:p>
        </w:tc>
      </w:tr>
      <w:tr>
        <w:trPr>
          <w:trHeight w:val="260"/>
        </w:trPr>
        <w:tc>
          <w:tcPr>
            <w:tcW w:w="358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22"/>
                <w:szCs w:val="22"/>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3,894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3,170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13,682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9,849</w:t>
            </w:r>
          </w:p>
        </w:tc>
      </w:tr>
      <w:tr>
        <w:trPr>
          <w:trHeight w:val="273"/>
        </w:trPr>
        <w:tc>
          <w:tcPr>
            <w:tcW w:w="3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2,431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3,407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9,635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9,328</w:t>
            </w:r>
          </w:p>
        </w:tc>
      </w:tr>
      <w:tr>
        <w:trPr>
          <w:trHeight w:val="247"/>
        </w:trPr>
        <w:tc>
          <w:tcPr>
            <w:tcW w:w="3580" w:type="dxa"/>
            <w:vAlign w:val="bottom"/>
          </w:tcPr>
          <w:p>
            <w:pPr>
              <w:ind w:left="4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21"/>
                <w:szCs w:val="21"/>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51,341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52,547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180,165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180,063</w:t>
            </w:r>
          </w:p>
        </w:tc>
      </w:tr>
      <w:tr>
        <w:trPr>
          <w:trHeight w:val="280"/>
        </w:trPr>
        <w:tc>
          <w:tcPr>
            <w:tcW w:w="3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Restructuring</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3580" w:type="dxa"/>
            <w:vAlign w:val="bottom"/>
          </w:tcPr>
          <w:p>
            <w:pPr>
              <w:ind w:left="180"/>
              <w:spacing w:after="0"/>
              <w:rPr>
                <w:sz w:val="20"/>
                <w:szCs w:val="20"/>
                <w:color w:val="auto"/>
              </w:rPr>
            </w:pPr>
            <w:r>
              <w:rPr>
                <w:rFonts w:ascii="Arial" w:cs="Arial" w:eastAsia="Arial" w:hAnsi="Arial"/>
                <w:sz w:val="16"/>
                <w:szCs w:val="16"/>
                <w:color w:val="auto"/>
              </w:rPr>
              <w:t>Acquisition-related costs</w:t>
            </w:r>
          </w:p>
        </w:tc>
        <w:tc>
          <w:tcPr>
            <w:tcW w:w="220" w:type="dxa"/>
            <w:vAlign w:val="bottom"/>
          </w:tcPr>
          <w:p>
            <w:pPr>
              <w:spacing w:after="0"/>
              <w:rPr>
                <w:sz w:val="22"/>
                <w:szCs w:val="22"/>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640" w:type="dxa"/>
            <w:vAlign w:val="bottom"/>
          </w:tcPr>
          <w:p>
            <w:pPr>
              <w:jc w:val="right"/>
              <w:ind w:right="119"/>
              <w:spacing w:after="0"/>
              <w:rPr>
                <w:sz w:val="20"/>
                <w:szCs w:val="20"/>
                <w:color w:val="auto"/>
              </w:rPr>
            </w:pPr>
            <w:r>
              <w:rPr>
                <w:rFonts w:ascii="Arial" w:cs="Arial" w:eastAsia="Arial" w:hAnsi="Arial"/>
                <w:sz w:val="16"/>
                <w:szCs w:val="16"/>
                <w:color w:val="auto"/>
              </w:rPr>
              <w:t>1,327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2,177</w:t>
            </w:r>
          </w:p>
        </w:tc>
      </w:tr>
      <w:tr>
        <w:trPr>
          <w:trHeight w:val="273"/>
        </w:trPr>
        <w:tc>
          <w:tcPr>
            <w:tcW w:w="3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Non-operating income</w:t>
            </w:r>
          </w:p>
        </w:tc>
        <w:tc>
          <w:tcPr>
            <w:tcW w:w="2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(1,581)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(494)</w:t>
            </w:r>
          </w:p>
        </w:tc>
      </w:tr>
      <w:tr>
        <w:trPr>
          <w:trHeight w:val="240"/>
        </w:trPr>
        <w:tc>
          <w:tcPr>
            <w:tcW w:w="358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50,837</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53,592</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179,652</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181,746</w:t>
            </w:r>
          </w:p>
        </w:tc>
      </w:tr>
      <w:tr>
        <w:trPr>
          <w:trHeight w:val="20"/>
        </w:trPr>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(1) Balance excludes depreciation expense classified as restructuring as the balance is already included in the EBITDA calculation.</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the effect of non-recurring transactions occurring during the reported periods and improve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We believe Adjusted EBITDA provides meaningful supplemental information about our operating performance because this measure excludes amounts that we do not consider part of our core operating results when assessing our performance. Examples of items excluded from Adjusted EBITDA include acquisition-related costs, restructuring expenses, and non-operating income.</w:t>
      </w:r>
    </w:p>
    <w:p>
      <w:pPr>
        <w:spacing w:after="0" w:line="182"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Management uses these non-GAAP financial measures (a) to evaluate its historical and prospective financial performance and trends as well as its performance relative to competitors and peers; (b) to measure operational profitability on a consistent basis; (c) in presentations to the members of its board of directors to enable its board of directors to have the same measurement basis of operating performance as is used by management in their assessments of performance and in forecasting and budgeting for our company; (d) to evaluate potential acquisitions; and, (e) to ensure compliance with covenants and restricted activities under the terms of its Credit Agreement. We believe these non-GAAP financial measures are frequently used by securities analysts, investors, and other interested parties to evaluate companies in our industry.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2019-12-28T04:55:08Z</dcterms:created>
  <dcterms:modified xsi:type="dcterms:W3CDTF">2019-12-28T04:55:08Z</dcterms:modified>
</cp:coreProperties>
</file>